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E3" w:rsidRPr="00005D10" w:rsidRDefault="002E01E3" w:rsidP="002E01E3">
      <w:pPr>
        <w:rPr>
          <w:szCs w:val="22"/>
        </w:rPr>
      </w:pPr>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2E01E3" w:rsidRPr="00A34E9C">
        <w:tc>
          <w:tcPr>
            <w:tcW w:w="5000" w:type="pct"/>
          </w:tcPr>
          <w:p w:rsidR="002E01E3" w:rsidRDefault="002E01E3" w:rsidP="002E01E3">
            <w:pPr>
              <w:pStyle w:val="MediumGrid21"/>
              <w:rPr>
                <w:rFonts w:ascii="Tahoma" w:hAnsi="Tahoma" w:cs="Tahoma"/>
                <w:sz w:val="44"/>
                <w:szCs w:val="56"/>
                <w:lang w:val="en-AU"/>
              </w:rPr>
            </w:pPr>
            <w:r>
              <w:rPr>
                <w:rFonts w:ascii="Tahoma" w:hAnsi="Tahoma" w:cs="Tahoma"/>
                <w:sz w:val="44"/>
                <w:szCs w:val="56"/>
                <w:lang w:val="en-AU"/>
              </w:rPr>
              <w:t>MSAC Application 1385</w:t>
            </w:r>
          </w:p>
          <w:p w:rsidR="002E01E3" w:rsidRDefault="002E01E3" w:rsidP="002E01E3">
            <w:pPr>
              <w:pStyle w:val="MediumGrid21"/>
              <w:rPr>
                <w:rFonts w:ascii="Tahoma" w:hAnsi="Tahoma" w:cs="Tahoma"/>
                <w:sz w:val="44"/>
                <w:szCs w:val="56"/>
                <w:lang w:val="en-AU"/>
              </w:rPr>
            </w:pPr>
          </w:p>
          <w:p w:rsidR="002E01E3" w:rsidRPr="00A34E9C" w:rsidRDefault="004F39A1" w:rsidP="002E01E3">
            <w:pPr>
              <w:pStyle w:val="MediumGrid21"/>
              <w:rPr>
                <w:rFonts w:ascii="Tahoma" w:hAnsi="Tahoma" w:cs="Tahoma"/>
                <w:sz w:val="44"/>
                <w:szCs w:val="56"/>
                <w:lang w:val="en-AU"/>
              </w:rPr>
            </w:pPr>
            <w:r>
              <w:rPr>
                <w:rFonts w:ascii="Tahoma" w:hAnsi="Tahoma" w:cs="Tahoma"/>
                <w:sz w:val="44"/>
                <w:szCs w:val="56"/>
                <w:lang w:val="en-AU"/>
              </w:rPr>
              <w:t>Final</w:t>
            </w:r>
            <w:r w:rsidR="00F12F1C">
              <w:rPr>
                <w:rFonts w:ascii="Tahoma" w:hAnsi="Tahoma" w:cs="Tahoma"/>
                <w:sz w:val="44"/>
                <w:szCs w:val="56"/>
                <w:lang w:val="en-AU"/>
              </w:rPr>
              <w:t xml:space="preserve"> Protocol</w:t>
            </w:r>
            <w:r w:rsidR="002E01E3">
              <w:rPr>
                <w:rFonts w:ascii="Tahoma" w:hAnsi="Tahoma" w:cs="Tahoma"/>
                <w:sz w:val="44"/>
                <w:szCs w:val="56"/>
                <w:lang w:val="en-AU"/>
              </w:rPr>
              <w:t xml:space="preserve"> </w:t>
            </w:r>
            <w:r w:rsidR="002E01E3" w:rsidRPr="00A34E9C">
              <w:rPr>
                <w:rFonts w:ascii="Tahoma" w:hAnsi="Tahoma" w:cs="Tahoma"/>
                <w:sz w:val="44"/>
                <w:szCs w:val="56"/>
                <w:lang w:val="en-AU"/>
              </w:rPr>
              <w:t xml:space="preserve">to guide the </w:t>
            </w:r>
            <w:r w:rsidR="002E01E3" w:rsidRPr="008B719A">
              <w:rPr>
                <w:rFonts w:ascii="Tahoma" w:hAnsi="Tahoma" w:cs="Tahoma"/>
                <w:sz w:val="44"/>
                <w:szCs w:val="56"/>
                <w:lang w:val="en-AU"/>
              </w:rPr>
              <w:t xml:space="preserve">assessment of </w:t>
            </w:r>
            <w:r w:rsidR="002E01E3" w:rsidRPr="008B719A">
              <w:rPr>
                <w:sz w:val="16"/>
              </w:rPr>
              <w:t xml:space="preserve"> </w:t>
            </w:r>
            <w:r w:rsidR="002E01E3">
              <w:rPr>
                <w:rFonts w:ascii="Tahoma" w:hAnsi="Tahoma" w:cs="Tahoma"/>
                <w:sz w:val="44"/>
                <w:szCs w:val="56"/>
                <w:lang w:val="en-AU"/>
              </w:rPr>
              <w:t>s</w:t>
            </w:r>
            <w:r w:rsidR="002E01E3" w:rsidRPr="008B719A">
              <w:rPr>
                <w:rFonts w:ascii="Tahoma" w:hAnsi="Tahoma" w:cs="Tahoma"/>
                <w:sz w:val="44"/>
                <w:szCs w:val="56"/>
                <w:lang w:val="en-AU"/>
              </w:rPr>
              <w:t xml:space="preserve">hared </w:t>
            </w:r>
            <w:r w:rsidR="002E01E3">
              <w:rPr>
                <w:rFonts w:ascii="Tahoma" w:hAnsi="Tahoma" w:cs="Tahoma"/>
                <w:sz w:val="44"/>
                <w:szCs w:val="56"/>
                <w:lang w:val="en-AU"/>
              </w:rPr>
              <w:t>m</w:t>
            </w:r>
            <w:r w:rsidR="002E01E3" w:rsidRPr="008B719A">
              <w:rPr>
                <w:rFonts w:ascii="Tahoma" w:hAnsi="Tahoma" w:cs="Tahoma"/>
                <w:sz w:val="44"/>
                <w:szCs w:val="56"/>
                <w:lang w:val="en-AU"/>
              </w:rPr>
              <w:t xml:space="preserve">edical </w:t>
            </w:r>
            <w:r w:rsidR="002E01E3">
              <w:rPr>
                <w:rFonts w:ascii="Tahoma" w:hAnsi="Tahoma" w:cs="Tahoma"/>
                <w:sz w:val="44"/>
                <w:szCs w:val="56"/>
                <w:lang w:val="en-AU"/>
              </w:rPr>
              <w:t>a</w:t>
            </w:r>
            <w:r w:rsidR="002E01E3" w:rsidRPr="008B719A">
              <w:rPr>
                <w:rFonts w:ascii="Tahoma" w:hAnsi="Tahoma" w:cs="Tahoma"/>
                <w:sz w:val="44"/>
                <w:szCs w:val="56"/>
                <w:lang w:val="en-AU"/>
              </w:rPr>
              <w:t xml:space="preserve">ppointments for </w:t>
            </w:r>
            <w:r w:rsidR="002E01E3">
              <w:rPr>
                <w:rFonts w:ascii="Tahoma" w:hAnsi="Tahoma" w:cs="Tahoma"/>
                <w:sz w:val="44"/>
                <w:szCs w:val="56"/>
                <w:lang w:val="en-AU"/>
              </w:rPr>
              <w:t>management of T</w:t>
            </w:r>
            <w:r w:rsidR="002E01E3" w:rsidRPr="008B719A">
              <w:rPr>
                <w:rFonts w:ascii="Tahoma" w:hAnsi="Tahoma" w:cs="Tahoma"/>
                <w:sz w:val="44"/>
                <w:szCs w:val="56"/>
                <w:lang w:val="en-AU"/>
              </w:rPr>
              <w:t>ype 2 diabetes</w:t>
            </w:r>
            <w:r w:rsidR="002E01E3">
              <w:rPr>
                <w:rFonts w:ascii="Tahoma" w:hAnsi="Tahoma" w:cs="Tahoma"/>
                <w:sz w:val="44"/>
                <w:szCs w:val="56"/>
                <w:lang w:val="en-AU"/>
              </w:rPr>
              <w:t xml:space="preserve"> mellitus </w:t>
            </w:r>
          </w:p>
          <w:p w:rsidR="002E01E3" w:rsidRPr="00A34E9C" w:rsidRDefault="002E01E3" w:rsidP="00885B8D">
            <w:pPr>
              <w:pStyle w:val="MediumGrid21"/>
              <w:rPr>
                <w:rFonts w:ascii="Tahoma" w:hAnsi="Tahoma" w:cs="Tahoma"/>
                <w:sz w:val="48"/>
                <w:szCs w:val="56"/>
              </w:rPr>
            </w:pPr>
          </w:p>
        </w:tc>
      </w:tr>
      <w:tr w:rsidR="002E01E3" w:rsidRPr="00A34E9C">
        <w:tc>
          <w:tcPr>
            <w:tcW w:w="5000" w:type="pct"/>
          </w:tcPr>
          <w:p w:rsidR="002E01E3" w:rsidRPr="00AA5FBF" w:rsidRDefault="004F39A1" w:rsidP="002E01E3">
            <w:pPr>
              <w:pStyle w:val="MediumGrid21"/>
              <w:rPr>
                <w:rFonts w:ascii="Tahoma" w:hAnsi="Tahoma" w:cs="Tahoma"/>
                <w:sz w:val="32"/>
                <w:szCs w:val="40"/>
              </w:rPr>
            </w:pPr>
            <w:r>
              <w:rPr>
                <w:rFonts w:ascii="Tahoma" w:hAnsi="Tahoma" w:cs="Tahoma"/>
                <w:sz w:val="32"/>
                <w:szCs w:val="40"/>
                <w:lang w:val="en-AU"/>
              </w:rPr>
              <w:t>June</w:t>
            </w:r>
            <w:r w:rsidR="002E01E3">
              <w:rPr>
                <w:rFonts w:ascii="Tahoma" w:hAnsi="Tahoma" w:cs="Tahoma"/>
                <w:sz w:val="32"/>
                <w:szCs w:val="40"/>
                <w:lang w:val="en-AU"/>
              </w:rPr>
              <w:t xml:space="preserve"> 2015</w:t>
            </w:r>
          </w:p>
        </w:tc>
      </w:tr>
    </w:tbl>
    <w:p w:rsidR="002E01E3" w:rsidRPr="00005D10" w:rsidRDefault="002E01E3" w:rsidP="002E01E3">
      <w:pPr>
        <w:rPr>
          <w:szCs w:val="22"/>
        </w:rPr>
      </w:pPr>
    </w:p>
    <w:p w:rsidR="002E01E3" w:rsidRPr="00005D10" w:rsidRDefault="002E01E3" w:rsidP="002E01E3">
      <w:pPr>
        <w:rPr>
          <w:rFonts w:ascii="Cambria" w:eastAsia="Times New Roman" w:hAnsi="Cambria" w:cs="Times New Roman"/>
          <w:b/>
          <w:i/>
          <w:color w:val="365F91"/>
          <w:szCs w:val="22"/>
          <w:lang w:val="en-US" w:eastAsia="en-US"/>
        </w:rPr>
      </w:pPr>
      <w:r w:rsidRPr="00005D10">
        <w:rPr>
          <w:szCs w:val="22"/>
        </w:rPr>
        <w:br w:type="page"/>
      </w:r>
    </w:p>
    <w:p w:rsidR="002E01E3" w:rsidRPr="00A34E9C" w:rsidRDefault="002E01E3" w:rsidP="002E01E3">
      <w:pPr>
        <w:pStyle w:val="TOCHeading1"/>
      </w:pPr>
      <w:r w:rsidRPr="00A34E9C">
        <w:lastRenderedPageBreak/>
        <w:t>Table of Contents</w:t>
      </w:r>
    </w:p>
    <w:p w:rsidR="004341B0" w:rsidRPr="006C6158" w:rsidRDefault="002E01E3">
      <w:pPr>
        <w:pStyle w:val="TOC1"/>
        <w:rPr>
          <w:rFonts w:ascii="Calibri" w:eastAsia="Times New Roman" w:hAnsi="Calibri" w:cs="Times New Roman"/>
          <w:b w:val="0"/>
          <w:szCs w:val="22"/>
          <w:lang w:eastAsia="en-AU"/>
        </w:rPr>
      </w:pPr>
      <w:r w:rsidRPr="004F57F2">
        <w:rPr>
          <w:szCs w:val="22"/>
        </w:rPr>
        <w:fldChar w:fldCharType="begin"/>
      </w:r>
      <w:r w:rsidRPr="008B719A">
        <w:rPr>
          <w:szCs w:val="22"/>
        </w:rPr>
        <w:instrText xml:space="preserve"> TOC \o "1-3" \h \z \u </w:instrText>
      </w:r>
      <w:r w:rsidRPr="004F57F2">
        <w:rPr>
          <w:szCs w:val="22"/>
        </w:rPr>
        <w:fldChar w:fldCharType="separate"/>
      </w:r>
      <w:hyperlink w:anchor="_Toc410649125" w:history="1">
        <w:r w:rsidR="004341B0" w:rsidRPr="009B38C4">
          <w:rPr>
            <w:rStyle w:val="Hyperlink"/>
          </w:rPr>
          <w:t>MSAC and PASC</w:t>
        </w:r>
        <w:r w:rsidR="004341B0">
          <w:rPr>
            <w:webHidden/>
          </w:rPr>
          <w:tab/>
        </w:r>
        <w:r w:rsidR="004341B0">
          <w:rPr>
            <w:webHidden/>
          </w:rPr>
          <w:fldChar w:fldCharType="begin"/>
        </w:r>
        <w:r w:rsidR="004341B0">
          <w:rPr>
            <w:webHidden/>
          </w:rPr>
          <w:instrText xml:space="preserve"> PAGEREF _Toc410649125 \h </w:instrText>
        </w:r>
        <w:r w:rsidR="004341B0">
          <w:rPr>
            <w:webHidden/>
          </w:rPr>
        </w:r>
        <w:r w:rsidR="004341B0">
          <w:rPr>
            <w:webHidden/>
          </w:rPr>
          <w:fldChar w:fldCharType="separate"/>
        </w:r>
        <w:r w:rsidR="004D3DAC">
          <w:rPr>
            <w:webHidden/>
          </w:rPr>
          <w:t>4</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26" w:history="1">
        <w:r w:rsidR="004341B0" w:rsidRPr="009B38C4">
          <w:rPr>
            <w:rStyle w:val="Hyperlink"/>
          </w:rPr>
          <w:t>Purpose of this document</w:t>
        </w:r>
        <w:r w:rsidR="004341B0">
          <w:rPr>
            <w:webHidden/>
          </w:rPr>
          <w:tab/>
        </w:r>
        <w:r w:rsidR="004341B0">
          <w:rPr>
            <w:webHidden/>
          </w:rPr>
          <w:fldChar w:fldCharType="begin"/>
        </w:r>
        <w:r w:rsidR="004341B0">
          <w:rPr>
            <w:webHidden/>
          </w:rPr>
          <w:instrText xml:space="preserve"> PAGEREF _Toc410649126 \h </w:instrText>
        </w:r>
        <w:r w:rsidR="004341B0">
          <w:rPr>
            <w:webHidden/>
          </w:rPr>
        </w:r>
        <w:r w:rsidR="004341B0">
          <w:rPr>
            <w:webHidden/>
          </w:rPr>
          <w:fldChar w:fldCharType="separate"/>
        </w:r>
        <w:r w:rsidR="004D3DAC">
          <w:rPr>
            <w:webHidden/>
          </w:rPr>
          <w:t>4</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27" w:history="1">
        <w:r w:rsidR="004341B0" w:rsidRPr="009B38C4">
          <w:rPr>
            <w:rStyle w:val="Hyperlink"/>
          </w:rPr>
          <w:t>Purpose of application</w:t>
        </w:r>
        <w:r w:rsidR="004341B0">
          <w:rPr>
            <w:webHidden/>
          </w:rPr>
          <w:tab/>
        </w:r>
        <w:r w:rsidR="004341B0">
          <w:rPr>
            <w:webHidden/>
          </w:rPr>
          <w:fldChar w:fldCharType="begin"/>
        </w:r>
        <w:r w:rsidR="004341B0">
          <w:rPr>
            <w:webHidden/>
          </w:rPr>
          <w:instrText xml:space="preserve"> PAGEREF _Toc410649127 \h </w:instrText>
        </w:r>
        <w:r w:rsidR="004341B0">
          <w:rPr>
            <w:webHidden/>
          </w:rPr>
        </w:r>
        <w:r w:rsidR="004341B0">
          <w:rPr>
            <w:webHidden/>
          </w:rPr>
          <w:fldChar w:fldCharType="separate"/>
        </w:r>
        <w:r w:rsidR="004D3DAC">
          <w:rPr>
            <w:webHidden/>
          </w:rPr>
          <w:t>5</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28" w:history="1">
        <w:r w:rsidR="004341B0" w:rsidRPr="009B38C4">
          <w:rPr>
            <w:rStyle w:val="Hyperlink"/>
          </w:rPr>
          <w:t>Background</w:t>
        </w:r>
        <w:r w:rsidR="004341B0">
          <w:rPr>
            <w:webHidden/>
          </w:rPr>
          <w:tab/>
        </w:r>
        <w:r w:rsidR="004341B0">
          <w:rPr>
            <w:webHidden/>
          </w:rPr>
          <w:fldChar w:fldCharType="begin"/>
        </w:r>
        <w:r w:rsidR="004341B0">
          <w:rPr>
            <w:webHidden/>
          </w:rPr>
          <w:instrText xml:space="preserve"> PAGEREF _Toc410649128 \h </w:instrText>
        </w:r>
        <w:r w:rsidR="004341B0">
          <w:rPr>
            <w:webHidden/>
          </w:rPr>
        </w:r>
        <w:r w:rsidR="004341B0">
          <w:rPr>
            <w:webHidden/>
          </w:rPr>
          <w:fldChar w:fldCharType="separate"/>
        </w:r>
        <w:r w:rsidR="004D3DAC">
          <w:rPr>
            <w:webHidden/>
          </w:rPr>
          <w:t>5</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29" w:history="1">
        <w:r w:rsidR="004341B0" w:rsidRPr="009B38C4">
          <w:rPr>
            <w:rStyle w:val="Hyperlink"/>
          </w:rPr>
          <w:t>Current arrangements for public reimbursement</w:t>
        </w:r>
        <w:r w:rsidR="004341B0">
          <w:rPr>
            <w:webHidden/>
          </w:rPr>
          <w:tab/>
        </w:r>
        <w:r w:rsidR="004341B0">
          <w:rPr>
            <w:webHidden/>
          </w:rPr>
          <w:fldChar w:fldCharType="begin"/>
        </w:r>
        <w:r w:rsidR="004341B0">
          <w:rPr>
            <w:webHidden/>
          </w:rPr>
          <w:instrText xml:space="preserve"> PAGEREF _Toc410649129 \h </w:instrText>
        </w:r>
        <w:r w:rsidR="004341B0">
          <w:rPr>
            <w:webHidden/>
          </w:rPr>
        </w:r>
        <w:r w:rsidR="004341B0">
          <w:rPr>
            <w:webHidden/>
          </w:rPr>
          <w:fldChar w:fldCharType="separate"/>
        </w:r>
        <w:r w:rsidR="004D3DAC">
          <w:rPr>
            <w:webHidden/>
          </w:rPr>
          <w:t>5</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30" w:history="1">
        <w:r w:rsidR="004341B0" w:rsidRPr="009B38C4">
          <w:rPr>
            <w:rStyle w:val="Hyperlink"/>
          </w:rPr>
          <w:t>Regulatory status</w:t>
        </w:r>
        <w:r w:rsidR="004341B0">
          <w:rPr>
            <w:webHidden/>
          </w:rPr>
          <w:tab/>
        </w:r>
        <w:r w:rsidR="004341B0">
          <w:rPr>
            <w:webHidden/>
          </w:rPr>
          <w:fldChar w:fldCharType="begin"/>
        </w:r>
        <w:r w:rsidR="004341B0">
          <w:rPr>
            <w:webHidden/>
          </w:rPr>
          <w:instrText xml:space="preserve"> PAGEREF _Toc410649130 \h </w:instrText>
        </w:r>
        <w:r w:rsidR="004341B0">
          <w:rPr>
            <w:webHidden/>
          </w:rPr>
        </w:r>
        <w:r w:rsidR="004341B0">
          <w:rPr>
            <w:webHidden/>
          </w:rPr>
          <w:fldChar w:fldCharType="separate"/>
        </w:r>
        <w:r w:rsidR="004D3DAC">
          <w:rPr>
            <w:webHidden/>
          </w:rPr>
          <w:t>6</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31" w:history="1">
        <w:r w:rsidR="004341B0" w:rsidRPr="009B38C4">
          <w:rPr>
            <w:rStyle w:val="Hyperlink"/>
          </w:rPr>
          <w:t>Intervention</w:t>
        </w:r>
        <w:r w:rsidR="004341B0">
          <w:rPr>
            <w:webHidden/>
          </w:rPr>
          <w:tab/>
        </w:r>
        <w:r w:rsidR="004341B0">
          <w:rPr>
            <w:webHidden/>
          </w:rPr>
          <w:fldChar w:fldCharType="begin"/>
        </w:r>
        <w:r w:rsidR="004341B0">
          <w:rPr>
            <w:webHidden/>
          </w:rPr>
          <w:instrText xml:space="preserve"> PAGEREF _Toc410649131 \h </w:instrText>
        </w:r>
        <w:r w:rsidR="004341B0">
          <w:rPr>
            <w:webHidden/>
          </w:rPr>
        </w:r>
        <w:r w:rsidR="004341B0">
          <w:rPr>
            <w:webHidden/>
          </w:rPr>
          <w:fldChar w:fldCharType="separate"/>
        </w:r>
        <w:r w:rsidR="004D3DAC">
          <w:rPr>
            <w:webHidden/>
          </w:rPr>
          <w:t>6</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32" w:history="1">
        <w:r w:rsidR="004341B0" w:rsidRPr="009B38C4">
          <w:rPr>
            <w:rStyle w:val="Hyperlink"/>
          </w:rPr>
          <w:t>Description</w:t>
        </w:r>
        <w:r w:rsidR="004341B0">
          <w:rPr>
            <w:webHidden/>
          </w:rPr>
          <w:tab/>
        </w:r>
        <w:r w:rsidR="004341B0">
          <w:rPr>
            <w:webHidden/>
          </w:rPr>
          <w:fldChar w:fldCharType="begin"/>
        </w:r>
        <w:r w:rsidR="004341B0">
          <w:rPr>
            <w:webHidden/>
          </w:rPr>
          <w:instrText xml:space="preserve"> PAGEREF _Toc410649132 \h </w:instrText>
        </w:r>
        <w:r w:rsidR="004341B0">
          <w:rPr>
            <w:webHidden/>
          </w:rPr>
        </w:r>
        <w:r w:rsidR="004341B0">
          <w:rPr>
            <w:webHidden/>
          </w:rPr>
          <w:fldChar w:fldCharType="separate"/>
        </w:r>
        <w:r w:rsidR="004D3DAC">
          <w:rPr>
            <w:webHidden/>
          </w:rPr>
          <w:t>6</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33" w:history="1">
        <w:r w:rsidR="004341B0" w:rsidRPr="009B38C4">
          <w:rPr>
            <w:rStyle w:val="Hyperlink"/>
          </w:rPr>
          <w:t>Type 2 diabetes mellitus (T2DM) and pre-diabetes</w:t>
        </w:r>
        <w:r w:rsidR="004341B0">
          <w:rPr>
            <w:webHidden/>
          </w:rPr>
          <w:tab/>
        </w:r>
        <w:r w:rsidR="004341B0">
          <w:rPr>
            <w:webHidden/>
          </w:rPr>
          <w:fldChar w:fldCharType="begin"/>
        </w:r>
        <w:r w:rsidR="004341B0">
          <w:rPr>
            <w:webHidden/>
          </w:rPr>
          <w:instrText xml:space="preserve"> PAGEREF _Toc410649133 \h </w:instrText>
        </w:r>
        <w:r w:rsidR="004341B0">
          <w:rPr>
            <w:webHidden/>
          </w:rPr>
        </w:r>
        <w:r w:rsidR="004341B0">
          <w:rPr>
            <w:webHidden/>
          </w:rPr>
          <w:fldChar w:fldCharType="separate"/>
        </w:r>
        <w:r w:rsidR="004D3DAC">
          <w:rPr>
            <w:webHidden/>
          </w:rPr>
          <w:t>9</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34" w:history="1">
        <w:r w:rsidR="004341B0" w:rsidRPr="009B38C4">
          <w:rPr>
            <w:rStyle w:val="Hyperlink"/>
          </w:rPr>
          <w:t>Burden of T2DM</w:t>
        </w:r>
        <w:r w:rsidR="004341B0">
          <w:rPr>
            <w:webHidden/>
          </w:rPr>
          <w:tab/>
        </w:r>
        <w:r w:rsidR="004341B0">
          <w:rPr>
            <w:webHidden/>
          </w:rPr>
          <w:fldChar w:fldCharType="begin"/>
        </w:r>
        <w:r w:rsidR="004341B0">
          <w:rPr>
            <w:webHidden/>
          </w:rPr>
          <w:instrText xml:space="preserve"> PAGEREF _Toc410649134 \h </w:instrText>
        </w:r>
        <w:r w:rsidR="004341B0">
          <w:rPr>
            <w:webHidden/>
          </w:rPr>
        </w:r>
        <w:r w:rsidR="004341B0">
          <w:rPr>
            <w:webHidden/>
          </w:rPr>
          <w:fldChar w:fldCharType="separate"/>
        </w:r>
        <w:r w:rsidR="004D3DAC">
          <w:rPr>
            <w:webHidden/>
          </w:rPr>
          <w:t>9</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35" w:history="1">
        <w:r w:rsidR="004341B0" w:rsidRPr="009B38C4">
          <w:rPr>
            <w:rStyle w:val="Hyperlink"/>
          </w:rPr>
          <w:t>Impact of T2DM on health</w:t>
        </w:r>
        <w:r w:rsidR="004341B0">
          <w:rPr>
            <w:webHidden/>
          </w:rPr>
          <w:tab/>
        </w:r>
        <w:r w:rsidR="004341B0">
          <w:rPr>
            <w:webHidden/>
          </w:rPr>
          <w:fldChar w:fldCharType="begin"/>
        </w:r>
        <w:r w:rsidR="004341B0">
          <w:rPr>
            <w:webHidden/>
          </w:rPr>
          <w:instrText xml:space="preserve"> PAGEREF _Toc410649135 \h </w:instrText>
        </w:r>
        <w:r w:rsidR="004341B0">
          <w:rPr>
            <w:webHidden/>
          </w:rPr>
        </w:r>
        <w:r w:rsidR="004341B0">
          <w:rPr>
            <w:webHidden/>
          </w:rPr>
          <w:fldChar w:fldCharType="separate"/>
        </w:r>
        <w:r w:rsidR="004D3DAC">
          <w:rPr>
            <w:webHidden/>
          </w:rPr>
          <w:t>10</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36" w:history="1">
        <w:r w:rsidR="004341B0" w:rsidRPr="009B38C4">
          <w:rPr>
            <w:rStyle w:val="Hyperlink"/>
          </w:rPr>
          <w:t>High-risk groups for T2DM</w:t>
        </w:r>
        <w:r w:rsidR="004341B0">
          <w:rPr>
            <w:webHidden/>
          </w:rPr>
          <w:tab/>
        </w:r>
        <w:r w:rsidR="004341B0">
          <w:rPr>
            <w:webHidden/>
          </w:rPr>
          <w:fldChar w:fldCharType="begin"/>
        </w:r>
        <w:r w:rsidR="004341B0">
          <w:rPr>
            <w:webHidden/>
          </w:rPr>
          <w:instrText xml:space="preserve"> PAGEREF _Toc410649136 \h </w:instrText>
        </w:r>
        <w:r w:rsidR="004341B0">
          <w:rPr>
            <w:webHidden/>
          </w:rPr>
        </w:r>
        <w:r w:rsidR="004341B0">
          <w:rPr>
            <w:webHidden/>
          </w:rPr>
          <w:fldChar w:fldCharType="separate"/>
        </w:r>
        <w:r w:rsidR="004D3DAC">
          <w:rPr>
            <w:webHidden/>
          </w:rPr>
          <w:t>11</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37" w:history="1">
        <w:r w:rsidR="004341B0" w:rsidRPr="009B38C4">
          <w:rPr>
            <w:rStyle w:val="Hyperlink"/>
          </w:rPr>
          <w:t>Use of shared medical appointments</w:t>
        </w:r>
        <w:r w:rsidR="004341B0">
          <w:rPr>
            <w:webHidden/>
          </w:rPr>
          <w:tab/>
        </w:r>
        <w:r w:rsidR="004341B0">
          <w:rPr>
            <w:webHidden/>
          </w:rPr>
          <w:fldChar w:fldCharType="begin"/>
        </w:r>
        <w:r w:rsidR="004341B0">
          <w:rPr>
            <w:webHidden/>
          </w:rPr>
          <w:instrText xml:space="preserve"> PAGEREF _Toc410649137 \h </w:instrText>
        </w:r>
        <w:r w:rsidR="004341B0">
          <w:rPr>
            <w:webHidden/>
          </w:rPr>
        </w:r>
        <w:r w:rsidR="004341B0">
          <w:rPr>
            <w:webHidden/>
          </w:rPr>
          <w:fldChar w:fldCharType="separate"/>
        </w:r>
        <w:r w:rsidR="004D3DAC">
          <w:rPr>
            <w:webHidden/>
          </w:rPr>
          <w:t>12</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38" w:history="1">
        <w:r w:rsidR="004341B0" w:rsidRPr="009B38C4">
          <w:rPr>
            <w:rStyle w:val="Hyperlink"/>
          </w:rPr>
          <w:t>Delivery of the intervention</w:t>
        </w:r>
        <w:r w:rsidR="004341B0">
          <w:rPr>
            <w:webHidden/>
          </w:rPr>
          <w:tab/>
        </w:r>
        <w:r w:rsidR="004341B0">
          <w:rPr>
            <w:webHidden/>
          </w:rPr>
          <w:fldChar w:fldCharType="begin"/>
        </w:r>
        <w:r w:rsidR="004341B0">
          <w:rPr>
            <w:webHidden/>
          </w:rPr>
          <w:instrText xml:space="preserve"> PAGEREF _Toc410649138 \h </w:instrText>
        </w:r>
        <w:r w:rsidR="004341B0">
          <w:rPr>
            <w:webHidden/>
          </w:rPr>
        </w:r>
        <w:r w:rsidR="004341B0">
          <w:rPr>
            <w:webHidden/>
          </w:rPr>
          <w:fldChar w:fldCharType="separate"/>
        </w:r>
        <w:r w:rsidR="004D3DAC">
          <w:rPr>
            <w:webHidden/>
          </w:rPr>
          <w:t>12</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39" w:history="1">
        <w:r w:rsidR="004341B0" w:rsidRPr="009B38C4">
          <w:rPr>
            <w:rStyle w:val="Hyperlink"/>
          </w:rPr>
          <w:t>Co-administered and associated interventions</w:t>
        </w:r>
        <w:r w:rsidR="004341B0">
          <w:rPr>
            <w:webHidden/>
          </w:rPr>
          <w:tab/>
        </w:r>
        <w:r w:rsidR="004341B0">
          <w:rPr>
            <w:webHidden/>
          </w:rPr>
          <w:fldChar w:fldCharType="begin"/>
        </w:r>
        <w:r w:rsidR="004341B0">
          <w:rPr>
            <w:webHidden/>
          </w:rPr>
          <w:instrText xml:space="preserve"> PAGEREF _Toc410649139 \h </w:instrText>
        </w:r>
        <w:r w:rsidR="004341B0">
          <w:rPr>
            <w:webHidden/>
          </w:rPr>
        </w:r>
        <w:r w:rsidR="004341B0">
          <w:rPr>
            <w:webHidden/>
          </w:rPr>
          <w:fldChar w:fldCharType="separate"/>
        </w:r>
        <w:r w:rsidR="004D3DAC">
          <w:rPr>
            <w:webHidden/>
          </w:rPr>
          <w:t>13</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40" w:history="1">
        <w:r w:rsidR="004341B0" w:rsidRPr="009B38C4">
          <w:rPr>
            <w:rStyle w:val="Hyperlink"/>
          </w:rPr>
          <w:t>Listing proposed and options for MSAC consideration</w:t>
        </w:r>
        <w:r w:rsidR="004341B0">
          <w:rPr>
            <w:webHidden/>
          </w:rPr>
          <w:tab/>
        </w:r>
        <w:r w:rsidR="004341B0">
          <w:rPr>
            <w:webHidden/>
          </w:rPr>
          <w:fldChar w:fldCharType="begin"/>
        </w:r>
        <w:r w:rsidR="004341B0">
          <w:rPr>
            <w:webHidden/>
          </w:rPr>
          <w:instrText xml:space="preserve"> PAGEREF _Toc410649140 \h </w:instrText>
        </w:r>
        <w:r w:rsidR="004341B0">
          <w:rPr>
            <w:webHidden/>
          </w:rPr>
        </w:r>
        <w:r w:rsidR="004341B0">
          <w:rPr>
            <w:webHidden/>
          </w:rPr>
          <w:fldChar w:fldCharType="separate"/>
        </w:r>
        <w:r w:rsidR="004D3DAC">
          <w:rPr>
            <w:webHidden/>
          </w:rPr>
          <w:t>14</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41" w:history="1">
        <w:r w:rsidR="004341B0" w:rsidRPr="009B38C4">
          <w:rPr>
            <w:rStyle w:val="Hyperlink"/>
          </w:rPr>
          <w:t>Proposed MBS listing</w:t>
        </w:r>
        <w:r w:rsidR="004341B0">
          <w:rPr>
            <w:webHidden/>
          </w:rPr>
          <w:tab/>
        </w:r>
        <w:r w:rsidR="004341B0">
          <w:rPr>
            <w:webHidden/>
          </w:rPr>
          <w:fldChar w:fldCharType="begin"/>
        </w:r>
        <w:r w:rsidR="004341B0">
          <w:rPr>
            <w:webHidden/>
          </w:rPr>
          <w:instrText xml:space="preserve"> PAGEREF _Toc410649141 \h </w:instrText>
        </w:r>
        <w:r w:rsidR="004341B0">
          <w:rPr>
            <w:webHidden/>
          </w:rPr>
        </w:r>
        <w:r w:rsidR="004341B0">
          <w:rPr>
            <w:webHidden/>
          </w:rPr>
          <w:fldChar w:fldCharType="separate"/>
        </w:r>
        <w:r w:rsidR="004D3DAC">
          <w:rPr>
            <w:webHidden/>
          </w:rPr>
          <w:t>14</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42" w:history="1">
        <w:r w:rsidR="004341B0" w:rsidRPr="009B38C4">
          <w:rPr>
            <w:rStyle w:val="Hyperlink"/>
          </w:rPr>
          <w:t>Clinical place for proposed intervention</w:t>
        </w:r>
        <w:r w:rsidR="004341B0">
          <w:rPr>
            <w:webHidden/>
          </w:rPr>
          <w:tab/>
        </w:r>
        <w:r w:rsidR="004341B0">
          <w:rPr>
            <w:webHidden/>
          </w:rPr>
          <w:fldChar w:fldCharType="begin"/>
        </w:r>
        <w:r w:rsidR="004341B0">
          <w:rPr>
            <w:webHidden/>
          </w:rPr>
          <w:instrText xml:space="preserve"> PAGEREF _Toc410649142 \h </w:instrText>
        </w:r>
        <w:r w:rsidR="004341B0">
          <w:rPr>
            <w:webHidden/>
          </w:rPr>
        </w:r>
        <w:r w:rsidR="004341B0">
          <w:rPr>
            <w:webHidden/>
          </w:rPr>
          <w:fldChar w:fldCharType="separate"/>
        </w:r>
        <w:r w:rsidR="004D3DAC">
          <w:rPr>
            <w:webHidden/>
          </w:rPr>
          <w:t>15</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43" w:history="1">
        <w:r w:rsidR="004341B0" w:rsidRPr="009B38C4">
          <w:rPr>
            <w:rStyle w:val="Hyperlink"/>
          </w:rPr>
          <w:t>Comparators</w:t>
        </w:r>
        <w:r w:rsidR="004341B0">
          <w:rPr>
            <w:webHidden/>
          </w:rPr>
          <w:tab/>
        </w:r>
        <w:r w:rsidR="004341B0">
          <w:rPr>
            <w:webHidden/>
          </w:rPr>
          <w:fldChar w:fldCharType="begin"/>
        </w:r>
        <w:r w:rsidR="004341B0">
          <w:rPr>
            <w:webHidden/>
          </w:rPr>
          <w:instrText xml:space="preserve"> PAGEREF _Toc410649143 \h </w:instrText>
        </w:r>
        <w:r w:rsidR="004341B0">
          <w:rPr>
            <w:webHidden/>
          </w:rPr>
        </w:r>
        <w:r w:rsidR="004341B0">
          <w:rPr>
            <w:webHidden/>
          </w:rPr>
          <w:fldChar w:fldCharType="separate"/>
        </w:r>
        <w:r w:rsidR="004D3DAC">
          <w:rPr>
            <w:webHidden/>
          </w:rPr>
          <w:t>18</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44" w:history="1">
        <w:r w:rsidR="004341B0" w:rsidRPr="009B38C4">
          <w:rPr>
            <w:rStyle w:val="Hyperlink"/>
          </w:rPr>
          <w:t>Interventions vs the comparators</w:t>
        </w:r>
        <w:r w:rsidR="004341B0">
          <w:rPr>
            <w:webHidden/>
          </w:rPr>
          <w:tab/>
        </w:r>
        <w:r w:rsidR="004341B0">
          <w:rPr>
            <w:webHidden/>
          </w:rPr>
          <w:fldChar w:fldCharType="begin"/>
        </w:r>
        <w:r w:rsidR="004341B0">
          <w:rPr>
            <w:webHidden/>
          </w:rPr>
          <w:instrText xml:space="preserve"> PAGEREF _Toc410649144 \h </w:instrText>
        </w:r>
        <w:r w:rsidR="004341B0">
          <w:rPr>
            <w:webHidden/>
          </w:rPr>
        </w:r>
        <w:r w:rsidR="004341B0">
          <w:rPr>
            <w:webHidden/>
          </w:rPr>
          <w:fldChar w:fldCharType="separate"/>
        </w:r>
        <w:r w:rsidR="004D3DAC">
          <w:rPr>
            <w:webHidden/>
          </w:rPr>
          <w:t>22</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45" w:history="1">
        <w:r w:rsidR="004341B0" w:rsidRPr="009B38C4">
          <w:rPr>
            <w:rStyle w:val="Hyperlink"/>
          </w:rPr>
          <w:t>Outcomes for safety and effectiveness evaluation</w:t>
        </w:r>
        <w:r w:rsidR="004341B0">
          <w:rPr>
            <w:webHidden/>
          </w:rPr>
          <w:tab/>
        </w:r>
        <w:r w:rsidR="004341B0">
          <w:rPr>
            <w:webHidden/>
          </w:rPr>
          <w:fldChar w:fldCharType="begin"/>
        </w:r>
        <w:r w:rsidR="004341B0">
          <w:rPr>
            <w:webHidden/>
          </w:rPr>
          <w:instrText xml:space="preserve"> PAGEREF _Toc410649145 \h </w:instrText>
        </w:r>
        <w:r w:rsidR="004341B0">
          <w:rPr>
            <w:webHidden/>
          </w:rPr>
        </w:r>
        <w:r w:rsidR="004341B0">
          <w:rPr>
            <w:webHidden/>
          </w:rPr>
          <w:fldChar w:fldCharType="separate"/>
        </w:r>
        <w:r w:rsidR="004D3DAC">
          <w:rPr>
            <w:webHidden/>
          </w:rPr>
          <w:t>23</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46" w:history="1">
        <w:r w:rsidR="004341B0" w:rsidRPr="009B38C4">
          <w:rPr>
            <w:rStyle w:val="Hyperlink"/>
          </w:rPr>
          <w:t>Clinical outcomes</w:t>
        </w:r>
        <w:r w:rsidR="004341B0">
          <w:rPr>
            <w:webHidden/>
          </w:rPr>
          <w:tab/>
        </w:r>
        <w:r w:rsidR="004341B0">
          <w:rPr>
            <w:webHidden/>
          </w:rPr>
          <w:fldChar w:fldCharType="begin"/>
        </w:r>
        <w:r w:rsidR="004341B0">
          <w:rPr>
            <w:webHidden/>
          </w:rPr>
          <w:instrText xml:space="preserve"> PAGEREF _Toc410649146 \h </w:instrText>
        </w:r>
        <w:r w:rsidR="004341B0">
          <w:rPr>
            <w:webHidden/>
          </w:rPr>
        </w:r>
        <w:r w:rsidR="004341B0">
          <w:rPr>
            <w:webHidden/>
          </w:rPr>
          <w:fldChar w:fldCharType="separate"/>
        </w:r>
        <w:r w:rsidR="004D3DAC">
          <w:rPr>
            <w:webHidden/>
          </w:rPr>
          <w:t>23</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47" w:history="1">
        <w:r w:rsidR="004341B0" w:rsidRPr="009B38C4">
          <w:rPr>
            <w:rStyle w:val="Hyperlink"/>
          </w:rPr>
          <w:t>Surrogate outcomes</w:t>
        </w:r>
        <w:r w:rsidR="004341B0">
          <w:rPr>
            <w:webHidden/>
          </w:rPr>
          <w:tab/>
        </w:r>
        <w:r w:rsidR="004341B0">
          <w:rPr>
            <w:webHidden/>
          </w:rPr>
          <w:fldChar w:fldCharType="begin"/>
        </w:r>
        <w:r w:rsidR="004341B0">
          <w:rPr>
            <w:webHidden/>
          </w:rPr>
          <w:instrText xml:space="preserve"> PAGEREF _Toc410649147 \h </w:instrText>
        </w:r>
        <w:r w:rsidR="004341B0">
          <w:rPr>
            <w:webHidden/>
          </w:rPr>
        </w:r>
        <w:r w:rsidR="004341B0">
          <w:rPr>
            <w:webHidden/>
          </w:rPr>
          <w:fldChar w:fldCharType="separate"/>
        </w:r>
        <w:r w:rsidR="004D3DAC">
          <w:rPr>
            <w:webHidden/>
          </w:rPr>
          <w:t>24</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48" w:history="1">
        <w:r w:rsidR="004341B0" w:rsidRPr="009B38C4">
          <w:rPr>
            <w:rStyle w:val="Hyperlink"/>
          </w:rPr>
          <w:t>Patient-relevant outcomes</w:t>
        </w:r>
        <w:r w:rsidR="004341B0">
          <w:rPr>
            <w:webHidden/>
          </w:rPr>
          <w:tab/>
        </w:r>
        <w:r w:rsidR="004341B0">
          <w:rPr>
            <w:webHidden/>
          </w:rPr>
          <w:fldChar w:fldCharType="begin"/>
        </w:r>
        <w:r w:rsidR="004341B0">
          <w:rPr>
            <w:webHidden/>
          </w:rPr>
          <w:instrText xml:space="preserve"> PAGEREF _Toc410649148 \h </w:instrText>
        </w:r>
        <w:r w:rsidR="004341B0">
          <w:rPr>
            <w:webHidden/>
          </w:rPr>
        </w:r>
        <w:r w:rsidR="004341B0">
          <w:rPr>
            <w:webHidden/>
          </w:rPr>
          <w:fldChar w:fldCharType="separate"/>
        </w:r>
        <w:r w:rsidR="004D3DAC">
          <w:rPr>
            <w:webHidden/>
          </w:rPr>
          <w:t>25</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49" w:history="1">
        <w:r w:rsidR="004341B0" w:rsidRPr="009B38C4">
          <w:rPr>
            <w:rStyle w:val="Hyperlink"/>
          </w:rPr>
          <w:t>Evidence for the effectiveness of shared medical appointments</w:t>
        </w:r>
        <w:r w:rsidR="004341B0">
          <w:rPr>
            <w:webHidden/>
          </w:rPr>
          <w:tab/>
        </w:r>
        <w:r w:rsidR="004341B0">
          <w:rPr>
            <w:webHidden/>
          </w:rPr>
          <w:fldChar w:fldCharType="begin"/>
        </w:r>
        <w:r w:rsidR="004341B0">
          <w:rPr>
            <w:webHidden/>
          </w:rPr>
          <w:instrText xml:space="preserve"> PAGEREF _Toc410649149 \h </w:instrText>
        </w:r>
        <w:r w:rsidR="004341B0">
          <w:rPr>
            <w:webHidden/>
          </w:rPr>
        </w:r>
        <w:r w:rsidR="004341B0">
          <w:rPr>
            <w:webHidden/>
          </w:rPr>
          <w:fldChar w:fldCharType="separate"/>
        </w:r>
        <w:r w:rsidR="004D3DAC">
          <w:rPr>
            <w:webHidden/>
          </w:rPr>
          <w:t>25</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50" w:history="1">
        <w:r w:rsidR="004341B0" w:rsidRPr="009B38C4">
          <w:rPr>
            <w:rStyle w:val="Hyperlink"/>
          </w:rPr>
          <w:t>Safety</w:t>
        </w:r>
        <w:r w:rsidR="004341B0">
          <w:rPr>
            <w:rStyle w:val="Hyperlink"/>
          </w:rPr>
          <w:t>…………..</w:t>
        </w:r>
        <w:r w:rsidR="004341B0">
          <w:rPr>
            <w:webHidden/>
          </w:rPr>
          <w:tab/>
        </w:r>
        <w:r w:rsidR="004341B0">
          <w:rPr>
            <w:webHidden/>
          </w:rPr>
          <w:fldChar w:fldCharType="begin"/>
        </w:r>
        <w:r w:rsidR="004341B0">
          <w:rPr>
            <w:webHidden/>
          </w:rPr>
          <w:instrText xml:space="preserve"> PAGEREF _Toc410649150 \h </w:instrText>
        </w:r>
        <w:r w:rsidR="004341B0">
          <w:rPr>
            <w:webHidden/>
          </w:rPr>
        </w:r>
        <w:r w:rsidR="004341B0">
          <w:rPr>
            <w:webHidden/>
          </w:rPr>
          <w:fldChar w:fldCharType="separate"/>
        </w:r>
        <w:r w:rsidR="004D3DAC">
          <w:rPr>
            <w:webHidden/>
          </w:rPr>
          <w:t>27</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51" w:history="1">
        <w:r w:rsidR="004341B0" w:rsidRPr="009B38C4">
          <w:rPr>
            <w:rStyle w:val="Hyperlink"/>
          </w:rPr>
          <w:t>Summary of PICO to be used for assessment of evidence (systematic review)</w:t>
        </w:r>
        <w:r w:rsidR="004341B0">
          <w:rPr>
            <w:webHidden/>
          </w:rPr>
          <w:tab/>
        </w:r>
        <w:r w:rsidR="004341B0">
          <w:rPr>
            <w:webHidden/>
          </w:rPr>
          <w:fldChar w:fldCharType="begin"/>
        </w:r>
        <w:r w:rsidR="004341B0">
          <w:rPr>
            <w:webHidden/>
          </w:rPr>
          <w:instrText xml:space="preserve"> PAGEREF _Toc410649151 \h </w:instrText>
        </w:r>
        <w:r w:rsidR="004341B0">
          <w:rPr>
            <w:webHidden/>
          </w:rPr>
        </w:r>
        <w:r w:rsidR="004341B0">
          <w:rPr>
            <w:webHidden/>
          </w:rPr>
          <w:fldChar w:fldCharType="separate"/>
        </w:r>
        <w:r w:rsidR="004D3DAC">
          <w:rPr>
            <w:webHidden/>
          </w:rPr>
          <w:t>28</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52" w:history="1">
        <w:r w:rsidR="004341B0" w:rsidRPr="009B38C4">
          <w:rPr>
            <w:rStyle w:val="Hyperlink"/>
          </w:rPr>
          <w:t>Clinical Claim</w:t>
        </w:r>
        <w:r w:rsidR="004341B0">
          <w:rPr>
            <w:webHidden/>
          </w:rPr>
          <w:tab/>
        </w:r>
        <w:r w:rsidR="004341B0">
          <w:rPr>
            <w:webHidden/>
          </w:rPr>
          <w:fldChar w:fldCharType="begin"/>
        </w:r>
        <w:r w:rsidR="004341B0">
          <w:rPr>
            <w:webHidden/>
          </w:rPr>
          <w:instrText xml:space="preserve"> PAGEREF _Toc410649152 \h </w:instrText>
        </w:r>
        <w:r w:rsidR="004341B0">
          <w:rPr>
            <w:webHidden/>
          </w:rPr>
        </w:r>
        <w:r w:rsidR="004341B0">
          <w:rPr>
            <w:webHidden/>
          </w:rPr>
          <w:fldChar w:fldCharType="separate"/>
        </w:r>
        <w:r w:rsidR="004D3DAC">
          <w:rPr>
            <w:webHidden/>
          </w:rPr>
          <w:t>29</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53" w:history="1">
        <w:r w:rsidR="004341B0" w:rsidRPr="009B38C4">
          <w:rPr>
            <w:rStyle w:val="Hyperlink"/>
          </w:rPr>
          <w:t>Outcomes and health care resources affected by introduction of proposed intervention</w:t>
        </w:r>
        <w:r w:rsidR="004341B0">
          <w:rPr>
            <w:webHidden/>
          </w:rPr>
          <w:tab/>
        </w:r>
        <w:r w:rsidR="004341B0">
          <w:rPr>
            <w:webHidden/>
          </w:rPr>
          <w:fldChar w:fldCharType="begin"/>
        </w:r>
        <w:r w:rsidR="004341B0">
          <w:rPr>
            <w:webHidden/>
          </w:rPr>
          <w:instrText xml:space="preserve"> PAGEREF _Toc410649153 \h </w:instrText>
        </w:r>
        <w:r w:rsidR="004341B0">
          <w:rPr>
            <w:webHidden/>
          </w:rPr>
        </w:r>
        <w:r w:rsidR="004341B0">
          <w:rPr>
            <w:webHidden/>
          </w:rPr>
          <w:fldChar w:fldCharType="separate"/>
        </w:r>
        <w:r w:rsidR="004D3DAC">
          <w:rPr>
            <w:webHidden/>
          </w:rPr>
          <w:t>29</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54" w:history="1">
        <w:r w:rsidR="004341B0" w:rsidRPr="009B38C4">
          <w:rPr>
            <w:rStyle w:val="Hyperlink"/>
          </w:rPr>
          <w:t>Outcomes for economic evaluation</w:t>
        </w:r>
        <w:r w:rsidR="004341B0">
          <w:rPr>
            <w:webHidden/>
          </w:rPr>
          <w:tab/>
        </w:r>
        <w:r w:rsidR="004341B0">
          <w:rPr>
            <w:webHidden/>
          </w:rPr>
          <w:fldChar w:fldCharType="begin"/>
        </w:r>
        <w:r w:rsidR="004341B0">
          <w:rPr>
            <w:webHidden/>
          </w:rPr>
          <w:instrText xml:space="preserve"> PAGEREF _Toc410649154 \h </w:instrText>
        </w:r>
        <w:r w:rsidR="004341B0">
          <w:rPr>
            <w:webHidden/>
          </w:rPr>
        </w:r>
        <w:r w:rsidR="004341B0">
          <w:rPr>
            <w:webHidden/>
          </w:rPr>
          <w:fldChar w:fldCharType="separate"/>
        </w:r>
        <w:r w:rsidR="004D3DAC">
          <w:rPr>
            <w:webHidden/>
          </w:rPr>
          <w:t>29</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55" w:history="1">
        <w:r w:rsidR="004341B0" w:rsidRPr="009B38C4">
          <w:rPr>
            <w:rStyle w:val="Hyperlink"/>
          </w:rPr>
          <w:t>Health care resources</w:t>
        </w:r>
        <w:r w:rsidR="004341B0">
          <w:rPr>
            <w:webHidden/>
          </w:rPr>
          <w:tab/>
        </w:r>
        <w:r w:rsidR="004341B0">
          <w:rPr>
            <w:webHidden/>
          </w:rPr>
          <w:fldChar w:fldCharType="begin"/>
        </w:r>
        <w:r w:rsidR="004341B0">
          <w:rPr>
            <w:webHidden/>
          </w:rPr>
          <w:instrText xml:space="preserve"> PAGEREF _Toc410649155 \h </w:instrText>
        </w:r>
        <w:r w:rsidR="004341B0">
          <w:rPr>
            <w:webHidden/>
          </w:rPr>
        </w:r>
        <w:r w:rsidR="004341B0">
          <w:rPr>
            <w:webHidden/>
          </w:rPr>
          <w:fldChar w:fldCharType="separate"/>
        </w:r>
        <w:r w:rsidR="004D3DAC">
          <w:rPr>
            <w:webHidden/>
          </w:rPr>
          <w:t>30</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56" w:history="1">
        <w:r w:rsidR="004341B0" w:rsidRPr="009B38C4">
          <w:rPr>
            <w:rStyle w:val="Hyperlink"/>
          </w:rPr>
          <w:t>Proposed structure of economic evaluation (decision-analytic)</w:t>
        </w:r>
        <w:r w:rsidR="004341B0">
          <w:rPr>
            <w:webHidden/>
          </w:rPr>
          <w:tab/>
        </w:r>
        <w:r w:rsidR="004341B0">
          <w:rPr>
            <w:webHidden/>
          </w:rPr>
          <w:fldChar w:fldCharType="begin"/>
        </w:r>
        <w:r w:rsidR="004341B0">
          <w:rPr>
            <w:webHidden/>
          </w:rPr>
          <w:instrText xml:space="preserve"> PAGEREF _Toc410649156 \h </w:instrText>
        </w:r>
        <w:r w:rsidR="004341B0">
          <w:rPr>
            <w:webHidden/>
          </w:rPr>
        </w:r>
        <w:r w:rsidR="004341B0">
          <w:rPr>
            <w:webHidden/>
          </w:rPr>
          <w:fldChar w:fldCharType="separate"/>
        </w:r>
        <w:r w:rsidR="004D3DAC">
          <w:rPr>
            <w:webHidden/>
          </w:rPr>
          <w:t>32</w:t>
        </w:r>
        <w:r w:rsidR="004341B0">
          <w:rPr>
            <w:webHidden/>
          </w:rPr>
          <w:fldChar w:fldCharType="end"/>
        </w:r>
      </w:hyperlink>
    </w:p>
    <w:p w:rsidR="004341B0" w:rsidRPr="006C6158" w:rsidRDefault="00191916">
      <w:pPr>
        <w:pStyle w:val="TOC2"/>
        <w:rPr>
          <w:rFonts w:ascii="Calibri" w:eastAsia="Times New Roman" w:hAnsi="Calibri" w:cs="Times New Roman"/>
          <w:szCs w:val="22"/>
          <w:lang w:val="en-AU" w:eastAsia="en-AU"/>
        </w:rPr>
      </w:pPr>
      <w:hyperlink w:anchor="_Toc410649157" w:history="1">
        <w:r w:rsidR="004341B0" w:rsidRPr="009B38C4">
          <w:rPr>
            <w:rStyle w:val="Hyperlink"/>
          </w:rPr>
          <w:t>Data estimates</w:t>
        </w:r>
        <w:r w:rsidR="004341B0">
          <w:rPr>
            <w:webHidden/>
          </w:rPr>
          <w:tab/>
        </w:r>
        <w:r w:rsidR="004341B0">
          <w:rPr>
            <w:webHidden/>
          </w:rPr>
          <w:fldChar w:fldCharType="begin"/>
        </w:r>
        <w:r w:rsidR="004341B0">
          <w:rPr>
            <w:webHidden/>
          </w:rPr>
          <w:instrText xml:space="preserve"> PAGEREF _Toc410649157 \h </w:instrText>
        </w:r>
        <w:r w:rsidR="004341B0">
          <w:rPr>
            <w:webHidden/>
          </w:rPr>
        </w:r>
        <w:r w:rsidR="004341B0">
          <w:rPr>
            <w:webHidden/>
          </w:rPr>
          <w:fldChar w:fldCharType="separate"/>
        </w:r>
        <w:r w:rsidR="004D3DAC">
          <w:rPr>
            <w:webHidden/>
          </w:rPr>
          <w:t>33</w:t>
        </w:r>
        <w:r w:rsidR="004341B0">
          <w:rPr>
            <w:webHidden/>
          </w:rPr>
          <w:fldChar w:fldCharType="end"/>
        </w:r>
      </w:hyperlink>
    </w:p>
    <w:p w:rsidR="004341B0" w:rsidRPr="006C6158" w:rsidRDefault="00191916">
      <w:pPr>
        <w:pStyle w:val="TOC1"/>
        <w:rPr>
          <w:rFonts w:ascii="Calibri" w:eastAsia="Times New Roman" w:hAnsi="Calibri" w:cs="Times New Roman"/>
          <w:b w:val="0"/>
          <w:szCs w:val="22"/>
          <w:lang w:eastAsia="en-AU"/>
        </w:rPr>
      </w:pPr>
      <w:hyperlink w:anchor="_Toc410649158" w:history="1">
        <w:r w:rsidR="004341B0" w:rsidRPr="009B38C4">
          <w:rPr>
            <w:rStyle w:val="Hyperlink"/>
          </w:rPr>
          <w:t>References</w:t>
        </w:r>
        <w:r w:rsidR="004341B0">
          <w:rPr>
            <w:webHidden/>
          </w:rPr>
          <w:tab/>
        </w:r>
        <w:r w:rsidR="004341B0">
          <w:rPr>
            <w:webHidden/>
          </w:rPr>
          <w:fldChar w:fldCharType="begin"/>
        </w:r>
        <w:r w:rsidR="004341B0">
          <w:rPr>
            <w:webHidden/>
          </w:rPr>
          <w:instrText xml:space="preserve"> PAGEREF _Toc410649158 \h </w:instrText>
        </w:r>
        <w:r w:rsidR="004341B0">
          <w:rPr>
            <w:webHidden/>
          </w:rPr>
        </w:r>
        <w:r w:rsidR="004341B0">
          <w:rPr>
            <w:webHidden/>
          </w:rPr>
          <w:fldChar w:fldCharType="separate"/>
        </w:r>
        <w:r w:rsidR="004D3DAC">
          <w:rPr>
            <w:webHidden/>
          </w:rPr>
          <w:t>36</w:t>
        </w:r>
        <w:r w:rsidR="004341B0">
          <w:rPr>
            <w:webHidden/>
          </w:rPr>
          <w:fldChar w:fldCharType="end"/>
        </w:r>
      </w:hyperlink>
    </w:p>
    <w:p w:rsidR="002E01E3" w:rsidRPr="00A34E9C" w:rsidRDefault="002E01E3" w:rsidP="002E01E3">
      <w:pPr>
        <w:pStyle w:val="Heading1"/>
      </w:pPr>
      <w:r w:rsidRPr="004F57F2">
        <w:rPr>
          <w:sz w:val="22"/>
          <w:szCs w:val="22"/>
        </w:rPr>
        <w:fldChar w:fldCharType="end"/>
      </w:r>
      <w:r w:rsidRPr="00005D10">
        <w:rPr>
          <w:sz w:val="22"/>
          <w:szCs w:val="22"/>
        </w:rPr>
        <w:br w:type="page"/>
      </w:r>
      <w:bookmarkStart w:id="1" w:name="_Toc410649125"/>
      <w:bookmarkStart w:id="2" w:name="_Toc420499051"/>
      <w:bookmarkEnd w:id="0"/>
      <w:r w:rsidRPr="00A34E9C">
        <w:lastRenderedPageBreak/>
        <w:t>MSAC and PASC</w:t>
      </w:r>
      <w:bookmarkEnd w:id="1"/>
      <w:bookmarkEnd w:id="2"/>
    </w:p>
    <w:p w:rsidR="002E01E3" w:rsidRPr="00005D10" w:rsidRDefault="002E01E3" w:rsidP="002E01E3">
      <w:pPr>
        <w:rPr>
          <w:szCs w:val="22"/>
        </w:rPr>
      </w:pPr>
      <w:r w:rsidRPr="00005D10">
        <w:rPr>
          <w:szCs w:val="22"/>
        </w:rPr>
        <w:t>The Medical Services Advisory Committee (MSAC) is an independent expert committee appointed by the Australian Government Health Minister to strengthen the role of evidence in health financing decisions in Australia. MSAC advises the Commonwealth Minister for Health on the evidence relating to the safety, effectiveness, and cost-effectiveness of new and existing medical technologies and procedures and under what circumstances public funding should be supported.</w:t>
      </w:r>
    </w:p>
    <w:p w:rsidR="002E01E3" w:rsidRPr="00005D10" w:rsidRDefault="002E01E3" w:rsidP="002E01E3">
      <w:pPr>
        <w:rPr>
          <w:szCs w:val="22"/>
        </w:rPr>
      </w:pPr>
      <w:r w:rsidRPr="00005D10">
        <w:rPr>
          <w:szCs w:val="22"/>
        </w:rPr>
        <w:t>The Protocol Advisory Sub-Committee (PASC) is a standing sub-committee of MSAC. Its primary objective is the determination of protocols to guide clinical and economic assessments of medical interventions proposed for public funding.</w:t>
      </w:r>
    </w:p>
    <w:p w:rsidR="002E01E3" w:rsidRPr="008B719A" w:rsidRDefault="002E01E3" w:rsidP="002E01E3">
      <w:pPr>
        <w:pStyle w:val="Heading1"/>
      </w:pPr>
      <w:bookmarkStart w:id="3" w:name="_Toc410649126"/>
      <w:bookmarkStart w:id="4" w:name="_Toc420499052"/>
      <w:r w:rsidRPr="008B719A">
        <w:t>Purpose of this document</w:t>
      </w:r>
      <w:bookmarkEnd w:id="3"/>
      <w:bookmarkEnd w:id="4"/>
    </w:p>
    <w:p w:rsidR="002E01E3" w:rsidRDefault="002E01E3" w:rsidP="002E01E3">
      <w:pPr>
        <w:rPr>
          <w:szCs w:val="22"/>
        </w:rPr>
      </w:pPr>
      <w:r w:rsidRPr="00005D10">
        <w:rPr>
          <w:szCs w:val="22"/>
        </w:rPr>
        <w:t xml:space="preserve">This document is intended to provide a draft decision analytic protocol </w:t>
      </w:r>
      <w:r>
        <w:rPr>
          <w:szCs w:val="22"/>
        </w:rPr>
        <w:t xml:space="preserve">(DAP) </w:t>
      </w:r>
      <w:r w:rsidRPr="00005D10">
        <w:rPr>
          <w:szCs w:val="22"/>
        </w:rPr>
        <w:t>that will be used to guide the assessment of</w:t>
      </w:r>
      <w:r>
        <w:rPr>
          <w:szCs w:val="22"/>
        </w:rPr>
        <w:t xml:space="preserve"> s</w:t>
      </w:r>
      <w:r w:rsidRPr="008B719A">
        <w:rPr>
          <w:szCs w:val="22"/>
        </w:rPr>
        <w:t xml:space="preserve">hared </w:t>
      </w:r>
      <w:r>
        <w:rPr>
          <w:szCs w:val="22"/>
        </w:rPr>
        <w:t>m</w:t>
      </w:r>
      <w:r w:rsidRPr="008B719A">
        <w:rPr>
          <w:szCs w:val="22"/>
        </w:rPr>
        <w:t xml:space="preserve">edical </w:t>
      </w:r>
      <w:r>
        <w:rPr>
          <w:szCs w:val="22"/>
        </w:rPr>
        <w:t>appointments for patients with</w:t>
      </w:r>
      <w:r w:rsidR="00331E91">
        <w:rPr>
          <w:szCs w:val="22"/>
        </w:rPr>
        <w:t xml:space="preserve"> </w:t>
      </w:r>
      <w:r w:rsidRPr="00382F76">
        <w:rPr>
          <w:szCs w:val="22"/>
        </w:rPr>
        <w:t>Type 2 diabetes mellitus</w:t>
      </w:r>
    </w:p>
    <w:p w:rsidR="002E01E3" w:rsidRPr="00005D10" w:rsidRDefault="002E01E3" w:rsidP="002E01E3">
      <w:pPr>
        <w:rPr>
          <w:szCs w:val="22"/>
        </w:rPr>
      </w:pPr>
      <w:r w:rsidRPr="00005D10">
        <w:rPr>
          <w:szCs w:val="22"/>
        </w:rPr>
        <w:t>The draft protocol will be finalised after inviting relevant stakeholders to provide input. The final protocol will provide the basis for the assessment of the intervention.</w:t>
      </w:r>
    </w:p>
    <w:p w:rsidR="002E01E3" w:rsidRPr="00005D10" w:rsidRDefault="002E01E3" w:rsidP="002E01E3">
      <w:pPr>
        <w:rPr>
          <w:szCs w:val="22"/>
        </w:rPr>
      </w:pPr>
      <w:r w:rsidRPr="00005D10">
        <w:rPr>
          <w:szCs w:val="22"/>
        </w:rPr>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2E01E3" w:rsidRPr="008B719A" w:rsidRDefault="002E01E3" w:rsidP="002E01E3">
      <w:pPr>
        <w:pStyle w:val="ColorfulList-Accent11"/>
        <w:rPr>
          <w:szCs w:val="22"/>
        </w:rPr>
      </w:pPr>
      <w:r w:rsidRPr="00EA1D1D">
        <w:rPr>
          <w:b/>
          <w:szCs w:val="22"/>
          <w:u w:val="single"/>
        </w:rPr>
        <w:t>P</w:t>
      </w:r>
      <w:r w:rsidRPr="00EA1D1D">
        <w:rPr>
          <w:szCs w:val="22"/>
        </w:rPr>
        <w:t>atients</w:t>
      </w:r>
      <w:r w:rsidRPr="008B719A">
        <w:rPr>
          <w:szCs w:val="22"/>
        </w:rPr>
        <w:t xml:space="preserve"> – specification of the characteristics of the patients in whom the intervention is to be considered for use;</w:t>
      </w:r>
    </w:p>
    <w:p w:rsidR="002E01E3" w:rsidRPr="008B719A" w:rsidRDefault="002E01E3" w:rsidP="002E01E3">
      <w:pPr>
        <w:pStyle w:val="ColorfulList-Accent11"/>
        <w:rPr>
          <w:szCs w:val="22"/>
        </w:rPr>
      </w:pPr>
      <w:r w:rsidRPr="00EA1D1D">
        <w:rPr>
          <w:b/>
          <w:szCs w:val="22"/>
          <w:u w:val="single"/>
        </w:rPr>
        <w:t>I</w:t>
      </w:r>
      <w:r w:rsidRPr="00EA1D1D">
        <w:rPr>
          <w:szCs w:val="22"/>
        </w:rPr>
        <w:t>ntervention</w:t>
      </w:r>
      <w:r w:rsidRPr="008B719A">
        <w:rPr>
          <w:szCs w:val="22"/>
        </w:rPr>
        <w:t xml:space="preserve"> – specification of the proposed intervention</w:t>
      </w:r>
      <w:r>
        <w:rPr>
          <w:szCs w:val="22"/>
        </w:rPr>
        <w:t>;</w:t>
      </w:r>
    </w:p>
    <w:p w:rsidR="002E01E3" w:rsidRPr="008B719A" w:rsidRDefault="002E01E3" w:rsidP="002E01E3">
      <w:pPr>
        <w:pStyle w:val="ColorfulList-Accent11"/>
        <w:rPr>
          <w:szCs w:val="22"/>
        </w:rPr>
      </w:pPr>
      <w:r w:rsidRPr="00EA1D1D">
        <w:rPr>
          <w:b/>
          <w:szCs w:val="22"/>
          <w:u w:val="single"/>
        </w:rPr>
        <w:t>C</w:t>
      </w:r>
      <w:r w:rsidRPr="00EA1D1D">
        <w:rPr>
          <w:szCs w:val="22"/>
        </w:rPr>
        <w:t>omparator</w:t>
      </w:r>
      <w:r w:rsidRPr="008B719A">
        <w:rPr>
          <w:szCs w:val="22"/>
        </w:rPr>
        <w:t xml:space="preserve"> – specification of the therapy most likely to be replaced by the proposed intervention</w:t>
      </w:r>
      <w:r>
        <w:rPr>
          <w:szCs w:val="22"/>
        </w:rPr>
        <w:t>; and</w:t>
      </w:r>
    </w:p>
    <w:p w:rsidR="002E01E3" w:rsidRPr="008B719A" w:rsidRDefault="002E01E3" w:rsidP="002E01E3">
      <w:pPr>
        <w:pStyle w:val="ColorfulList-Accent11"/>
        <w:rPr>
          <w:szCs w:val="22"/>
        </w:rPr>
      </w:pPr>
      <w:r w:rsidRPr="00EA1D1D">
        <w:rPr>
          <w:b/>
          <w:szCs w:val="22"/>
          <w:u w:val="single"/>
        </w:rPr>
        <w:t>O</w:t>
      </w:r>
      <w:r w:rsidRPr="00EA1D1D">
        <w:rPr>
          <w:szCs w:val="22"/>
        </w:rPr>
        <w:t>utcomes</w:t>
      </w:r>
      <w:r w:rsidRPr="008B719A">
        <w:rPr>
          <w:szCs w:val="22"/>
        </w:rPr>
        <w:t xml:space="preserve"> – specification of the health outcomes and the healthcare resources likely to be affected by the introduction of the proposed intervention</w:t>
      </w:r>
      <w:r>
        <w:rPr>
          <w:szCs w:val="22"/>
        </w:rPr>
        <w:t>.</w:t>
      </w:r>
    </w:p>
    <w:p w:rsidR="002E01E3" w:rsidRPr="000901A8" w:rsidRDefault="002E01E3" w:rsidP="002E01E3">
      <w:pPr>
        <w:pStyle w:val="Heading1"/>
      </w:pPr>
      <w:r w:rsidRPr="00005D10">
        <w:rPr>
          <w:sz w:val="22"/>
          <w:szCs w:val="22"/>
        </w:rPr>
        <w:br w:type="page"/>
      </w:r>
      <w:bookmarkStart w:id="5" w:name="_Toc410649127"/>
      <w:bookmarkStart w:id="6" w:name="_Toc420499053"/>
      <w:r w:rsidRPr="000901A8">
        <w:lastRenderedPageBreak/>
        <w:t>Purpose of application</w:t>
      </w:r>
      <w:bookmarkEnd w:id="5"/>
      <w:bookmarkEnd w:id="6"/>
    </w:p>
    <w:p w:rsidR="002E01E3" w:rsidRDefault="002E01E3" w:rsidP="002E01E3">
      <w:pPr>
        <w:rPr>
          <w:szCs w:val="22"/>
        </w:rPr>
      </w:pPr>
      <w:r>
        <w:rPr>
          <w:szCs w:val="22"/>
        </w:rPr>
        <w:t>A</w:t>
      </w:r>
      <w:r w:rsidRPr="00005D10">
        <w:rPr>
          <w:szCs w:val="22"/>
        </w:rPr>
        <w:t xml:space="preserve">n application requesting </w:t>
      </w:r>
      <w:r>
        <w:rPr>
          <w:szCs w:val="22"/>
        </w:rPr>
        <w:t>Medicare Benefits Schedule (</w:t>
      </w:r>
      <w:r w:rsidRPr="00005D10">
        <w:rPr>
          <w:szCs w:val="22"/>
        </w:rPr>
        <w:t>MBS</w:t>
      </w:r>
      <w:r>
        <w:rPr>
          <w:szCs w:val="22"/>
        </w:rPr>
        <w:t>)</w:t>
      </w:r>
      <w:r w:rsidRPr="00005D10">
        <w:rPr>
          <w:szCs w:val="22"/>
        </w:rPr>
        <w:t xml:space="preserve"> listing of </w:t>
      </w:r>
      <w:r>
        <w:rPr>
          <w:szCs w:val="22"/>
        </w:rPr>
        <w:t xml:space="preserve">shared medical appointments </w:t>
      </w:r>
      <w:r w:rsidRPr="008B719A">
        <w:rPr>
          <w:szCs w:val="22"/>
        </w:rPr>
        <w:t xml:space="preserve">for patients with </w:t>
      </w:r>
      <w:r>
        <w:rPr>
          <w:szCs w:val="22"/>
        </w:rPr>
        <w:t>Type</w:t>
      </w:r>
      <w:r w:rsidRPr="008B719A">
        <w:rPr>
          <w:szCs w:val="22"/>
        </w:rPr>
        <w:t xml:space="preserve"> 2 diabetes</w:t>
      </w:r>
      <w:r>
        <w:rPr>
          <w:szCs w:val="22"/>
        </w:rPr>
        <w:t xml:space="preserve"> mellitus </w:t>
      </w:r>
      <w:r w:rsidRPr="00005D10">
        <w:rPr>
          <w:szCs w:val="22"/>
        </w:rPr>
        <w:t>was received from</w:t>
      </w:r>
      <w:r>
        <w:rPr>
          <w:szCs w:val="22"/>
        </w:rPr>
        <w:t xml:space="preserve"> the Australian Lifestyle Medicine Association</w:t>
      </w:r>
      <w:r w:rsidRPr="00005D10">
        <w:rPr>
          <w:szCs w:val="22"/>
        </w:rPr>
        <w:t xml:space="preserve"> by the Department of Health in</w:t>
      </w:r>
      <w:r>
        <w:rPr>
          <w:szCs w:val="22"/>
        </w:rPr>
        <w:t xml:space="preserve"> </w:t>
      </w:r>
      <w:r w:rsidRPr="00957049">
        <w:rPr>
          <w:szCs w:val="22"/>
        </w:rPr>
        <w:t>March</w:t>
      </w:r>
      <w:r>
        <w:rPr>
          <w:color w:val="FF0000"/>
          <w:szCs w:val="22"/>
        </w:rPr>
        <w:t xml:space="preserve"> </w:t>
      </w:r>
      <w:r w:rsidRPr="007C0B57">
        <w:rPr>
          <w:szCs w:val="22"/>
        </w:rPr>
        <w:t>2014</w:t>
      </w:r>
      <w:r>
        <w:rPr>
          <w:szCs w:val="22"/>
        </w:rPr>
        <w:t xml:space="preserve">. </w:t>
      </w:r>
      <w:r w:rsidRPr="00DB2A61">
        <w:rPr>
          <w:szCs w:val="22"/>
        </w:rPr>
        <w:t xml:space="preserve">This proposal relates to </w:t>
      </w:r>
      <w:r>
        <w:rPr>
          <w:szCs w:val="22"/>
        </w:rPr>
        <w:t>two</w:t>
      </w:r>
      <w:r w:rsidRPr="00DB2A61">
        <w:rPr>
          <w:szCs w:val="22"/>
        </w:rPr>
        <w:t xml:space="preserve"> new consultation item</w:t>
      </w:r>
      <w:r>
        <w:rPr>
          <w:szCs w:val="22"/>
        </w:rPr>
        <w:t>s</w:t>
      </w:r>
      <w:r w:rsidRPr="00DB2A61">
        <w:rPr>
          <w:szCs w:val="22"/>
        </w:rPr>
        <w:t xml:space="preserve"> not currently listed on the MBS. </w:t>
      </w:r>
    </w:p>
    <w:p w:rsidR="002E01E3" w:rsidRPr="00D756FC" w:rsidRDefault="002E01E3" w:rsidP="002E01E3">
      <w:pPr>
        <w:rPr>
          <w:color w:val="FF0000"/>
          <w:sz w:val="18"/>
          <w:szCs w:val="18"/>
        </w:rPr>
      </w:pPr>
      <w:r w:rsidRPr="00551EDD">
        <w:rPr>
          <w:szCs w:val="22"/>
        </w:rPr>
        <w:t xml:space="preserve">The Assessment </w:t>
      </w:r>
      <w:r>
        <w:rPr>
          <w:szCs w:val="22"/>
        </w:rPr>
        <w:t>G</w:t>
      </w:r>
      <w:r w:rsidRPr="00551EDD">
        <w:rPr>
          <w:szCs w:val="22"/>
        </w:rPr>
        <w:t>roup</w:t>
      </w:r>
      <w:r>
        <w:rPr>
          <w:szCs w:val="22"/>
        </w:rPr>
        <w:t xml:space="preserve"> at Griffith University,</w:t>
      </w:r>
      <w:r w:rsidRPr="003F13C7">
        <w:rPr>
          <w:szCs w:val="22"/>
        </w:rPr>
        <w:t xml:space="preserve"> as part of its contract with the Department of Health, has drafted this </w:t>
      </w:r>
      <w:r>
        <w:rPr>
          <w:szCs w:val="22"/>
        </w:rPr>
        <w:t>DAP</w:t>
      </w:r>
      <w:r w:rsidRPr="003F13C7">
        <w:rPr>
          <w:szCs w:val="22"/>
        </w:rPr>
        <w:t xml:space="preserve"> and </w:t>
      </w:r>
      <w:r w:rsidRPr="00DB2A61">
        <w:rPr>
          <w:szCs w:val="22"/>
        </w:rPr>
        <w:t>may undertake an independent assessment</w:t>
      </w:r>
      <w:r>
        <w:rPr>
          <w:szCs w:val="22"/>
        </w:rPr>
        <w:t xml:space="preserve"> of the evidence base</w:t>
      </w:r>
      <w:r w:rsidRPr="003F13C7">
        <w:rPr>
          <w:szCs w:val="22"/>
        </w:rPr>
        <w:t xml:space="preserve"> </w:t>
      </w:r>
      <w:r>
        <w:rPr>
          <w:szCs w:val="22"/>
        </w:rPr>
        <w:t>on</w:t>
      </w:r>
      <w:r w:rsidRPr="003F13C7">
        <w:rPr>
          <w:szCs w:val="22"/>
        </w:rPr>
        <w:t xml:space="preserve"> the safety, effectiveness and cost-effectiveness of the proposed intervention in order to inform MSAC’s </w:t>
      </w:r>
      <w:r>
        <w:rPr>
          <w:szCs w:val="22"/>
        </w:rPr>
        <w:t>d</w:t>
      </w:r>
      <w:r w:rsidRPr="003F13C7">
        <w:rPr>
          <w:szCs w:val="22"/>
        </w:rPr>
        <w:t>ecision-making regarding public funding of the intervention.</w:t>
      </w:r>
      <w:r>
        <w:rPr>
          <w:szCs w:val="22"/>
        </w:rPr>
        <w:t xml:space="preserve"> </w:t>
      </w:r>
    </w:p>
    <w:p w:rsidR="002E01E3" w:rsidRDefault="002E01E3" w:rsidP="002E01E3">
      <w:pPr>
        <w:pStyle w:val="Heading1"/>
      </w:pPr>
      <w:bookmarkStart w:id="7" w:name="_Toc410649128"/>
      <w:bookmarkStart w:id="8" w:name="_Toc420499054"/>
      <w:r>
        <w:t>Background</w:t>
      </w:r>
      <w:bookmarkEnd w:id="7"/>
      <w:bookmarkEnd w:id="8"/>
    </w:p>
    <w:p w:rsidR="002E01E3" w:rsidRDefault="002E01E3" w:rsidP="002E01E3">
      <w:pPr>
        <w:pStyle w:val="Heading2"/>
        <w:rPr>
          <w:szCs w:val="22"/>
        </w:rPr>
      </w:pPr>
      <w:bookmarkStart w:id="9" w:name="_Toc410649129"/>
      <w:bookmarkStart w:id="10" w:name="_Toc420499055"/>
      <w:r w:rsidRPr="008B719A">
        <w:rPr>
          <w:szCs w:val="22"/>
        </w:rPr>
        <w:t>Current arrangements for public reimbursement</w:t>
      </w:r>
      <w:bookmarkEnd w:id="9"/>
      <w:bookmarkEnd w:id="10"/>
    </w:p>
    <w:p w:rsidR="002E01E3" w:rsidRPr="001D1B91" w:rsidRDefault="002E01E3" w:rsidP="002E01E3">
      <w:pPr>
        <w:rPr>
          <w:color w:val="FF0000"/>
          <w:sz w:val="18"/>
          <w:szCs w:val="18"/>
        </w:rPr>
      </w:pPr>
      <w:r>
        <w:rPr>
          <w:szCs w:val="22"/>
        </w:rPr>
        <w:t>There are currently no formal arrangements for public reimbursement for shared medical appointments in Australia.</w:t>
      </w:r>
      <w:r w:rsidRPr="00B14674">
        <w:rPr>
          <w:szCs w:val="22"/>
        </w:rPr>
        <w:t xml:space="preserve"> </w:t>
      </w:r>
      <w:r>
        <w:rPr>
          <w:szCs w:val="22"/>
        </w:rPr>
        <w:t xml:space="preserve">There have been a substantial number of papers published on </w:t>
      </w:r>
      <w:r w:rsidRPr="00A7243D">
        <w:rPr>
          <w:szCs w:val="22"/>
        </w:rPr>
        <w:t>shared</w:t>
      </w:r>
      <w:r>
        <w:rPr>
          <w:szCs w:val="22"/>
        </w:rPr>
        <w:t xml:space="preserve"> medical appointments internationally </w:t>
      </w:r>
      <w:r>
        <w:rPr>
          <w:szCs w:val="22"/>
        </w:rPr>
        <w:fldChar w:fldCharType="begin"/>
      </w:r>
      <w:r>
        <w:rPr>
          <w:szCs w:val="22"/>
        </w:rPr>
        <w:instrText xml:space="preserve"> ADDIN EN.CITE &lt;EndNote&gt;&lt;Cite&gt;&lt;Author&gt;Edelman&lt;/Author&gt;&lt;Year&gt;2014&lt;/Year&gt;&lt;RecNum&gt;74&lt;/RecNum&gt;&lt;DisplayText&gt;[1]&lt;/DisplayText&gt;&lt;record&gt;&lt;rec-number&gt;74&lt;/rec-number&gt;&lt;foreign-keys&gt;&lt;key app="EN" db-id="edz5s99awvadpbexfxhvwe0ofp2svdwzsdpf" timestamp="1413520236"&gt;74&lt;/key&gt;&lt;/foreign-keys&gt;&lt;ref-type name="Journal Article"&gt;17&lt;/ref-type&gt;&lt;contributors&gt;&lt;authors&gt;&lt;author&gt;Edelman, David&lt;/author&gt;&lt;author&gt;McDuffie, Jennifer R&lt;/author&gt;&lt;author&gt;Oddone, Eugene&lt;/author&gt;&lt;author&gt;Gierisch, Jennifer M&lt;/author&gt;&lt;author&gt;Williams Jr, John W&lt;/author&gt;&lt;/authors&gt;&lt;/contributors&gt;&lt;titles&gt;&lt;title&gt;Shared Medical Appointments for Patients with Diabetes Mellitus: A Systematic Review&lt;/title&gt;&lt;secondary-title&gt;J Gen Intern Med&lt;/secondary-title&gt;&lt;/titles&gt;&lt;periodical&gt;&lt;full-title&gt;J Gen Intern Med&lt;/full-title&gt;&lt;/periodical&gt;&lt;dates&gt;&lt;year&gt;2014&lt;/year&gt;&lt;/dates&gt;&lt;urls&gt;&lt;/urls&gt;&lt;electronic-resource-num&gt;10.1007/s11606-014-2978-7&lt;/electronic-resource-num&gt;&lt;/record&gt;&lt;/Cite&gt;&lt;/EndNote&gt;</w:instrText>
      </w:r>
      <w:r>
        <w:rPr>
          <w:szCs w:val="22"/>
        </w:rPr>
        <w:fldChar w:fldCharType="separate"/>
      </w:r>
      <w:r>
        <w:rPr>
          <w:noProof/>
          <w:szCs w:val="22"/>
        </w:rPr>
        <w:t>[1]</w:t>
      </w:r>
      <w:r>
        <w:rPr>
          <w:szCs w:val="22"/>
        </w:rPr>
        <w:fldChar w:fldCharType="end"/>
      </w:r>
      <w:r>
        <w:rPr>
          <w:szCs w:val="22"/>
        </w:rPr>
        <w:t>, many of which have shown positive evaluations for the process ranging from patient satisfaction, to reduced use of other services and even reduced health costs. However</w:t>
      </w:r>
      <w:r w:rsidRPr="00A7243D">
        <w:rPr>
          <w:szCs w:val="22"/>
        </w:rPr>
        <w:t xml:space="preserve"> at this time, there are no published Australian </w:t>
      </w:r>
      <w:r>
        <w:rPr>
          <w:szCs w:val="22"/>
        </w:rPr>
        <w:t xml:space="preserve">outcome evaluation </w:t>
      </w:r>
      <w:r w:rsidRPr="00A7243D">
        <w:rPr>
          <w:szCs w:val="22"/>
        </w:rPr>
        <w:t xml:space="preserve">trials. </w:t>
      </w:r>
      <w:r>
        <w:rPr>
          <w:szCs w:val="22"/>
        </w:rPr>
        <w:t>Two</w:t>
      </w:r>
      <w:r w:rsidRPr="00A7243D">
        <w:rPr>
          <w:szCs w:val="22"/>
        </w:rPr>
        <w:t xml:space="preserve"> recent Australian publication</w:t>
      </w:r>
      <w:r>
        <w:rPr>
          <w:szCs w:val="22"/>
        </w:rPr>
        <w:t>s</w:t>
      </w:r>
      <w:r w:rsidRPr="00A7243D">
        <w:rPr>
          <w:szCs w:val="22"/>
        </w:rPr>
        <w:t xml:space="preserve"> report the findings of the first phase of a Royal Australian College of General Practitioners </w:t>
      </w:r>
      <w:r w:rsidRPr="00F12F1C">
        <w:rPr>
          <w:szCs w:val="22"/>
        </w:rPr>
        <w:t xml:space="preserve">(RACGP) </w:t>
      </w:r>
      <w:r w:rsidRPr="00A7243D">
        <w:rPr>
          <w:szCs w:val="22"/>
        </w:rPr>
        <w:t xml:space="preserve">funded study </w:t>
      </w:r>
      <w:r w:rsidRPr="00A7243D">
        <w:rPr>
          <w:szCs w:val="22"/>
        </w:rPr>
        <w:fldChar w:fldCharType="begin"/>
      </w:r>
      <w:r w:rsidRPr="00A7243D">
        <w:rPr>
          <w:szCs w:val="22"/>
        </w:rPr>
        <w:instrText xml:space="preserve"> ADDIN EN.CITE &lt;EndNote&gt;&lt;Cite&gt;&lt;Author&gt;Stevens&lt;/Author&gt;&lt;Year&gt;2014&lt;/Year&gt;&lt;RecNum&gt;119&lt;/RecNum&gt;&lt;DisplayText&gt;[2, 3]&lt;/DisplayText&gt;&lt;record&gt;&lt;rec-number&gt;119&lt;/rec-number&gt;&lt;foreign-keys&gt;&lt;key app="EN" db-id="edz5s99awvadpbexfxhvwe0ofp2svdwzsdpf" timestamp="1414025459"&gt;119&lt;/key&gt;&lt;/foreign-keys&gt;&lt;ref-type name="Journal Article"&gt;17&lt;/ref-type&gt;&lt;contributors&gt;&lt;authors&gt;&lt;author&gt;Stevens, J.&lt;/author&gt;&lt;author&gt;Cole, M-A.&lt;/author&gt;&lt;author&gt;Binns, A. &lt;/author&gt;&lt;author&gt;Dixon, J.&lt;/author&gt;&lt;author&gt;Egger, Garry&lt;/author&gt;&lt;/authors&gt;&lt;/contributors&gt;&lt;titles&gt;&lt;title&gt;A user assessment of the potential for shared medical appointments in Australia&lt;/title&gt;&lt;secondary-title&gt;Australian Family Physician &lt;/secondary-title&gt;&lt;/titles&gt;&lt;periodical&gt;&lt;full-title&gt;Australian family physician&lt;/full-title&gt;&lt;/periodical&gt;&lt;pages&gt;804-807&lt;/pages&gt;&lt;volume&gt;43&lt;/volume&gt;&lt;number&gt;11&lt;/number&gt;&lt;dates&gt;&lt;year&gt;2014&lt;/year&gt;&lt;/dates&gt;&lt;urls&gt;&lt;/urls&gt;&lt;/record&gt;&lt;/Cite&gt;&lt;Cite&gt;&lt;Author&gt;Egger&lt;/Author&gt;&lt;Year&gt;2015&lt;/Year&gt;&lt;RecNum&gt;125&lt;/RecNum&gt;&lt;record&gt;&lt;rec-number&gt;125&lt;/rec-number&gt;&lt;foreign-keys&gt;&lt;key app="EN" db-id="edz5s99awvadpbexfxhvwe0ofp2svdwzsdpf" timestamp="1421624413"&gt;125&lt;/key&gt;&lt;/foreign-keys&gt;&lt;ref-type name="Journal Article"&gt;17&lt;/ref-type&gt;&lt;contributors&gt;&lt;authors&gt;&lt;author&gt;Egger, Garry&lt;/author&gt;&lt;author&gt;Dixon, J.&lt;/author&gt;&lt;author&gt;Meldrum, Hamish&lt;/author&gt;&lt;author&gt;Binns, Andrew&lt;/author&gt;&lt;author&gt;Cole, Mary-Anne&lt;/author&gt;&lt;author&gt;Ewald, Dan&lt;/author&gt;&lt;author&gt;Stevens, John&lt;/author&gt;&lt;/authors&gt;&lt;/contributors&gt;&lt;titles&gt;&lt;title&gt;Patient and Provider Satisfaction with Shared medical appointments.&lt;/title&gt;&lt;secondary-title&gt;Australian family physician&lt;/secondary-title&gt;&lt;/titles&gt;&lt;periodical&gt;&lt;full-title&gt;Australian family physician&lt;/full-title&gt;&lt;/periodical&gt;&lt;volume&gt;(in press)&lt;/volume&gt;&lt;dates&gt;&lt;year&gt;2015&lt;/year&gt;&lt;/dates&gt;&lt;isbn&gt;0300-8495&lt;/isbn&gt;&lt;urls&gt;&lt;/urls&gt;&lt;/record&gt;&lt;/Cite&gt;&lt;/EndNote&gt;</w:instrText>
      </w:r>
      <w:r w:rsidRPr="00A7243D">
        <w:rPr>
          <w:szCs w:val="22"/>
        </w:rPr>
        <w:fldChar w:fldCharType="separate"/>
      </w:r>
      <w:r w:rsidRPr="00A7243D">
        <w:rPr>
          <w:noProof/>
          <w:szCs w:val="22"/>
        </w:rPr>
        <w:t>[2, 3]</w:t>
      </w:r>
      <w:r w:rsidRPr="00A7243D">
        <w:rPr>
          <w:szCs w:val="22"/>
        </w:rPr>
        <w:fldChar w:fldCharType="end"/>
      </w:r>
      <w:r>
        <w:rPr>
          <w:szCs w:val="22"/>
        </w:rPr>
        <w:t xml:space="preserve"> designed to assess patient and provider satisfaction with SMAs before considering more extensive evaluation of the process, as has been carried out overseas, in the Australian environment</w:t>
      </w:r>
      <w:r w:rsidRPr="00A7243D">
        <w:rPr>
          <w:szCs w:val="22"/>
        </w:rPr>
        <w:t xml:space="preserve">. The report was of findings from focus groups of potential health practitioners and patient support for shared medical appointments. In the past year, a number of shared medical appointments </w:t>
      </w:r>
      <w:r w:rsidRPr="00CE58F7">
        <w:rPr>
          <w:szCs w:val="22"/>
        </w:rPr>
        <w:t>representing 2</w:t>
      </w:r>
      <w:r>
        <w:rPr>
          <w:szCs w:val="22"/>
        </w:rPr>
        <w:t>2</w:t>
      </w:r>
      <w:r w:rsidRPr="00CE58F7">
        <w:rPr>
          <w:szCs w:val="22"/>
        </w:rPr>
        <w:t>0 patient visits have been performed in Australia in this research setting</w:t>
      </w:r>
      <w:r w:rsidRPr="0051245E">
        <w:rPr>
          <w:szCs w:val="22"/>
        </w:rPr>
        <w:t xml:space="preserve"> to gauge patient and provider satisfaction with s</w:t>
      </w:r>
      <w:r w:rsidRPr="00F779FD">
        <w:rPr>
          <w:szCs w:val="22"/>
        </w:rPr>
        <w:t xml:space="preserve">uch a process. Outside of this research </w:t>
      </w:r>
      <w:r>
        <w:rPr>
          <w:szCs w:val="22"/>
        </w:rPr>
        <w:t xml:space="preserve">setting, shared medical appointments are currently not </w:t>
      </w:r>
      <w:r w:rsidRPr="00DB2A61">
        <w:rPr>
          <w:szCs w:val="22"/>
        </w:rPr>
        <w:t>being widely used</w:t>
      </w:r>
      <w:r w:rsidR="00885B8D">
        <w:rPr>
          <w:szCs w:val="22"/>
        </w:rPr>
        <w:t xml:space="preserve"> in Australia.</w:t>
      </w:r>
    </w:p>
    <w:p w:rsidR="002E01E3" w:rsidRPr="008B719A" w:rsidRDefault="002E01E3" w:rsidP="002E01E3">
      <w:pPr>
        <w:pStyle w:val="Heading2"/>
        <w:rPr>
          <w:szCs w:val="22"/>
        </w:rPr>
      </w:pPr>
      <w:bookmarkStart w:id="11" w:name="_Toc410649130"/>
      <w:bookmarkStart w:id="12" w:name="_Toc420499056"/>
      <w:r w:rsidRPr="008B719A">
        <w:rPr>
          <w:szCs w:val="22"/>
        </w:rPr>
        <w:lastRenderedPageBreak/>
        <w:t>Regulatory status</w:t>
      </w:r>
      <w:bookmarkEnd w:id="11"/>
      <w:bookmarkEnd w:id="12"/>
    </w:p>
    <w:p w:rsidR="002E01E3" w:rsidRDefault="002E01E3" w:rsidP="002E01E3">
      <w:pPr>
        <w:rPr>
          <w:szCs w:val="22"/>
          <w:lang w:val="en-US" w:eastAsia="ja-JP"/>
        </w:rPr>
      </w:pPr>
      <w:r w:rsidRPr="00DB2A61">
        <w:rPr>
          <w:szCs w:val="22"/>
          <w:lang w:val="en-US" w:eastAsia="ja-JP"/>
        </w:rPr>
        <w:t>Since this type of care can be given routinely in everyday practice by health professionals in their various roles, shared medical appointments do not require approval from Australian regulatory bodies.</w:t>
      </w:r>
    </w:p>
    <w:p w:rsidR="002E01E3" w:rsidRPr="00D633D7" w:rsidRDefault="002E01E3" w:rsidP="002E01E3">
      <w:r w:rsidRPr="00E13473">
        <w:rPr>
          <w:szCs w:val="22"/>
        </w:rPr>
        <w:t xml:space="preserve">There are no barriers to a </w:t>
      </w:r>
      <w:r>
        <w:rPr>
          <w:szCs w:val="22"/>
        </w:rPr>
        <w:t>general practitioner (</w:t>
      </w:r>
      <w:r w:rsidRPr="00E13473">
        <w:rPr>
          <w:szCs w:val="22"/>
        </w:rPr>
        <w:t>GP</w:t>
      </w:r>
      <w:r>
        <w:rPr>
          <w:szCs w:val="22"/>
        </w:rPr>
        <w:t>)</w:t>
      </w:r>
      <w:r w:rsidRPr="00E13473">
        <w:rPr>
          <w:szCs w:val="22"/>
        </w:rPr>
        <w:t xml:space="preserve"> setting up a private </w:t>
      </w:r>
      <w:r>
        <w:rPr>
          <w:szCs w:val="22"/>
        </w:rPr>
        <w:t>shared medical appointment</w:t>
      </w:r>
      <w:r w:rsidRPr="00E13473">
        <w:rPr>
          <w:szCs w:val="22"/>
        </w:rPr>
        <w:t xml:space="preserve"> clinic with allied health professionals.</w:t>
      </w:r>
      <w:r>
        <w:rPr>
          <w:szCs w:val="22"/>
        </w:rPr>
        <w:t xml:space="preserve"> </w:t>
      </w:r>
      <w:r w:rsidRPr="00E13473">
        <w:rPr>
          <w:szCs w:val="22"/>
        </w:rPr>
        <w:t>Patients would not be able to claim Medicare benefits.</w:t>
      </w:r>
      <w:r>
        <w:rPr>
          <w:szCs w:val="22"/>
        </w:rPr>
        <w:t xml:space="preserve"> </w:t>
      </w:r>
      <w:r w:rsidRPr="00E13473">
        <w:rPr>
          <w:szCs w:val="22"/>
        </w:rPr>
        <w:t>A practice nurse working under the direction of a GP is not covered by a separate Medicare item.</w:t>
      </w:r>
      <w:r w:rsidR="00331E91">
        <w:rPr>
          <w:szCs w:val="22"/>
        </w:rPr>
        <w:t xml:space="preserve"> </w:t>
      </w:r>
    </w:p>
    <w:p w:rsidR="002E01E3" w:rsidRPr="00382F76" w:rsidRDefault="002E01E3" w:rsidP="002E01E3">
      <w:pPr>
        <w:pStyle w:val="CommentText"/>
        <w:rPr>
          <w:rFonts w:ascii="Tahoma" w:hAnsi="Tahoma" w:cs="Tahoma"/>
          <w:sz w:val="22"/>
          <w:szCs w:val="22"/>
          <w:lang w:val="en-AU"/>
        </w:rPr>
      </w:pPr>
      <w:r w:rsidRPr="00382F76">
        <w:rPr>
          <w:rFonts w:ascii="Tahoma" w:hAnsi="Tahoma" w:cs="Tahoma"/>
          <w:sz w:val="22"/>
          <w:szCs w:val="22"/>
          <w:lang w:val="en-US" w:eastAsia="ja-JP"/>
        </w:rPr>
        <w:t xml:space="preserve">Currently GP attendance items listed on the MBS require one GP attending to one patient. </w:t>
      </w:r>
      <w:r w:rsidRPr="00382F76">
        <w:rPr>
          <w:rFonts w:ascii="Tahoma" w:hAnsi="Tahoma" w:cs="Tahoma"/>
          <w:sz w:val="22"/>
          <w:szCs w:val="22"/>
          <w:lang w:val="en-AU"/>
        </w:rPr>
        <w:t xml:space="preserve">In G.12.1., MBS Cat 8 of the </w:t>
      </w:r>
      <w:r w:rsidRPr="00382F76">
        <w:rPr>
          <w:rFonts w:ascii="Tahoma" w:hAnsi="Tahoma" w:cs="Tahoma"/>
          <w:i/>
          <w:sz w:val="22"/>
          <w:szCs w:val="22"/>
          <w:lang w:val="en-AU"/>
        </w:rPr>
        <w:t>Health Insurance Regulations</w:t>
      </w:r>
      <w:r w:rsidRPr="00382F76">
        <w:rPr>
          <w:rFonts w:ascii="Tahoma" w:hAnsi="Tahoma" w:cs="Tahoma"/>
          <w:sz w:val="22"/>
          <w:szCs w:val="22"/>
          <w:lang w:val="en-AU"/>
        </w:rPr>
        <w:t xml:space="preserve"> </w:t>
      </w:r>
      <w:r w:rsidRPr="00382F76">
        <w:rPr>
          <w:rFonts w:ascii="Tahoma" w:hAnsi="Tahoma" w:cs="Tahoma"/>
          <w:i/>
          <w:sz w:val="22"/>
          <w:szCs w:val="22"/>
          <w:lang w:val="en-AU"/>
        </w:rPr>
        <w:t xml:space="preserve">1975 </w:t>
      </w:r>
      <w:r w:rsidRPr="00382F76">
        <w:rPr>
          <w:rFonts w:ascii="Tahoma" w:hAnsi="Tahoma" w:cs="Tahoma"/>
          <w:sz w:val="22"/>
          <w:szCs w:val="22"/>
          <w:lang w:val="en-AU"/>
        </w:rPr>
        <w:t>it</w:t>
      </w:r>
      <w:r w:rsidRPr="00382F76">
        <w:rPr>
          <w:rFonts w:ascii="Tahoma" w:hAnsi="Tahoma" w:cs="Tahoma"/>
          <w:i/>
          <w:sz w:val="22"/>
          <w:szCs w:val="22"/>
          <w:lang w:val="en-AU"/>
        </w:rPr>
        <w:t xml:space="preserve"> </w:t>
      </w:r>
      <w:r w:rsidRPr="00382F76">
        <w:rPr>
          <w:rFonts w:ascii="Tahoma" w:hAnsi="Tahoma" w:cs="Tahoma"/>
          <w:sz w:val="22"/>
          <w:szCs w:val="22"/>
          <w:lang w:val="en-AU"/>
        </w:rPr>
        <w:t xml:space="preserve">specifies that the following medical services will attract benefits </w:t>
      </w:r>
      <w:r w:rsidRPr="00382F76">
        <w:rPr>
          <w:rFonts w:ascii="Tahoma" w:hAnsi="Tahoma" w:cs="Tahoma"/>
          <w:sz w:val="22"/>
          <w:szCs w:val="22"/>
          <w:u w:val="single"/>
          <w:lang w:val="en-AU"/>
        </w:rPr>
        <w:t>only</w:t>
      </w:r>
      <w:r w:rsidRPr="00382F76">
        <w:rPr>
          <w:rFonts w:ascii="Tahoma" w:hAnsi="Tahoma" w:cs="Tahoma"/>
          <w:sz w:val="22"/>
          <w:szCs w:val="22"/>
          <w:lang w:val="en-AU"/>
        </w:rPr>
        <w:t xml:space="preserve"> if they have been personally performed by a medical practitioner on not more than one patient on the one occasion (i.e. two or more patients cannot be attended simultaneously, although patients may be seen consecutively) unless a group session is involved (i.e. Items 170-172) (a) All Category 1 (Professional Attendances) items (except 170-172, 342-346).</w:t>
      </w:r>
    </w:p>
    <w:p w:rsidR="002E01E3" w:rsidRPr="00A34E9C" w:rsidRDefault="002E01E3" w:rsidP="002E01E3">
      <w:pPr>
        <w:pStyle w:val="Heading1"/>
      </w:pPr>
      <w:bookmarkStart w:id="13" w:name="_Toc410649131"/>
      <w:bookmarkStart w:id="14" w:name="_Toc420499057"/>
      <w:r w:rsidRPr="00A34E9C">
        <w:t>Intervention</w:t>
      </w:r>
      <w:bookmarkEnd w:id="13"/>
      <w:bookmarkEnd w:id="14"/>
    </w:p>
    <w:p w:rsidR="002E01E3" w:rsidRDefault="002E01E3" w:rsidP="002E01E3">
      <w:pPr>
        <w:pStyle w:val="Heading2"/>
        <w:rPr>
          <w:szCs w:val="22"/>
        </w:rPr>
      </w:pPr>
      <w:bookmarkStart w:id="15" w:name="_Toc410649132"/>
      <w:bookmarkStart w:id="16" w:name="_Toc420499058"/>
      <w:r w:rsidRPr="008B719A">
        <w:rPr>
          <w:szCs w:val="22"/>
        </w:rPr>
        <w:t>Description</w:t>
      </w:r>
      <w:bookmarkEnd w:id="15"/>
      <w:bookmarkEnd w:id="16"/>
    </w:p>
    <w:p w:rsidR="002E01E3" w:rsidRPr="00A07E7C" w:rsidRDefault="002E01E3" w:rsidP="002E01E3">
      <w:pPr>
        <w:rPr>
          <w:b/>
          <w:szCs w:val="22"/>
          <w:u w:val="single"/>
        </w:rPr>
      </w:pPr>
      <w:r w:rsidRPr="00A07E7C">
        <w:rPr>
          <w:b/>
          <w:szCs w:val="22"/>
          <w:u w:val="single"/>
        </w:rPr>
        <w:t>Shared medical appointments</w:t>
      </w:r>
    </w:p>
    <w:p w:rsidR="000E4336" w:rsidRDefault="002E01E3" w:rsidP="000E4336">
      <w:pPr>
        <w:rPr>
          <w:shd w:val="clear" w:color="auto" w:fill="FFFFFF"/>
        </w:rPr>
      </w:pPr>
      <w:r>
        <w:t>Shared medical appointments</w:t>
      </w:r>
      <w:r w:rsidRPr="00014EB1">
        <w:t xml:space="preserve"> are medical appointments carried out in a group of consenting patients by a GP and other health professionals. </w:t>
      </w:r>
      <w:r w:rsidR="000E4336">
        <w:rPr>
          <w:shd w:val="clear" w:color="auto" w:fill="FFFFFF"/>
        </w:rPr>
        <w:t>The role of the GP is the same as in an individual appointment, that is, to provide individual patient care, but in the presence of fellow sufferers. Delineation of duty of care between health professionals also remains the same as in other multi-disciplinary interactions such as team care arrangements.</w:t>
      </w:r>
    </w:p>
    <w:p w:rsidR="000E4336" w:rsidRPr="00E13473" w:rsidRDefault="000E4336" w:rsidP="000E4336">
      <w:pPr>
        <w:rPr>
          <w:szCs w:val="22"/>
          <w:lang w:val="en-US" w:eastAsia="ja-JP"/>
        </w:rPr>
      </w:pPr>
      <w:r>
        <w:rPr>
          <w:color w:val="000000"/>
          <w:szCs w:val="22"/>
        </w:rPr>
        <w:t>Patient</w:t>
      </w:r>
      <w:r w:rsidRPr="00CF715C">
        <w:rPr>
          <w:color w:val="000000"/>
          <w:szCs w:val="22"/>
        </w:rPr>
        <w:t xml:space="preserve"> confidentiality</w:t>
      </w:r>
      <w:r>
        <w:rPr>
          <w:color w:val="000000"/>
          <w:szCs w:val="22"/>
        </w:rPr>
        <w:t xml:space="preserve"> is addressed by ensuring patients consent to participate in the shared medical appointments</w:t>
      </w:r>
      <w:r w:rsidR="0094033C">
        <w:rPr>
          <w:color w:val="000000"/>
          <w:szCs w:val="22"/>
        </w:rPr>
        <w:t>. They are also required to</w:t>
      </w:r>
      <w:r>
        <w:rPr>
          <w:color w:val="000000"/>
          <w:szCs w:val="22"/>
        </w:rPr>
        <w:t xml:space="preserve"> sign a confidentiality agreement</w:t>
      </w:r>
      <w:r w:rsidR="0094033C">
        <w:rPr>
          <w:color w:val="000000"/>
          <w:szCs w:val="22"/>
        </w:rPr>
        <w:t xml:space="preserve"> to prevent private medical details to be circulated more widely throughout the community</w:t>
      </w:r>
      <w:r>
        <w:rPr>
          <w:color w:val="000000"/>
          <w:szCs w:val="22"/>
        </w:rPr>
        <w:t>.</w:t>
      </w:r>
      <w:r w:rsidR="0094033C">
        <w:rPr>
          <w:color w:val="000000"/>
          <w:szCs w:val="22"/>
        </w:rPr>
        <w:t xml:space="preserve"> A</w:t>
      </w:r>
      <w:r>
        <w:rPr>
          <w:color w:val="000000"/>
          <w:szCs w:val="22"/>
        </w:rPr>
        <w:t xml:space="preserve">s some people may not feel comfortable discussing their health in front of other patients, shared medical appointments would be voluntary, and standard GP visits </w:t>
      </w:r>
      <w:r w:rsidR="0094033C">
        <w:rPr>
          <w:color w:val="000000"/>
          <w:szCs w:val="22"/>
        </w:rPr>
        <w:t>would remain</w:t>
      </w:r>
      <w:r>
        <w:rPr>
          <w:color w:val="000000"/>
          <w:szCs w:val="22"/>
        </w:rPr>
        <w:t xml:space="preserve"> available to those who want them. </w:t>
      </w:r>
    </w:p>
    <w:p w:rsidR="000E4336" w:rsidRDefault="002E01E3" w:rsidP="002E01E3">
      <w:pPr>
        <w:rPr>
          <w:rFonts w:ascii="Helvetica" w:eastAsia="Calibri" w:hAnsi="Helvetica" w:cs="Helvetica"/>
          <w:lang w:eastAsia="en-AU"/>
        </w:rPr>
      </w:pPr>
      <w:r>
        <w:lastRenderedPageBreak/>
        <w:t>Although the health professionals involved in shared medical appointments can vary, the model proposed here would</w:t>
      </w:r>
      <w:r w:rsidRPr="00014EB1">
        <w:t xml:space="preserve"> include </w:t>
      </w:r>
      <w:r w:rsidR="0094033C">
        <w:t xml:space="preserve">a minimum of 6 and maximum of </w:t>
      </w:r>
      <w:r>
        <w:t xml:space="preserve">12 </w:t>
      </w:r>
      <w:r w:rsidRPr="00A7243D">
        <w:t>patients, an accredited GP and at least a trained Facilitator</w:t>
      </w:r>
      <w:r w:rsidRPr="00CE58F7">
        <w:t xml:space="preserve"> </w:t>
      </w:r>
      <w:r w:rsidRPr="0051245E">
        <w:t xml:space="preserve">(e.g., practice nurse, diabetes educator, </w:t>
      </w:r>
      <w:proofErr w:type="spellStart"/>
      <w:r w:rsidRPr="0051245E">
        <w:t>dietitian</w:t>
      </w:r>
      <w:proofErr w:type="spellEnd"/>
      <w:r w:rsidRPr="0051245E">
        <w:t xml:space="preserve">, psychologist, or other allied health professional). </w:t>
      </w:r>
      <w:r w:rsidR="000E4336">
        <w:t xml:space="preserve">Proposed Facilitators will have knowledge in </w:t>
      </w:r>
      <w:r w:rsidR="0094033C">
        <w:t>T2DM</w:t>
      </w:r>
      <w:r w:rsidR="000E4336">
        <w:t xml:space="preserve"> in the course of their professional duties (e.g., nursing, exercise science, dietetics </w:t>
      </w:r>
      <w:proofErr w:type="spellStart"/>
      <w:r w:rsidR="000E4336">
        <w:t>etc</w:t>
      </w:r>
      <w:proofErr w:type="spellEnd"/>
      <w:r w:rsidR="000E4336">
        <w:t xml:space="preserve">). Diabetes educators trained in the SMA process can bring extra skills to the process. </w:t>
      </w:r>
      <w:r w:rsidRPr="0051245E">
        <w:t xml:space="preserve">The </w:t>
      </w:r>
      <w:r w:rsidRPr="00F779FD">
        <w:t>Facilitator</w:t>
      </w:r>
      <w:r w:rsidRPr="00DF6573">
        <w:t xml:space="preserve"> could act as the documenter for the shared medical appoin</w:t>
      </w:r>
      <w:r w:rsidRPr="00493232">
        <w:t xml:space="preserve">tment. Shared medical </w:t>
      </w:r>
      <w:r w:rsidRPr="00F12F1C">
        <w:t>appointments</w:t>
      </w:r>
      <w:r w:rsidRPr="00014EB1">
        <w:t xml:space="preserve"> bridge a gap between individual </w:t>
      </w:r>
      <w:r>
        <w:t>one-on-one</w:t>
      </w:r>
      <w:r w:rsidRPr="00014EB1">
        <w:t xml:space="preserve"> consultations</w:t>
      </w:r>
      <w:r>
        <w:t>,</w:t>
      </w:r>
      <w:r w:rsidRPr="00014EB1">
        <w:t xml:space="preserve"> </w:t>
      </w:r>
      <w:r>
        <w:t>which often lack time for the educational process,</w:t>
      </w:r>
      <w:r w:rsidRPr="00014EB1">
        <w:t xml:space="preserve"> and group education</w:t>
      </w:r>
      <w:r>
        <w:t xml:space="preserve">, which often lack medical input </w:t>
      </w:r>
      <w:r>
        <w:fldChar w:fldCharType="begin"/>
      </w:r>
      <w:r>
        <w:instrText xml:space="preserve"> ADDIN EN.CITE &lt;EndNote&gt;&lt;Cite&gt;&lt;Author&gt;Egger&lt;/Author&gt;&lt;Year&gt;2014&lt;/Year&gt;&lt;RecNum&gt;43&lt;/RecNum&gt;&lt;DisplayText&gt;[4]&lt;/DisplayText&gt;&lt;record&gt;&lt;rec-number&gt;43&lt;/rec-number&gt;&lt;foreign-keys&gt;&lt;key app="EN" db-id="edz5s99awvadpbexfxhvwe0ofp2svdwzsdpf" timestamp="1413242798"&gt;43&lt;/key&gt;&lt;/foreign-keys&gt;&lt;ref-type name="Journal Article"&gt;17&lt;/ref-type&gt;&lt;contributors&gt;&lt;authors&gt;&lt;author&gt;Egger, Garry&lt;/author&gt;&lt;author&gt;Binns, Andrew&lt;/author&gt;&lt;author&gt;Cole, Mary-Anne&lt;/author&gt;&lt;author&gt;Ewald, Dan&lt;/author&gt;&lt;author&gt;Davies, Lynne&lt;/author&gt;&lt;author&gt;Meldrum, Hamish&lt;/author&gt;&lt;author&gt;Stevens, John&lt;/author&gt;&lt;author&gt;Noffsinger, Ed&lt;/author&gt;&lt;/authors&gt;&lt;/contributors&gt;&lt;titles&gt;&lt;title&gt;Shared medical appointments-An adjunct for chronic disease management in Australia?&lt;/title&gt;&lt;secondary-title&gt;Australian family physician&lt;/secondary-title&gt;&lt;/titles&gt;&lt;periodical&gt;&lt;full-title&gt;Australian family physician&lt;/full-title&gt;&lt;/periodical&gt;&lt;pages&gt;151-154&lt;/pages&gt;&lt;volume&gt;43&lt;/volume&gt;&lt;number&gt;3&lt;/number&gt;&lt;dates&gt;&lt;year&gt;2014&lt;/year&gt;&lt;/dates&gt;&lt;isbn&gt;0300-8495&lt;/isbn&gt;&lt;urls&gt;&lt;/urls&gt;&lt;/record&gt;&lt;/Cite&gt;&lt;/EndNote&gt;</w:instrText>
      </w:r>
      <w:r>
        <w:fldChar w:fldCharType="separate"/>
      </w:r>
      <w:r>
        <w:rPr>
          <w:noProof/>
        </w:rPr>
        <w:t>[4]</w:t>
      </w:r>
      <w:r>
        <w:fldChar w:fldCharType="end"/>
      </w:r>
      <w:r w:rsidRPr="00014EB1">
        <w:t>.</w:t>
      </w:r>
      <w:r w:rsidRPr="00014EB1">
        <w:rPr>
          <w:rFonts w:ascii="Helvetica" w:eastAsia="Calibri" w:hAnsi="Helvetica" w:cs="Helvetica"/>
          <w:lang w:eastAsia="en-AU"/>
        </w:rPr>
        <w:t xml:space="preserve"> </w:t>
      </w:r>
    </w:p>
    <w:p w:rsidR="002E01E3" w:rsidRPr="00382F76" w:rsidRDefault="002E01E3" w:rsidP="002E01E3">
      <w:pPr>
        <w:rPr>
          <w:rFonts w:ascii="Arial" w:hAnsi="Arial" w:cs="Arial"/>
        </w:rPr>
      </w:pPr>
      <w:r>
        <w:t>Each shared medical a</w:t>
      </w:r>
      <w:r w:rsidRPr="00014EB1">
        <w:t xml:space="preserve">ppointment </w:t>
      </w:r>
      <w:r>
        <w:t>is expected to</w:t>
      </w:r>
      <w:r w:rsidRPr="00014EB1">
        <w:t xml:space="preserve"> last </w:t>
      </w:r>
      <w:r w:rsidR="0094033C">
        <w:t>up</w:t>
      </w:r>
      <w:r>
        <w:t xml:space="preserve"> to </w:t>
      </w:r>
      <w:r w:rsidR="0094033C">
        <w:t>1</w:t>
      </w:r>
      <w:r w:rsidR="00D95F43">
        <w:t>2</w:t>
      </w:r>
      <w:r w:rsidR="0094033C">
        <w:t>0</w:t>
      </w:r>
      <w:r>
        <w:t xml:space="preserve"> minutes</w:t>
      </w:r>
      <w:r w:rsidRPr="00014EB1">
        <w:t xml:space="preserve">. The GP is not necessarily present for the entire appointment, but is in attendance for </w:t>
      </w:r>
      <w:r>
        <w:t xml:space="preserve">up to </w:t>
      </w:r>
      <w:r w:rsidR="0094033C">
        <w:t>8</w:t>
      </w:r>
      <w:r>
        <w:t>0</w:t>
      </w:r>
      <w:r w:rsidRPr="00014EB1">
        <w:t xml:space="preserve"> minutes.</w:t>
      </w:r>
      <w:r>
        <w:t xml:space="preserve"> </w:t>
      </w:r>
      <w:r w:rsidRPr="00382F76">
        <w:t>The content and conduct of each shared appointment is expected to vary within a loose arrangement providing some structural consistency</w:t>
      </w:r>
      <w:r w:rsidRPr="00382F76">
        <w:rPr>
          <w:rFonts w:ascii="Calibri" w:hAnsi="Calibri" w:cs="Arial"/>
        </w:rPr>
        <w:t>.</w:t>
      </w:r>
    </w:p>
    <w:p w:rsidR="002E01E3" w:rsidRPr="00382F76" w:rsidRDefault="002E01E3" w:rsidP="002E01E3">
      <w:pPr>
        <w:rPr>
          <w:szCs w:val="22"/>
        </w:rPr>
      </w:pPr>
      <w:r w:rsidRPr="00382F76">
        <w:rPr>
          <w:szCs w:val="22"/>
        </w:rPr>
        <w:t>The indicative breakdown in time and health professional participation is provided below</w:t>
      </w:r>
      <w:r w:rsidR="00BE4F97">
        <w:rPr>
          <w:szCs w:val="22"/>
        </w:rPr>
        <w:t>. These components occur consecutively</w:t>
      </w:r>
      <w:r w:rsidR="00D95F43">
        <w:rPr>
          <w:szCs w:val="22"/>
        </w:rPr>
        <w:t xml:space="preserve"> but the total duration of the shared medical appointment is 120 minutes</w:t>
      </w:r>
      <w:r w:rsidRPr="00382F76">
        <w:rPr>
          <w:szCs w:val="22"/>
        </w:rPr>
        <w:t xml:space="preserve">: </w:t>
      </w:r>
    </w:p>
    <w:p w:rsidR="00D633D7" w:rsidRDefault="002E01E3" w:rsidP="002E01E3">
      <w:pPr>
        <w:numPr>
          <w:ilvl w:val="0"/>
          <w:numId w:val="25"/>
        </w:numPr>
        <w:rPr>
          <w:szCs w:val="22"/>
        </w:rPr>
      </w:pPr>
      <w:r w:rsidRPr="00382F76">
        <w:t xml:space="preserve">The Facilitator (usually but not necessarily a Practice Nurse) will use 20-30 minutes/per group to take vital signs and blood as necessary. This occurs in </w:t>
      </w:r>
      <w:r w:rsidRPr="00382F76">
        <w:rPr>
          <w:szCs w:val="22"/>
        </w:rPr>
        <w:t>a ‘break out’ room or a screen and can continue even after the doctor enters the room.</w:t>
      </w:r>
      <w:r w:rsidRPr="00382F76">
        <w:t xml:space="preserve"> Taking these measurements is not always necessary as many patients have recent records that can – with permission – be noted on the white board. The test results of patients who have signed a confidentiality agreement will be recorded on a white board in the room.  Patients will have the option to withdraw consent for their test results to be shared at any time during the appointment. </w:t>
      </w:r>
      <w:r w:rsidRPr="00382F76">
        <w:rPr>
          <w:szCs w:val="22"/>
        </w:rPr>
        <w:t>The Facilitator is responsible for group dynamics and encourages group discussion throughout the appointment.</w:t>
      </w:r>
    </w:p>
    <w:p w:rsidR="002E01E3" w:rsidRPr="00D633D7" w:rsidRDefault="00D633D7" w:rsidP="00D633D7">
      <w:pPr>
        <w:spacing w:after="0" w:line="240" w:lineRule="auto"/>
        <w:jc w:val="left"/>
        <w:rPr>
          <w:szCs w:val="22"/>
        </w:rPr>
      </w:pPr>
      <w:r>
        <w:rPr>
          <w:szCs w:val="22"/>
        </w:rPr>
        <w:br w:type="page"/>
      </w:r>
    </w:p>
    <w:p w:rsidR="002E01E3" w:rsidRPr="00382F76" w:rsidRDefault="002E01E3" w:rsidP="002E01E3">
      <w:pPr>
        <w:numPr>
          <w:ilvl w:val="0"/>
          <w:numId w:val="25"/>
        </w:numPr>
      </w:pPr>
      <w:r w:rsidRPr="00382F76">
        <w:lastRenderedPageBreak/>
        <w:t xml:space="preserve">The GP enters the room about 20 minutes into the meeting and would remain for up to </w:t>
      </w:r>
      <w:r w:rsidR="00443B7B">
        <w:t>8</w:t>
      </w:r>
      <w:r w:rsidRPr="00382F76">
        <w:t xml:space="preserve">0 minutes. The GP </w:t>
      </w:r>
      <w:r w:rsidRPr="00382F76">
        <w:rPr>
          <w:rFonts w:ascii="Arial" w:hAnsi="Arial" w:cs="Arial"/>
        </w:rPr>
        <w:t>conducts a standard medical consultation with patients sequentially, making sure that all patients are consulted within the time period available. Patients who require more specific or personalized attention can then be advised to come back for a personalized assessment outside the SMA if necessary</w:t>
      </w:r>
      <w:r w:rsidRPr="00382F76">
        <w:t xml:space="preserve">.  </w:t>
      </w:r>
    </w:p>
    <w:p w:rsidR="002E01E3" w:rsidRPr="00382F76" w:rsidRDefault="002E01E3" w:rsidP="002E01E3">
      <w:pPr>
        <w:numPr>
          <w:ilvl w:val="0"/>
          <w:numId w:val="25"/>
        </w:numPr>
      </w:pPr>
      <w:r w:rsidRPr="00382F76">
        <w:t xml:space="preserve">The GP leaves the room and the Facilitator continues the group discussion for between 20-30 minutes. </w:t>
      </w:r>
    </w:p>
    <w:p w:rsidR="002E01E3" w:rsidRDefault="002E01E3" w:rsidP="002E01E3">
      <w:pPr>
        <w:rPr>
          <w:szCs w:val="22"/>
        </w:rPr>
      </w:pPr>
      <w:r>
        <w:rPr>
          <w:szCs w:val="22"/>
        </w:rPr>
        <w:t>The documenter or Facilitator will detail medical records in real time. This would typically involve taking required chart notes as care is being delivered</w:t>
      </w:r>
      <w:r w:rsidRPr="00334587">
        <w:rPr>
          <w:szCs w:val="22"/>
        </w:rPr>
        <w:t xml:space="preserve">. </w:t>
      </w:r>
      <w:r w:rsidRPr="00646DCB">
        <w:rPr>
          <w:szCs w:val="22"/>
        </w:rPr>
        <w:t>Generally the doctor will advise what needs to be written, and this can include referrals and/or prescriptions, but is usually an update to the medical records. It is important that the doctor is not distracted from the consultation by</w:t>
      </w:r>
      <w:r>
        <w:rPr>
          <w:szCs w:val="22"/>
        </w:rPr>
        <w:t xml:space="preserve"> looking at a computer screen, </w:t>
      </w:r>
      <w:r w:rsidRPr="00646DCB">
        <w:rPr>
          <w:szCs w:val="22"/>
        </w:rPr>
        <w:t>except to check certain things, like medication use.</w:t>
      </w:r>
    </w:p>
    <w:p w:rsidR="002E01E3" w:rsidRDefault="002E01E3" w:rsidP="002E01E3">
      <w:pPr>
        <w:rPr>
          <w:szCs w:val="22"/>
        </w:rPr>
      </w:pPr>
      <w:r>
        <w:rPr>
          <w:szCs w:val="22"/>
        </w:rPr>
        <w:t>The group’s patient composition may stay constant over many appointments to aid familiarity, or it may vary.</w:t>
      </w:r>
    </w:p>
    <w:p w:rsidR="002E01E3" w:rsidRDefault="002E01E3" w:rsidP="002E01E3">
      <w:pPr>
        <w:rPr>
          <w:szCs w:val="22"/>
        </w:rPr>
      </w:pPr>
      <w:r w:rsidRPr="00A7243D">
        <w:rPr>
          <w:szCs w:val="22"/>
        </w:rPr>
        <w:t>Shared medical appointments are beginning to be used internationally in the management of chronic illnesses. Health outcomes for people with chronic illnesses often depend on self-directed strategies for a healthy lifestyle, vigilant and competent self-monitoring, and appropriate long-term management of medications. Shared medical appointments can</w:t>
      </w:r>
      <w:r w:rsidRPr="00DB2A61">
        <w:rPr>
          <w:szCs w:val="22"/>
        </w:rPr>
        <w:t xml:space="preserve"> increase the likelihood of these things happening in the following ways</w:t>
      </w:r>
      <w:r>
        <w:rPr>
          <w:szCs w:val="22"/>
        </w:rPr>
        <w:t xml:space="preserve"> </w:t>
      </w:r>
      <w:r>
        <w:rPr>
          <w:szCs w:val="22"/>
        </w:rPr>
        <w:fldChar w:fldCharType="begin"/>
      </w:r>
      <w:r>
        <w:rPr>
          <w:szCs w:val="22"/>
        </w:rPr>
        <w:instrText xml:space="preserve"> ADDIN EN.CITE &lt;EndNote&gt;&lt;Cite&gt;&lt;Author&gt;Egger&lt;/Author&gt;&lt;Year&gt;2014&lt;/Year&gt;&lt;RecNum&gt;43&lt;/RecNum&gt;&lt;DisplayText&gt;[4]&lt;/DisplayText&gt;&lt;record&gt;&lt;rec-number&gt;43&lt;/rec-number&gt;&lt;foreign-keys&gt;&lt;key app="EN" db-id="edz5s99awvadpbexfxhvwe0ofp2svdwzsdpf" timestamp="1413242798"&gt;43&lt;/key&gt;&lt;/foreign-keys&gt;&lt;ref-type name="Journal Article"&gt;17&lt;/ref-type&gt;&lt;contributors&gt;&lt;authors&gt;&lt;author&gt;Egger, Garry&lt;/author&gt;&lt;author&gt;Binns, Andrew&lt;/author&gt;&lt;author&gt;Cole, Mary-Anne&lt;/author&gt;&lt;author&gt;Ewald, Dan&lt;/author&gt;&lt;author&gt;Davies, Lynne&lt;/author&gt;&lt;author&gt;Meldrum, Hamish&lt;/author&gt;&lt;author&gt;Stevens, John&lt;/author&gt;&lt;author&gt;Noffsinger, Ed&lt;/author&gt;&lt;/authors&gt;&lt;/contributors&gt;&lt;titles&gt;&lt;title&gt;Shared medical appointments-An adjunct for chronic disease management in Australia?&lt;/title&gt;&lt;secondary-title&gt;Australian family physician&lt;/secondary-title&gt;&lt;/titles&gt;&lt;periodical&gt;&lt;full-title&gt;Australian family physician&lt;/full-title&gt;&lt;/periodical&gt;&lt;pages&gt;151-154&lt;/pages&gt;&lt;volume&gt;43&lt;/volume&gt;&lt;number&gt;3&lt;/number&gt;&lt;dates&gt;&lt;year&gt;2014&lt;/year&gt;&lt;/dates&gt;&lt;isbn&gt;0300-8495&lt;/isbn&gt;&lt;urls&gt;&lt;/urls&gt;&lt;/record&gt;&lt;/Cite&gt;&lt;/EndNote&gt;</w:instrText>
      </w:r>
      <w:r>
        <w:rPr>
          <w:szCs w:val="22"/>
        </w:rPr>
        <w:fldChar w:fldCharType="separate"/>
      </w:r>
      <w:r>
        <w:rPr>
          <w:noProof/>
          <w:szCs w:val="22"/>
        </w:rPr>
        <w:t>[4]</w:t>
      </w:r>
      <w:r>
        <w:rPr>
          <w:szCs w:val="22"/>
        </w:rPr>
        <w:fldChar w:fldCharType="end"/>
      </w:r>
      <w:r>
        <w:rPr>
          <w:szCs w:val="22"/>
        </w:rPr>
        <w:t>: They can function as a support group, allowing patients to share experiences and reinforce each other’s determination;</w:t>
      </w:r>
    </w:p>
    <w:p w:rsidR="002E01E3" w:rsidRPr="00CE58F7" w:rsidRDefault="002E01E3" w:rsidP="002E01E3">
      <w:pPr>
        <w:numPr>
          <w:ilvl w:val="0"/>
          <w:numId w:val="6"/>
        </w:numPr>
        <w:rPr>
          <w:szCs w:val="22"/>
        </w:rPr>
      </w:pPr>
      <w:r w:rsidRPr="00A7243D">
        <w:rPr>
          <w:szCs w:val="22"/>
        </w:rPr>
        <w:t>By listening to other patients, they can learn the answers to questions they had not thought to a</w:t>
      </w:r>
      <w:r w:rsidRPr="00CE58F7">
        <w:rPr>
          <w:szCs w:val="22"/>
        </w:rPr>
        <w:t>sk;</w:t>
      </w:r>
    </w:p>
    <w:p w:rsidR="002E01E3" w:rsidRPr="0051245E" w:rsidRDefault="002E01E3" w:rsidP="002E01E3">
      <w:pPr>
        <w:numPr>
          <w:ilvl w:val="0"/>
          <w:numId w:val="6"/>
        </w:numPr>
        <w:rPr>
          <w:szCs w:val="22"/>
        </w:rPr>
      </w:pPr>
      <w:r w:rsidRPr="0051245E">
        <w:rPr>
          <w:szCs w:val="22"/>
        </w:rPr>
        <w:t>They can receive attention from different expert health practitioners (including the doctor) in the same session. This may be prohibitively expensive in a single patient appointment;</w:t>
      </w:r>
    </w:p>
    <w:p w:rsidR="002E01E3" w:rsidRPr="00DF6573" w:rsidRDefault="002E01E3" w:rsidP="002E01E3">
      <w:pPr>
        <w:numPr>
          <w:ilvl w:val="0"/>
          <w:numId w:val="6"/>
        </w:numPr>
        <w:rPr>
          <w:szCs w:val="22"/>
        </w:rPr>
      </w:pPr>
      <w:r w:rsidRPr="00F779FD">
        <w:rPr>
          <w:szCs w:val="22"/>
        </w:rPr>
        <w:t>Patients set goals in front of the group, increasing accountability a</w:t>
      </w:r>
      <w:r w:rsidRPr="00DF6573">
        <w:rPr>
          <w:szCs w:val="22"/>
        </w:rPr>
        <w:t>nd receiving support and validation from the group;</w:t>
      </w:r>
    </w:p>
    <w:p w:rsidR="002E01E3" w:rsidRPr="00493232" w:rsidRDefault="002E01E3" w:rsidP="002E01E3">
      <w:pPr>
        <w:numPr>
          <w:ilvl w:val="0"/>
          <w:numId w:val="6"/>
        </w:numPr>
        <w:rPr>
          <w:szCs w:val="22"/>
        </w:rPr>
      </w:pPr>
      <w:r w:rsidRPr="00493232">
        <w:rPr>
          <w:szCs w:val="22"/>
        </w:rPr>
        <w:lastRenderedPageBreak/>
        <w:t>They can reduce the waiting time for a medical appointment; and</w:t>
      </w:r>
    </w:p>
    <w:p w:rsidR="002E01E3" w:rsidRPr="00493232" w:rsidRDefault="002E01E3" w:rsidP="002E01E3">
      <w:pPr>
        <w:numPr>
          <w:ilvl w:val="0"/>
          <w:numId w:val="6"/>
        </w:numPr>
        <w:rPr>
          <w:szCs w:val="22"/>
        </w:rPr>
      </w:pPr>
      <w:r w:rsidRPr="00493232">
        <w:rPr>
          <w:szCs w:val="22"/>
        </w:rPr>
        <w:t>They can make the medical appointment much more enjoyable for the patient.</w:t>
      </w:r>
    </w:p>
    <w:p w:rsidR="002E01E3" w:rsidRDefault="002E01E3" w:rsidP="002E01E3">
      <w:pPr>
        <w:rPr>
          <w:szCs w:val="22"/>
        </w:rPr>
      </w:pPr>
      <w:r w:rsidRPr="00790F31">
        <w:rPr>
          <w:szCs w:val="22"/>
        </w:rPr>
        <w:t>They can also be beneficial from the point of view of medical pra</w:t>
      </w:r>
      <w:r w:rsidRPr="003A7252">
        <w:rPr>
          <w:szCs w:val="22"/>
        </w:rPr>
        <w:t>ctitioners for the following reasons</w:t>
      </w:r>
      <w:r w:rsidRPr="00A7243D">
        <w:rPr>
          <w:szCs w:val="22"/>
        </w:rPr>
        <w:t>:</w:t>
      </w:r>
    </w:p>
    <w:p w:rsidR="002E01E3" w:rsidRDefault="002E01E3" w:rsidP="002E01E3">
      <w:pPr>
        <w:numPr>
          <w:ilvl w:val="0"/>
          <w:numId w:val="7"/>
        </w:numPr>
        <w:rPr>
          <w:szCs w:val="22"/>
        </w:rPr>
      </w:pPr>
      <w:r>
        <w:rPr>
          <w:szCs w:val="22"/>
        </w:rPr>
        <w:t>They reduce the need to repeat the same information to different patients on multiple appointments;</w:t>
      </w:r>
    </w:p>
    <w:p w:rsidR="002E01E3" w:rsidRPr="00F779FD" w:rsidRDefault="002E01E3" w:rsidP="002E01E3">
      <w:pPr>
        <w:numPr>
          <w:ilvl w:val="0"/>
          <w:numId w:val="7"/>
        </w:numPr>
        <w:rPr>
          <w:szCs w:val="22"/>
        </w:rPr>
      </w:pPr>
      <w:r w:rsidRPr="00A7243D">
        <w:rPr>
          <w:szCs w:val="22"/>
        </w:rPr>
        <w:t>They allow greater specialisation within the appointment, with doctors receiving help from the multidisciplinary team</w:t>
      </w:r>
      <w:r w:rsidRPr="00CE58F7">
        <w:rPr>
          <w:szCs w:val="22"/>
        </w:rPr>
        <w:t xml:space="preserve"> and enabling better coordinated care;</w:t>
      </w:r>
      <w:r w:rsidRPr="0051245E" w:rsidDel="00334587">
        <w:rPr>
          <w:szCs w:val="22"/>
        </w:rPr>
        <w:t xml:space="preserve"> </w:t>
      </w:r>
    </w:p>
    <w:p w:rsidR="000E4336" w:rsidRDefault="002E01E3" w:rsidP="002E01E3">
      <w:pPr>
        <w:numPr>
          <w:ilvl w:val="0"/>
          <w:numId w:val="7"/>
        </w:numPr>
        <w:rPr>
          <w:szCs w:val="22"/>
        </w:rPr>
      </w:pPr>
      <w:r w:rsidRPr="00DF6573">
        <w:rPr>
          <w:szCs w:val="22"/>
        </w:rPr>
        <w:t>They reduce costs by allowing patients to be seen more quickly and efficiently</w:t>
      </w:r>
      <w:r w:rsidRPr="00493232">
        <w:rPr>
          <w:szCs w:val="22"/>
        </w:rPr>
        <w:t xml:space="preserve"> than current</w:t>
      </w:r>
      <w:r w:rsidRPr="00A7243D">
        <w:rPr>
          <w:szCs w:val="22"/>
        </w:rPr>
        <w:t xml:space="preserve"> practice;</w:t>
      </w:r>
      <w:r w:rsidR="000E4336">
        <w:rPr>
          <w:szCs w:val="22"/>
        </w:rPr>
        <w:t xml:space="preserve"> and</w:t>
      </w:r>
    </w:p>
    <w:p w:rsidR="002E01E3" w:rsidRPr="00493232" w:rsidRDefault="002E01E3" w:rsidP="002E01E3">
      <w:pPr>
        <w:numPr>
          <w:ilvl w:val="0"/>
          <w:numId w:val="7"/>
        </w:numPr>
        <w:rPr>
          <w:szCs w:val="22"/>
        </w:rPr>
      </w:pPr>
      <w:r w:rsidRPr="0051245E">
        <w:rPr>
          <w:szCs w:val="22"/>
        </w:rPr>
        <w:t xml:space="preserve">They provide more time for the doctor </w:t>
      </w:r>
      <w:r w:rsidRPr="00F779FD">
        <w:rPr>
          <w:szCs w:val="22"/>
        </w:rPr>
        <w:t xml:space="preserve">(and Facilitator where appropriate) </w:t>
      </w:r>
      <w:r w:rsidRPr="00DF6573">
        <w:rPr>
          <w:szCs w:val="22"/>
        </w:rPr>
        <w:t xml:space="preserve">to contribute educational/prescriptive </w:t>
      </w:r>
      <w:r w:rsidRPr="00493232">
        <w:rPr>
          <w:szCs w:val="22"/>
        </w:rPr>
        <w:t>advice to the patient.</w:t>
      </w:r>
    </w:p>
    <w:p w:rsidR="002E01E3" w:rsidRPr="008B4C5C" w:rsidRDefault="002E01E3" w:rsidP="002E01E3">
      <w:pPr>
        <w:rPr>
          <w:color w:val="FF0000"/>
          <w:szCs w:val="22"/>
        </w:rPr>
      </w:pPr>
      <w:r>
        <w:rPr>
          <w:szCs w:val="22"/>
        </w:rPr>
        <w:t>Shared medical appointments</w:t>
      </w:r>
      <w:r w:rsidRPr="00644E26">
        <w:rPr>
          <w:szCs w:val="22"/>
        </w:rPr>
        <w:t xml:space="preserve"> are intended to complement the judicious use of individual consultations,</w:t>
      </w:r>
      <w:r>
        <w:rPr>
          <w:szCs w:val="22"/>
        </w:rPr>
        <w:t xml:space="preserve"> and cut back on the number of these required,</w:t>
      </w:r>
      <w:r w:rsidRPr="00644E26">
        <w:rPr>
          <w:szCs w:val="22"/>
        </w:rPr>
        <w:t xml:space="preserve"> rather than replace standard consultations.</w:t>
      </w:r>
      <w:r>
        <w:rPr>
          <w:szCs w:val="22"/>
        </w:rPr>
        <w:t xml:space="preserve"> They offer an adjunct model of care that may be more appropriate for chronic conditions and which may provide benefits for both clinicians and patients </w:t>
      </w:r>
      <w:r>
        <w:rPr>
          <w:szCs w:val="22"/>
        </w:rPr>
        <w:fldChar w:fldCharType="begin"/>
      </w:r>
      <w:r>
        <w:rPr>
          <w:szCs w:val="22"/>
        </w:rPr>
        <w:instrText xml:space="preserve"> ADDIN EN.CITE &lt;EndNote&gt;&lt;Cite&gt;&lt;Author&gt;Stevens&lt;/Author&gt;&lt;Year&gt;2014&lt;/Year&gt;&lt;RecNum&gt;119&lt;/RecNum&gt;&lt;DisplayText&gt;[2, 3]&lt;/DisplayText&gt;&lt;record&gt;&lt;rec-number&gt;119&lt;/rec-number&gt;&lt;foreign-keys&gt;&lt;key app="EN" db-id="edz5s99awvadpbexfxhvwe0ofp2svdwzsdpf" timestamp="1414025459"&gt;119&lt;/key&gt;&lt;/foreign-keys&gt;&lt;ref-type name="Journal Article"&gt;17&lt;/ref-type&gt;&lt;contributors&gt;&lt;authors&gt;&lt;author&gt;Stevens, J.&lt;/author&gt;&lt;author&gt;Cole, M-A.&lt;/author&gt;&lt;author&gt;Binns, A. &lt;/author&gt;&lt;author&gt;Dixon, J.&lt;/author&gt;&lt;author&gt;Egger, Garry&lt;/author&gt;&lt;/authors&gt;&lt;/contributors&gt;&lt;titles&gt;&lt;title&gt;A user assessment of the potential for shared medical appointments in Australia&lt;/title&gt;&lt;secondary-title&gt;Australian Family Physician &lt;/secondary-title&gt;&lt;/titles&gt;&lt;periodical&gt;&lt;full-title&gt;Australian family physician&lt;/full-title&gt;&lt;/periodical&gt;&lt;pages&gt;804-807&lt;/pages&gt;&lt;volume&gt;43&lt;/volume&gt;&lt;number&gt;11&lt;/number&gt;&lt;dates&gt;&lt;year&gt;2014&lt;/year&gt;&lt;/dates&gt;&lt;urls&gt;&lt;/urls&gt;&lt;/record&gt;&lt;/Cite&gt;&lt;Cite&gt;&lt;Author&gt;Egger&lt;/Author&gt;&lt;Year&gt;2015&lt;/Year&gt;&lt;RecNum&gt;125&lt;/RecNum&gt;&lt;record&gt;&lt;rec-number&gt;125&lt;/rec-number&gt;&lt;foreign-keys&gt;&lt;key app="EN" db-id="edz5s99awvadpbexfxhvwe0ofp2svdwzsdpf" timestamp="1421624413"&gt;125&lt;/key&gt;&lt;/foreign-keys&gt;&lt;ref-type name="Journal Article"&gt;17&lt;/ref-type&gt;&lt;contributors&gt;&lt;authors&gt;&lt;author&gt;Egger, Garry&lt;/author&gt;&lt;author&gt;Dixon, J.&lt;/author&gt;&lt;author&gt;Meldrum, Hamish&lt;/author&gt;&lt;author&gt;Binns, Andrew&lt;/author&gt;&lt;author&gt;Cole, Mary-Anne&lt;/author&gt;&lt;author&gt;Ewald, Dan&lt;/author&gt;&lt;author&gt;Stevens, John&lt;/author&gt;&lt;/authors&gt;&lt;/contributors&gt;&lt;titles&gt;&lt;title&gt;Patient and Provider Satisfaction with Shared medical appointments.&lt;/title&gt;&lt;secondary-title&gt;Australian family physician&lt;/secondary-title&gt;&lt;/titles&gt;&lt;periodical&gt;&lt;full-title&gt;Australian family physician&lt;/full-title&gt;&lt;/periodical&gt;&lt;volume&gt;(in press)&lt;/volume&gt;&lt;dates&gt;&lt;year&gt;2015&lt;/year&gt;&lt;/dates&gt;&lt;isbn&gt;0300-8495&lt;/isbn&gt;&lt;urls&gt;&lt;/urls&gt;&lt;/record&gt;&lt;/Cite&gt;&lt;/EndNote&gt;</w:instrText>
      </w:r>
      <w:r>
        <w:rPr>
          <w:szCs w:val="22"/>
        </w:rPr>
        <w:fldChar w:fldCharType="separate"/>
      </w:r>
      <w:r>
        <w:rPr>
          <w:noProof/>
          <w:szCs w:val="22"/>
        </w:rPr>
        <w:t>[2, 3]</w:t>
      </w:r>
      <w:r>
        <w:rPr>
          <w:szCs w:val="22"/>
        </w:rPr>
        <w:fldChar w:fldCharType="end"/>
      </w:r>
      <w:r>
        <w:rPr>
          <w:szCs w:val="22"/>
        </w:rPr>
        <w:t xml:space="preserve">. </w:t>
      </w:r>
      <w:r w:rsidRPr="00EA1D1D">
        <w:rPr>
          <w:szCs w:val="22"/>
        </w:rPr>
        <w:t>In particular it is believed that shared medical appointments may also be attractive for patients with low levels of health literacy, including the aged, migrant groups, the Indigenous and lower socioeconomic groups.</w:t>
      </w:r>
      <w:r>
        <w:rPr>
          <w:szCs w:val="22"/>
        </w:rPr>
        <w:t xml:space="preserve">  </w:t>
      </w:r>
    </w:p>
    <w:p w:rsidR="002E01E3" w:rsidRPr="00A07E7C" w:rsidRDefault="002E01E3" w:rsidP="002E01E3">
      <w:pPr>
        <w:pStyle w:val="Heading2"/>
      </w:pPr>
      <w:bookmarkStart w:id="17" w:name="_Toc420499059"/>
      <w:bookmarkStart w:id="18" w:name="_Toc410649133"/>
      <w:r>
        <w:t>Type</w:t>
      </w:r>
      <w:r w:rsidRPr="00A07E7C">
        <w:t xml:space="preserve"> 2</w:t>
      </w:r>
      <w:r>
        <w:t xml:space="preserve"> d</w:t>
      </w:r>
      <w:r w:rsidRPr="00A07E7C">
        <w:t>iabetes mellitus</w:t>
      </w:r>
      <w:r>
        <w:t xml:space="preserve"> (T2DM)</w:t>
      </w:r>
      <w:bookmarkEnd w:id="17"/>
      <w:r>
        <w:t xml:space="preserve"> </w:t>
      </w:r>
      <w:bookmarkEnd w:id="18"/>
    </w:p>
    <w:p w:rsidR="002E01E3" w:rsidRPr="00507F1F" w:rsidRDefault="002E01E3" w:rsidP="002E01E3">
      <w:pPr>
        <w:pStyle w:val="Heading2"/>
      </w:pPr>
      <w:bookmarkStart w:id="19" w:name="_Toc410649134"/>
      <w:bookmarkStart w:id="20" w:name="_Toc420499060"/>
      <w:r w:rsidRPr="00507F1F">
        <w:t>Burden of T2DM</w:t>
      </w:r>
      <w:bookmarkEnd w:id="19"/>
      <w:bookmarkEnd w:id="20"/>
    </w:p>
    <w:p w:rsidR="002E01E3" w:rsidRPr="00A7243D" w:rsidRDefault="002E01E3" w:rsidP="002E01E3">
      <w:pPr>
        <w:rPr>
          <w:szCs w:val="22"/>
        </w:rPr>
      </w:pPr>
      <w:r w:rsidRPr="00A7243D">
        <w:rPr>
          <w:szCs w:val="22"/>
        </w:rPr>
        <w:t>T2DM is a major public health issue in Australia and is a National Health Priority Area. T2DM is a chronic metabolic disor</w:t>
      </w:r>
      <w:r w:rsidRPr="00CE58F7">
        <w:rPr>
          <w:szCs w:val="22"/>
        </w:rPr>
        <w:t xml:space="preserve">der characterised by insulin resistance and hyperglycaemia. It is associated with hereditary and lifestyle factors, such as insufficient physical activity, poor diet, and being overweight or obese </w:t>
      </w:r>
      <w:r w:rsidRPr="00CE58F7">
        <w:rPr>
          <w:szCs w:val="22"/>
        </w:rPr>
        <w:fldChar w:fldCharType="begin"/>
      </w:r>
      <w:r w:rsidRPr="00A7243D">
        <w:rPr>
          <w:szCs w:val="22"/>
        </w:rPr>
        <w:instrText xml:space="preserve"> ADDIN EN.CITE &lt;EndNote&gt;&lt;Cite&gt;&lt;Author&gt;S.K.&lt;/Author&gt;&lt;Year&gt;2013&lt;/Year&gt;&lt;RecNum&gt;124&lt;/RecNum&gt;&lt;DisplayText&gt;[5]&lt;/DisplayText&gt;&lt;record&gt;&lt;rec-number&gt;124&lt;/rec-number&gt;&lt;foreign-keys&gt;&lt;key app="EN" db-id="edz5s99awvadpbexfxhvwe0ofp2svdwzsdpf" timestamp="1415770211"&gt;124&lt;/key&gt;&lt;/foreign-keys&gt;&lt;ref-type name="Report"&gt;27&lt;/ref-type&gt;&lt;contributors&gt;&lt;authors&gt;&lt;author&gt;Tanamas S.K.&lt;/author&gt;&lt;author&gt;Magliano, D. J.&lt;/author&gt;&lt;author&gt;Lynch, B.&lt;/author&gt;&lt;author&gt;Sethi, P.&lt;/author&gt;&lt;author&gt;Wilenberg, L.&lt;/author&gt;&lt;author&gt;Polkinghorne, K.R.&lt;/author&gt;&lt;author&gt;Chadban, S.&lt;/author&gt;&lt;author&gt;Dunstan, David W&lt;/author&gt;&lt;author&gt;Shaw, J.E.&lt;/author&gt;&lt;/authors&gt;&lt;/contributors&gt;&lt;titles&gt;&lt;title&gt;The Australian Diabetes, Obesity and Lifestyle Study.&lt;/title&gt;&lt;/titles&gt;&lt;dates&gt;&lt;year&gt;2013&lt;/year&gt;&lt;/dates&gt;&lt;pub-location&gt;Melbourne&lt;/pub-location&gt;&lt;publisher&gt;Baker IDI Heart and Diabetes Insitute &lt;/publisher&gt;&lt;urls&gt;&lt;/urls&gt;&lt;/record&gt;&lt;/Cite&gt;&lt;/EndNote&gt;</w:instrText>
      </w:r>
      <w:r w:rsidRPr="00CE58F7">
        <w:rPr>
          <w:szCs w:val="22"/>
        </w:rPr>
        <w:fldChar w:fldCharType="separate"/>
      </w:r>
      <w:r w:rsidRPr="00CE58F7">
        <w:rPr>
          <w:noProof/>
          <w:szCs w:val="22"/>
        </w:rPr>
        <w:t>[5]</w:t>
      </w:r>
      <w:r w:rsidRPr="00CE58F7">
        <w:rPr>
          <w:szCs w:val="22"/>
        </w:rPr>
        <w:fldChar w:fldCharType="end"/>
      </w:r>
      <w:r w:rsidRPr="00A7243D">
        <w:rPr>
          <w:szCs w:val="22"/>
        </w:rPr>
        <w:t xml:space="preserve">. </w:t>
      </w:r>
    </w:p>
    <w:p w:rsidR="00D633D7" w:rsidRDefault="00D633D7">
      <w:pPr>
        <w:spacing w:after="0" w:line="240" w:lineRule="auto"/>
        <w:jc w:val="left"/>
        <w:rPr>
          <w:szCs w:val="22"/>
        </w:rPr>
      </w:pPr>
      <w:r>
        <w:rPr>
          <w:szCs w:val="22"/>
        </w:rPr>
        <w:br w:type="page"/>
      </w:r>
    </w:p>
    <w:p w:rsidR="002E01E3" w:rsidRPr="00A7243D" w:rsidRDefault="002E01E3" w:rsidP="002E01E3">
      <w:pPr>
        <w:rPr>
          <w:szCs w:val="22"/>
        </w:rPr>
      </w:pPr>
      <w:r w:rsidRPr="00CE58F7">
        <w:rPr>
          <w:szCs w:val="22"/>
        </w:rPr>
        <w:lastRenderedPageBreak/>
        <w:t xml:space="preserve">T2DM is an increasing public health problem throughout the world </w:t>
      </w:r>
      <w:r w:rsidRPr="00CE58F7">
        <w:rPr>
          <w:szCs w:val="22"/>
        </w:rPr>
        <w:fldChar w:fldCharType="begin"/>
      </w:r>
      <w:r w:rsidRPr="00A7243D">
        <w:rPr>
          <w:szCs w:val="22"/>
        </w:rPr>
        <w:instrText xml:space="preserve"> ADDIN EN.CITE &lt;EndNote&gt;&lt;Cite&gt;&lt;Author&gt;Hu&lt;/Author&gt;&lt;Year&gt;2011&lt;/Year&gt;&lt;RecNum&gt;21&lt;/RecNum&gt;&lt;DisplayText&gt;[6]&lt;/DisplayText&gt;&lt;record&gt;&lt;rec-number&gt;21&lt;/rec-number&gt;&lt;foreign-keys&gt;&lt;key app="EN" db-id="edz5s99awvadpbexfxhvwe0ofp2svdwzsdpf" timestamp="0"&gt;21&lt;/key&gt;&lt;/foreign-keys&gt;&lt;ref-type name="Journal Article"&gt;17&lt;/ref-type&gt;&lt;contributors&gt;&lt;authors&gt;&lt;author&gt;Hu, F. B.&lt;/author&gt;&lt;/authors&gt;&lt;/contributors&gt;&lt;auth-address&gt;Department of Nutrition, Harvard School of Public Health, Boston, Massachusetts, USA. frank.hu@channing.harvard.edu&lt;/auth-address&gt;&lt;titles&gt;&lt;title&gt;Globalization of diabetes: the role of diet, lifestyle, and genes&lt;/title&gt;&lt;secondary-title&gt;Diabetes Care&lt;/secondary-title&gt;&lt;/titles&gt;&lt;periodical&gt;&lt;full-title&gt;Diabetes care&lt;/full-title&gt;&lt;/periodical&gt;&lt;pages&gt;1249-57&lt;/pages&gt;&lt;volume&gt;34&lt;/volume&gt;&lt;number&gt;6&lt;/number&gt;&lt;edition&gt;2011/05/28&lt;/edition&gt;&lt;keywords&gt;&lt;keyword&gt;Adult&lt;/keyword&gt;&lt;keyword&gt;Alcohol Drinking/adverse effects&lt;/keyword&gt;&lt;keyword&gt;Asia/epidemiology&lt;/keyword&gt;&lt;keyword&gt;Asian Continental Ancestry Group/genetics&lt;/keyword&gt;&lt;keyword&gt;Developing Countries&lt;/keyword&gt;&lt;keyword&gt;Diabetes Mellitus, Type 2/ epidemiology/ genetics/prevention &amp;amp; control&lt;/keyword&gt;&lt;keyword&gt;Diet/ adverse effects&lt;/keyword&gt;&lt;keyword&gt;Dietary Carbohydrates/adverse effects&lt;/keyword&gt;&lt;keyword&gt;Exercise/physiology&lt;/keyword&gt;&lt;keyword&gt;Genetic Association Studies&lt;/keyword&gt;&lt;keyword&gt;Genetic Predisposition to Disease&lt;/keyword&gt;&lt;keyword&gt;Health Promotion&lt;/keyword&gt;&lt;keyword&gt;Humans&lt;/keyword&gt;&lt;keyword&gt;Inflammation/complications&lt;/keyword&gt;&lt;keyword&gt;Insulin Resistance&lt;/keyword&gt;&lt;keyword&gt;Life Style&lt;/keyword&gt;&lt;keyword&gt;Motor Activity&lt;/keyword&gt;&lt;keyword&gt;Prevalence&lt;/keyword&gt;&lt;keyword&gt;Smoking/adverse effects&lt;/keyword&gt;&lt;/keywords&gt;&lt;dates&gt;&lt;year&gt;2011&lt;/year&gt;&lt;pub-dates&gt;&lt;date&gt;Jun&lt;/date&gt;&lt;/pub-dates&gt;&lt;/dates&gt;&lt;isbn&gt;1935-5548 (Electronic)&amp;#xD;0149-5992 (Linking)&lt;/isbn&gt;&lt;accession-num&gt;21617109&lt;/accession-num&gt;&lt;urls&gt;&lt;/urls&gt;&lt;custom2&gt;3114340&lt;/custom2&gt;&lt;electronic-resource-num&gt;34/6/1249 [pii]&amp;#xD;10.2337/dc11-0442 [doi]&lt;/electronic-resource-num&gt;&lt;remote-database-provider&gt;Nlm&lt;/remote-database-provider&gt;&lt;language&gt;eng&lt;/language&gt;&lt;/record&gt;&lt;/Cite&gt;&lt;/EndNote&gt;</w:instrText>
      </w:r>
      <w:r w:rsidRPr="00CE58F7">
        <w:rPr>
          <w:szCs w:val="22"/>
        </w:rPr>
        <w:fldChar w:fldCharType="separate"/>
      </w:r>
      <w:r w:rsidRPr="00CE58F7">
        <w:rPr>
          <w:noProof/>
          <w:szCs w:val="22"/>
        </w:rPr>
        <w:t>[6]</w:t>
      </w:r>
      <w:r w:rsidRPr="00CE58F7">
        <w:rPr>
          <w:szCs w:val="22"/>
        </w:rPr>
        <w:fldChar w:fldCharType="end"/>
      </w:r>
      <w:r w:rsidRPr="00A7243D">
        <w:rPr>
          <w:szCs w:val="22"/>
        </w:rPr>
        <w:t xml:space="preserve">, as well as in Australia, where it is estimated that more than one million people suffer from the disease, and </w:t>
      </w:r>
      <w:r w:rsidRPr="00CE58F7">
        <w:rPr>
          <w:szCs w:val="22"/>
        </w:rPr>
        <w:t xml:space="preserve">another 3.4 million may have pre-diabetes </w:t>
      </w:r>
      <w:r w:rsidRPr="00CE58F7">
        <w:rPr>
          <w:szCs w:val="22"/>
        </w:rPr>
        <w:fldChar w:fldCharType="begin"/>
      </w:r>
      <w:r w:rsidRPr="00A7243D">
        <w:rPr>
          <w:szCs w:val="22"/>
        </w:rPr>
        <w:instrText xml:space="preserve"> ADDIN EN.CITE &lt;EndNote&gt;&lt;Cite&gt;&lt;Author&gt;Health&lt;/Author&gt;&lt;Year&gt;2006&lt;/Year&gt;&lt;RecNum&gt;65&lt;/RecNum&gt;&lt;DisplayText&gt;[7]&lt;/DisplayText&gt;&lt;record&gt;&lt;rec-number&gt;65&lt;/rec-number&gt;&lt;foreign-keys&gt;&lt;key app="EN" db-id="edz5s99awvadpbexfxhvwe0ofp2svdwzsdpf" timestamp="1413343754"&gt;65&lt;/key&gt;&lt;/foreign-keys&gt;&lt;ref-type name="Book"&gt;6&lt;/ref-type&gt;&lt;contributors&gt;&lt;authors&gt;&lt;author&gt;National Health&lt;/author&gt;&lt;author&gt;Medical Research Council&lt;/author&gt;&lt;author&gt;Barr, ELM&lt;/author&gt;&lt;/authors&gt;&lt;/contributors&gt;&lt;titles&gt;&lt;title&gt;AusDiab 2005: the Australian Diabetes, Obesity and Lifestyle Study: tracking the accelerating epidemic: its causes and outcomes&lt;/title&gt;&lt;/titles&gt;&lt;dates&gt;&lt;year&gt;2006&lt;/year&gt;&lt;/dates&gt;&lt;publisher&gt;International Diabetes Institute&lt;/publisher&gt;&lt;isbn&gt;0646459392&lt;/isbn&gt;&lt;urls&gt;&lt;/urls&gt;&lt;/record&gt;&lt;/Cite&gt;&lt;/EndNote&gt;</w:instrText>
      </w:r>
      <w:r w:rsidRPr="00CE58F7">
        <w:rPr>
          <w:szCs w:val="22"/>
        </w:rPr>
        <w:fldChar w:fldCharType="separate"/>
      </w:r>
      <w:r w:rsidRPr="00CE58F7">
        <w:rPr>
          <w:noProof/>
          <w:szCs w:val="22"/>
        </w:rPr>
        <w:t>[7]</w:t>
      </w:r>
      <w:r w:rsidRPr="00CE58F7">
        <w:rPr>
          <w:szCs w:val="22"/>
        </w:rPr>
        <w:fldChar w:fldCharType="end"/>
      </w:r>
      <w:r w:rsidRPr="00A7243D">
        <w:rPr>
          <w:szCs w:val="22"/>
        </w:rPr>
        <w:t xml:space="preserve">. </w:t>
      </w:r>
      <w:r w:rsidRPr="00A7243D">
        <w:rPr>
          <w:szCs w:val="22"/>
        </w:rPr>
        <w:softHyphen/>
      </w:r>
      <w:r w:rsidRPr="00A7243D">
        <w:rPr>
          <w:szCs w:val="22"/>
        </w:rPr>
        <w:softHyphen/>
        <w:t xml:space="preserve">In Australia, T2DM adds an additional $14.6 billion per year to total healthcare costs </w:t>
      </w:r>
      <w:r w:rsidRPr="00CE58F7">
        <w:rPr>
          <w:szCs w:val="22"/>
        </w:rPr>
        <w:fldChar w:fldCharType="begin"/>
      </w:r>
      <w:r w:rsidRPr="00A7243D">
        <w:rPr>
          <w:szCs w:val="22"/>
        </w:rPr>
        <w:instrText xml:space="preserve"> ADDIN EN.CITE &lt;EndNote&gt;&lt;Cite&gt;&lt;Author&gt;Crystal Man Ying Lee&lt;/Author&gt;&lt;Year&gt;2012&lt;/Year&gt;&lt;RecNum&gt;69&lt;/RecNum&gt;&lt;DisplayText&gt;[8]&lt;/DisplayText&gt;&lt;record&gt;&lt;rec-number&gt;69&lt;/rec-number&gt;&lt;foreign-keys&gt;&lt;key app="EN" db-id="edz5s99awvadpbexfxhvwe0ofp2svdwzsdpf" timestamp="1413353759"&gt;69&lt;/key&gt;&lt;/foreign-keys&gt;&lt;ref-type name="Journal Article"&gt;17&lt;/ref-type&gt;&lt;contributors&gt;&lt;authors&gt;&lt;author&gt;Crystal Man Ying Lee, Ruth Colagiuri, Dianna J. Magliano, Adrian J. Cameron, Jonathan Shaw, Paul Zimmet, Stephen Colagiuria&lt;/author&gt;&lt;/authors&gt;&lt;/contributors&gt;&lt;titles&gt;&lt;title&gt;The cost of diabetes in adults in Australia&lt;/title&gt;&lt;secondary-title&gt;Diabetes Research and Clinical Practice&lt;/secondary-title&gt;&lt;/titles&gt;&lt;periodical&gt;&lt;full-title&gt;Diabetes research and clinical practice&lt;/full-title&gt;&lt;/periodical&gt;&lt;pages&gt;385-390&lt;/pages&gt;&lt;volume&gt;99&lt;/volume&gt;&lt;number&gt;3&lt;/number&gt;&lt;dates&gt;&lt;year&gt;2012&lt;/year&gt;&lt;/dates&gt;&lt;urls&gt;&lt;/urls&gt;&lt;electronic-resource-num&gt;10.1016/j.diabres.2012.12.002&lt;/electronic-resource-num&gt;&lt;/record&gt;&lt;/Cite&gt;&lt;/EndNote&gt;</w:instrText>
      </w:r>
      <w:r w:rsidRPr="00CE58F7">
        <w:rPr>
          <w:szCs w:val="22"/>
        </w:rPr>
        <w:fldChar w:fldCharType="separate"/>
      </w:r>
      <w:r w:rsidRPr="00CE58F7">
        <w:rPr>
          <w:noProof/>
          <w:szCs w:val="22"/>
        </w:rPr>
        <w:t>[8]</w:t>
      </w:r>
      <w:r w:rsidRPr="00CE58F7">
        <w:rPr>
          <w:szCs w:val="22"/>
        </w:rPr>
        <w:fldChar w:fldCharType="end"/>
      </w:r>
      <w:r w:rsidRPr="00A7243D">
        <w:rPr>
          <w:szCs w:val="22"/>
        </w:rPr>
        <w:t xml:space="preserve">. </w:t>
      </w:r>
    </w:p>
    <w:p w:rsidR="002E01E3" w:rsidRDefault="002E01E3" w:rsidP="002E01E3">
      <w:pPr>
        <w:rPr>
          <w:szCs w:val="22"/>
        </w:rPr>
      </w:pPr>
      <w:r w:rsidRPr="00CE58F7">
        <w:rPr>
          <w:szCs w:val="22"/>
        </w:rPr>
        <w:t xml:space="preserve">In 2012, the cost for a person with T2DM without complications was estimated at $4,025 per year, but this rose to $9,645 if the person developed </w:t>
      </w:r>
      <w:proofErr w:type="spellStart"/>
      <w:r w:rsidRPr="00CE58F7">
        <w:rPr>
          <w:szCs w:val="22"/>
        </w:rPr>
        <w:t>macrovascular</w:t>
      </w:r>
      <w:proofErr w:type="spellEnd"/>
      <w:r w:rsidRPr="00CE58F7">
        <w:rPr>
          <w:szCs w:val="22"/>
        </w:rPr>
        <w:t xml:space="preserve"> complicati</w:t>
      </w:r>
      <w:r w:rsidRPr="0051245E">
        <w:rPr>
          <w:szCs w:val="22"/>
        </w:rPr>
        <w:t>ons</w:t>
      </w:r>
      <w:r w:rsidRPr="00F779FD">
        <w:t xml:space="preserve"> </w:t>
      </w:r>
      <w:r w:rsidRPr="00CE58F7">
        <w:rPr>
          <w:szCs w:val="22"/>
        </w:rPr>
        <w:fldChar w:fldCharType="begin"/>
      </w:r>
      <w:r w:rsidRPr="00A7243D">
        <w:rPr>
          <w:szCs w:val="22"/>
        </w:rPr>
        <w:instrText xml:space="preserve"> ADDIN EN.CITE &lt;EndNote&gt;&lt;Cite&gt;&lt;Author&gt;Shaw&lt;/Author&gt;&lt;Year&gt;2012&lt;/Year&gt;&lt;RecNum&gt;67&lt;/RecNum&gt;&lt;DisplayText&gt;[9]&lt;/DisplayText&gt;&lt;record&gt;&lt;rec-number&gt;67&lt;/rec-number&gt;&lt;foreign-keys&gt;&lt;key app="EN" db-id="edz5s99awvadpbexfxhvwe0ofp2svdwzsdpf" timestamp="1413345547"&gt;67&lt;/key&gt;&lt;/foreign-keys&gt;&lt;ref-type name="Book"&gt;6&lt;/ref-type&gt;&lt;contributors&gt;&lt;authors&gt;&lt;author&gt;Shaw, Jonathan&lt;/author&gt;&lt;/authors&gt;&lt;/contributors&gt;&lt;titles&gt;&lt;title&gt;Diabetes: the silent pandemic and its impact on Australia&lt;/title&gt;&lt;/titles&gt;&lt;dates&gt;&lt;year&gt;2012&lt;/year&gt;&lt;/dates&gt;&lt;publisher&gt;Baker IDI Heart &amp;amp; Diabetes Institute&lt;/publisher&gt;&lt;urls&gt;&lt;/urls&gt;&lt;/record&gt;&lt;/Cite&gt;&lt;/EndNote&gt;</w:instrText>
      </w:r>
      <w:r w:rsidRPr="00CE58F7">
        <w:rPr>
          <w:szCs w:val="22"/>
        </w:rPr>
        <w:fldChar w:fldCharType="separate"/>
      </w:r>
      <w:r w:rsidRPr="00CE58F7">
        <w:rPr>
          <w:noProof/>
          <w:szCs w:val="22"/>
        </w:rPr>
        <w:t>[9]</w:t>
      </w:r>
      <w:r w:rsidRPr="00CE58F7">
        <w:rPr>
          <w:szCs w:val="22"/>
        </w:rPr>
        <w:fldChar w:fldCharType="end"/>
      </w:r>
      <w:r w:rsidRPr="00A7243D">
        <w:rPr>
          <w:szCs w:val="22"/>
        </w:rPr>
        <w:t>.</w:t>
      </w:r>
      <w:r w:rsidRPr="00F12F1C">
        <w:rPr>
          <w:szCs w:val="22"/>
        </w:rPr>
        <w:t xml:space="preserve"> </w:t>
      </w:r>
      <w:r w:rsidRPr="00A7243D">
        <w:rPr>
          <w:szCs w:val="22"/>
        </w:rPr>
        <w:t>Hospital separations where the primary cause was diabetes (all types, though T2DM constitutes the majority) rose from 31,135 in 1997 to 66,716 in 200</w:t>
      </w:r>
      <w:r w:rsidRPr="00CE58F7">
        <w:rPr>
          <w:szCs w:val="22"/>
        </w:rPr>
        <w:t xml:space="preserve">4 </w:t>
      </w:r>
      <w:r w:rsidRPr="00CE58F7">
        <w:rPr>
          <w:szCs w:val="22"/>
        </w:rPr>
        <w:fldChar w:fldCharType="begin"/>
      </w:r>
      <w:r w:rsidRPr="00A7243D">
        <w:rPr>
          <w:szCs w:val="22"/>
        </w:rPr>
        <w:instrText xml:space="preserve"> ADDIN EN.CITE &lt;EndNote&gt;&lt;Cite&gt;&lt;Author&gt;O’Brien K&lt;/Author&gt;&lt;Year&gt;2006&lt;/Year&gt;&lt;RecNum&gt;68&lt;/RecNum&gt;&lt;DisplayText&gt;[10]&lt;/DisplayText&gt;&lt;record&gt;&lt;rec-number&gt;68&lt;/rec-number&gt;&lt;foreign-keys&gt;&lt;key app="EN" db-id="edz5s99awvadpbexfxhvwe0ofp2svdwzsdpf" timestamp="1413349652"&gt;68&lt;/key&gt;&lt;/foreign-keys&gt;&lt;ref-type name="Journal Article"&gt;17&lt;/ref-type&gt;&lt;contributors&gt;&lt;authors&gt;&lt;author&gt;O’Brien K, Thow AM &amp;amp; Ofei S &lt;/author&gt;&lt;/authors&gt;&lt;/contributors&gt;&lt;titles&gt;&lt;title&gt; Diabetes hospitalisations in Australia, 2003–04. &lt;/title&gt;&lt;secondary-title&gt;AIHW&lt;/secondary-title&gt;&lt;/titles&gt;&lt;periodical&gt;&lt;full-title&gt;AIHW&lt;/full-title&gt;&lt;/periodical&gt;&lt;volume&gt;Bulletin no. 47. Cat. no. 84&lt;/volume&gt;&lt;dates&gt;&lt;year&gt;2006&lt;/year&gt;&lt;/dates&gt;&lt;urls&gt;&lt;/urls&gt;&lt;/record&gt;&lt;/Cite&gt;&lt;/EndNote&gt;</w:instrText>
      </w:r>
      <w:r w:rsidRPr="00CE58F7">
        <w:rPr>
          <w:szCs w:val="22"/>
        </w:rPr>
        <w:fldChar w:fldCharType="separate"/>
      </w:r>
      <w:r w:rsidRPr="00CE58F7">
        <w:rPr>
          <w:noProof/>
          <w:szCs w:val="22"/>
        </w:rPr>
        <w:t>[10]</w:t>
      </w:r>
      <w:r w:rsidRPr="00CE58F7">
        <w:rPr>
          <w:szCs w:val="22"/>
        </w:rPr>
        <w:fldChar w:fldCharType="end"/>
      </w:r>
      <w:r w:rsidRPr="00A7243D">
        <w:rPr>
          <w:szCs w:val="22"/>
        </w:rPr>
        <w:t>. To the year ending June 2012, the total cost o</w:t>
      </w:r>
      <w:r w:rsidRPr="00CE58F7">
        <w:rPr>
          <w:szCs w:val="22"/>
        </w:rPr>
        <w:t xml:space="preserve">f PBS-listed diabetes medications (all types, though T2DM constitutes the majority) was $470 million </w:t>
      </w:r>
      <w:r w:rsidRPr="00CE58F7">
        <w:rPr>
          <w:szCs w:val="22"/>
        </w:rPr>
        <w:fldChar w:fldCharType="begin"/>
      </w:r>
      <w:r w:rsidRPr="00A7243D">
        <w:rPr>
          <w:szCs w:val="22"/>
        </w:rPr>
        <w:instrText xml:space="preserve"> ADDIN EN.CITE &lt;EndNote&gt;&lt;Cite&gt;&lt;Author&gt;PBS&lt;/Author&gt;&lt;Year&gt;2012&lt;/Year&gt;&lt;RecNum&gt;79&lt;/RecNum&gt;&lt;DisplayText&gt;[11]&lt;/DisplayText&gt;&lt;record&gt;&lt;rec-number&gt;79&lt;/rec-number&gt;&lt;foreign-keys&gt;&lt;key app="EN" db-id="edz5s99awvadpbexfxhvwe0ofp2svdwzsdpf" timestamp="1413526675"&gt;79&lt;/key&gt;&lt;/foreign-keys&gt;&lt;ref-type name="Journal Article"&gt;17&lt;/ref-type&gt;&lt;contributors&gt;&lt;authors&gt;&lt;author&gt;PBS&lt;/author&gt;&lt;/authors&gt;&lt;/contributors&gt;&lt;titles&gt;&lt;title&gt;PBS Expenditure and Prescriptions&lt;/title&gt;&lt;secondary-title&gt;Australian Government Department of Health&lt;/secondary-title&gt;&lt;/titles&gt;&lt;periodical&gt;&lt;full-title&gt;Australian Government Department of Health&lt;/full-title&gt;&lt;/periodical&gt;&lt;dates&gt;&lt;year&gt;2012&lt;/year&gt;&lt;/dates&gt;&lt;urls&gt;&lt;/urls&gt;&lt;/record&gt;&lt;/Cite&gt;&lt;/EndNote&gt;</w:instrText>
      </w:r>
      <w:r w:rsidRPr="00CE58F7">
        <w:rPr>
          <w:szCs w:val="22"/>
        </w:rPr>
        <w:fldChar w:fldCharType="separate"/>
      </w:r>
      <w:r w:rsidRPr="00CE58F7">
        <w:rPr>
          <w:noProof/>
          <w:szCs w:val="22"/>
        </w:rPr>
        <w:t>[11]</w:t>
      </w:r>
      <w:r w:rsidRPr="00CE58F7">
        <w:rPr>
          <w:szCs w:val="22"/>
        </w:rPr>
        <w:fldChar w:fldCharType="end"/>
      </w:r>
      <w:r w:rsidRPr="00A7243D">
        <w:rPr>
          <w:szCs w:val="22"/>
        </w:rPr>
        <w:t>.</w:t>
      </w:r>
    </w:p>
    <w:p w:rsidR="002E01E3" w:rsidRDefault="002E01E3" w:rsidP="002E01E3">
      <w:pPr>
        <w:rPr>
          <w:szCs w:val="22"/>
        </w:rPr>
      </w:pPr>
      <w:r>
        <w:rPr>
          <w:szCs w:val="22"/>
        </w:rPr>
        <w:t xml:space="preserve">Diabetes was the underlying cause in 3% of all deaths in Australia in 2011. Of these, 91% were from either T2DM or the type of diabetes was not specified. In 10% of cases, diabetes was listed as either an underlying or associated cause of death. Death rates from diabetes (where diabetes is listed as the underlying or associated cause of death) have remained practically unchanged over the last 30 years </w:t>
      </w:r>
      <w:r>
        <w:rPr>
          <w:szCs w:val="22"/>
        </w:rPr>
        <w:fldChar w:fldCharType="begin"/>
      </w:r>
      <w:r>
        <w:rPr>
          <w:szCs w:val="22"/>
        </w:rPr>
        <w:instrText xml:space="preserve"> ADDIN EN.CITE &lt;EndNote&gt;&lt;Cite&gt;&lt;Year&gt;2014&lt;/Year&gt;&lt;RecNum&gt;131&lt;/RecNum&gt;&lt;DisplayText&gt;[12]&lt;/DisplayText&gt;&lt;record&gt;&lt;rec-number&gt;131&lt;/rec-number&gt;&lt;foreign-keys&gt;&lt;key app="EN" db-id="edz5s99awvadpbexfxhvwe0ofp2svdwzsdpf" timestamp="1414467486"&gt;131&lt;/key&gt;&lt;/foreign-keys&gt;&lt;ref-type name="Government Document"&gt;46&lt;/ref-type&gt;&lt;contributors&gt;&lt;secondary-authors&gt;&lt;author&gt;Australian Institute of Health and Welfare&lt;/author&gt;&lt;/secondary-authors&gt;&lt;/contributors&gt;&lt;titles&gt;&lt;title&gt;Cardiovascular disease, diabetes and chronic kidney disease—&amp;#xD;Australian facts: Mortality.&lt;/title&gt;&lt;tertiary-title&gt;Cardiovascular, diabetes and chronic kidney disease series no. 1. Cat. no.CDK 1.&lt;/tertiary-title&gt;&lt;/titles&gt;&lt;dates&gt;&lt;year&gt;2014&lt;/year&gt;&lt;/dates&gt;&lt;pub-location&gt;Canberra: AIHW.&lt;/pub-location&gt;&lt;urls&gt;&lt;/urls&gt;&lt;/record&gt;&lt;/Cite&gt;&lt;/EndNote&gt;</w:instrText>
      </w:r>
      <w:r>
        <w:rPr>
          <w:szCs w:val="22"/>
        </w:rPr>
        <w:fldChar w:fldCharType="separate"/>
      </w:r>
      <w:r>
        <w:rPr>
          <w:noProof/>
          <w:szCs w:val="22"/>
        </w:rPr>
        <w:t>[12]</w:t>
      </w:r>
      <w:r>
        <w:rPr>
          <w:szCs w:val="22"/>
        </w:rPr>
        <w:fldChar w:fldCharType="end"/>
      </w:r>
      <w:r>
        <w:rPr>
          <w:szCs w:val="22"/>
        </w:rPr>
        <w:t>.</w:t>
      </w:r>
      <w:r w:rsidRPr="006D5ECA">
        <w:rPr>
          <w:szCs w:val="22"/>
        </w:rPr>
        <w:t xml:space="preserve"> </w:t>
      </w:r>
      <w:r>
        <w:rPr>
          <w:szCs w:val="22"/>
        </w:rPr>
        <w:t xml:space="preserve">Currently, the Australian diabetes mortality rate is also slightly greater than the OECD average </w:t>
      </w:r>
      <w:r>
        <w:rPr>
          <w:szCs w:val="22"/>
        </w:rPr>
        <w:fldChar w:fldCharType="begin"/>
      </w:r>
      <w:r>
        <w:rPr>
          <w:szCs w:val="22"/>
        </w:rPr>
        <w:instrText xml:space="preserve"> ADDIN EN.CITE &lt;EndNote&gt;&lt;Cite&gt;&lt;Year&gt;2014&lt;/Year&gt;&lt;RecNum&gt;131&lt;/RecNum&gt;&lt;DisplayText&gt;[12]&lt;/DisplayText&gt;&lt;record&gt;&lt;rec-number&gt;131&lt;/rec-number&gt;&lt;foreign-keys&gt;&lt;key app="EN" db-id="edz5s99awvadpbexfxhvwe0ofp2svdwzsdpf" timestamp="1414467486"&gt;131&lt;/key&gt;&lt;/foreign-keys&gt;&lt;ref-type name="Government Document"&gt;46&lt;/ref-type&gt;&lt;contributors&gt;&lt;secondary-authors&gt;&lt;author&gt;Australian Institute of Health and Welfare&lt;/author&gt;&lt;/secondary-authors&gt;&lt;/contributors&gt;&lt;titles&gt;&lt;title&gt;Cardiovascular disease, diabetes and chronic kidney disease—&amp;#xD;Australian facts: Mortality.&lt;/title&gt;&lt;tertiary-title&gt;Cardiovascular, diabetes and chronic kidney disease series no. 1. Cat. no.CDK 1.&lt;/tertiary-title&gt;&lt;/titles&gt;&lt;dates&gt;&lt;year&gt;2014&lt;/year&gt;&lt;/dates&gt;&lt;pub-location&gt;Canberra: AIHW.&lt;/pub-location&gt;&lt;urls&gt;&lt;/urls&gt;&lt;/record&gt;&lt;/Cite&gt;&lt;/EndNote&gt;</w:instrText>
      </w:r>
      <w:r>
        <w:rPr>
          <w:szCs w:val="22"/>
        </w:rPr>
        <w:fldChar w:fldCharType="separate"/>
      </w:r>
      <w:r>
        <w:rPr>
          <w:noProof/>
          <w:szCs w:val="22"/>
        </w:rPr>
        <w:t>[12]</w:t>
      </w:r>
      <w:r>
        <w:rPr>
          <w:szCs w:val="22"/>
        </w:rPr>
        <w:fldChar w:fldCharType="end"/>
      </w:r>
      <w:r>
        <w:rPr>
          <w:szCs w:val="22"/>
        </w:rPr>
        <w:t>.</w:t>
      </w:r>
    </w:p>
    <w:p w:rsidR="002E01E3" w:rsidRDefault="002E01E3" w:rsidP="002E01E3">
      <w:pPr>
        <w:pStyle w:val="Heading2"/>
      </w:pPr>
      <w:bookmarkStart w:id="21" w:name="_Toc410649135"/>
      <w:bookmarkStart w:id="22" w:name="_Toc420499061"/>
      <w:r>
        <w:t>Impact of T2DM on health</w:t>
      </w:r>
      <w:bookmarkEnd w:id="21"/>
      <w:bookmarkEnd w:id="22"/>
    </w:p>
    <w:p w:rsidR="002E01E3" w:rsidRPr="006E5190" w:rsidRDefault="002E01E3" w:rsidP="002E01E3">
      <w:pPr>
        <w:pStyle w:val="BodyText1"/>
        <w:spacing w:line="312" w:lineRule="auto"/>
        <w:jc w:val="both"/>
        <w:rPr>
          <w:rFonts w:ascii="Tahoma" w:hAnsi="Tahoma" w:cs="Tahoma"/>
          <w:sz w:val="22"/>
          <w:szCs w:val="22"/>
        </w:rPr>
      </w:pPr>
      <w:r w:rsidRPr="006E5190">
        <w:rPr>
          <w:rFonts w:ascii="Tahoma" w:hAnsi="Tahoma" w:cs="Tahoma"/>
          <w:sz w:val="22"/>
          <w:szCs w:val="22"/>
        </w:rPr>
        <w:t>Diabetes significantly affects the health of many Australians and can result in a range of complications. Untreated or poorly managed diabetes can lead to complications including coronary heart disease, stroke, kidney failure, limb amputations and blindness. In 2011, diabetes was the sixth lead</w:t>
      </w:r>
      <w:r>
        <w:rPr>
          <w:rFonts w:ascii="Tahoma" w:hAnsi="Tahoma" w:cs="Tahoma"/>
          <w:sz w:val="22"/>
          <w:szCs w:val="22"/>
        </w:rPr>
        <w:t>ing cause of death in Australia</w:t>
      </w:r>
      <w:r>
        <w:rPr>
          <w:rStyle w:val="CommentReference"/>
          <w:rFonts w:ascii="Times New Roman" w:eastAsia="SimSun" w:hAnsi="Times New Roman"/>
          <w:noProof w:val="0"/>
          <w:lang w:val="x-none" w:eastAsia="zh-CN"/>
        </w:rPr>
        <w:t xml:space="preserve"> </w:t>
      </w:r>
      <w:r w:rsidRPr="00A72909">
        <w:rPr>
          <w:rFonts w:ascii="Tahoma" w:eastAsia="SimSun" w:hAnsi="Tahoma" w:cs="Tahoma"/>
          <w:noProof w:val="0"/>
          <w:sz w:val="22"/>
          <w:szCs w:val="22"/>
          <w:lang w:eastAsia="zh-CN"/>
        </w:rPr>
        <w:fldChar w:fldCharType="begin"/>
      </w:r>
      <w:r>
        <w:rPr>
          <w:rFonts w:ascii="Tahoma" w:eastAsia="SimSun" w:hAnsi="Tahoma" w:cs="Tahoma"/>
          <w:noProof w:val="0"/>
          <w:sz w:val="22"/>
          <w:szCs w:val="22"/>
          <w:lang w:eastAsia="zh-CN"/>
        </w:rPr>
        <w:instrText xml:space="preserve"> ADDIN EN.CITE &lt;EndNote&gt;&lt;Cite&gt;&lt;Author&gt;Australian Bureau of Statistics&lt;/Author&gt;&lt;Year&gt;2013&lt;/Year&gt;&lt;RecNum&gt;2&lt;/RecNum&gt;&lt;DisplayText&gt;[13]&lt;/DisplayText&gt;&lt;record&gt;&lt;rec-number&gt;2&lt;/rec-number&gt;&lt;foreign-keys&gt;&lt;key app="EN" db-id="dvee00dsqw5fp0e00srxw9x400e99zxd9wze" timestamp="1414622408"&gt;2&lt;/key&gt;&lt;/foreign-keys&gt;&lt;ref-type name="Web Page"&gt;12&lt;/ref-type&gt;&lt;contributors&gt;&lt;authors&gt;&lt;author&gt;Australian Bureau of Statistics,&lt;/author&gt;&lt;/authors&gt;&lt;/contributors&gt;&lt;titles&gt;&lt;title&gt;Causes of Death Australia (3303.0)&lt;/title&gt;&lt;/titles&gt;&lt;number&gt;2 August 2013&lt;/number&gt;&lt;dates&gt;&lt;year&gt;2013&lt;/year&gt;&lt;/dates&gt;&lt;urls&gt;&lt;related-urls&gt;&lt;url&gt;http://www.abs.gov.au/ausstats/abs@.nsf/Lookup/3303.0Chapter42011&lt;/url&gt;&lt;/related-urls&gt;&lt;/urls&gt;&lt;/record&gt;&lt;/Cite&gt;&lt;/EndNote&gt;</w:instrText>
      </w:r>
      <w:r w:rsidRPr="00A72909">
        <w:rPr>
          <w:rFonts w:ascii="Tahoma" w:eastAsia="SimSun" w:hAnsi="Tahoma" w:cs="Tahoma"/>
          <w:noProof w:val="0"/>
          <w:sz w:val="22"/>
          <w:szCs w:val="22"/>
          <w:lang w:eastAsia="zh-CN"/>
        </w:rPr>
        <w:fldChar w:fldCharType="separate"/>
      </w:r>
      <w:r>
        <w:rPr>
          <w:rFonts w:ascii="Tahoma" w:eastAsia="SimSun" w:hAnsi="Tahoma" w:cs="Tahoma"/>
          <w:sz w:val="22"/>
          <w:szCs w:val="22"/>
          <w:lang w:eastAsia="zh-CN"/>
        </w:rPr>
        <w:t>[13]</w:t>
      </w:r>
      <w:r w:rsidRPr="00A72909">
        <w:rPr>
          <w:rFonts w:ascii="Tahoma" w:eastAsia="SimSun" w:hAnsi="Tahoma" w:cs="Tahoma"/>
          <w:noProof w:val="0"/>
          <w:sz w:val="22"/>
          <w:szCs w:val="22"/>
          <w:lang w:eastAsia="zh-CN"/>
        </w:rPr>
        <w:fldChar w:fldCharType="end"/>
      </w:r>
      <w:r>
        <w:rPr>
          <w:rFonts w:ascii="Tahoma" w:eastAsia="SimSun" w:hAnsi="Tahoma" w:cs="Tahoma"/>
          <w:noProof w:val="0"/>
          <w:sz w:val="22"/>
          <w:szCs w:val="22"/>
          <w:lang w:eastAsia="zh-CN"/>
        </w:rPr>
        <w:t xml:space="preserve">. </w:t>
      </w:r>
      <w:r w:rsidRPr="006E5190">
        <w:rPr>
          <w:rFonts w:ascii="Tahoma" w:hAnsi="Tahoma" w:cs="Tahoma"/>
          <w:sz w:val="22"/>
          <w:szCs w:val="22"/>
        </w:rPr>
        <w:t>Cardiovascular disease is the major cause of death in people with diabetes, accounting for appr</w:t>
      </w:r>
      <w:r>
        <w:rPr>
          <w:rFonts w:ascii="Tahoma" w:hAnsi="Tahoma" w:cs="Tahoma"/>
          <w:sz w:val="22"/>
          <w:szCs w:val="22"/>
        </w:rPr>
        <w:t xml:space="preserve">oximately 50% of all fatalities </w:t>
      </w:r>
      <w:r w:rsidRPr="006E5190">
        <w:rPr>
          <w:rFonts w:ascii="Tahoma" w:hAnsi="Tahoma" w:cs="Tahoma"/>
          <w:sz w:val="22"/>
          <w:szCs w:val="22"/>
        </w:rPr>
        <w:fldChar w:fldCharType="begin"/>
      </w:r>
      <w:r>
        <w:rPr>
          <w:rFonts w:ascii="Tahoma" w:hAnsi="Tahoma" w:cs="Tahoma"/>
          <w:sz w:val="22"/>
          <w:szCs w:val="22"/>
        </w:rPr>
        <w:instrText xml:space="preserve"> ADDIN EN.CITE &lt;EndNote&gt;&lt;Cite&gt;&lt;Author&gt;International Diabetes Federation-European Region&lt;/Author&gt;&lt;Year&gt;2011&lt;/Year&gt;&lt;RecNum&gt;13&lt;/RecNum&gt;&lt;DisplayText&gt;[14]&lt;/DisplayText&gt;&lt;record&gt;&lt;rec-number&gt;13&lt;/rec-number&gt;&lt;foreign-keys&gt;&lt;key app="EN" db-id="e0xzs0e2q2d0x2ef9f45t9r9v2rsps0twwrs"&gt;13&lt;/key&gt;&lt;/foreign-keys&gt;&lt;ref-type name="Government Document"&gt;46&lt;/ref-type&gt;&lt;contributors&gt;&lt;authors&gt;&lt;author&gt;International Diabetes Federation-European Region,&lt;/author&gt;&lt;author&gt;the Foundation of European Nurses in Diabetes,&lt;/author&gt;&lt;author&gt;the Primary Care Diabetes Europe,&lt;/author&gt;&lt;author&gt;the European Alliance for Research in Diabetes,&lt;/author&gt;&lt;/authors&gt;&lt;/contributors&gt;&lt;titles&gt;&lt;title&gt;Diabetes - The Policy Puzzle (3rd Edition)&lt;/title&gt;&lt;/titles&gt;&lt;dates&gt;&lt;year&gt;2011&lt;/year&gt;&lt;/dates&gt;&lt;pub-location&gt;Europe&lt;/pub-location&gt;&lt;publisher&gt;IDF Europe&lt;/publisher&gt;&lt;urls&gt;&lt;/urls&gt;&lt;/record&gt;&lt;/Cite&gt;&lt;/EndNote&gt;</w:instrText>
      </w:r>
      <w:r w:rsidRPr="006E5190">
        <w:rPr>
          <w:rFonts w:ascii="Tahoma" w:hAnsi="Tahoma" w:cs="Tahoma"/>
          <w:sz w:val="22"/>
          <w:szCs w:val="22"/>
        </w:rPr>
        <w:fldChar w:fldCharType="separate"/>
      </w:r>
      <w:r>
        <w:rPr>
          <w:rFonts w:ascii="Tahoma" w:hAnsi="Tahoma" w:cs="Tahoma"/>
          <w:sz w:val="22"/>
          <w:szCs w:val="22"/>
        </w:rPr>
        <w:t>[14]</w:t>
      </w:r>
      <w:r w:rsidRPr="006E5190">
        <w:rPr>
          <w:rFonts w:ascii="Tahoma" w:hAnsi="Tahoma" w:cs="Tahoma"/>
          <w:sz w:val="22"/>
          <w:szCs w:val="22"/>
        </w:rPr>
        <w:fldChar w:fldCharType="end"/>
      </w:r>
      <w:r>
        <w:rPr>
          <w:rFonts w:ascii="Tahoma" w:hAnsi="Tahoma" w:cs="Tahoma"/>
          <w:sz w:val="22"/>
          <w:szCs w:val="22"/>
        </w:rPr>
        <w:t>.</w:t>
      </w:r>
      <w:r w:rsidRPr="006E5190">
        <w:rPr>
          <w:rFonts w:ascii="Tahoma" w:hAnsi="Tahoma" w:cs="Tahoma"/>
          <w:sz w:val="22"/>
          <w:szCs w:val="22"/>
        </w:rPr>
        <w:t xml:space="preserve"> Hypertensive and cerebrovascular diseases (e.g. stroke), and kidney failure, are als</w:t>
      </w:r>
      <w:r>
        <w:rPr>
          <w:rFonts w:ascii="Tahoma" w:hAnsi="Tahoma" w:cs="Tahoma"/>
          <w:sz w:val="22"/>
          <w:szCs w:val="22"/>
        </w:rPr>
        <w:t xml:space="preserve">o common causes of death </w:t>
      </w:r>
      <w:r>
        <w:rPr>
          <w:rFonts w:ascii="Tahoma" w:hAnsi="Tahoma" w:cs="Tahoma"/>
          <w:sz w:val="22"/>
          <w:szCs w:val="22"/>
        </w:rPr>
        <w:fldChar w:fldCharType="begin"/>
      </w:r>
      <w:r>
        <w:rPr>
          <w:rFonts w:ascii="Tahoma" w:hAnsi="Tahoma" w:cs="Tahoma"/>
          <w:sz w:val="22"/>
          <w:szCs w:val="22"/>
        </w:rPr>
        <w:instrText xml:space="preserve"> ADDIN EN.CITE &lt;EndNote&gt;&lt;Cite&gt;&lt;Author&gt;Australian Institute of Health and Welfare&lt;/Author&gt;&lt;Year&gt;2014&lt;/Year&gt;&lt;RecNum&gt;4&lt;/RecNum&gt;&lt;DisplayText&gt;[15]&lt;/DisplayText&gt;&lt;record&gt;&lt;rec-number&gt;4&lt;/rec-number&gt;&lt;foreign-keys&gt;&lt;key app="EN" db-id="dvee00dsqw5fp0e00srxw9x400e99zxd9wze" timestamp="1414622408"&gt;4&lt;/key&gt;&lt;/foreign-keys&gt;&lt;ref-type name="Government Document"&gt;46&lt;/ref-type&gt;&lt;contributors&gt;&lt;authors&gt;&lt;author&gt;Australian Institute of Health and Welfare,&lt;/author&gt;&lt;/authors&gt;&lt;secondary-authors&gt;&lt;author&gt;AIHW&lt;/author&gt;&lt;/secondary-authors&gt;&lt;/contributors&gt;&lt;titles&gt;&lt;title&gt;Australia&amp;apos;s health 2014. Australia’s health series no. 14. Cat. no. AUS 178.&lt;/title&gt;&lt;/titles&gt;&lt;dates&gt;&lt;year&gt;2014&lt;/year&gt;&lt;/dates&gt;&lt;pub-location&gt;Canberra&lt;/pub-location&gt;&lt;publisher&gt;AIHW&lt;/publisher&gt;&lt;urls&gt;&lt;/urls&gt;&lt;/record&gt;&lt;/Cite&gt;&lt;/EndNote&gt;</w:instrText>
      </w:r>
      <w:r>
        <w:rPr>
          <w:rFonts w:ascii="Tahoma" w:hAnsi="Tahoma" w:cs="Tahoma"/>
          <w:sz w:val="22"/>
          <w:szCs w:val="22"/>
        </w:rPr>
        <w:fldChar w:fldCharType="separate"/>
      </w:r>
      <w:r>
        <w:rPr>
          <w:rFonts w:ascii="Tahoma" w:hAnsi="Tahoma" w:cs="Tahoma"/>
          <w:sz w:val="22"/>
          <w:szCs w:val="22"/>
        </w:rPr>
        <w:t>[15]</w:t>
      </w:r>
      <w:r>
        <w:rPr>
          <w:rFonts w:ascii="Tahoma" w:hAnsi="Tahoma" w:cs="Tahoma"/>
          <w:sz w:val="22"/>
          <w:szCs w:val="22"/>
        </w:rPr>
        <w:fldChar w:fldCharType="end"/>
      </w:r>
      <w:r>
        <w:rPr>
          <w:rFonts w:ascii="Tahoma" w:hAnsi="Tahoma" w:cs="Tahoma"/>
          <w:sz w:val="22"/>
          <w:szCs w:val="22"/>
        </w:rPr>
        <w:t>.</w:t>
      </w:r>
    </w:p>
    <w:p w:rsidR="002E01E3" w:rsidRPr="006E5190" w:rsidRDefault="002E01E3" w:rsidP="00D633D7">
      <w:pPr>
        <w:spacing w:after="0"/>
        <w:rPr>
          <w:szCs w:val="22"/>
        </w:rPr>
      </w:pPr>
      <w:r>
        <w:rPr>
          <w:szCs w:val="22"/>
        </w:rPr>
        <w:t xml:space="preserve">In the short term, extremely high blood sugar levels can cause a </w:t>
      </w:r>
      <w:r w:rsidRPr="004E0082">
        <w:rPr>
          <w:szCs w:val="22"/>
        </w:rPr>
        <w:t>hyperosmolar hyperglyc</w:t>
      </w:r>
      <w:r>
        <w:rPr>
          <w:szCs w:val="22"/>
        </w:rPr>
        <w:t>a</w:t>
      </w:r>
      <w:r w:rsidRPr="004E0082">
        <w:rPr>
          <w:szCs w:val="22"/>
        </w:rPr>
        <w:t>emic state</w:t>
      </w:r>
      <w:r>
        <w:rPr>
          <w:szCs w:val="22"/>
        </w:rPr>
        <w:t xml:space="preserve">, and accompanying decreased level of consciousness usually requiring hospitalisation. </w:t>
      </w:r>
      <w:r w:rsidRPr="006E5190">
        <w:rPr>
          <w:szCs w:val="22"/>
        </w:rPr>
        <w:t xml:space="preserve">As the disease progresses, </w:t>
      </w:r>
      <w:proofErr w:type="spellStart"/>
      <w:r w:rsidRPr="006E5190">
        <w:rPr>
          <w:szCs w:val="22"/>
        </w:rPr>
        <w:t>macrovascular</w:t>
      </w:r>
      <w:proofErr w:type="spellEnd"/>
      <w:r w:rsidRPr="006E5190">
        <w:rPr>
          <w:szCs w:val="22"/>
        </w:rPr>
        <w:t xml:space="preserve"> and microvascular complications </w:t>
      </w:r>
      <w:r>
        <w:rPr>
          <w:szCs w:val="22"/>
        </w:rPr>
        <w:t>from T2DM</w:t>
      </w:r>
      <w:r w:rsidRPr="006E5190">
        <w:rPr>
          <w:szCs w:val="22"/>
        </w:rPr>
        <w:t xml:space="preserve"> can damage the heart, blood vessels, eyes, kidneys and nerves, as well as diminishing quality of life. </w:t>
      </w:r>
      <w:r>
        <w:rPr>
          <w:szCs w:val="22"/>
        </w:rPr>
        <w:t>T2DM</w:t>
      </w:r>
      <w:r w:rsidRPr="006E5190">
        <w:rPr>
          <w:szCs w:val="22"/>
        </w:rPr>
        <w:t xml:space="preserve"> increases the risk of:</w:t>
      </w:r>
    </w:p>
    <w:p w:rsidR="002E01E3" w:rsidRPr="006E5190" w:rsidRDefault="002E01E3" w:rsidP="002E01E3">
      <w:pPr>
        <w:pStyle w:val="MediumGrid1-Accent21"/>
        <w:numPr>
          <w:ilvl w:val="0"/>
          <w:numId w:val="20"/>
        </w:numPr>
        <w:spacing w:line="312" w:lineRule="auto"/>
        <w:jc w:val="both"/>
        <w:rPr>
          <w:rFonts w:ascii="Tahoma" w:hAnsi="Tahoma" w:cs="Tahoma"/>
          <w:sz w:val="22"/>
          <w:szCs w:val="22"/>
        </w:rPr>
      </w:pPr>
      <w:r w:rsidRPr="006E5190">
        <w:rPr>
          <w:rFonts w:ascii="Tahoma" w:hAnsi="Tahoma" w:cs="Tahoma"/>
          <w:sz w:val="22"/>
          <w:szCs w:val="22"/>
        </w:rPr>
        <w:t xml:space="preserve">heart disease and stroke </w:t>
      </w:r>
    </w:p>
    <w:p w:rsidR="002E01E3" w:rsidRPr="006E5190" w:rsidRDefault="002E01E3" w:rsidP="002E01E3">
      <w:pPr>
        <w:pStyle w:val="MediumGrid1-Accent21"/>
        <w:numPr>
          <w:ilvl w:val="0"/>
          <w:numId w:val="20"/>
        </w:numPr>
        <w:spacing w:line="312" w:lineRule="auto"/>
        <w:jc w:val="both"/>
        <w:rPr>
          <w:rFonts w:ascii="Tahoma" w:hAnsi="Tahoma" w:cs="Tahoma"/>
          <w:sz w:val="22"/>
          <w:szCs w:val="22"/>
        </w:rPr>
      </w:pPr>
      <w:r w:rsidRPr="006E5190">
        <w:rPr>
          <w:rFonts w:ascii="Tahoma" w:hAnsi="Tahoma" w:cs="Tahoma"/>
          <w:sz w:val="22"/>
          <w:szCs w:val="22"/>
        </w:rPr>
        <w:t>diabetic neuropathy (nerve damage), and reduced blood flow and blood vessel damage, resulting in foot ulcers and limb amputation</w:t>
      </w:r>
    </w:p>
    <w:p w:rsidR="002E01E3" w:rsidRPr="006E5190" w:rsidRDefault="002E01E3" w:rsidP="002E01E3">
      <w:pPr>
        <w:pStyle w:val="MediumGrid1-Accent21"/>
        <w:numPr>
          <w:ilvl w:val="0"/>
          <w:numId w:val="20"/>
        </w:numPr>
        <w:spacing w:line="312" w:lineRule="auto"/>
        <w:jc w:val="both"/>
        <w:rPr>
          <w:rFonts w:ascii="Tahoma" w:hAnsi="Tahoma" w:cs="Tahoma"/>
          <w:sz w:val="22"/>
          <w:szCs w:val="22"/>
        </w:rPr>
      </w:pPr>
      <w:r w:rsidRPr="006E5190">
        <w:rPr>
          <w:rFonts w:ascii="Tahoma" w:hAnsi="Tahoma" w:cs="Tahoma"/>
          <w:sz w:val="22"/>
          <w:szCs w:val="22"/>
        </w:rPr>
        <w:lastRenderedPageBreak/>
        <w:t xml:space="preserve">diabetic retinopathy, which can cause blindness resulting from long term accumulated damage to the </w:t>
      </w:r>
      <w:r>
        <w:rPr>
          <w:rFonts w:ascii="Tahoma" w:hAnsi="Tahoma" w:cs="Tahoma"/>
          <w:sz w:val="22"/>
          <w:szCs w:val="22"/>
        </w:rPr>
        <w:t>sma</w:t>
      </w:r>
      <w:r w:rsidRPr="006E5190">
        <w:rPr>
          <w:rFonts w:ascii="Tahoma" w:hAnsi="Tahoma" w:cs="Tahoma"/>
          <w:sz w:val="22"/>
          <w:szCs w:val="22"/>
        </w:rPr>
        <w:t>ll blood vessels in the retina (microaneurysms)</w:t>
      </w:r>
    </w:p>
    <w:p w:rsidR="002E01E3" w:rsidRPr="006E5190" w:rsidRDefault="002E01E3" w:rsidP="002E01E3">
      <w:pPr>
        <w:pStyle w:val="MediumGrid1-Accent21"/>
        <w:numPr>
          <w:ilvl w:val="0"/>
          <w:numId w:val="20"/>
        </w:numPr>
        <w:spacing w:line="312" w:lineRule="auto"/>
        <w:jc w:val="both"/>
        <w:rPr>
          <w:rFonts w:ascii="Tahoma" w:hAnsi="Tahoma" w:cs="Tahoma"/>
          <w:sz w:val="22"/>
          <w:szCs w:val="22"/>
        </w:rPr>
      </w:pPr>
      <w:r w:rsidRPr="006E5190">
        <w:rPr>
          <w:rFonts w:ascii="Tahoma" w:hAnsi="Tahoma" w:cs="Tahoma"/>
          <w:sz w:val="22"/>
          <w:szCs w:val="22"/>
        </w:rPr>
        <w:t xml:space="preserve">nephropathy (kidney disease), which can lead to kidney failure </w:t>
      </w:r>
    </w:p>
    <w:p w:rsidR="002E01E3" w:rsidRPr="006E5190" w:rsidRDefault="002E01E3" w:rsidP="002E01E3">
      <w:pPr>
        <w:pStyle w:val="MediumGrid1-Accent21"/>
        <w:numPr>
          <w:ilvl w:val="0"/>
          <w:numId w:val="20"/>
        </w:numPr>
        <w:spacing w:line="312" w:lineRule="auto"/>
        <w:jc w:val="both"/>
        <w:rPr>
          <w:rFonts w:ascii="Tahoma" w:hAnsi="Tahoma" w:cs="Tahoma"/>
          <w:sz w:val="22"/>
          <w:szCs w:val="22"/>
        </w:rPr>
      </w:pPr>
      <w:r>
        <w:rPr>
          <w:rFonts w:ascii="Tahoma" w:hAnsi="Tahoma" w:cs="Tahoma"/>
          <w:sz w:val="22"/>
          <w:szCs w:val="22"/>
        </w:rPr>
        <w:t xml:space="preserve">death </w:t>
      </w:r>
      <w:r>
        <w:rPr>
          <w:rFonts w:ascii="Tahoma" w:hAnsi="Tahoma" w:cs="Tahoma"/>
          <w:sz w:val="22"/>
          <w:szCs w:val="22"/>
        </w:rPr>
        <w:fldChar w:fldCharType="begin"/>
      </w:r>
      <w:r>
        <w:rPr>
          <w:rFonts w:ascii="Tahoma" w:hAnsi="Tahoma" w:cs="Tahoma"/>
          <w:sz w:val="22"/>
          <w:szCs w:val="22"/>
        </w:rPr>
        <w:instrText xml:space="preserve"> ADDIN EN.CITE &lt;EndNote&gt;&lt;Cite&gt;&lt;Author&gt;World Health Organization&lt;/Author&gt;&lt;Year&gt;2013&lt;/Year&gt;&lt;RecNum&gt;5&lt;/RecNum&gt;&lt;DisplayText&gt;[16]&lt;/DisplayText&gt;&lt;record&gt;&lt;rec-number&gt;5&lt;/rec-number&gt;&lt;foreign-keys&gt;&lt;key app="EN" db-id="dvee00dsqw5fp0e00srxw9x400e99zxd9wze" timestamp="1414622408"&gt;5&lt;/key&gt;&lt;/foreign-keys&gt;&lt;ref-type name="Web Page"&gt;12&lt;/ref-type&gt;&lt;contributors&gt;&lt;authors&gt;&lt;author&gt;World Health Organization,&lt;/author&gt;&lt;/authors&gt;&lt;/contributors&gt;&lt;titles&gt;&lt;title&gt;Diabetes (Fact sheet No. 312)&lt;/title&gt;&lt;/titles&gt;&lt;number&gt;12 November 2013&lt;/number&gt;&lt;dates&gt;&lt;year&gt;2013&lt;/year&gt;&lt;/dates&gt;&lt;pub-location&gt;Geneva&lt;/pub-location&gt;&lt;publisher&gt;WHO&lt;/publisher&gt;&lt;urls&gt;&lt;related-urls&gt;&lt;url&gt;http://www.who.int/mediacentre/factsheets/fs312/en/index.html&lt;/url&gt;&lt;/related-urls&gt;&lt;/urls&gt;&lt;/record&gt;&lt;/Cite&gt;&lt;/EndNote&gt;</w:instrText>
      </w:r>
      <w:r>
        <w:rPr>
          <w:rFonts w:ascii="Tahoma" w:hAnsi="Tahoma" w:cs="Tahoma"/>
          <w:sz w:val="22"/>
          <w:szCs w:val="22"/>
        </w:rPr>
        <w:fldChar w:fldCharType="separate"/>
      </w:r>
      <w:r>
        <w:rPr>
          <w:rFonts w:ascii="Tahoma" w:hAnsi="Tahoma" w:cs="Tahoma"/>
          <w:sz w:val="22"/>
          <w:szCs w:val="22"/>
        </w:rPr>
        <w:t>[16]</w:t>
      </w:r>
      <w:r>
        <w:rPr>
          <w:rFonts w:ascii="Tahoma" w:hAnsi="Tahoma" w:cs="Tahoma"/>
          <w:sz w:val="22"/>
          <w:szCs w:val="22"/>
        </w:rPr>
        <w:fldChar w:fldCharType="end"/>
      </w:r>
      <w:r>
        <w:rPr>
          <w:rFonts w:ascii="Tahoma" w:hAnsi="Tahoma" w:cs="Tahoma"/>
          <w:sz w:val="22"/>
          <w:szCs w:val="22"/>
        </w:rPr>
        <w:t>.</w:t>
      </w:r>
    </w:p>
    <w:p w:rsidR="002E01E3" w:rsidRDefault="002E01E3" w:rsidP="002E01E3">
      <w:pPr>
        <w:rPr>
          <w:szCs w:val="22"/>
        </w:rPr>
      </w:pPr>
      <w:r w:rsidRPr="006E5190">
        <w:rPr>
          <w:szCs w:val="22"/>
        </w:rPr>
        <w:t xml:space="preserve">After 15 years of having </w:t>
      </w:r>
      <w:r>
        <w:rPr>
          <w:szCs w:val="22"/>
        </w:rPr>
        <w:t>T2DM</w:t>
      </w:r>
      <w:r w:rsidRPr="006E5190">
        <w:rPr>
          <w:szCs w:val="22"/>
        </w:rPr>
        <w:t xml:space="preserve">, approximately 2% of people become blind and 10% develop severe visual impairment. </w:t>
      </w:r>
      <w:r>
        <w:rPr>
          <w:szCs w:val="22"/>
        </w:rPr>
        <w:t>It</w:t>
      </w:r>
      <w:r w:rsidRPr="006E5190">
        <w:rPr>
          <w:szCs w:val="22"/>
        </w:rPr>
        <w:t xml:space="preserve"> is one of the leading causes of kidney failure and this condition is the cause of death in 10–20% of people with diabetes. Diabetic neuropathy affects up to 50% of people with diabetes with common symptoms including tingling, pain, numbness, or</w:t>
      </w:r>
      <w:r>
        <w:rPr>
          <w:szCs w:val="22"/>
        </w:rPr>
        <w:t xml:space="preserve"> weakness in the feet and hands </w:t>
      </w:r>
      <w:r>
        <w:rPr>
          <w:szCs w:val="22"/>
        </w:rPr>
        <w:fldChar w:fldCharType="begin"/>
      </w:r>
      <w:r>
        <w:rPr>
          <w:szCs w:val="22"/>
        </w:rPr>
        <w:instrText xml:space="preserve"> ADDIN EN.CITE &lt;EndNote&gt;&lt;Cite&gt;&lt;Author&gt;World Health Organization&lt;/Author&gt;&lt;Year&gt;2013&lt;/Year&gt;&lt;RecNum&gt;5&lt;/RecNum&gt;&lt;DisplayText&gt;[16]&lt;/DisplayText&gt;&lt;record&gt;&lt;rec-number&gt;5&lt;/rec-number&gt;&lt;foreign-keys&gt;&lt;key app="EN" db-id="dvee00dsqw5fp0e00srxw9x400e99zxd9wze" timestamp="1414622408"&gt;5&lt;/key&gt;&lt;/foreign-keys&gt;&lt;ref-type name="Web Page"&gt;12&lt;/ref-type&gt;&lt;contributors&gt;&lt;authors&gt;&lt;author&gt;World Health Organization,&lt;/author&gt;&lt;/authors&gt;&lt;/contributors&gt;&lt;titles&gt;&lt;title&gt;Diabetes (Fact sheet No. 312)&lt;/title&gt;&lt;/titles&gt;&lt;number&gt;12 November 2013&lt;/number&gt;&lt;dates&gt;&lt;year&gt;2013&lt;/year&gt;&lt;/dates&gt;&lt;pub-location&gt;Geneva&lt;/pub-location&gt;&lt;publisher&gt;WHO&lt;/publisher&gt;&lt;urls&gt;&lt;related-urls&gt;&lt;url&gt;http://www.who.int/mediacentre/factsheets/fs312/en/index.html&lt;/url&gt;&lt;/related-urls&gt;&lt;/urls&gt;&lt;/record&gt;&lt;/Cite&gt;&lt;/EndNote&gt;</w:instrText>
      </w:r>
      <w:r>
        <w:rPr>
          <w:szCs w:val="22"/>
        </w:rPr>
        <w:fldChar w:fldCharType="separate"/>
      </w:r>
      <w:r>
        <w:rPr>
          <w:noProof/>
          <w:szCs w:val="22"/>
        </w:rPr>
        <w:t>[16]</w:t>
      </w:r>
      <w:r>
        <w:rPr>
          <w:szCs w:val="22"/>
        </w:rPr>
        <w:fldChar w:fldCharType="end"/>
      </w:r>
      <w:r>
        <w:rPr>
          <w:szCs w:val="22"/>
        </w:rPr>
        <w:t>.</w:t>
      </w:r>
    </w:p>
    <w:p w:rsidR="002E01E3" w:rsidRDefault="002E01E3" w:rsidP="002E01E3">
      <w:pPr>
        <w:pStyle w:val="Heading2"/>
      </w:pPr>
      <w:bookmarkStart w:id="23" w:name="_Toc410649136"/>
      <w:bookmarkStart w:id="24" w:name="_Toc420499062"/>
      <w:r>
        <w:t>High-risk groups for T2DM</w:t>
      </w:r>
      <w:bookmarkEnd w:id="23"/>
      <w:bookmarkEnd w:id="24"/>
    </w:p>
    <w:p w:rsidR="002E01E3" w:rsidRDefault="002E01E3" w:rsidP="002E01E3">
      <w:pPr>
        <w:rPr>
          <w:szCs w:val="22"/>
        </w:rPr>
      </w:pPr>
      <w:r>
        <w:rPr>
          <w:szCs w:val="22"/>
        </w:rPr>
        <w:t xml:space="preserve">Death from T2DM is 2.5-fold more common in people with lower socio-economic status than in people of higher socio-economic status. There is also significant regional inequality, with remote and very remote areas suffering a diabetes death rate more than twice that of major cities. Aboriginal and Torres Strait Islander people have a T2DM rate over three times the national average, and a diabetes death rate 2.7 times as high. The burden of diabetes accounts for much of the difference in life expectancy between indigenous and non-indigenous Australians </w:t>
      </w:r>
      <w:r>
        <w:rPr>
          <w:szCs w:val="22"/>
        </w:rPr>
        <w:fldChar w:fldCharType="begin"/>
      </w:r>
      <w:r>
        <w:rPr>
          <w:szCs w:val="22"/>
        </w:rPr>
        <w:instrText xml:space="preserve"> ADDIN EN.CITE &lt;EndNote&gt;&lt;Cite&gt;&lt;Year&gt;2014&lt;/Year&gt;&lt;RecNum&gt;131&lt;/RecNum&gt;&lt;DisplayText&gt;[12]&lt;/DisplayText&gt;&lt;record&gt;&lt;rec-number&gt;131&lt;/rec-number&gt;&lt;foreign-keys&gt;&lt;key app="EN" db-id="edz5s99awvadpbexfxhvwe0ofp2svdwzsdpf" timestamp="1414467486"&gt;131&lt;/key&gt;&lt;/foreign-keys&gt;&lt;ref-type name="Government Document"&gt;46&lt;/ref-type&gt;&lt;contributors&gt;&lt;secondary-authors&gt;&lt;author&gt;Australian Institute of Health and Welfare&lt;/author&gt;&lt;/secondary-authors&gt;&lt;/contributors&gt;&lt;titles&gt;&lt;title&gt;Cardiovascular disease, diabetes and chronic kidney disease—&amp;#xD;Australian facts: Mortality.&lt;/title&gt;&lt;tertiary-title&gt;Cardiovascular, diabetes and chronic kidney disease series no. 1. Cat. no.CDK 1.&lt;/tertiary-title&gt;&lt;/titles&gt;&lt;dates&gt;&lt;year&gt;2014&lt;/year&gt;&lt;/dates&gt;&lt;pub-location&gt;Canberra: AIHW.&lt;/pub-location&gt;&lt;urls&gt;&lt;/urls&gt;&lt;/record&gt;&lt;/Cite&gt;&lt;/EndNote&gt;</w:instrText>
      </w:r>
      <w:r>
        <w:rPr>
          <w:szCs w:val="22"/>
        </w:rPr>
        <w:fldChar w:fldCharType="separate"/>
      </w:r>
      <w:r>
        <w:rPr>
          <w:noProof/>
          <w:szCs w:val="22"/>
        </w:rPr>
        <w:t>[12]</w:t>
      </w:r>
      <w:r>
        <w:rPr>
          <w:szCs w:val="22"/>
        </w:rPr>
        <w:fldChar w:fldCharType="end"/>
      </w:r>
      <w:r>
        <w:rPr>
          <w:szCs w:val="22"/>
        </w:rPr>
        <w:t>.</w:t>
      </w:r>
    </w:p>
    <w:p w:rsidR="002E01E3" w:rsidRDefault="002E01E3" w:rsidP="002E01E3">
      <w:pPr>
        <w:spacing w:after="0"/>
        <w:rPr>
          <w:szCs w:val="22"/>
        </w:rPr>
      </w:pPr>
      <w:r>
        <w:rPr>
          <w:szCs w:val="22"/>
        </w:rPr>
        <w:t>The RACGP/Diabetes Australia guidelines consider the following people at high risk of T2DM:</w:t>
      </w:r>
    </w:p>
    <w:p w:rsidR="002E01E3" w:rsidRDefault="002E01E3" w:rsidP="002E01E3">
      <w:pPr>
        <w:numPr>
          <w:ilvl w:val="0"/>
          <w:numId w:val="21"/>
        </w:numPr>
        <w:spacing w:after="0"/>
        <w:ind w:left="714" w:hanging="357"/>
        <w:rPr>
          <w:szCs w:val="22"/>
        </w:rPr>
      </w:pPr>
      <w:r>
        <w:rPr>
          <w:szCs w:val="22"/>
        </w:rPr>
        <w:t>People with impaired glucose tolerance or impaired fasting glucose;</w:t>
      </w:r>
    </w:p>
    <w:p w:rsidR="002E01E3" w:rsidRDefault="002E01E3" w:rsidP="002E01E3">
      <w:pPr>
        <w:numPr>
          <w:ilvl w:val="0"/>
          <w:numId w:val="21"/>
        </w:numPr>
        <w:spacing w:after="0"/>
        <w:ind w:left="714" w:hanging="357"/>
        <w:rPr>
          <w:szCs w:val="22"/>
        </w:rPr>
      </w:pPr>
      <w:r>
        <w:rPr>
          <w:szCs w:val="22"/>
        </w:rPr>
        <w:t>All patients with a history of a cardiovascular event;</w:t>
      </w:r>
    </w:p>
    <w:p w:rsidR="002E01E3" w:rsidRDefault="002E01E3" w:rsidP="002E01E3">
      <w:pPr>
        <w:numPr>
          <w:ilvl w:val="0"/>
          <w:numId w:val="21"/>
        </w:numPr>
        <w:spacing w:after="0"/>
        <w:ind w:left="714" w:hanging="357"/>
        <w:rPr>
          <w:szCs w:val="22"/>
        </w:rPr>
      </w:pPr>
      <w:r>
        <w:rPr>
          <w:szCs w:val="22"/>
        </w:rPr>
        <w:t>People aged 35 and over from the Pacific Islands, Indian subcontinent or China;</w:t>
      </w:r>
    </w:p>
    <w:p w:rsidR="002E01E3" w:rsidRDefault="002E01E3" w:rsidP="002E01E3">
      <w:pPr>
        <w:numPr>
          <w:ilvl w:val="0"/>
          <w:numId w:val="21"/>
        </w:numPr>
        <w:spacing w:after="0"/>
        <w:ind w:left="714" w:hanging="357"/>
        <w:rPr>
          <w:szCs w:val="22"/>
        </w:rPr>
      </w:pPr>
      <w:r>
        <w:rPr>
          <w:szCs w:val="22"/>
        </w:rPr>
        <w:t>People aged 40 years and over with BMI ≥30 kg/m</w:t>
      </w:r>
      <w:r w:rsidRPr="00564B16">
        <w:rPr>
          <w:szCs w:val="22"/>
          <w:vertAlign w:val="superscript"/>
        </w:rPr>
        <w:t>2</w:t>
      </w:r>
      <w:r>
        <w:rPr>
          <w:szCs w:val="22"/>
        </w:rPr>
        <w:t xml:space="preserve"> or hypertension;</w:t>
      </w:r>
    </w:p>
    <w:p w:rsidR="002E01E3" w:rsidRDefault="002E01E3" w:rsidP="002E01E3">
      <w:pPr>
        <w:numPr>
          <w:ilvl w:val="0"/>
          <w:numId w:val="21"/>
        </w:numPr>
        <w:spacing w:after="0"/>
        <w:ind w:left="714" w:hanging="357"/>
        <w:rPr>
          <w:szCs w:val="22"/>
        </w:rPr>
      </w:pPr>
      <w:r>
        <w:rPr>
          <w:szCs w:val="22"/>
        </w:rPr>
        <w:t>Women with a history of gestational diabetes mellitus;</w:t>
      </w:r>
    </w:p>
    <w:p w:rsidR="002E01E3" w:rsidRDefault="002E01E3" w:rsidP="002E01E3">
      <w:pPr>
        <w:numPr>
          <w:ilvl w:val="0"/>
          <w:numId w:val="21"/>
        </w:numPr>
        <w:spacing w:after="0"/>
        <w:ind w:left="714" w:hanging="357"/>
        <w:rPr>
          <w:szCs w:val="22"/>
        </w:rPr>
      </w:pPr>
      <w:r>
        <w:rPr>
          <w:szCs w:val="22"/>
        </w:rPr>
        <w:t>Women with polycystic ovary syndrome who are obese; and</w:t>
      </w:r>
    </w:p>
    <w:p w:rsidR="002E01E3" w:rsidRPr="003F19AD" w:rsidRDefault="002E01E3" w:rsidP="002E01E3">
      <w:pPr>
        <w:numPr>
          <w:ilvl w:val="0"/>
          <w:numId w:val="21"/>
        </w:numPr>
        <w:spacing w:after="0"/>
        <w:ind w:left="714" w:hanging="357"/>
        <w:rPr>
          <w:szCs w:val="22"/>
        </w:rPr>
      </w:pPr>
      <w:r>
        <w:rPr>
          <w:szCs w:val="22"/>
        </w:rPr>
        <w:t>Patients on antipsychotic medication.</w:t>
      </w:r>
    </w:p>
    <w:p w:rsidR="002E01E3" w:rsidRDefault="002E01E3" w:rsidP="00D633D7">
      <w:pPr>
        <w:spacing w:after="0"/>
        <w:rPr>
          <w:szCs w:val="22"/>
        </w:rPr>
      </w:pPr>
    </w:p>
    <w:p w:rsidR="002E01E3" w:rsidRDefault="002E01E3" w:rsidP="002E01E3">
      <w:pPr>
        <w:rPr>
          <w:szCs w:val="22"/>
        </w:rPr>
      </w:pPr>
      <w:r>
        <w:rPr>
          <w:szCs w:val="22"/>
        </w:rPr>
        <w:t xml:space="preserve">Individuals at high risk and those with impaired glucose tolerance or impaired fasting glucose should be tested with fasting blood glucose, 2-hour glucose or </w:t>
      </w:r>
      <w:proofErr w:type="spellStart"/>
      <w:r>
        <w:rPr>
          <w:szCs w:val="22"/>
        </w:rPr>
        <w:t>glycated</w:t>
      </w:r>
      <w:proofErr w:type="spellEnd"/>
      <w:r>
        <w:rPr>
          <w:szCs w:val="22"/>
        </w:rPr>
        <w:t xml:space="preserve"> haemoglobin (HbA</w:t>
      </w:r>
      <w:r w:rsidRPr="007114A5">
        <w:rPr>
          <w:szCs w:val="22"/>
          <w:vertAlign w:val="subscript"/>
        </w:rPr>
        <w:t>1c</w:t>
      </w:r>
      <w:r>
        <w:rPr>
          <w:szCs w:val="22"/>
        </w:rPr>
        <w:t xml:space="preserve">) </w:t>
      </w:r>
      <w:r>
        <w:rPr>
          <w:szCs w:val="22"/>
        </w:rPr>
        <w:fldChar w:fldCharType="begin"/>
      </w:r>
      <w:r>
        <w:rPr>
          <w:szCs w:val="22"/>
        </w:rPr>
        <w:instrText xml:space="preserve"> ADDIN EN.CITE &lt;EndNote&gt;&lt;Cite&gt;&lt;Author&gt;Australia&lt;/Author&gt;&lt;Year&gt;2014&lt;/Year&gt;&lt;RecNum&gt;86&lt;/RecNum&gt;&lt;DisplayText&gt;[17]&lt;/DisplayText&gt;&lt;record&gt;&lt;rec-number&gt;86&lt;/rec-number&gt;&lt;foreign-keys&gt;&lt;key app="EN" db-id="edz5s99awvadpbexfxhvwe0ofp2svdwzsdpf" timestamp="1413862725"&gt;86&lt;/key&gt;&lt;/foreign-keys&gt;&lt;ref-type name="Report"&gt;27&lt;/ref-type&gt;&lt;contributors&gt;&lt;authors&gt;&lt;author&gt;Diabetes Australia&lt;/author&gt;&lt;/authors&gt;&lt;/contributors&gt;&lt;titles&gt;&lt;title&gt;General practice management of type 2 diabetes&lt;/title&gt;&lt;/titles&gt;&lt;pages&gt;200&lt;/pages&gt;&lt;dates&gt;&lt;year&gt;2014&lt;/year&gt;&lt;/dates&gt;&lt;pub-location&gt;Australia&lt;/pub-location&gt;&lt;publisher&gt;The Royal Australian College of General Practitioners&lt;/publisher&gt;&lt;urls&gt;&lt;/urls&gt;&lt;/record&gt;&lt;/Cite&gt;&lt;/EndNote&gt;</w:instrText>
      </w:r>
      <w:r>
        <w:rPr>
          <w:szCs w:val="22"/>
        </w:rPr>
        <w:fldChar w:fldCharType="separate"/>
      </w:r>
      <w:r>
        <w:rPr>
          <w:noProof/>
          <w:szCs w:val="22"/>
        </w:rPr>
        <w:t>[17]</w:t>
      </w:r>
      <w:r>
        <w:rPr>
          <w:szCs w:val="22"/>
        </w:rPr>
        <w:fldChar w:fldCharType="end"/>
      </w:r>
      <w:r>
        <w:rPr>
          <w:szCs w:val="22"/>
        </w:rPr>
        <w:t xml:space="preserve">, see Table 1. For the purposes of this application, the following </w:t>
      </w:r>
      <w:r w:rsidR="00AB384A">
        <w:rPr>
          <w:szCs w:val="22"/>
        </w:rPr>
        <w:t>definition of T2DM is</w:t>
      </w:r>
      <w:r>
        <w:rPr>
          <w:szCs w:val="22"/>
        </w:rPr>
        <w:t xml:space="preserve"> proposed and based on widely used tests and definitions (Table 1).</w:t>
      </w:r>
    </w:p>
    <w:p w:rsidR="002E01E3" w:rsidRPr="008B28D0" w:rsidRDefault="002E01E3" w:rsidP="002E01E3">
      <w:pPr>
        <w:pStyle w:val="Caption"/>
      </w:pPr>
      <w:r w:rsidRPr="008B28D0">
        <w:lastRenderedPageBreak/>
        <w:t xml:space="preserve">Table 1: </w:t>
      </w:r>
      <w:r>
        <w:t>Criteria</w:t>
      </w:r>
      <w:r w:rsidRPr="008B28D0">
        <w:t xml:space="preserve"> for </w:t>
      </w:r>
      <w:r>
        <w:t xml:space="preserve">patients with Type 2 </w:t>
      </w:r>
      <w:r w:rsidRPr="008B28D0">
        <w:t>diabetes</w:t>
      </w:r>
      <w:r>
        <w:t xml:space="preserve"> mellitus </w:t>
      </w:r>
      <w:r w:rsidR="00AB384A">
        <w:t>in contrast to impaired glucose states</w:t>
      </w:r>
      <w: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01"/>
        <w:gridCol w:w="2577"/>
        <w:gridCol w:w="1418"/>
        <w:gridCol w:w="2046"/>
      </w:tblGrid>
      <w:tr w:rsidR="002E01E3" w:rsidRPr="00F12F1C">
        <w:trPr>
          <w:tblHeader/>
        </w:trPr>
        <w:tc>
          <w:tcPr>
            <w:tcW w:w="1732" w:type="pct"/>
            <w:shd w:val="clear" w:color="auto" w:fill="auto"/>
            <w:vAlign w:val="center"/>
          </w:tcPr>
          <w:p w:rsidR="002E01E3" w:rsidRPr="00F12F1C" w:rsidRDefault="002E01E3" w:rsidP="002E01E3">
            <w:pPr>
              <w:spacing w:after="0"/>
              <w:jc w:val="left"/>
              <w:rPr>
                <w:rFonts w:ascii="Arial Narrow" w:hAnsi="Arial Narrow"/>
                <w:b/>
                <w:sz w:val="20"/>
              </w:rPr>
            </w:pPr>
          </w:p>
        </w:tc>
        <w:tc>
          <w:tcPr>
            <w:tcW w:w="1394" w:type="pct"/>
            <w:shd w:val="clear" w:color="auto" w:fill="auto"/>
            <w:vAlign w:val="center"/>
          </w:tcPr>
          <w:p w:rsidR="002E01E3" w:rsidRPr="00F12F1C" w:rsidRDefault="002E01E3" w:rsidP="002E01E3">
            <w:pPr>
              <w:spacing w:after="0"/>
              <w:jc w:val="center"/>
              <w:rPr>
                <w:rFonts w:ascii="Arial Narrow" w:hAnsi="Arial Narrow"/>
                <w:b/>
                <w:sz w:val="20"/>
              </w:rPr>
            </w:pPr>
            <w:r w:rsidRPr="00F12F1C">
              <w:rPr>
                <w:rFonts w:ascii="Arial Narrow" w:hAnsi="Arial Narrow"/>
                <w:b/>
                <w:sz w:val="20"/>
              </w:rPr>
              <w:t>Fasting glucose (</w:t>
            </w:r>
            <w:proofErr w:type="spellStart"/>
            <w:r w:rsidRPr="00F12F1C">
              <w:rPr>
                <w:rFonts w:ascii="Arial Narrow" w:hAnsi="Arial Narrow"/>
                <w:b/>
                <w:sz w:val="20"/>
              </w:rPr>
              <w:t>mmol</w:t>
            </w:r>
            <w:proofErr w:type="spellEnd"/>
            <w:r w:rsidRPr="00F12F1C">
              <w:rPr>
                <w:rFonts w:ascii="Arial Narrow" w:hAnsi="Arial Narrow"/>
                <w:b/>
                <w:sz w:val="20"/>
              </w:rPr>
              <w:t>/l)</w:t>
            </w:r>
          </w:p>
        </w:tc>
        <w:tc>
          <w:tcPr>
            <w:tcW w:w="767" w:type="pct"/>
            <w:shd w:val="clear" w:color="auto" w:fill="auto"/>
            <w:vAlign w:val="center"/>
          </w:tcPr>
          <w:p w:rsidR="002E01E3" w:rsidRPr="00F12F1C" w:rsidRDefault="002E01E3" w:rsidP="002E01E3">
            <w:pPr>
              <w:spacing w:after="0"/>
              <w:jc w:val="center"/>
              <w:rPr>
                <w:rFonts w:ascii="Arial Narrow" w:hAnsi="Arial Narrow"/>
                <w:b/>
                <w:sz w:val="20"/>
              </w:rPr>
            </w:pPr>
            <w:r w:rsidRPr="00F12F1C">
              <w:rPr>
                <w:rFonts w:ascii="Arial Narrow" w:hAnsi="Arial Narrow"/>
                <w:b/>
                <w:sz w:val="20"/>
              </w:rPr>
              <w:t>2 hour glucose (</w:t>
            </w:r>
            <w:proofErr w:type="spellStart"/>
            <w:r w:rsidRPr="00F12F1C">
              <w:rPr>
                <w:rFonts w:ascii="Arial Narrow" w:hAnsi="Arial Narrow"/>
                <w:b/>
                <w:sz w:val="20"/>
              </w:rPr>
              <w:t>mmol</w:t>
            </w:r>
            <w:proofErr w:type="spellEnd"/>
            <w:r w:rsidRPr="00F12F1C">
              <w:rPr>
                <w:rFonts w:ascii="Arial Narrow" w:hAnsi="Arial Narrow"/>
                <w:b/>
                <w:sz w:val="20"/>
              </w:rPr>
              <w:t>/l)</w:t>
            </w:r>
          </w:p>
        </w:tc>
        <w:tc>
          <w:tcPr>
            <w:tcW w:w="1107" w:type="pct"/>
            <w:vAlign w:val="center"/>
          </w:tcPr>
          <w:p w:rsidR="002E01E3" w:rsidRPr="00F12F1C" w:rsidRDefault="002E01E3" w:rsidP="002E01E3">
            <w:pPr>
              <w:spacing w:after="0"/>
              <w:jc w:val="center"/>
              <w:rPr>
                <w:rFonts w:ascii="Arial Narrow" w:hAnsi="Arial Narrow"/>
                <w:b/>
                <w:sz w:val="20"/>
              </w:rPr>
            </w:pPr>
            <w:proofErr w:type="spellStart"/>
            <w:r w:rsidRPr="00F12F1C">
              <w:rPr>
                <w:rFonts w:ascii="Arial Narrow" w:hAnsi="Arial Narrow"/>
                <w:b/>
                <w:sz w:val="20"/>
              </w:rPr>
              <w:t>Glycated</w:t>
            </w:r>
            <w:proofErr w:type="spellEnd"/>
            <w:r w:rsidRPr="00F12F1C">
              <w:rPr>
                <w:rFonts w:ascii="Arial Narrow" w:hAnsi="Arial Narrow"/>
                <w:b/>
                <w:sz w:val="20"/>
              </w:rPr>
              <w:t xml:space="preserve"> haemoglobin (HbA</w:t>
            </w:r>
            <w:r w:rsidRPr="00F12F1C">
              <w:rPr>
                <w:rFonts w:ascii="Arial Narrow" w:hAnsi="Arial Narrow"/>
                <w:b/>
                <w:sz w:val="20"/>
                <w:vertAlign w:val="subscript"/>
              </w:rPr>
              <w:t>1c</w:t>
            </w:r>
            <w:r w:rsidRPr="00F12F1C">
              <w:rPr>
                <w:rFonts w:ascii="Arial Narrow" w:hAnsi="Arial Narrow"/>
                <w:b/>
                <w:sz w:val="20"/>
              </w:rPr>
              <w:t xml:space="preserve"> % or </w:t>
            </w:r>
            <w:proofErr w:type="spellStart"/>
            <w:r w:rsidRPr="00F12F1C">
              <w:rPr>
                <w:rFonts w:ascii="Arial Narrow" w:hAnsi="Arial Narrow"/>
                <w:b/>
                <w:sz w:val="20"/>
              </w:rPr>
              <w:t>mmol</w:t>
            </w:r>
            <w:proofErr w:type="spellEnd"/>
            <w:r w:rsidRPr="00F12F1C">
              <w:rPr>
                <w:rFonts w:ascii="Arial Narrow" w:hAnsi="Arial Narrow"/>
                <w:b/>
                <w:sz w:val="20"/>
              </w:rPr>
              <w:t>/</w:t>
            </w:r>
            <w:proofErr w:type="spellStart"/>
            <w:r w:rsidRPr="00F12F1C">
              <w:rPr>
                <w:rFonts w:ascii="Arial Narrow" w:hAnsi="Arial Narrow"/>
                <w:b/>
                <w:sz w:val="20"/>
              </w:rPr>
              <w:t>mol</w:t>
            </w:r>
            <w:proofErr w:type="spellEnd"/>
            <w:r w:rsidRPr="00F12F1C">
              <w:rPr>
                <w:rFonts w:ascii="Arial Narrow" w:hAnsi="Arial Narrow"/>
                <w:b/>
                <w:sz w:val="20"/>
              </w:rPr>
              <w:t>)</w:t>
            </w:r>
          </w:p>
        </w:tc>
      </w:tr>
      <w:tr w:rsidR="002E01E3" w:rsidRPr="00F12F1C">
        <w:trPr>
          <w:tblHeader/>
        </w:trPr>
        <w:tc>
          <w:tcPr>
            <w:tcW w:w="1732" w:type="pct"/>
            <w:shd w:val="clear" w:color="auto" w:fill="auto"/>
            <w:vAlign w:val="center"/>
          </w:tcPr>
          <w:p w:rsidR="002E01E3" w:rsidRPr="00F12F1C" w:rsidRDefault="002E01E3" w:rsidP="002E01E3">
            <w:pPr>
              <w:spacing w:after="0"/>
              <w:jc w:val="left"/>
              <w:rPr>
                <w:rFonts w:ascii="Arial Narrow" w:hAnsi="Arial Narrow"/>
                <w:b/>
                <w:sz w:val="20"/>
              </w:rPr>
            </w:pPr>
            <w:r w:rsidRPr="00F12F1C">
              <w:rPr>
                <w:rFonts w:ascii="Arial Narrow" w:hAnsi="Arial Narrow"/>
                <w:b/>
                <w:sz w:val="20"/>
              </w:rPr>
              <w:t>Type 2 diabetes mellitus</w:t>
            </w:r>
          </w:p>
        </w:tc>
        <w:tc>
          <w:tcPr>
            <w:tcW w:w="1394" w:type="pct"/>
            <w:shd w:val="clear" w:color="auto" w:fill="auto"/>
            <w:vAlign w:val="center"/>
          </w:tcPr>
          <w:p w:rsidR="002E01E3" w:rsidRPr="00F12F1C" w:rsidRDefault="002E01E3" w:rsidP="002E01E3">
            <w:pPr>
              <w:spacing w:after="0"/>
              <w:jc w:val="center"/>
              <w:rPr>
                <w:rFonts w:ascii="Arial Narrow" w:hAnsi="Arial Narrow"/>
                <w:sz w:val="20"/>
                <w:lang w:eastAsia="ja-JP"/>
              </w:rPr>
            </w:pPr>
            <w:r w:rsidRPr="00F12F1C">
              <w:rPr>
                <w:rFonts w:ascii="Arial Narrow" w:hAnsi="Arial Narrow"/>
                <w:sz w:val="20"/>
                <w:lang w:eastAsia="ja-JP"/>
              </w:rPr>
              <w:t>&gt;7.0</w:t>
            </w:r>
          </w:p>
        </w:tc>
        <w:tc>
          <w:tcPr>
            <w:tcW w:w="767" w:type="pct"/>
            <w:shd w:val="clear" w:color="auto" w:fill="auto"/>
            <w:vAlign w:val="center"/>
          </w:tcPr>
          <w:p w:rsidR="002E01E3" w:rsidRPr="00F12F1C" w:rsidRDefault="002E01E3" w:rsidP="002E01E3">
            <w:pPr>
              <w:spacing w:after="0"/>
              <w:jc w:val="center"/>
              <w:rPr>
                <w:rFonts w:ascii="Arial Narrow" w:hAnsi="Arial Narrow"/>
                <w:sz w:val="20"/>
                <w:lang w:eastAsia="ja-JP"/>
              </w:rPr>
            </w:pPr>
            <w:r w:rsidRPr="00F12F1C">
              <w:rPr>
                <w:rFonts w:ascii="Arial Narrow" w:hAnsi="Arial Narrow"/>
                <w:sz w:val="20"/>
                <w:lang w:eastAsia="ja-JP"/>
              </w:rPr>
              <w:t>&gt;11.0</w:t>
            </w:r>
          </w:p>
        </w:tc>
        <w:tc>
          <w:tcPr>
            <w:tcW w:w="1107" w:type="pct"/>
            <w:vAlign w:val="center"/>
          </w:tcPr>
          <w:p w:rsidR="002E01E3" w:rsidRPr="00F12F1C" w:rsidRDefault="002E01E3" w:rsidP="002E01E3">
            <w:pPr>
              <w:spacing w:after="0"/>
              <w:jc w:val="center"/>
              <w:rPr>
                <w:rFonts w:ascii="Arial Narrow" w:hAnsi="Arial Narrow"/>
                <w:sz w:val="20"/>
                <w:lang w:eastAsia="ja-JP"/>
              </w:rPr>
            </w:pPr>
            <w:r w:rsidRPr="00F12F1C">
              <w:rPr>
                <w:rFonts w:ascii="Arial Narrow" w:hAnsi="Arial Narrow"/>
                <w:sz w:val="20"/>
                <w:lang w:eastAsia="ja-JP"/>
              </w:rPr>
              <w:t xml:space="preserve">≥6.5 (48 </w:t>
            </w:r>
            <w:proofErr w:type="spellStart"/>
            <w:r w:rsidRPr="00F12F1C">
              <w:rPr>
                <w:rFonts w:ascii="Arial Narrow" w:hAnsi="Arial Narrow"/>
                <w:sz w:val="20"/>
                <w:lang w:eastAsia="ja-JP"/>
              </w:rPr>
              <w:t>mmol</w:t>
            </w:r>
            <w:proofErr w:type="spellEnd"/>
            <w:r w:rsidRPr="00F12F1C">
              <w:rPr>
                <w:rFonts w:ascii="Arial Narrow" w:hAnsi="Arial Narrow"/>
                <w:sz w:val="20"/>
                <w:lang w:eastAsia="ja-JP"/>
              </w:rPr>
              <w:t>/</w:t>
            </w:r>
            <w:proofErr w:type="spellStart"/>
            <w:r w:rsidRPr="00F12F1C">
              <w:rPr>
                <w:rFonts w:ascii="Arial Narrow" w:hAnsi="Arial Narrow"/>
                <w:sz w:val="20"/>
                <w:lang w:eastAsia="ja-JP"/>
              </w:rPr>
              <w:t>mol</w:t>
            </w:r>
            <w:proofErr w:type="spellEnd"/>
            <w:r w:rsidRPr="00F12F1C">
              <w:rPr>
                <w:rFonts w:ascii="Arial Narrow" w:hAnsi="Arial Narrow"/>
                <w:sz w:val="20"/>
                <w:lang w:eastAsia="ja-JP"/>
              </w:rPr>
              <w:t>)</w:t>
            </w:r>
          </w:p>
        </w:tc>
      </w:tr>
      <w:tr w:rsidR="002E01E3" w:rsidRPr="00F12F1C">
        <w:trPr>
          <w:tblHeader/>
        </w:trPr>
        <w:tc>
          <w:tcPr>
            <w:tcW w:w="1732" w:type="pct"/>
            <w:shd w:val="clear" w:color="auto" w:fill="auto"/>
            <w:vAlign w:val="center"/>
          </w:tcPr>
          <w:p w:rsidR="002E01E3" w:rsidRPr="00F12F1C" w:rsidRDefault="002E01E3" w:rsidP="002E01E3">
            <w:pPr>
              <w:spacing w:after="0"/>
              <w:jc w:val="left"/>
              <w:rPr>
                <w:rFonts w:ascii="Arial Narrow" w:hAnsi="Arial Narrow"/>
                <w:b/>
                <w:sz w:val="20"/>
              </w:rPr>
            </w:pPr>
            <w:r w:rsidRPr="00F12F1C">
              <w:rPr>
                <w:rFonts w:ascii="Arial Narrow" w:hAnsi="Arial Narrow"/>
                <w:b/>
                <w:sz w:val="20"/>
              </w:rPr>
              <w:t>Impaired glucose tolerance</w:t>
            </w:r>
          </w:p>
        </w:tc>
        <w:tc>
          <w:tcPr>
            <w:tcW w:w="1394" w:type="pct"/>
            <w:shd w:val="clear" w:color="auto" w:fill="auto"/>
            <w:vAlign w:val="center"/>
          </w:tcPr>
          <w:p w:rsidR="002E01E3" w:rsidRPr="00F12F1C" w:rsidRDefault="002E01E3" w:rsidP="002E01E3">
            <w:pPr>
              <w:spacing w:after="0"/>
              <w:jc w:val="center"/>
              <w:rPr>
                <w:rFonts w:ascii="Arial Narrow" w:hAnsi="Arial Narrow"/>
                <w:sz w:val="20"/>
                <w:lang w:eastAsia="ja-JP"/>
              </w:rPr>
            </w:pPr>
            <w:r w:rsidRPr="00F12F1C">
              <w:rPr>
                <w:rFonts w:ascii="Arial Narrow" w:hAnsi="Arial Narrow"/>
                <w:sz w:val="20"/>
                <w:lang w:eastAsia="ja-JP"/>
              </w:rPr>
              <w:t>&lt;7.0</w:t>
            </w:r>
          </w:p>
        </w:tc>
        <w:tc>
          <w:tcPr>
            <w:tcW w:w="767" w:type="pct"/>
            <w:shd w:val="clear" w:color="auto" w:fill="auto"/>
            <w:vAlign w:val="center"/>
          </w:tcPr>
          <w:p w:rsidR="002E01E3" w:rsidRPr="00F12F1C" w:rsidRDefault="002E01E3" w:rsidP="002E01E3">
            <w:pPr>
              <w:spacing w:after="0"/>
              <w:jc w:val="center"/>
              <w:rPr>
                <w:rFonts w:ascii="Arial Narrow" w:hAnsi="Arial Narrow"/>
                <w:sz w:val="20"/>
                <w:lang w:eastAsia="ja-JP"/>
              </w:rPr>
            </w:pPr>
            <w:r w:rsidRPr="00F12F1C">
              <w:rPr>
                <w:rFonts w:ascii="Arial Narrow" w:hAnsi="Arial Narrow"/>
                <w:sz w:val="20"/>
                <w:lang w:eastAsia="ja-JP"/>
              </w:rPr>
              <w:t>7.8-11.0</w:t>
            </w:r>
          </w:p>
        </w:tc>
        <w:tc>
          <w:tcPr>
            <w:tcW w:w="1107" w:type="pct"/>
            <w:vAlign w:val="center"/>
          </w:tcPr>
          <w:p w:rsidR="002E01E3" w:rsidRPr="00F12F1C" w:rsidRDefault="002E01E3" w:rsidP="002E01E3">
            <w:pPr>
              <w:spacing w:after="0"/>
              <w:jc w:val="center"/>
              <w:rPr>
                <w:rFonts w:ascii="Arial Narrow" w:hAnsi="Arial Narrow"/>
                <w:sz w:val="20"/>
                <w:lang w:eastAsia="ja-JP"/>
              </w:rPr>
            </w:pPr>
            <w:r w:rsidRPr="00F12F1C">
              <w:rPr>
                <w:rFonts w:ascii="Arial Narrow" w:hAnsi="Arial Narrow"/>
                <w:sz w:val="20"/>
                <w:lang w:eastAsia="ja-JP"/>
              </w:rPr>
              <w:t>6.0-6.4</w:t>
            </w:r>
          </w:p>
        </w:tc>
      </w:tr>
      <w:tr w:rsidR="002E01E3" w:rsidRPr="00F12F1C">
        <w:trPr>
          <w:tblHeader/>
        </w:trPr>
        <w:tc>
          <w:tcPr>
            <w:tcW w:w="1732" w:type="pct"/>
            <w:shd w:val="clear" w:color="auto" w:fill="auto"/>
            <w:vAlign w:val="center"/>
          </w:tcPr>
          <w:p w:rsidR="002E01E3" w:rsidRPr="00F12F1C" w:rsidRDefault="002E01E3" w:rsidP="002E01E3">
            <w:pPr>
              <w:spacing w:after="0"/>
              <w:jc w:val="left"/>
              <w:rPr>
                <w:rFonts w:ascii="Arial Narrow" w:hAnsi="Arial Narrow"/>
                <w:b/>
                <w:sz w:val="20"/>
              </w:rPr>
            </w:pPr>
            <w:r w:rsidRPr="00F12F1C">
              <w:rPr>
                <w:rFonts w:ascii="Arial Narrow" w:hAnsi="Arial Narrow"/>
                <w:b/>
                <w:sz w:val="20"/>
              </w:rPr>
              <w:t>Impaired fasting glucose</w:t>
            </w:r>
          </w:p>
        </w:tc>
        <w:tc>
          <w:tcPr>
            <w:tcW w:w="1394" w:type="pct"/>
            <w:tcBorders>
              <w:bottom w:val="single" w:sz="6" w:space="0" w:color="auto"/>
            </w:tcBorders>
            <w:shd w:val="clear" w:color="auto" w:fill="auto"/>
            <w:vAlign w:val="center"/>
          </w:tcPr>
          <w:p w:rsidR="002E01E3" w:rsidRPr="00F12F1C" w:rsidRDefault="002E01E3" w:rsidP="002E01E3">
            <w:pPr>
              <w:spacing w:after="0"/>
              <w:jc w:val="center"/>
              <w:rPr>
                <w:rFonts w:ascii="Arial Narrow" w:hAnsi="Arial Narrow"/>
                <w:sz w:val="20"/>
                <w:lang w:eastAsia="ja-JP"/>
              </w:rPr>
            </w:pPr>
            <w:r w:rsidRPr="00F12F1C">
              <w:rPr>
                <w:rFonts w:ascii="Arial Narrow" w:hAnsi="Arial Narrow"/>
                <w:sz w:val="20"/>
                <w:lang w:eastAsia="ja-JP"/>
              </w:rPr>
              <w:t>6.1-6.9</w:t>
            </w:r>
          </w:p>
        </w:tc>
        <w:tc>
          <w:tcPr>
            <w:tcW w:w="767" w:type="pct"/>
            <w:tcBorders>
              <w:bottom w:val="single" w:sz="6" w:space="0" w:color="auto"/>
            </w:tcBorders>
            <w:shd w:val="clear" w:color="auto" w:fill="auto"/>
            <w:vAlign w:val="center"/>
          </w:tcPr>
          <w:p w:rsidR="002E01E3" w:rsidRPr="00F12F1C" w:rsidRDefault="002E01E3" w:rsidP="002E01E3">
            <w:pPr>
              <w:spacing w:after="0"/>
              <w:jc w:val="center"/>
              <w:rPr>
                <w:rFonts w:ascii="Arial Narrow" w:hAnsi="Arial Narrow"/>
                <w:sz w:val="20"/>
                <w:lang w:eastAsia="ja-JP"/>
              </w:rPr>
            </w:pPr>
            <w:r w:rsidRPr="00F12F1C">
              <w:rPr>
                <w:rFonts w:ascii="Arial Narrow" w:hAnsi="Arial Narrow"/>
                <w:sz w:val="20"/>
                <w:lang w:eastAsia="ja-JP"/>
              </w:rPr>
              <w:t>&lt;7.8</w:t>
            </w:r>
          </w:p>
        </w:tc>
        <w:tc>
          <w:tcPr>
            <w:tcW w:w="1107" w:type="pct"/>
            <w:vAlign w:val="center"/>
          </w:tcPr>
          <w:p w:rsidR="002E01E3" w:rsidRPr="00F12F1C" w:rsidRDefault="002E01E3" w:rsidP="002E01E3">
            <w:pPr>
              <w:spacing w:after="0"/>
              <w:jc w:val="center"/>
              <w:rPr>
                <w:rFonts w:ascii="Arial Narrow" w:hAnsi="Arial Narrow"/>
                <w:sz w:val="20"/>
                <w:lang w:eastAsia="ja-JP"/>
              </w:rPr>
            </w:pPr>
            <w:r w:rsidRPr="00F12F1C">
              <w:rPr>
                <w:rFonts w:ascii="Arial Narrow" w:hAnsi="Arial Narrow"/>
                <w:sz w:val="20"/>
                <w:lang w:eastAsia="ja-JP"/>
              </w:rPr>
              <w:t>N.A.</w:t>
            </w:r>
          </w:p>
        </w:tc>
      </w:tr>
    </w:tbl>
    <w:p w:rsidR="002E01E3" w:rsidRPr="006E5190" w:rsidRDefault="002E01E3" w:rsidP="002E01E3">
      <w:pPr>
        <w:rPr>
          <w:rStyle w:val="CommentReference"/>
          <w:rFonts w:ascii="Arial Narrow" w:eastAsia="Times New Roman" w:hAnsi="Arial Narrow" w:cs="Arial"/>
          <w:snapToGrid w:val="0"/>
          <w:sz w:val="18"/>
          <w:szCs w:val="18"/>
          <w:lang w:eastAsia="en-US"/>
        </w:rPr>
      </w:pPr>
      <w:r w:rsidRPr="006E5190">
        <w:rPr>
          <w:rStyle w:val="CommentReference"/>
          <w:rFonts w:ascii="Arial Narrow" w:eastAsia="Times New Roman" w:hAnsi="Arial Narrow" w:cs="Arial"/>
          <w:snapToGrid w:val="0"/>
          <w:sz w:val="18"/>
          <w:szCs w:val="18"/>
          <w:lang w:eastAsia="en-US"/>
        </w:rPr>
        <w:t xml:space="preserve">Source: </w:t>
      </w:r>
      <w:r w:rsidRPr="006E5190">
        <w:rPr>
          <w:rFonts w:ascii="Arial Narrow" w:eastAsia="HelveticaNeueLTStd-Lt" w:hAnsi="Arial Narrow" w:cs="HelveticaNeueLTStd-Lt"/>
          <w:sz w:val="18"/>
          <w:szCs w:val="18"/>
          <w:lang w:eastAsia="en-AU"/>
        </w:rPr>
        <w:t>General practice management of type 2 diabetes – 2014–15. Melbourne: The Royal Australian College of General Practitioners and Diabetes Australia, 2014.</w:t>
      </w:r>
    </w:p>
    <w:p w:rsidR="002E01E3" w:rsidRDefault="002E01E3" w:rsidP="002E01E3">
      <w:pPr>
        <w:rPr>
          <w:szCs w:val="22"/>
        </w:rPr>
      </w:pPr>
      <w:proofErr w:type="gramStart"/>
      <w:r>
        <w:rPr>
          <w:szCs w:val="22"/>
        </w:rPr>
        <w:t>People</w:t>
      </w:r>
      <w:proofErr w:type="gramEnd"/>
      <w:r>
        <w:rPr>
          <w:szCs w:val="22"/>
        </w:rPr>
        <w:t xml:space="preserve"> who do not meet the criteria for T2DM, but have either impaired glucose tolerance or impaired fasting glucose are considered to have pre-diabetes. People with pre-diabetes often continue to develop T2DM </w:t>
      </w:r>
      <w:r>
        <w:rPr>
          <w:szCs w:val="22"/>
        </w:rPr>
        <w:fldChar w:fldCharType="begin"/>
      </w:r>
      <w:r>
        <w:rPr>
          <w:szCs w:val="22"/>
        </w:rPr>
        <w:instrText xml:space="preserve"> ADDIN EN.CITE &lt;EndNote&gt;&lt;Cite&gt;&lt;Author&gt;Nathan&lt;/Author&gt;&lt;Year&gt;2007&lt;/Year&gt;&lt;RecNum&gt;84&lt;/RecNum&gt;&lt;DisplayText&gt;[18]&lt;/DisplayText&gt;&lt;record&gt;&lt;rec-number&gt;84&lt;/rec-number&gt;&lt;foreign-keys&gt;&lt;key app="EN" db-id="edz5s99awvadpbexfxhvwe0ofp2svdwzsdpf" timestamp="1413774615"&gt;84&lt;/key&gt;&lt;/foreign-keys&gt;&lt;ref-type name="Journal Article"&gt;17&lt;/ref-type&gt;&lt;contributors&gt;&lt;authors&gt;&lt;author&gt;Nathan, David M&lt;/author&gt;&lt;author&gt;Davidson, Mayer B&lt;/author&gt;&lt;author&gt;Defronzo, Ralph A&lt;/author&gt;&lt;author&gt;Heine, Robert J&lt;/author&gt;&lt;author&gt;Henry, Robert R&lt;/author&gt;&lt;author&gt;Pratley, Richard&lt;/author&gt;&lt;author&gt;Zinman, Bernard&lt;/author&gt;&lt;/authors&gt;&lt;/contributors&gt;&lt;titles&gt;&lt;title&gt;Impaired fasting glucose and impaired glucose tolerance implications for care&lt;/title&gt;&lt;secondary-title&gt;Diabetes care&lt;/secondary-title&gt;&lt;/titles&gt;&lt;periodical&gt;&lt;full-title&gt;Diabetes care&lt;/full-title&gt;&lt;/periodical&gt;&lt;pages&gt;753-759&lt;/pages&gt;&lt;volume&gt;30&lt;/volume&gt;&lt;number&gt;3&lt;/number&gt;&lt;dates&gt;&lt;year&gt;2007&lt;/year&gt;&lt;/dates&gt;&lt;isbn&gt;0149-5992&lt;/isbn&gt;&lt;urls&gt;&lt;/urls&gt;&lt;/record&gt;&lt;/Cite&gt;&lt;/EndNote&gt;</w:instrText>
      </w:r>
      <w:r>
        <w:rPr>
          <w:szCs w:val="22"/>
        </w:rPr>
        <w:fldChar w:fldCharType="separate"/>
      </w:r>
      <w:r>
        <w:rPr>
          <w:noProof/>
          <w:szCs w:val="22"/>
        </w:rPr>
        <w:t>[18]</w:t>
      </w:r>
      <w:r>
        <w:rPr>
          <w:szCs w:val="22"/>
        </w:rPr>
        <w:fldChar w:fldCharType="end"/>
      </w:r>
      <w:r>
        <w:rPr>
          <w:szCs w:val="22"/>
        </w:rPr>
        <w:t xml:space="preserve">. Since early initiation of therapy is correlated with better patient outcomes </w:t>
      </w:r>
      <w:r>
        <w:rPr>
          <w:szCs w:val="22"/>
        </w:rPr>
        <w:fldChar w:fldCharType="begin"/>
      </w:r>
      <w:r>
        <w:rPr>
          <w:szCs w:val="22"/>
        </w:rPr>
        <w:instrText xml:space="preserve"> ADDIN EN.CITE &lt;EndNote&gt;&lt;Cite&gt;&lt;Author&gt;Holman&lt;/Author&gt;&lt;Year&gt;2008&lt;/Year&gt;&lt;RecNum&gt;82&lt;/RecNum&gt;&lt;DisplayText&gt;[19]&lt;/DisplayText&gt;&lt;record&gt;&lt;rec-number&gt;82&lt;/rec-number&gt;&lt;foreign-keys&gt;&lt;key app="EN" db-id="edz5s99awvadpbexfxhvwe0ofp2svdwzsdpf" timestamp="1413771607"&gt;82&lt;/key&gt;&lt;/foreign-keys&gt;&lt;ref-type name="Journal Article"&gt;17&lt;/ref-type&gt;&lt;contributors&gt;&lt;authors&gt;&lt;author&gt;Holman, Rury R&lt;/author&gt;&lt;author&gt;Paul, Sanjoy K&lt;/author&gt;&lt;author&gt;Bethel, M Angelyn&lt;/author&gt;&lt;author&gt;Matthews, David R&lt;/author&gt;&lt;author&gt;Neil, H Andrew W&lt;/author&gt;&lt;/authors&gt;&lt;/contributors&gt;&lt;titles&gt;&lt;title&gt;10-year follow-up of intensive glucose control in type 2 diabetes&lt;/title&gt;&lt;secondary-title&gt;New England Journal of Medicine&lt;/secondary-title&gt;&lt;/titles&gt;&lt;periodical&gt;&lt;full-title&gt;New England Journal of Medicine&lt;/full-title&gt;&lt;/periodical&gt;&lt;pages&gt;1577-1589&lt;/pages&gt;&lt;volume&gt;359&lt;/volume&gt;&lt;number&gt;15&lt;/number&gt;&lt;dates&gt;&lt;year&gt;2008&lt;/year&gt;&lt;/dates&gt;&lt;isbn&gt;0028-4793&lt;/isbn&gt;&lt;urls&gt;&lt;/urls&gt;&lt;/record&gt;&lt;/Cite&gt;&lt;/EndNote&gt;</w:instrText>
      </w:r>
      <w:r>
        <w:rPr>
          <w:szCs w:val="22"/>
        </w:rPr>
        <w:fldChar w:fldCharType="separate"/>
      </w:r>
      <w:r>
        <w:rPr>
          <w:noProof/>
          <w:szCs w:val="22"/>
        </w:rPr>
        <w:t>[19]</w:t>
      </w:r>
      <w:r>
        <w:rPr>
          <w:szCs w:val="22"/>
        </w:rPr>
        <w:fldChar w:fldCharType="end"/>
      </w:r>
      <w:r>
        <w:rPr>
          <w:szCs w:val="22"/>
        </w:rPr>
        <w:t xml:space="preserve">, there are benefits to detecting diabetes in its earliest stages </w:t>
      </w:r>
      <w:r>
        <w:rPr>
          <w:szCs w:val="22"/>
        </w:rPr>
        <w:fldChar w:fldCharType="begin"/>
      </w:r>
      <w:r>
        <w:rPr>
          <w:szCs w:val="22"/>
        </w:rPr>
        <w:instrText xml:space="preserve"> ADDIN EN.CITE &lt;EndNote&gt;&lt;Cite&gt;&lt;Author&gt;Colagiuri&lt;/Author&gt;&lt;Year&gt;2009&lt;/Year&gt;&lt;RecNum&gt;83&lt;/RecNum&gt;&lt;DisplayText&gt;[20]&lt;/DisplayText&gt;&lt;record&gt;&lt;rec-number&gt;83&lt;/rec-number&gt;&lt;foreign-keys&gt;&lt;key app="EN" db-id="edz5s99awvadpbexfxhvwe0ofp2svdwzsdpf" timestamp="1413771863"&gt;83&lt;/key&gt;&lt;/foreign-keys&gt;&lt;ref-type name="Journal Article"&gt;17&lt;/ref-type&gt;&lt;contributors&gt;&lt;authors&gt;&lt;author&gt;Colagiuri, S&lt;/author&gt;&lt;author&gt;Davies, D&lt;/author&gt;&lt;author&gt;Girgis, S&lt;/author&gt;&lt;author&gt;Colagiuri, R&lt;/author&gt;&lt;/authors&gt;&lt;/contributors&gt;&lt;titles&gt;&lt;title&gt;National evidence based guideline for case detection and diagnosis of type 2 diabetes&lt;/title&gt;&lt;secondary-title&gt;Diabetes Australia and the NHMRC, Editor&lt;/secondary-title&gt;&lt;/titles&gt;&lt;periodical&gt;&lt;full-title&gt;Diabetes Australia and the NHMRC, Editor&lt;/full-title&gt;&lt;/periodical&gt;&lt;dates&gt;&lt;year&gt;2009&lt;/year&gt;&lt;/dates&gt;&lt;urls&gt;&lt;/urls&gt;&lt;/record&gt;&lt;/Cite&gt;&lt;/EndNote&gt;</w:instrText>
      </w:r>
      <w:r>
        <w:rPr>
          <w:szCs w:val="22"/>
        </w:rPr>
        <w:fldChar w:fldCharType="separate"/>
      </w:r>
      <w:r>
        <w:rPr>
          <w:noProof/>
          <w:szCs w:val="22"/>
        </w:rPr>
        <w:t>[20]</w:t>
      </w:r>
      <w:r>
        <w:rPr>
          <w:szCs w:val="22"/>
        </w:rPr>
        <w:fldChar w:fldCharType="end"/>
      </w:r>
      <w:r>
        <w:rPr>
          <w:szCs w:val="22"/>
        </w:rPr>
        <w:t>.</w:t>
      </w:r>
      <w:r w:rsidRPr="00905B9F">
        <w:rPr>
          <w:szCs w:val="22"/>
        </w:rPr>
        <w:t xml:space="preserve"> </w:t>
      </w:r>
      <w:r>
        <w:rPr>
          <w:szCs w:val="22"/>
        </w:rPr>
        <w:t xml:space="preserve">Early intervention in patients with pre-diabetes can reduce the chance of developing T2DM by 60% </w:t>
      </w:r>
      <w:r>
        <w:rPr>
          <w:szCs w:val="22"/>
        </w:rPr>
        <w:fldChar w:fldCharType="begin"/>
      </w:r>
      <w:r>
        <w:rPr>
          <w:szCs w:val="22"/>
        </w:rPr>
        <w:instrText xml:space="preserve"> ADDIN EN.CITE &lt;EndNote&gt;&lt;Cite&gt;&lt;Author&gt;Shaw&lt;/Author&gt;&lt;Year&gt;2012&lt;/Year&gt;&lt;RecNum&gt;67&lt;/RecNum&gt;&lt;DisplayText&gt;[9]&lt;/DisplayText&gt;&lt;record&gt;&lt;rec-number&gt;67&lt;/rec-number&gt;&lt;foreign-keys&gt;&lt;key app="EN" db-id="edz5s99awvadpbexfxhvwe0ofp2svdwzsdpf" timestamp="1413345547"&gt;67&lt;/key&gt;&lt;/foreign-keys&gt;&lt;ref-type name="Book"&gt;6&lt;/ref-type&gt;&lt;contributors&gt;&lt;authors&gt;&lt;author&gt;Shaw, Jonathan&lt;/author&gt;&lt;/authors&gt;&lt;/contributors&gt;&lt;titles&gt;&lt;title&gt;Diabetes: the silent pandemic and its impact on Australia&lt;/title&gt;&lt;/titles&gt;&lt;dates&gt;&lt;year&gt;2012&lt;/year&gt;&lt;/dates&gt;&lt;publisher&gt;Baker IDI Heart &amp;amp; Diabetes Institute&lt;/publisher&gt;&lt;urls&gt;&lt;/urls&gt;&lt;/record&gt;&lt;/Cite&gt;&lt;/EndNote&gt;</w:instrText>
      </w:r>
      <w:r>
        <w:rPr>
          <w:szCs w:val="22"/>
        </w:rPr>
        <w:fldChar w:fldCharType="separate"/>
      </w:r>
      <w:r>
        <w:rPr>
          <w:noProof/>
          <w:szCs w:val="22"/>
        </w:rPr>
        <w:t>[9]</w:t>
      </w:r>
      <w:r>
        <w:rPr>
          <w:szCs w:val="22"/>
        </w:rPr>
        <w:fldChar w:fldCharType="end"/>
      </w:r>
      <w:r>
        <w:rPr>
          <w:szCs w:val="22"/>
        </w:rPr>
        <w:t>.</w:t>
      </w:r>
    </w:p>
    <w:p w:rsidR="002E01E3" w:rsidRDefault="002E01E3" w:rsidP="002E01E3">
      <w:pPr>
        <w:pStyle w:val="Heading1"/>
      </w:pPr>
      <w:bookmarkStart w:id="25" w:name="_Toc410649137"/>
      <w:bookmarkStart w:id="26" w:name="_Toc420499063"/>
      <w:r w:rsidRPr="00925A48">
        <w:t xml:space="preserve">Use of </w:t>
      </w:r>
      <w:r>
        <w:rPr>
          <w:lang w:val="en-AU"/>
        </w:rPr>
        <w:t>shared medical appointments</w:t>
      </w:r>
      <w:bookmarkEnd w:id="25"/>
      <w:bookmarkEnd w:id="26"/>
      <w:r w:rsidRPr="00925A48">
        <w:t xml:space="preserve"> </w:t>
      </w:r>
    </w:p>
    <w:p w:rsidR="002E01E3" w:rsidRDefault="002E01E3" w:rsidP="002E01E3">
      <w:pPr>
        <w:rPr>
          <w:szCs w:val="22"/>
        </w:rPr>
      </w:pPr>
      <w:r>
        <w:rPr>
          <w:szCs w:val="22"/>
        </w:rPr>
        <w:t xml:space="preserve">Managing T2DM requires vigilant and ongoing self-discipline by the patient, and skilled attention to all aspects of their health. Patients can benefit from information on the best available methods of monitoring their condition, and appropriate drug regimens. While medications and compliance with medical prescription are important, other lifestyle changes are critical to the success of regulating blood sugar levels and reducing risk factors </w:t>
      </w:r>
      <w:r>
        <w:rPr>
          <w:szCs w:val="22"/>
        </w:rPr>
        <w:fldChar w:fldCharType="begin"/>
      </w:r>
      <w:r>
        <w:rPr>
          <w:szCs w:val="22"/>
        </w:rPr>
        <w:instrText xml:space="preserve"> ADDIN EN.CITE &lt;EndNote&gt;&lt;Cite&gt;&lt;Author&gt;Larson&lt;/Author&gt;&lt;Year&gt;1999&lt;/Year&gt;&lt;RecNum&gt;66&lt;/RecNum&gt;&lt;DisplayText&gt;[21]&lt;/DisplayText&gt;&lt;record&gt;&lt;rec-number&gt;66&lt;/rec-number&gt;&lt;foreign-keys&gt;&lt;key app="EN" db-id="edz5s99awvadpbexfxhvwe0ofp2svdwzsdpf" timestamp="1413343843"&gt;66&lt;/key&gt;&lt;/foreign-keys&gt;&lt;ref-type name="Journal Article"&gt;17&lt;/ref-type&gt;&lt;contributors&gt;&lt;authors&gt;&lt;author&gt;Larson, Cecelia&lt;/author&gt;&lt;/authors&gt;&lt;/contributors&gt;&lt;titles&gt;&lt;title&gt;Williams&amp;apos; Textbook of Endocrinology&lt;/title&gt;&lt;secondary-title&gt;The Endocrinologist&lt;/secondary-title&gt;&lt;/titles&gt;&lt;periodical&gt;&lt;full-title&gt;The Endocrinologist&lt;/full-title&gt;&lt;/periodical&gt;&lt;pages&gt;69-70&lt;/pages&gt;&lt;volume&gt;9&lt;/volume&gt;&lt;number&gt;1&lt;/number&gt;&lt;dates&gt;&lt;year&gt;1999&lt;/year&gt;&lt;/dates&gt;&lt;isbn&gt;1051-2144&lt;/isbn&gt;&lt;urls&gt;&lt;/urls&gt;&lt;/record&gt;&lt;/Cite&gt;&lt;/EndNote&gt;</w:instrText>
      </w:r>
      <w:r>
        <w:rPr>
          <w:szCs w:val="22"/>
        </w:rPr>
        <w:fldChar w:fldCharType="separate"/>
      </w:r>
      <w:r>
        <w:rPr>
          <w:noProof/>
          <w:szCs w:val="22"/>
        </w:rPr>
        <w:t>[21]</w:t>
      </w:r>
      <w:r>
        <w:rPr>
          <w:szCs w:val="22"/>
        </w:rPr>
        <w:fldChar w:fldCharType="end"/>
      </w:r>
      <w:r>
        <w:rPr>
          <w:szCs w:val="22"/>
        </w:rPr>
        <w:t xml:space="preserve">. Adherence to diabetes guidelines has historically been poor, and there is little evidence of improvement over the past 20 years </w:t>
      </w:r>
      <w:r>
        <w:rPr>
          <w:szCs w:val="22"/>
        </w:rPr>
        <w:fldChar w:fldCharType="begin"/>
      </w:r>
      <w:r>
        <w:rPr>
          <w:szCs w:val="22"/>
        </w:rPr>
        <w:instrText xml:space="preserve"> ADDIN EN.CITE &lt;EndNote&gt;&lt;Cite&gt;&lt;Author&gt;Cramer JA&lt;/Author&gt;&lt;Year&gt;2008&lt;/Year&gt;&lt;RecNum&gt;129&lt;/RecNum&gt;&lt;DisplayText&gt;[22]&lt;/DisplayText&gt;&lt;record&gt;&lt;rec-number&gt;129&lt;/rec-number&gt;&lt;foreign-keys&gt;&lt;key app="EN" db-id="edz5s99awvadpbexfxhvwe0ofp2svdwzsdpf" timestamp="1414462212"&gt;129&lt;/key&gt;&lt;/foreign-keys&gt;&lt;ref-type name="Journal Article"&gt;17&lt;/ref-type&gt;&lt;contributors&gt;&lt;authors&gt;&lt;author&gt;Cramer JA, Benedict A, Muszbek N, Keskinaslan A, Khan ZM&lt;/author&gt;&lt;/authors&gt;&lt;/contributors&gt;&lt;titles&gt;&lt;title&gt;The significance of compliance and persistence in the treatment of diabetes, hypertension and dyslipidaemia: a review. &lt;/title&gt;&lt;secondary-title&gt; Int J Clin Pract&lt;/secondary-title&gt;&lt;/titles&gt;&lt;pages&gt;76-87&lt;/pages&gt;&lt;volume&gt;62&lt;/volume&gt;&lt;dates&gt;&lt;year&gt;2008&lt;/year&gt;&lt;/dates&gt;&lt;urls&gt;&lt;/urls&gt;&lt;/record&gt;&lt;/Cite&gt;&lt;/EndNote&gt;</w:instrText>
      </w:r>
      <w:r>
        <w:rPr>
          <w:szCs w:val="22"/>
        </w:rPr>
        <w:fldChar w:fldCharType="separate"/>
      </w:r>
      <w:r>
        <w:rPr>
          <w:noProof/>
          <w:szCs w:val="22"/>
        </w:rPr>
        <w:t>[22]</w:t>
      </w:r>
      <w:r>
        <w:rPr>
          <w:szCs w:val="22"/>
        </w:rPr>
        <w:fldChar w:fldCharType="end"/>
      </w:r>
      <w:r>
        <w:rPr>
          <w:szCs w:val="22"/>
        </w:rPr>
        <w:t xml:space="preserve">. </w:t>
      </w:r>
    </w:p>
    <w:p w:rsidR="002E01E3" w:rsidRDefault="002E01E3" w:rsidP="002E01E3">
      <w:pPr>
        <w:rPr>
          <w:szCs w:val="22"/>
        </w:rPr>
      </w:pPr>
      <w:r w:rsidRPr="008361BF">
        <w:rPr>
          <w:szCs w:val="22"/>
        </w:rPr>
        <w:t xml:space="preserve">Moral support from other patients in the same situation has been shown to be beneficial in achieving diet, weight loss and exercise goals </w:t>
      </w:r>
      <w:r w:rsidRPr="008361BF">
        <w:rPr>
          <w:szCs w:val="22"/>
        </w:rPr>
        <w:fldChar w:fldCharType="begin"/>
      </w:r>
      <w:r w:rsidRPr="008361BF">
        <w:rPr>
          <w:szCs w:val="22"/>
        </w:rPr>
        <w:instrText xml:space="preserve"> ADDIN EN.CITE &lt;EndNote&gt;&lt;Cite&gt;&lt;Author&gt;Trento&lt;/Author&gt;&lt;Year&gt;2010&lt;/Year&gt;&lt;RecNum&gt;64&lt;/RecNum&gt;&lt;DisplayText&gt;[23]&lt;/DisplayText&gt;&lt;record&gt;&lt;rec-number&gt;64&lt;/rec-number&gt;&lt;foreign-keys&gt;&lt;key app="EN" db-id="edz5s99awvadpbexfxhvwe0ofp2svdwzsdpf" timestamp="1413335031"&gt;64&lt;/key&gt;&lt;/foreign-keys&gt;&lt;ref-type name="Journal Article"&gt;17&lt;/ref-type&gt;&lt;contributors&gt;&lt;authors&gt;&lt;author&gt;Trento, Marina&lt;/author&gt;&lt;author&gt;Gamba, Silvia&lt;/author&gt;&lt;author&gt;Gentile, Luigi&lt;/author&gt;&lt;author&gt;Grassi, Giorgio&lt;/author&gt;&lt;author&gt;Miselli, Valerio&lt;/author&gt;&lt;author&gt;Morone, Gabriel&lt;/author&gt;&lt;author&gt;Passera, Pietro&lt;/author&gt;&lt;author&gt;Tonutti, Laura&lt;/author&gt;&lt;author&gt;Tomalino, Marco&lt;/author&gt;&lt;author&gt;Bondonio, Piervincenzo&lt;/author&gt;&lt;/authors&gt;&lt;/contributors&gt;&lt;titles&gt;&lt;title&gt;Rethink Organization to iMprove Education and Outcomes (ROMEO) A multicenter randomized trial of lifestyle intervention by group care to manage type 2 diabetes&lt;/title&gt;&lt;secondary-title&gt;Diabetes care&lt;/secondary-title&gt;&lt;/titles&gt;&lt;periodical&gt;&lt;full-title&gt;Diabetes care&lt;/full-title&gt;&lt;/periodical&gt;&lt;pages&gt;745-747&lt;/pages&gt;&lt;volume&gt;33&lt;/volume&gt;&lt;number&gt;4&lt;/number&gt;&lt;dates&gt;&lt;year&gt;2010&lt;/year&gt;&lt;/dates&gt;&lt;isbn&gt;0149-5992&lt;/isbn&gt;&lt;urls&gt;&lt;/urls&gt;&lt;/record&gt;&lt;/Cite&gt;&lt;/EndNote&gt;</w:instrText>
      </w:r>
      <w:r w:rsidRPr="008361BF">
        <w:rPr>
          <w:szCs w:val="22"/>
        </w:rPr>
        <w:fldChar w:fldCharType="separate"/>
      </w:r>
      <w:r w:rsidRPr="008361BF">
        <w:rPr>
          <w:noProof/>
          <w:szCs w:val="22"/>
        </w:rPr>
        <w:t>[23]</w:t>
      </w:r>
      <w:r w:rsidRPr="008361BF">
        <w:rPr>
          <w:szCs w:val="22"/>
        </w:rPr>
        <w:fldChar w:fldCharType="end"/>
      </w:r>
      <w:r w:rsidRPr="008361BF">
        <w:rPr>
          <w:szCs w:val="22"/>
        </w:rPr>
        <w:t>. Shared medical appointments should thus help patients manage their own condition through peer support, improved knowledge and enhanced empowerment. As part of the group education component of the shared medical appointments</w:t>
      </w:r>
      <w:r w:rsidRPr="00F779FD">
        <w:rPr>
          <w:szCs w:val="22"/>
        </w:rPr>
        <w:t xml:space="preserve">, patients should be reminded of the need to have their eyes checked for retinopathy regularly. A group setting may allow patients to air concerns about their own </w:t>
      </w:r>
      <w:r w:rsidRPr="00493232">
        <w:rPr>
          <w:szCs w:val="22"/>
        </w:rPr>
        <w:t>health</w:t>
      </w:r>
      <w:r w:rsidRPr="00790F31">
        <w:rPr>
          <w:szCs w:val="22"/>
        </w:rPr>
        <w:t xml:space="preserve"> challenges</w:t>
      </w:r>
      <w:r w:rsidRPr="003A7252">
        <w:rPr>
          <w:szCs w:val="22"/>
        </w:rPr>
        <w:t>, and listen to the experiences of others.</w:t>
      </w:r>
    </w:p>
    <w:p w:rsidR="002E01E3" w:rsidRDefault="002E01E3" w:rsidP="002E01E3">
      <w:pPr>
        <w:pStyle w:val="Heading2"/>
        <w:rPr>
          <w:szCs w:val="22"/>
        </w:rPr>
      </w:pPr>
      <w:bookmarkStart w:id="27" w:name="_Toc410649138"/>
      <w:bookmarkStart w:id="28" w:name="_Toc420499064"/>
      <w:r w:rsidRPr="008B719A">
        <w:rPr>
          <w:szCs w:val="22"/>
        </w:rPr>
        <w:lastRenderedPageBreak/>
        <w:t>Delivery of the intervention</w:t>
      </w:r>
      <w:bookmarkEnd w:id="27"/>
      <w:bookmarkEnd w:id="28"/>
    </w:p>
    <w:p w:rsidR="002E01E3" w:rsidRPr="008E7BA8" w:rsidRDefault="002E01E3" w:rsidP="002E01E3">
      <w:pPr>
        <w:rPr>
          <w:szCs w:val="22"/>
        </w:rPr>
      </w:pPr>
      <w:r w:rsidRPr="008E7BA8">
        <w:rPr>
          <w:szCs w:val="22"/>
        </w:rPr>
        <w:t>The intervention could be on an occasional, one-off, or ongoing (e</w:t>
      </w:r>
      <w:r>
        <w:rPr>
          <w:szCs w:val="22"/>
        </w:rPr>
        <w:t>.</w:t>
      </w:r>
      <w:r w:rsidRPr="008E7BA8">
        <w:rPr>
          <w:szCs w:val="22"/>
        </w:rPr>
        <w:t xml:space="preserve">g. </w:t>
      </w:r>
      <w:r>
        <w:rPr>
          <w:szCs w:val="22"/>
        </w:rPr>
        <w:t xml:space="preserve">two </w:t>
      </w:r>
      <w:r w:rsidRPr="008E7BA8">
        <w:rPr>
          <w:szCs w:val="22"/>
        </w:rPr>
        <w:t xml:space="preserve">monthly) basis. The appointment would involve, </w:t>
      </w:r>
      <w:r w:rsidRPr="00382F76">
        <w:rPr>
          <w:szCs w:val="22"/>
        </w:rPr>
        <w:t>at a minimum, an accredited GP, and a group Facilitator. It may also include a practice nurse, and a documenter who may all be the same person as the group Facilitator. The number of appointments attended by the patient would be expected to be limited to a maximum of six meetings per 12 month period.</w:t>
      </w:r>
    </w:p>
    <w:p w:rsidR="002E01E3" w:rsidRPr="008E7BA8" w:rsidRDefault="002E01E3" w:rsidP="002E01E3">
      <w:pPr>
        <w:rPr>
          <w:szCs w:val="22"/>
        </w:rPr>
      </w:pPr>
      <w:r w:rsidRPr="008361BF">
        <w:rPr>
          <w:szCs w:val="22"/>
        </w:rPr>
        <w:t xml:space="preserve">The key to the success of shared medical appointments, based on the US experience and </w:t>
      </w:r>
      <w:r w:rsidRPr="00F779FD">
        <w:rPr>
          <w:szCs w:val="22"/>
        </w:rPr>
        <w:t xml:space="preserve">preliminary Australian work, is the </w:t>
      </w:r>
      <w:r w:rsidRPr="00DF6573">
        <w:rPr>
          <w:szCs w:val="22"/>
        </w:rPr>
        <w:t>Facilitator</w:t>
      </w:r>
      <w:r w:rsidRPr="00493232">
        <w:rPr>
          <w:szCs w:val="22"/>
        </w:rPr>
        <w:t xml:space="preserve"> needs training in the particularities of shared medical appointments </w:t>
      </w:r>
      <w:r w:rsidRPr="00790F31">
        <w:rPr>
          <w:szCs w:val="22"/>
        </w:rPr>
        <w:t>(including group dynamics).</w:t>
      </w:r>
      <w:r w:rsidRPr="00FD661F">
        <w:rPr>
          <w:szCs w:val="22"/>
        </w:rPr>
        <w:t xml:space="preserve"> </w:t>
      </w:r>
      <w:r w:rsidRPr="0023582F">
        <w:rPr>
          <w:szCs w:val="22"/>
        </w:rPr>
        <w:t>Other providers (doctor, nurse</w:t>
      </w:r>
      <w:r w:rsidRPr="00584C0A">
        <w:rPr>
          <w:szCs w:val="22"/>
        </w:rPr>
        <w:t>,</w:t>
      </w:r>
      <w:r w:rsidRPr="008E7BA8">
        <w:rPr>
          <w:szCs w:val="22"/>
        </w:rPr>
        <w:t xml:space="preserve"> documenter) do not need </w:t>
      </w:r>
      <w:r>
        <w:rPr>
          <w:szCs w:val="22"/>
        </w:rPr>
        <w:t xml:space="preserve">specific training </w:t>
      </w:r>
      <w:r>
        <w:rPr>
          <w:szCs w:val="22"/>
        </w:rPr>
        <w:fldChar w:fldCharType="begin"/>
      </w:r>
      <w:r>
        <w:rPr>
          <w:szCs w:val="22"/>
        </w:rPr>
        <w:instrText xml:space="preserve"> ADDIN EN.CITE &lt;EndNote&gt;&lt;Cite&gt;&lt;Author&gt;Egger&lt;/Author&gt;&lt;Year&gt;2014&lt;/Year&gt;&lt;RecNum&gt;43&lt;/RecNum&gt;&lt;DisplayText&gt;[4]&lt;/DisplayText&gt;&lt;record&gt;&lt;rec-number&gt;43&lt;/rec-number&gt;&lt;foreign-keys&gt;&lt;key app="EN" db-id="edz5s99awvadpbexfxhvwe0ofp2svdwzsdpf" timestamp="1413242798"&gt;43&lt;/key&gt;&lt;/foreign-keys&gt;&lt;ref-type name="Journal Article"&gt;17&lt;/ref-type&gt;&lt;contributors&gt;&lt;authors&gt;&lt;author&gt;Egger, Garry&lt;/author&gt;&lt;author&gt;Binns, Andrew&lt;/author&gt;&lt;author&gt;Cole, Mary-Anne&lt;/author&gt;&lt;author&gt;Ewald, Dan&lt;/author&gt;&lt;author&gt;Davies, Lynne&lt;/author&gt;&lt;author&gt;Meldrum, Hamish&lt;/author&gt;&lt;author&gt;Stevens, John&lt;/author&gt;&lt;author&gt;Noffsinger, Ed&lt;/author&gt;&lt;/authors&gt;&lt;/contributors&gt;&lt;titles&gt;&lt;title&gt;Shared medical appointments-An adjunct for chronic disease management in Australia?&lt;/title&gt;&lt;secondary-title&gt;Australian family physician&lt;/secondary-title&gt;&lt;/titles&gt;&lt;periodical&gt;&lt;full-title&gt;Australian family physician&lt;/full-title&gt;&lt;/periodical&gt;&lt;pages&gt;151-154&lt;/pages&gt;&lt;volume&gt;43&lt;/volume&gt;&lt;number&gt;3&lt;/number&gt;&lt;dates&gt;&lt;year&gt;2014&lt;/year&gt;&lt;/dates&gt;&lt;isbn&gt;0300-8495&lt;/isbn&gt;&lt;urls&gt;&lt;/urls&gt;&lt;/record&gt;&lt;/Cite&gt;&lt;/EndNote&gt;</w:instrText>
      </w:r>
      <w:r>
        <w:rPr>
          <w:szCs w:val="22"/>
        </w:rPr>
        <w:fldChar w:fldCharType="separate"/>
      </w:r>
      <w:r>
        <w:rPr>
          <w:noProof/>
          <w:szCs w:val="22"/>
        </w:rPr>
        <w:t>[4]</w:t>
      </w:r>
      <w:r>
        <w:rPr>
          <w:szCs w:val="22"/>
        </w:rPr>
        <w:fldChar w:fldCharType="end"/>
      </w:r>
      <w:r w:rsidRPr="008E7BA8">
        <w:rPr>
          <w:szCs w:val="22"/>
        </w:rPr>
        <w:t>. The Australian Lifestyle Medicine Asso</w:t>
      </w:r>
      <w:r>
        <w:rPr>
          <w:szCs w:val="22"/>
        </w:rPr>
        <w:t>ciation has developed a</w:t>
      </w:r>
      <w:r w:rsidRPr="008E7BA8">
        <w:rPr>
          <w:szCs w:val="22"/>
        </w:rPr>
        <w:t xml:space="preserve"> </w:t>
      </w:r>
      <w:r>
        <w:rPr>
          <w:szCs w:val="22"/>
        </w:rPr>
        <w:t>shared medical appointment</w:t>
      </w:r>
      <w:r w:rsidRPr="008E7BA8">
        <w:rPr>
          <w:szCs w:val="22"/>
        </w:rPr>
        <w:t xml:space="preserve"> training manual for </w:t>
      </w:r>
      <w:r>
        <w:rPr>
          <w:szCs w:val="22"/>
        </w:rPr>
        <w:t>Facilitator</w:t>
      </w:r>
      <w:r w:rsidRPr="008E7BA8">
        <w:rPr>
          <w:szCs w:val="22"/>
        </w:rPr>
        <w:t>s for this purpose.</w:t>
      </w:r>
      <w:r w:rsidR="002E1411">
        <w:rPr>
          <w:szCs w:val="22"/>
        </w:rPr>
        <w:t xml:space="preserve"> It has not yet been independently evaluated or accredited.</w:t>
      </w:r>
      <w:r w:rsidRPr="008E7BA8">
        <w:rPr>
          <w:szCs w:val="22"/>
        </w:rPr>
        <w:t xml:space="preserve"> Dr Ed </w:t>
      </w:r>
      <w:proofErr w:type="spellStart"/>
      <w:r w:rsidRPr="008E7BA8">
        <w:rPr>
          <w:szCs w:val="22"/>
        </w:rPr>
        <w:t>Noffsinger</w:t>
      </w:r>
      <w:proofErr w:type="spellEnd"/>
      <w:r w:rsidRPr="008E7BA8">
        <w:rPr>
          <w:szCs w:val="22"/>
        </w:rPr>
        <w:t xml:space="preserve">, </w:t>
      </w:r>
      <w:r>
        <w:rPr>
          <w:szCs w:val="22"/>
        </w:rPr>
        <w:t>the originator</w:t>
      </w:r>
      <w:r w:rsidRPr="008E7BA8">
        <w:rPr>
          <w:szCs w:val="22"/>
        </w:rPr>
        <w:t xml:space="preserve"> of </w:t>
      </w:r>
      <w:r>
        <w:rPr>
          <w:szCs w:val="22"/>
        </w:rPr>
        <w:t>shared medical appointments</w:t>
      </w:r>
      <w:r w:rsidRPr="008E7BA8">
        <w:rPr>
          <w:szCs w:val="22"/>
        </w:rPr>
        <w:t xml:space="preserve"> from the US, has travelled to Australia to conduct training workshops on this</w:t>
      </w:r>
      <w:r>
        <w:rPr>
          <w:szCs w:val="22"/>
        </w:rPr>
        <w:t xml:space="preserve"> topic in 2013 </w:t>
      </w:r>
      <w:r>
        <w:rPr>
          <w:szCs w:val="22"/>
        </w:rPr>
        <w:fldChar w:fldCharType="begin"/>
      </w:r>
      <w:r>
        <w:rPr>
          <w:szCs w:val="22"/>
        </w:rPr>
        <w:instrText xml:space="preserve"> ADDIN EN.CITE &lt;EndNote&gt;&lt;Cite&gt;&lt;Author&gt;Noffsinger&lt;/Author&gt;&lt;Year&gt;2012&lt;/Year&gt;&lt;RecNum&gt;117&lt;/RecNum&gt;&lt;DisplayText&gt;[24]&lt;/DisplayText&gt;&lt;record&gt;&lt;rec-number&gt;117&lt;/rec-number&gt;&lt;foreign-keys&gt;&lt;key app="EN" db-id="edz5s99awvadpbexfxhvwe0ofp2svdwzsdpf" timestamp="1413944637"&gt;117&lt;/key&gt;&lt;/foreign-keys&gt;&lt;ref-type name="Book"&gt;6&lt;/ref-type&gt;&lt;contributors&gt;&lt;authors&gt;&lt;author&gt;Noffsinger, Edward B&lt;/author&gt;&lt;/authors&gt;&lt;/contributors&gt;&lt;titles&gt;&lt;title&gt;The ABCs of Group Visits: An Implementation Manual for Your Practice&lt;/title&gt;&lt;/titles&gt;&lt;dates&gt;&lt;year&gt;2012&lt;/year&gt;&lt;/dates&gt;&lt;publisher&gt;Springer&lt;/publisher&gt;&lt;isbn&gt;1461435250&lt;/isbn&gt;&lt;urls&gt;&lt;/urls&gt;&lt;/record&gt;&lt;/Cite&gt;&lt;/EndNote&gt;</w:instrText>
      </w:r>
      <w:r>
        <w:rPr>
          <w:szCs w:val="22"/>
        </w:rPr>
        <w:fldChar w:fldCharType="separate"/>
      </w:r>
      <w:r>
        <w:rPr>
          <w:noProof/>
          <w:szCs w:val="22"/>
        </w:rPr>
        <w:t>[24]</w:t>
      </w:r>
      <w:r>
        <w:rPr>
          <w:szCs w:val="22"/>
        </w:rPr>
        <w:fldChar w:fldCharType="end"/>
      </w:r>
      <w:r w:rsidRPr="008E7BA8">
        <w:rPr>
          <w:szCs w:val="22"/>
        </w:rPr>
        <w:t xml:space="preserve"> and Dr Marianne </w:t>
      </w:r>
      <w:proofErr w:type="spellStart"/>
      <w:r w:rsidRPr="008E7BA8">
        <w:rPr>
          <w:szCs w:val="22"/>
        </w:rPr>
        <w:t>Sumego</w:t>
      </w:r>
      <w:proofErr w:type="spellEnd"/>
      <w:r w:rsidRPr="008E7BA8">
        <w:rPr>
          <w:szCs w:val="22"/>
        </w:rPr>
        <w:t>, Manager of Shared Medical Appointments at the Cleveland Clinic in Ohio has conducted similar workshops at the instigation of Australian Lifestyle Medicine Asso</w:t>
      </w:r>
      <w:r>
        <w:rPr>
          <w:szCs w:val="22"/>
        </w:rPr>
        <w:t xml:space="preserve">ciation and the Australian and New Zealand Obesity Society </w:t>
      </w:r>
      <w:r w:rsidRPr="008E7BA8">
        <w:rPr>
          <w:szCs w:val="22"/>
        </w:rPr>
        <w:t>in 2014. Training would also be provided to reception staff to deal with large bookings.</w:t>
      </w:r>
    </w:p>
    <w:p w:rsidR="002E01E3" w:rsidRPr="008E7BA8" w:rsidRDefault="002E01E3" w:rsidP="002E01E3">
      <w:pPr>
        <w:rPr>
          <w:szCs w:val="22"/>
        </w:rPr>
      </w:pPr>
      <w:r w:rsidRPr="008361BF">
        <w:rPr>
          <w:szCs w:val="22"/>
        </w:rPr>
        <w:t xml:space="preserve">The proposed place for shared medical appointments is a consulting </w:t>
      </w:r>
      <w:r w:rsidRPr="00F779FD">
        <w:rPr>
          <w:szCs w:val="22"/>
        </w:rPr>
        <w:t xml:space="preserve">or meeting </w:t>
      </w:r>
      <w:r w:rsidRPr="00DF6573">
        <w:rPr>
          <w:szCs w:val="22"/>
        </w:rPr>
        <w:t>room of a</w:t>
      </w:r>
      <w:r w:rsidRPr="008361BF">
        <w:rPr>
          <w:szCs w:val="22"/>
        </w:rPr>
        <w:t xml:space="preserve"> clinic or in a residential aged care facility. The main limitation is space, as the room needs to accommodate </w:t>
      </w:r>
      <w:r w:rsidR="0094033C">
        <w:rPr>
          <w:szCs w:val="22"/>
        </w:rPr>
        <w:t>6</w:t>
      </w:r>
      <w:r w:rsidRPr="008361BF">
        <w:rPr>
          <w:szCs w:val="22"/>
        </w:rPr>
        <w:t>-12 patients and 2-3 health professionals. However, as patients are seated for the duration, the ro</w:t>
      </w:r>
      <w:r w:rsidRPr="00F779FD">
        <w:rPr>
          <w:szCs w:val="22"/>
        </w:rPr>
        <w:t xml:space="preserve">om does not have to be extensive. There may also need to be a ‘break-out’ room for patients who wish for some aspects of their case to be discussed privately or to be used in the case of the physical shared medical appointment. The only other requirements </w:t>
      </w:r>
      <w:r w:rsidRPr="00DF6573">
        <w:rPr>
          <w:szCs w:val="22"/>
        </w:rPr>
        <w:t>are a whiteboard (or butcher’s paper on the wall) and a computer with medical records (unless notes are taken by hand and entered later).</w:t>
      </w:r>
    </w:p>
    <w:p w:rsidR="00D633D7" w:rsidRDefault="00D633D7">
      <w:pPr>
        <w:spacing w:after="0" w:line="240" w:lineRule="auto"/>
        <w:jc w:val="left"/>
        <w:rPr>
          <w:rFonts w:cs="Times New Roman"/>
          <w:b/>
          <w:color w:val="215868"/>
          <w:szCs w:val="22"/>
          <w:lang w:val="en-GB" w:eastAsia="ja-JP"/>
        </w:rPr>
      </w:pPr>
      <w:bookmarkStart w:id="29" w:name="_Toc410649139"/>
      <w:bookmarkStart w:id="30" w:name="_Toc420499065"/>
      <w:r>
        <w:rPr>
          <w:szCs w:val="22"/>
        </w:rPr>
        <w:br w:type="page"/>
      </w:r>
    </w:p>
    <w:p w:rsidR="002E01E3" w:rsidRPr="000857A1" w:rsidRDefault="002E01E3" w:rsidP="002E01E3">
      <w:pPr>
        <w:pStyle w:val="Heading2"/>
        <w:rPr>
          <w:szCs w:val="22"/>
        </w:rPr>
      </w:pPr>
      <w:r w:rsidRPr="000857A1">
        <w:rPr>
          <w:szCs w:val="22"/>
        </w:rPr>
        <w:lastRenderedPageBreak/>
        <w:t>Co-administered and associated interventions</w:t>
      </w:r>
      <w:bookmarkEnd w:id="29"/>
      <w:bookmarkEnd w:id="30"/>
    </w:p>
    <w:p w:rsidR="002E01E3" w:rsidRPr="00D633D7" w:rsidRDefault="002E01E3" w:rsidP="002E01E3">
      <w:pPr>
        <w:rPr>
          <w:szCs w:val="22"/>
        </w:rPr>
      </w:pPr>
      <w:r w:rsidRPr="008361BF">
        <w:rPr>
          <w:szCs w:val="22"/>
        </w:rPr>
        <w:t>A preliminary service for shared medical appointments is a GP consultation attendance (MBS item 23) as it provides the GP with the opportunity to identify suitable patients that might benefit from a shared medical appointment.</w:t>
      </w:r>
      <w:r>
        <w:rPr>
          <w:szCs w:val="22"/>
        </w:rPr>
        <w:t xml:space="preserve"> </w:t>
      </w:r>
      <w:r w:rsidRPr="004D3DAC">
        <w:t>An MBS item for</w:t>
      </w:r>
      <w:r w:rsidRPr="00D633D7">
        <w:t xml:space="preserve"> HbA</w:t>
      </w:r>
      <w:r w:rsidRPr="00D633D7">
        <w:rPr>
          <w:vertAlign w:val="subscript"/>
        </w:rPr>
        <w:t>1c</w:t>
      </w:r>
      <w:r w:rsidRPr="00D633D7">
        <w:t xml:space="preserve"> testing (#66841) for the diagnosis of </w:t>
      </w:r>
      <w:r w:rsidR="00AB384A">
        <w:rPr>
          <w:szCs w:val="22"/>
        </w:rPr>
        <w:t>T2DM</w:t>
      </w:r>
      <w:r w:rsidRPr="004D3DAC">
        <w:t xml:space="preserve"> in asymptomatic patients with undiagnosed </w:t>
      </w:r>
      <w:proofErr w:type="gramStart"/>
      <w:r w:rsidRPr="004D3DAC">
        <w:t>diabetes</w:t>
      </w:r>
      <w:proofErr w:type="gramEnd"/>
      <w:r w:rsidRPr="004D3DAC">
        <w:t xml:space="preserve"> who are considered at high risk of the disease</w:t>
      </w:r>
      <w:r>
        <w:rPr>
          <w:szCs w:val="22"/>
        </w:rPr>
        <w:t>,</w:t>
      </w:r>
      <w:r w:rsidRPr="005C2F7D">
        <w:rPr>
          <w:szCs w:val="22"/>
        </w:rPr>
        <w:t xml:space="preserve"> </w:t>
      </w:r>
      <w:r w:rsidRPr="006E5190">
        <w:rPr>
          <w:szCs w:val="22"/>
        </w:rPr>
        <w:t xml:space="preserve">was </w:t>
      </w:r>
      <w:r>
        <w:rPr>
          <w:szCs w:val="22"/>
        </w:rPr>
        <w:t>listed</w:t>
      </w:r>
      <w:r w:rsidRPr="006E5190">
        <w:rPr>
          <w:szCs w:val="22"/>
        </w:rPr>
        <w:t xml:space="preserve"> </w:t>
      </w:r>
      <w:r>
        <w:rPr>
          <w:szCs w:val="22"/>
        </w:rPr>
        <w:t>on 1</w:t>
      </w:r>
      <w:r w:rsidRPr="005C2F7D">
        <w:rPr>
          <w:szCs w:val="22"/>
          <w:vertAlign w:val="superscript"/>
        </w:rPr>
        <w:t>st</w:t>
      </w:r>
      <w:r>
        <w:rPr>
          <w:szCs w:val="22"/>
        </w:rPr>
        <w:t xml:space="preserve"> November </w:t>
      </w:r>
      <w:r w:rsidRPr="006E5190">
        <w:rPr>
          <w:szCs w:val="22"/>
        </w:rPr>
        <w:t xml:space="preserve">2014. </w:t>
      </w:r>
    </w:p>
    <w:p w:rsidR="002E01E3" w:rsidRPr="00584C0A" w:rsidRDefault="002E01E3" w:rsidP="00584C0A">
      <w:pPr>
        <w:pStyle w:val="Heading1"/>
      </w:pPr>
      <w:bookmarkStart w:id="31" w:name="_Toc410649140"/>
      <w:bookmarkStart w:id="32" w:name="_Toc420499066"/>
      <w:r w:rsidRPr="00584C0A">
        <w:t>Listing proposed and options for MSAC consideration</w:t>
      </w:r>
      <w:bookmarkEnd w:id="31"/>
      <w:bookmarkEnd w:id="32"/>
    </w:p>
    <w:p w:rsidR="002E01E3" w:rsidRPr="008B719A" w:rsidRDefault="002E01E3" w:rsidP="002E01E3">
      <w:pPr>
        <w:pStyle w:val="Heading2"/>
        <w:rPr>
          <w:szCs w:val="22"/>
        </w:rPr>
      </w:pPr>
      <w:bookmarkStart w:id="33" w:name="_Toc410649141"/>
      <w:bookmarkStart w:id="34" w:name="_Toc420499067"/>
      <w:r w:rsidRPr="008B719A">
        <w:rPr>
          <w:szCs w:val="22"/>
        </w:rPr>
        <w:t>Proposed MBS listing</w:t>
      </w:r>
      <w:bookmarkEnd w:id="33"/>
      <w:bookmarkEnd w:id="34"/>
    </w:p>
    <w:p w:rsidR="002E01E3" w:rsidRPr="00F12F1C" w:rsidRDefault="002E01E3" w:rsidP="002E01E3">
      <w:pPr>
        <w:rPr>
          <w:szCs w:val="22"/>
        </w:rPr>
      </w:pPr>
      <w:r w:rsidRPr="008361BF">
        <w:rPr>
          <w:szCs w:val="22"/>
        </w:rPr>
        <w:t>Table 2 presents details of the proposed MBS listing.</w:t>
      </w:r>
    </w:p>
    <w:p w:rsidR="002E01E3" w:rsidRPr="008361BF" w:rsidRDefault="002E01E3" w:rsidP="002E01E3">
      <w:pPr>
        <w:pStyle w:val="Caption"/>
      </w:pPr>
      <w:bookmarkStart w:id="35" w:name="_Ref283284346"/>
      <w:r w:rsidRPr="00F12F1C">
        <w:t xml:space="preserve">Table </w:t>
      </w:r>
      <w:bookmarkEnd w:id="35"/>
      <w:r w:rsidRPr="00F12F1C">
        <w:t>2:</w:t>
      </w:r>
      <w:r w:rsidRPr="00F12F1C">
        <w:tab/>
        <w:t xml:space="preserve">Proposed MBS item </w:t>
      </w:r>
      <w:r w:rsidR="00AB384A">
        <w:t>descriptor</w:t>
      </w:r>
      <w:r w:rsidRPr="00F12F1C">
        <w:t xml:space="preserve"> for Shared medical appointments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2E01E3" w:rsidRPr="00F12F1C">
        <w:trPr>
          <w:tblHeader/>
        </w:trPr>
        <w:tc>
          <w:tcPr>
            <w:tcW w:w="9134" w:type="dxa"/>
          </w:tcPr>
          <w:p w:rsidR="002E01E3" w:rsidRPr="00F12F1C" w:rsidRDefault="002E01E3" w:rsidP="002E01E3">
            <w:pPr>
              <w:spacing w:after="120" w:line="240" w:lineRule="auto"/>
              <w:jc w:val="right"/>
              <w:rPr>
                <w:rFonts w:ascii="Arial Narrow" w:hAnsi="Arial Narrow"/>
                <w:b/>
                <w:sz w:val="20"/>
                <w:lang w:eastAsia="ja-JP"/>
              </w:rPr>
            </w:pPr>
            <w:r w:rsidRPr="00F12F1C">
              <w:rPr>
                <w:rFonts w:ascii="Arial Narrow" w:hAnsi="Arial Narrow"/>
                <w:b/>
                <w:sz w:val="20"/>
                <w:lang w:eastAsia="ja-JP"/>
              </w:rPr>
              <w:t xml:space="preserve">Category 1 - Professional Attendances </w:t>
            </w:r>
          </w:p>
        </w:tc>
      </w:tr>
      <w:tr w:rsidR="002E01E3" w:rsidRPr="00F12F1C">
        <w:tc>
          <w:tcPr>
            <w:tcW w:w="9134" w:type="dxa"/>
          </w:tcPr>
          <w:p w:rsidR="002E01E3" w:rsidRPr="00F12F1C" w:rsidRDefault="002E01E3" w:rsidP="002E01E3">
            <w:pPr>
              <w:spacing w:after="120" w:line="240" w:lineRule="auto"/>
              <w:rPr>
                <w:rFonts w:ascii="Arial Narrow" w:hAnsi="Arial Narrow"/>
                <w:sz w:val="20"/>
                <w:lang w:val="en-US" w:eastAsia="ja-JP"/>
              </w:rPr>
            </w:pPr>
            <w:r w:rsidRPr="00F12F1C">
              <w:rPr>
                <w:rFonts w:ascii="Arial Narrow" w:hAnsi="Arial Narrow"/>
                <w:sz w:val="20"/>
                <w:lang w:val="en-US" w:eastAsia="ja-JP"/>
              </w:rPr>
              <w:t xml:space="preserve">MBS </w:t>
            </w:r>
            <w:proofErr w:type="spellStart"/>
            <w:r w:rsidRPr="00F12F1C">
              <w:rPr>
                <w:rFonts w:ascii="Arial Narrow" w:hAnsi="Arial Narrow"/>
                <w:sz w:val="20"/>
                <w:lang w:val="en-US" w:eastAsia="ja-JP"/>
              </w:rPr>
              <w:t>xxxx</w:t>
            </w:r>
            <w:proofErr w:type="spellEnd"/>
          </w:p>
          <w:p w:rsidR="002E01E3" w:rsidRPr="00F12F1C" w:rsidRDefault="002E01E3" w:rsidP="002E01E3">
            <w:pPr>
              <w:spacing w:after="120" w:line="240" w:lineRule="auto"/>
              <w:rPr>
                <w:rFonts w:ascii="Arial Narrow" w:hAnsi="Arial Narrow"/>
                <w:sz w:val="20"/>
                <w:lang w:val="en-US" w:eastAsia="ja-JP"/>
              </w:rPr>
            </w:pPr>
            <w:r w:rsidRPr="00F12F1C">
              <w:rPr>
                <w:rFonts w:ascii="Arial Narrow" w:hAnsi="Arial Narrow"/>
                <w:sz w:val="20"/>
                <w:lang w:val="en-US" w:eastAsia="ja-JP"/>
              </w:rPr>
              <w:t xml:space="preserve">Shared medical appointment for patients with </w:t>
            </w:r>
            <w:r w:rsidRPr="00F12F1C">
              <w:rPr>
                <w:rFonts w:ascii="Arial Narrow" w:hAnsi="Arial Narrow"/>
                <w:sz w:val="20"/>
                <w:u w:val="single"/>
                <w:lang w:val="en-US" w:eastAsia="ja-JP"/>
              </w:rPr>
              <w:t>Type 2 diabetes mellitus</w:t>
            </w:r>
            <w:r w:rsidRPr="00F12F1C">
              <w:rPr>
                <w:rFonts w:ascii="Arial Narrow" w:hAnsi="Arial Narrow"/>
                <w:sz w:val="20"/>
                <w:lang w:val="en-US" w:eastAsia="ja-JP"/>
              </w:rPr>
              <w:t xml:space="preserve">. The number of patients is </w:t>
            </w:r>
            <w:r w:rsidR="00443B7B">
              <w:rPr>
                <w:rFonts w:ascii="Arial Narrow" w:hAnsi="Arial Narrow"/>
                <w:sz w:val="20"/>
                <w:lang w:val="en-US" w:eastAsia="ja-JP"/>
              </w:rPr>
              <w:t xml:space="preserve">a minimum of </w:t>
            </w:r>
            <w:r w:rsidR="0094033C">
              <w:rPr>
                <w:rFonts w:ascii="Arial Narrow" w:hAnsi="Arial Narrow"/>
                <w:sz w:val="20"/>
                <w:lang w:val="en-US" w:eastAsia="ja-JP"/>
              </w:rPr>
              <w:t>6</w:t>
            </w:r>
            <w:r w:rsidR="00443B7B">
              <w:rPr>
                <w:rFonts w:ascii="Arial Narrow" w:hAnsi="Arial Narrow"/>
                <w:sz w:val="20"/>
                <w:lang w:val="en-US" w:eastAsia="ja-JP"/>
              </w:rPr>
              <w:t xml:space="preserve"> and maximum of </w:t>
            </w:r>
            <w:r w:rsidRPr="00F12F1C">
              <w:rPr>
                <w:rFonts w:ascii="Arial Narrow" w:hAnsi="Arial Narrow"/>
                <w:sz w:val="20"/>
                <w:lang w:val="en-US" w:eastAsia="ja-JP"/>
              </w:rPr>
              <w:t xml:space="preserve">12 per appointment and the duration is </w:t>
            </w:r>
            <w:r w:rsidR="00443B7B">
              <w:rPr>
                <w:rFonts w:ascii="Arial Narrow" w:hAnsi="Arial Narrow"/>
                <w:sz w:val="20"/>
                <w:lang w:val="en-US" w:eastAsia="ja-JP"/>
              </w:rPr>
              <w:t xml:space="preserve">up to </w:t>
            </w:r>
            <w:r w:rsidRPr="00F12F1C">
              <w:rPr>
                <w:rFonts w:ascii="Arial Narrow" w:hAnsi="Arial Narrow"/>
                <w:sz w:val="20"/>
                <w:lang w:val="en-US" w:eastAsia="ja-JP"/>
              </w:rPr>
              <w:t>120 minutes. The appointment is to be conducted at general practitioner rooms or a residential aged-care facility. The medical professionals present will include at least the following:</w:t>
            </w:r>
          </w:p>
          <w:p w:rsidR="002E01E3" w:rsidRPr="00F12F1C" w:rsidRDefault="002E01E3" w:rsidP="002E01E3">
            <w:pPr>
              <w:numPr>
                <w:ilvl w:val="0"/>
                <w:numId w:val="14"/>
              </w:numPr>
              <w:spacing w:after="120" w:line="240" w:lineRule="auto"/>
              <w:rPr>
                <w:rFonts w:ascii="Arial Narrow" w:hAnsi="Arial Narrow"/>
                <w:sz w:val="20"/>
                <w:lang w:val="en-US" w:eastAsia="ja-JP"/>
              </w:rPr>
            </w:pPr>
            <w:r w:rsidRPr="00F12F1C">
              <w:rPr>
                <w:rFonts w:ascii="Arial Narrow" w:hAnsi="Arial Narrow"/>
                <w:sz w:val="20"/>
                <w:lang w:val="en-US" w:eastAsia="ja-JP"/>
              </w:rPr>
              <w:t>1 accredited GP;</w:t>
            </w:r>
          </w:p>
          <w:p w:rsidR="002E01E3" w:rsidRPr="00F12F1C" w:rsidRDefault="002E01E3" w:rsidP="002E01E3">
            <w:pPr>
              <w:numPr>
                <w:ilvl w:val="0"/>
                <w:numId w:val="14"/>
              </w:numPr>
              <w:spacing w:after="120" w:line="240" w:lineRule="auto"/>
              <w:rPr>
                <w:rFonts w:ascii="Arial Narrow" w:hAnsi="Arial Narrow"/>
                <w:sz w:val="20"/>
                <w:lang w:val="en-US" w:eastAsia="ja-JP"/>
              </w:rPr>
            </w:pPr>
            <w:r w:rsidRPr="00F12F1C">
              <w:rPr>
                <w:rFonts w:ascii="Arial Narrow" w:hAnsi="Arial Narrow"/>
                <w:sz w:val="20"/>
                <w:lang w:val="en-US" w:eastAsia="ja-JP"/>
              </w:rPr>
              <w:t xml:space="preserve">1 trained Group Facilitator (e.g., practice nurse, diabetes educator, exercise physiologist, clinical psychologist or </w:t>
            </w:r>
            <w:r w:rsidR="00584C0A" w:rsidRPr="00F12F1C">
              <w:rPr>
                <w:rFonts w:ascii="Arial Narrow" w:hAnsi="Arial Narrow"/>
                <w:sz w:val="20"/>
                <w:lang w:val="en-US" w:eastAsia="ja-JP"/>
              </w:rPr>
              <w:t>dieti</w:t>
            </w:r>
            <w:r w:rsidR="004447F9">
              <w:rPr>
                <w:rFonts w:ascii="Arial Narrow" w:hAnsi="Arial Narrow"/>
                <w:sz w:val="20"/>
                <w:lang w:val="en-US" w:eastAsia="ja-JP"/>
              </w:rPr>
              <w:t>t</w:t>
            </w:r>
            <w:r w:rsidR="00584C0A" w:rsidRPr="00F12F1C">
              <w:rPr>
                <w:rFonts w:ascii="Arial Narrow" w:hAnsi="Arial Narrow"/>
                <w:sz w:val="20"/>
                <w:lang w:val="en-US" w:eastAsia="ja-JP"/>
              </w:rPr>
              <w:t>ian</w:t>
            </w:r>
            <w:r w:rsidRPr="00F12F1C">
              <w:rPr>
                <w:rFonts w:ascii="Arial Narrow" w:hAnsi="Arial Narrow"/>
                <w:sz w:val="20"/>
                <w:lang w:val="en-US" w:eastAsia="ja-JP"/>
              </w:rPr>
              <w:t xml:space="preserve">); and </w:t>
            </w:r>
          </w:p>
          <w:p w:rsidR="002E01E3" w:rsidRPr="00F12F1C" w:rsidRDefault="002E01E3" w:rsidP="002E01E3">
            <w:pPr>
              <w:numPr>
                <w:ilvl w:val="0"/>
                <w:numId w:val="14"/>
              </w:numPr>
              <w:spacing w:after="120" w:line="240" w:lineRule="auto"/>
              <w:rPr>
                <w:rFonts w:ascii="Arial Narrow" w:hAnsi="Arial Narrow"/>
                <w:sz w:val="20"/>
                <w:lang w:val="en-US" w:eastAsia="ja-JP"/>
              </w:rPr>
            </w:pPr>
            <w:r w:rsidRPr="00F12F1C">
              <w:rPr>
                <w:rFonts w:ascii="Arial Narrow" w:hAnsi="Arial Narrow"/>
                <w:sz w:val="20"/>
                <w:lang w:val="en-US" w:eastAsia="ja-JP"/>
              </w:rPr>
              <w:t xml:space="preserve">1 documenter, who could be the same person as the above group Facilitator. </w:t>
            </w:r>
          </w:p>
          <w:p w:rsidR="002E1411" w:rsidRDefault="002E01E3" w:rsidP="002E01E3">
            <w:pPr>
              <w:spacing w:after="120" w:line="240" w:lineRule="auto"/>
              <w:rPr>
                <w:rFonts w:ascii="Arial Narrow" w:hAnsi="Arial Narrow"/>
                <w:sz w:val="20"/>
                <w:lang w:val="en-US" w:eastAsia="ja-JP"/>
              </w:rPr>
            </w:pPr>
            <w:r w:rsidRPr="00F12F1C">
              <w:rPr>
                <w:rFonts w:ascii="Arial Narrow" w:hAnsi="Arial Narrow"/>
                <w:sz w:val="20"/>
                <w:lang w:val="en-US" w:eastAsia="ja-JP"/>
              </w:rPr>
              <w:t>Fee: $47.30 per patient</w:t>
            </w:r>
          </w:p>
          <w:p w:rsidR="002E01E3" w:rsidRPr="00F12F1C" w:rsidRDefault="002E1411" w:rsidP="002E01E3">
            <w:pPr>
              <w:spacing w:after="120" w:line="240" w:lineRule="auto"/>
              <w:rPr>
                <w:rFonts w:ascii="Arial Narrow" w:hAnsi="Arial Narrow"/>
                <w:sz w:val="20"/>
                <w:lang w:val="en-US" w:eastAsia="ja-JP"/>
              </w:rPr>
            </w:pPr>
            <w:r>
              <w:rPr>
                <w:rFonts w:ascii="Arial Narrow" w:hAnsi="Arial Narrow"/>
                <w:sz w:val="20"/>
                <w:lang w:val="en-US" w:eastAsia="ja-JP"/>
              </w:rPr>
              <w:t>The maximum number of appointments per patient is six per 12 month period.</w:t>
            </w:r>
            <w:r w:rsidR="002E01E3" w:rsidRPr="00F12F1C">
              <w:rPr>
                <w:rFonts w:ascii="Arial Narrow" w:hAnsi="Arial Narrow"/>
                <w:sz w:val="20"/>
                <w:lang w:val="en-US" w:eastAsia="ja-JP"/>
              </w:rPr>
              <w:t xml:space="preserve"> </w:t>
            </w:r>
          </w:p>
        </w:tc>
      </w:tr>
    </w:tbl>
    <w:p w:rsidR="002E01E3" w:rsidRDefault="002E01E3" w:rsidP="002E01E3">
      <w:pPr>
        <w:rPr>
          <w:szCs w:val="22"/>
        </w:rPr>
      </w:pPr>
    </w:p>
    <w:p w:rsidR="002E01E3" w:rsidRPr="00005D10" w:rsidRDefault="00AB384A" w:rsidP="002E01E3">
      <w:pPr>
        <w:rPr>
          <w:szCs w:val="22"/>
        </w:rPr>
      </w:pPr>
      <w:r>
        <w:rPr>
          <w:szCs w:val="22"/>
        </w:rPr>
        <w:t>The definition</w:t>
      </w:r>
      <w:r w:rsidR="002E01E3" w:rsidRPr="008361BF">
        <w:rPr>
          <w:szCs w:val="22"/>
        </w:rPr>
        <w:t xml:space="preserve"> of T2DM would be specifically defined in the ‘Notes’ of the MBS descriptors and these align with those detailed in Table 1.</w:t>
      </w:r>
    </w:p>
    <w:p w:rsidR="00EC32D1" w:rsidRPr="00005D10" w:rsidRDefault="00064844" w:rsidP="002E01E3">
      <w:pPr>
        <w:rPr>
          <w:szCs w:val="22"/>
        </w:rPr>
      </w:pPr>
      <w:r>
        <w:rPr>
          <w:szCs w:val="22"/>
        </w:rPr>
        <w:t>Patients are not required to attend</w:t>
      </w:r>
      <w:r w:rsidR="00BE4F97">
        <w:rPr>
          <w:szCs w:val="22"/>
        </w:rPr>
        <w:t xml:space="preserve"> a </w:t>
      </w:r>
      <w:r w:rsidR="00EC32D1">
        <w:rPr>
          <w:szCs w:val="22"/>
        </w:rPr>
        <w:t xml:space="preserve">minimum number of shared medical appointments </w:t>
      </w:r>
      <w:r>
        <w:rPr>
          <w:szCs w:val="22"/>
        </w:rPr>
        <w:t>and therefore may attend one appointment or up to six appointments per 12 month period</w:t>
      </w:r>
      <w:r w:rsidR="00BE4F97">
        <w:rPr>
          <w:szCs w:val="22"/>
        </w:rPr>
        <w:t>.</w:t>
      </w:r>
      <w:r>
        <w:rPr>
          <w:szCs w:val="22"/>
        </w:rPr>
        <w:t xml:space="preserve"> There is no known threshold number of sessions below which shared medical appointments are ineffective.</w:t>
      </w:r>
    </w:p>
    <w:p w:rsidR="00D633D7" w:rsidRDefault="00D633D7">
      <w:pPr>
        <w:spacing w:after="0" w:line="240" w:lineRule="auto"/>
        <w:jc w:val="left"/>
        <w:rPr>
          <w:szCs w:val="22"/>
        </w:rPr>
      </w:pPr>
      <w:r>
        <w:rPr>
          <w:szCs w:val="22"/>
        </w:rPr>
        <w:br w:type="page"/>
      </w:r>
    </w:p>
    <w:p w:rsidR="002E01E3" w:rsidRDefault="002E01E3" w:rsidP="002E01E3">
      <w:pPr>
        <w:rPr>
          <w:szCs w:val="22"/>
        </w:rPr>
      </w:pPr>
      <w:r>
        <w:rPr>
          <w:szCs w:val="22"/>
        </w:rPr>
        <w:lastRenderedPageBreak/>
        <w:t>Shared medical appointments</w:t>
      </w:r>
      <w:r w:rsidRPr="00F8528C">
        <w:rPr>
          <w:szCs w:val="22"/>
        </w:rPr>
        <w:t xml:space="preserve"> would be for people with </w:t>
      </w:r>
      <w:r>
        <w:rPr>
          <w:szCs w:val="22"/>
        </w:rPr>
        <w:t>T2DM</w:t>
      </w:r>
      <w:r w:rsidRPr="00F8528C">
        <w:rPr>
          <w:szCs w:val="22"/>
        </w:rPr>
        <w:t>.</w:t>
      </w:r>
      <w:r>
        <w:rPr>
          <w:szCs w:val="22"/>
        </w:rPr>
        <w:t xml:space="preserve"> Patients are identified as suitable for shared medical appointments during a GP consultation and would have the option of following up with the comparator (MBS item 23 or 36) or a shared medical appointment. Eligibility would be determined by HbA</w:t>
      </w:r>
      <w:r w:rsidRPr="00135F7F">
        <w:rPr>
          <w:szCs w:val="22"/>
          <w:vertAlign w:val="subscript"/>
        </w:rPr>
        <w:t>1c</w:t>
      </w:r>
      <w:r>
        <w:rPr>
          <w:szCs w:val="22"/>
        </w:rPr>
        <w:t xml:space="preserve"> or other accepted measures of glucose intolerance.</w:t>
      </w:r>
    </w:p>
    <w:p w:rsidR="00443B7B" w:rsidRDefault="002E01E3" w:rsidP="002E01E3">
      <w:pPr>
        <w:rPr>
          <w:szCs w:val="22"/>
        </w:rPr>
      </w:pPr>
      <w:r w:rsidRPr="008361BF">
        <w:rPr>
          <w:szCs w:val="22"/>
        </w:rPr>
        <w:t xml:space="preserve">The proposed MBS schedule fees of $47.30 per patient is based on payments that might be expected using items 23 ($37.05) and 10997 ($12.00). If applied to a group of 12 patients, this would cost the </w:t>
      </w:r>
      <w:r w:rsidRPr="00F779FD">
        <w:rPr>
          <w:szCs w:val="22"/>
        </w:rPr>
        <w:t>MBS $567.60 per session. Shared medical appointments are intended to incur MBS costs equal to or less than current GP care. There are however a number of other item numbers that could arguably be used (705, 723, 900, 10987, 10991) if a standard rate is not</w:t>
      </w:r>
      <w:r w:rsidRPr="00DF6573">
        <w:rPr>
          <w:szCs w:val="22"/>
        </w:rPr>
        <w:t xml:space="preserve"> provided. The suggested rate of $47.30 is calculated to provide sufficient reimbursement to rule out the use of the extra MBS item numbers. It is anticipated that the SMAs would be bulk billed. </w:t>
      </w:r>
    </w:p>
    <w:p w:rsidR="002E01E3" w:rsidRDefault="002E01E3" w:rsidP="002E01E3">
      <w:pPr>
        <w:rPr>
          <w:szCs w:val="22"/>
        </w:rPr>
      </w:pPr>
      <w:r w:rsidRPr="00DF6573">
        <w:rPr>
          <w:szCs w:val="22"/>
        </w:rPr>
        <w:t xml:space="preserve">The </w:t>
      </w:r>
      <w:r w:rsidRPr="00493232">
        <w:rPr>
          <w:szCs w:val="22"/>
        </w:rPr>
        <w:t>Facilitator</w:t>
      </w:r>
      <w:r w:rsidRPr="00790F31">
        <w:rPr>
          <w:szCs w:val="22"/>
        </w:rPr>
        <w:t xml:space="preserve"> or nurse practitioner is intended to be reimbur</w:t>
      </w:r>
      <w:r w:rsidRPr="003A7252">
        <w:rPr>
          <w:szCs w:val="22"/>
        </w:rPr>
        <w:t xml:space="preserve">sed through the proposed item number. </w:t>
      </w:r>
      <w:r w:rsidR="00EC32D1" w:rsidRPr="003A7252">
        <w:rPr>
          <w:szCs w:val="22"/>
        </w:rPr>
        <w:t>The proposed item fee cannot be designated</w:t>
      </w:r>
      <w:r w:rsidR="00EC32D1" w:rsidRPr="008361BF">
        <w:rPr>
          <w:szCs w:val="22"/>
        </w:rPr>
        <w:t xml:space="preserve"> for</w:t>
      </w:r>
      <w:r w:rsidR="00EC32D1" w:rsidRPr="00CB2B6A">
        <w:rPr>
          <w:szCs w:val="22"/>
        </w:rPr>
        <w:t xml:space="preserve"> payment of allied health professionals, if these are used as the Facilitator.</w:t>
      </w:r>
      <w:r w:rsidR="00EC32D1">
        <w:rPr>
          <w:szCs w:val="22"/>
        </w:rPr>
        <w:t xml:space="preserve"> If they are not the Facilitator</w:t>
      </w:r>
      <w:r w:rsidR="00B015E8">
        <w:rPr>
          <w:szCs w:val="22"/>
        </w:rPr>
        <w:t xml:space="preserve">, </w:t>
      </w:r>
      <w:r w:rsidR="00B015E8" w:rsidRPr="00B015E8">
        <w:rPr>
          <w:color w:val="000000"/>
        </w:rPr>
        <w:t xml:space="preserve">the allied health professionals will be </w:t>
      </w:r>
      <w:r w:rsidR="00B015E8">
        <w:rPr>
          <w:color w:val="000000"/>
        </w:rPr>
        <w:t>reimbursed through the proposed item number,</w:t>
      </w:r>
      <w:r w:rsidR="00B015E8" w:rsidRPr="00B015E8">
        <w:rPr>
          <w:color w:val="000000"/>
        </w:rPr>
        <w:t xml:space="preserve"> where allowed. Health professionals unwilling to work under this arrangement will not participate in </w:t>
      </w:r>
      <w:r w:rsidR="0094033C">
        <w:rPr>
          <w:color w:val="000000"/>
        </w:rPr>
        <w:t>shared medical appointment</w:t>
      </w:r>
      <w:r w:rsidR="00B015E8" w:rsidRPr="00B015E8">
        <w:rPr>
          <w:color w:val="000000"/>
        </w:rPr>
        <w:t>s</w:t>
      </w:r>
      <w:r w:rsidR="00B015E8">
        <w:rPr>
          <w:color w:val="000000"/>
        </w:rPr>
        <w:t>.</w:t>
      </w:r>
      <w:r>
        <w:rPr>
          <w:szCs w:val="22"/>
        </w:rPr>
        <w:t xml:space="preserve"> </w:t>
      </w:r>
      <w:r w:rsidRPr="00F12F1C">
        <w:rPr>
          <w:szCs w:val="22"/>
        </w:rPr>
        <w:t>Co-billing on the same day (or week) should be excluded.</w:t>
      </w:r>
    </w:p>
    <w:p w:rsidR="002E01E3" w:rsidRPr="008B719A" w:rsidRDefault="002E01E3" w:rsidP="002E01E3">
      <w:pPr>
        <w:pStyle w:val="Heading2"/>
        <w:rPr>
          <w:szCs w:val="22"/>
        </w:rPr>
      </w:pPr>
      <w:bookmarkStart w:id="36" w:name="_Toc410649142"/>
      <w:bookmarkStart w:id="37" w:name="_Toc420499068"/>
      <w:r w:rsidRPr="008B719A">
        <w:rPr>
          <w:szCs w:val="22"/>
        </w:rPr>
        <w:t>Clinical place for proposed intervention</w:t>
      </w:r>
      <w:bookmarkEnd w:id="36"/>
      <w:bookmarkEnd w:id="37"/>
    </w:p>
    <w:p w:rsidR="002E01E3" w:rsidRPr="00D633D7" w:rsidRDefault="002E01E3" w:rsidP="00D633D7">
      <w:pPr>
        <w:shd w:val="clear" w:color="auto" w:fill="FFFFFF" w:themeFill="background1"/>
        <w:rPr>
          <w:rFonts w:ascii="Arial" w:hAnsi="Arial"/>
        </w:rPr>
      </w:pPr>
      <w:r w:rsidRPr="0001739F">
        <w:rPr>
          <w:szCs w:val="22"/>
        </w:rPr>
        <w:t xml:space="preserve">Shared medical appointments would form part of an overall strategy for managing T2DM (see clinical practice guidelines algorithm in Appendix A).  It is proposed shared medical appointments would replace some regular one-to-one appointments with a usual GP. </w:t>
      </w:r>
      <w:r w:rsidRPr="00D633D7">
        <w:t xml:space="preserve">Therefore the proposed intervention is intended to be a </w:t>
      </w:r>
      <w:r w:rsidRPr="00D633D7">
        <w:rPr>
          <w:u w:val="single"/>
        </w:rPr>
        <w:t>partial substitute</w:t>
      </w:r>
      <w:r w:rsidRPr="00D633D7">
        <w:t xml:space="preserve"> for usual care.</w:t>
      </w:r>
      <w:r w:rsidRPr="00D633D7">
        <w:rPr>
          <w:rFonts w:ascii="Arial" w:hAnsi="Arial"/>
        </w:rPr>
        <w:t xml:space="preserve"> </w:t>
      </w:r>
    </w:p>
    <w:p w:rsidR="002E01E3" w:rsidRPr="00A2751B" w:rsidRDefault="002E01E3" w:rsidP="00A2751B">
      <w:r w:rsidRPr="00F12F1C">
        <w:rPr>
          <w:szCs w:val="22"/>
        </w:rPr>
        <w:t>Figures 1 and 2 illustrate the current and proposed management algorithm using shared medical appointments for T2DM respectively. There can be no requirement for a patient to attend for a shared medical appointment rather than choosing to see a GP on a one-on-one basis. There is no denial of patient access to any aspect of current usual care.</w:t>
      </w:r>
    </w:p>
    <w:p w:rsidR="002E01E3" w:rsidRPr="0001739F" w:rsidRDefault="002E01E3" w:rsidP="002E01E3">
      <w:pPr>
        <w:pStyle w:val="CommentText"/>
        <w:rPr>
          <w:rFonts w:ascii="Tahoma" w:hAnsi="Tahoma" w:cs="Tahoma"/>
          <w:szCs w:val="22"/>
          <w:lang w:val="en-AU"/>
        </w:rPr>
      </w:pPr>
    </w:p>
    <w:p w:rsidR="002E01E3" w:rsidRDefault="002E01E3" w:rsidP="002E01E3">
      <w:pPr>
        <w:rPr>
          <w:szCs w:val="22"/>
        </w:rPr>
      </w:pPr>
    </w:p>
    <w:p w:rsidR="002E01E3" w:rsidRDefault="002E01E3" w:rsidP="002E01E3">
      <w:pPr>
        <w:pStyle w:val="Caption"/>
      </w:pPr>
      <w:r w:rsidRPr="00F12F1C">
        <w:lastRenderedPageBreak/>
        <w:t>Figure 1: Current management algorithm</w:t>
      </w:r>
    </w:p>
    <w:p w:rsidR="002E01E3" w:rsidRPr="005F7768" w:rsidRDefault="00626BF0" w:rsidP="002E01E3">
      <w:pPr>
        <w:jc w:val="left"/>
      </w:pPr>
      <w:r>
        <w:rPr>
          <w:noProof/>
          <w:lang w:eastAsia="en-AU"/>
        </w:rPr>
        <w:drawing>
          <wp:inline distT="0" distB="0" distL="0" distR="0" wp14:anchorId="3E38929C" wp14:editId="1B5D3C1F">
            <wp:extent cx="5727700" cy="5332730"/>
            <wp:effectExtent l="0" t="0" r="6350" b="1270"/>
            <wp:docPr id="1" name="Picture 1" title="Figure 1: Current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5332730"/>
                    </a:xfrm>
                    <a:prstGeom prst="rect">
                      <a:avLst/>
                    </a:prstGeom>
                    <a:noFill/>
                    <a:ln>
                      <a:noFill/>
                    </a:ln>
                  </pic:spPr>
                </pic:pic>
              </a:graphicData>
            </a:graphic>
          </wp:inline>
        </w:drawing>
      </w:r>
      <w:r w:rsidR="002E01E3">
        <w:rPr>
          <w:noProof/>
          <w:sz w:val="16"/>
          <w:szCs w:val="16"/>
          <w:lang w:eastAsia="en-AU"/>
        </w:rPr>
        <w:t>GP=</w:t>
      </w:r>
      <w:r w:rsidR="002E01E3" w:rsidRPr="003922A5">
        <w:rPr>
          <w:noProof/>
          <w:sz w:val="16"/>
          <w:szCs w:val="16"/>
          <w:lang w:eastAsia="en-AU"/>
        </w:rPr>
        <w:t>general practitioner, T2DM = Type 2 diabetes mellitus</w:t>
      </w:r>
      <w:r w:rsidR="002E01E3" w:rsidRPr="003922A5">
        <w:rPr>
          <w:sz w:val="16"/>
          <w:szCs w:val="16"/>
          <w:lang w:val="en-GB" w:eastAsia="ja-JP"/>
        </w:rPr>
        <w:br w:type="page"/>
      </w:r>
      <w:r w:rsidR="002E01E3" w:rsidRPr="003922A5">
        <w:rPr>
          <w:rFonts w:ascii="Arial Narrow" w:hAnsi="Arial Narrow"/>
          <w:b/>
        </w:rPr>
        <w:lastRenderedPageBreak/>
        <w:t>Figure 2: Proposed management algorith</w:t>
      </w:r>
      <w:bookmarkStart w:id="38" w:name="_GoBack"/>
      <w:bookmarkEnd w:id="38"/>
      <w:r w:rsidR="002E01E3" w:rsidRPr="003922A5">
        <w:rPr>
          <w:rFonts w:ascii="Arial Narrow" w:hAnsi="Arial Narrow"/>
          <w:b/>
        </w:rPr>
        <w:t>m</w:t>
      </w:r>
    </w:p>
    <w:p w:rsidR="002E01E3" w:rsidRDefault="00AB384A" w:rsidP="002E01E3">
      <w:pPr>
        <w:rPr>
          <w:szCs w:val="22"/>
        </w:rPr>
      </w:pPr>
      <w:r>
        <w:rPr>
          <w:noProof/>
          <w:lang w:eastAsia="en-AU"/>
        </w:rPr>
        <w:drawing>
          <wp:inline distT="0" distB="0" distL="0" distR="0" wp14:anchorId="62D835BF" wp14:editId="1B92BAFA">
            <wp:extent cx="5731510" cy="5115495"/>
            <wp:effectExtent l="0" t="0" r="2540" b="9525"/>
            <wp:docPr id="5" name="Picture 5" title="Figure 2: Proposed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5115495"/>
                    </a:xfrm>
                    <a:prstGeom prst="rect">
                      <a:avLst/>
                    </a:prstGeom>
                  </pic:spPr>
                </pic:pic>
              </a:graphicData>
            </a:graphic>
          </wp:inline>
        </w:drawing>
      </w:r>
    </w:p>
    <w:p w:rsidR="002E01E3" w:rsidRDefault="002E01E3" w:rsidP="002E01E3">
      <w:pPr>
        <w:rPr>
          <w:szCs w:val="22"/>
        </w:rPr>
      </w:pPr>
      <w:r>
        <w:rPr>
          <w:noProof/>
          <w:sz w:val="16"/>
          <w:szCs w:val="16"/>
          <w:lang w:eastAsia="en-AU"/>
        </w:rPr>
        <w:t>GP=</w:t>
      </w:r>
      <w:r w:rsidRPr="003922A5">
        <w:rPr>
          <w:noProof/>
          <w:sz w:val="16"/>
          <w:szCs w:val="16"/>
          <w:lang w:eastAsia="en-AU"/>
        </w:rPr>
        <w:t>general practitioner, T2DM = Type 2 diabetes mellitus</w:t>
      </w:r>
    </w:p>
    <w:p w:rsidR="002E01E3" w:rsidRPr="00F86DDA" w:rsidRDefault="002E01E3" w:rsidP="002E01E3">
      <w:pPr>
        <w:rPr>
          <w:szCs w:val="22"/>
        </w:rPr>
      </w:pPr>
      <w:r w:rsidRPr="00F12F1C">
        <w:rPr>
          <w:szCs w:val="22"/>
        </w:rPr>
        <w:t>Under the current management plan in Figure 1, individuals with blood glucose levels below the recommended guidelines receive standard care as recommended in current Diabetes Australia guidelines (Figure A1, Appendix). Under the proposed plan, everyone with T2DM would be entitled to attend shared medical appointments.</w:t>
      </w:r>
      <w:r w:rsidRPr="008361BF">
        <w:rPr>
          <w:szCs w:val="22"/>
        </w:rPr>
        <w:t xml:space="preserve"> </w:t>
      </w:r>
      <w:r w:rsidRPr="00F779FD">
        <w:rPr>
          <w:szCs w:val="22"/>
        </w:rPr>
        <w:t xml:space="preserve">The main difference </w:t>
      </w:r>
      <w:r w:rsidRPr="00DF6573">
        <w:rPr>
          <w:szCs w:val="22"/>
        </w:rPr>
        <w:t>in the two algorithms is that with shared medical appointments, patients have an expanded</w:t>
      </w:r>
      <w:r w:rsidRPr="008361BF">
        <w:rPr>
          <w:szCs w:val="22"/>
        </w:rPr>
        <w:t xml:space="preserve"> option to receive healthcare for T2DM</w:t>
      </w:r>
      <w:r w:rsidRPr="00F779FD">
        <w:rPr>
          <w:szCs w:val="22"/>
        </w:rPr>
        <w:t>. The strategy is designed to directly replace many GP visits in the management of T2DM with other chronic conditions.</w:t>
      </w:r>
      <w:r>
        <w:rPr>
          <w:szCs w:val="22"/>
        </w:rPr>
        <w:t xml:space="preserve"> </w:t>
      </w:r>
    </w:p>
    <w:p w:rsidR="00D633D7" w:rsidRDefault="00D633D7">
      <w:pPr>
        <w:spacing w:after="0" w:line="240" w:lineRule="auto"/>
        <w:jc w:val="left"/>
        <w:rPr>
          <w:szCs w:val="22"/>
        </w:rPr>
      </w:pPr>
      <w:r>
        <w:rPr>
          <w:szCs w:val="22"/>
        </w:rPr>
        <w:br w:type="page"/>
      </w:r>
    </w:p>
    <w:p w:rsidR="002E01E3" w:rsidRDefault="002E01E3" w:rsidP="002E01E3">
      <w:pPr>
        <w:rPr>
          <w:szCs w:val="22"/>
        </w:rPr>
      </w:pPr>
      <w:r>
        <w:rPr>
          <w:szCs w:val="22"/>
        </w:rPr>
        <w:lastRenderedPageBreak/>
        <w:t xml:space="preserve">In June 2014, an estimated 981,202 people were living with diagnosed T2DM </w:t>
      </w:r>
      <w:r>
        <w:rPr>
          <w:szCs w:val="22"/>
        </w:rPr>
        <w:fldChar w:fldCharType="begin"/>
      </w:r>
      <w:r>
        <w:rPr>
          <w:szCs w:val="22"/>
        </w:rPr>
        <w:instrText xml:space="preserve"> ADDIN EN.CITE &lt;EndNote&gt;&lt;Cite&gt;&lt;Author&gt;NDSS&lt;/Author&gt;&lt;Year&gt;2014&lt;/Year&gt;&lt;RecNum&gt;87&lt;/RecNum&gt;&lt;DisplayText&gt;[25]&lt;/DisplayText&gt;&lt;record&gt;&lt;rec-number&gt;87&lt;/rec-number&gt;&lt;foreign-keys&gt;&lt;key app="EN" db-id="edz5s99awvadpbexfxhvwe0ofp2svdwzsdpf" timestamp="1413863676"&gt;87&lt;/key&gt;&lt;/foreign-keys&gt;&lt;ref-type name="Dataset"&gt;59&lt;/ref-type&gt;&lt;contributors&gt;&lt;authors&gt;&lt;author&gt;National Diabetes Services Scheme NDSS&lt;/author&gt;&lt;/authors&gt;&lt;secondary-authors&gt;&lt;author&gt;Diabetes Australia&lt;/author&gt;&lt;/secondary-authors&gt;&lt;/contributors&gt;&lt;titles&gt;&lt;title&gt;Type 2 diabetes data snapshots&lt;/title&gt;&lt;/titles&gt;&lt;dates&gt;&lt;year&gt;2014&lt;/year&gt;&lt;/dates&gt;&lt;urls&gt;&lt;/urls&gt;&lt;/record&gt;&lt;/Cite&gt;&lt;/EndNote&gt;</w:instrText>
      </w:r>
      <w:r>
        <w:rPr>
          <w:szCs w:val="22"/>
        </w:rPr>
        <w:fldChar w:fldCharType="separate"/>
      </w:r>
      <w:r>
        <w:rPr>
          <w:noProof/>
          <w:szCs w:val="22"/>
        </w:rPr>
        <w:t>[25]</w:t>
      </w:r>
      <w:r>
        <w:rPr>
          <w:szCs w:val="22"/>
        </w:rPr>
        <w:fldChar w:fldCharType="end"/>
      </w:r>
      <w:r>
        <w:rPr>
          <w:szCs w:val="22"/>
        </w:rPr>
        <w:t xml:space="preserve">. The population prevalence of pre-diabetes was estimated in a study involving 11,247 participants more than 25 years old across Australia </w:t>
      </w:r>
      <w:r>
        <w:rPr>
          <w:szCs w:val="22"/>
        </w:rPr>
        <w:fldChar w:fldCharType="begin"/>
      </w:r>
      <w:r>
        <w:rPr>
          <w:szCs w:val="22"/>
        </w:rPr>
        <w:instrText xml:space="preserve"> ADDIN EN.CITE &lt;EndNote&gt;&lt;Cite&gt;&lt;Author&gt;Dunstan&lt;/Author&gt;&lt;Year&gt;2002&lt;/Year&gt;&lt;RecNum&gt;80&lt;/RecNum&gt;&lt;DisplayText&gt;[26]&lt;/DisplayText&gt;&lt;record&gt;&lt;rec-number&gt;80&lt;/rec-number&gt;&lt;foreign-keys&gt;&lt;key app="EN" db-id="edz5s99awvadpbexfxhvwe0ofp2svdwzsdpf" timestamp="1413768602"&gt;80&lt;/key&gt;&lt;/foreign-keys&gt;&lt;ref-type name="Journal Article"&gt;17&lt;/ref-type&gt;&lt;contributors&gt;&lt;authors&gt;&lt;author&gt;Dunstan, David W&lt;/author&gt;&lt;author&gt;Zimmet, Paul Z&lt;/author&gt;&lt;author&gt;Welborn, Timothy A&lt;/author&gt;&lt;author&gt;De Courten, Maximilian P&lt;/author&gt;&lt;author&gt;Cameron, Adrian J&lt;/author&gt;&lt;author&gt;Sicree, Richard A&lt;/author&gt;&lt;author&gt;Dwyer, Terry&lt;/author&gt;&lt;author&gt;Colagiuri, Stephen&lt;/author&gt;&lt;author&gt;Jolley, Damien&lt;/author&gt;&lt;author&gt;Knuiman, Matthew&lt;/author&gt;&lt;/authors&gt;&lt;/contributors&gt;&lt;titles&gt;&lt;title&gt;The Rising Prevalence of Diabetes and Impaired Glucose Tolerance The Australian Diabetes, Obesity and Lifestyle Study&lt;/title&gt;&lt;secondary-title&gt;Diabetes care&lt;/secondary-title&gt;&lt;/titles&gt;&lt;periodical&gt;&lt;full-title&gt;Diabetes care&lt;/full-title&gt;&lt;/periodical&gt;&lt;pages&gt;829-834&lt;/pages&gt;&lt;volume&gt;25&lt;/volume&gt;&lt;number&gt;5&lt;/number&gt;&lt;dates&gt;&lt;year&gt;2002&lt;/year&gt;&lt;/dates&gt;&lt;isbn&gt;0149-5992&lt;/isbn&gt;&lt;urls&gt;&lt;/urls&gt;&lt;/record&gt;&lt;/Cite&gt;&lt;/EndNote&gt;</w:instrText>
      </w:r>
      <w:r>
        <w:rPr>
          <w:szCs w:val="22"/>
        </w:rPr>
        <w:fldChar w:fldCharType="separate"/>
      </w:r>
      <w:r>
        <w:rPr>
          <w:noProof/>
          <w:szCs w:val="22"/>
        </w:rPr>
        <w:t>[26]</w:t>
      </w:r>
      <w:r>
        <w:rPr>
          <w:szCs w:val="22"/>
        </w:rPr>
        <w:fldChar w:fldCharType="end"/>
      </w:r>
      <w:r>
        <w:rPr>
          <w:szCs w:val="22"/>
        </w:rPr>
        <w:t xml:space="preserve">. Their results suggest that 17.4% of men over 25 years and 15.4% of women have pre-diabetes. Given the current population of men and women over 25, this translates to an estimated </w:t>
      </w:r>
      <w:r w:rsidRPr="00A318E6">
        <w:rPr>
          <w:szCs w:val="22"/>
        </w:rPr>
        <w:t>2</w:t>
      </w:r>
      <w:r>
        <w:rPr>
          <w:szCs w:val="22"/>
        </w:rPr>
        <w:t>.5 million (2,</w:t>
      </w:r>
      <w:r w:rsidRPr="00A318E6">
        <w:rPr>
          <w:szCs w:val="22"/>
        </w:rPr>
        <w:t>563,891</w:t>
      </w:r>
      <w:r>
        <w:rPr>
          <w:szCs w:val="22"/>
        </w:rPr>
        <w:t>)</w:t>
      </w:r>
      <w:r w:rsidRPr="00A318E6">
        <w:rPr>
          <w:szCs w:val="22"/>
        </w:rPr>
        <w:t xml:space="preserve"> </w:t>
      </w:r>
      <w:r>
        <w:rPr>
          <w:szCs w:val="22"/>
        </w:rPr>
        <w:t>Australians</w:t>
      </w:r>
      <w:r w:rsidRPr="00A318E6">
        <w:rPr>
          <w:szCs w:val="22"/>
        </w:rPr>
        <w:t xml:space="preserve"> </w:t>
      </w:r>
      <w:r>
        <w:rPr>
          <w:szCs w:val="22"/>
        </w:rPr>
        <w:t>with</w:t>
      </w:r>
      <w:r w:rsidRPr="00A318E6">
        <w:rPr>
          <w:szCs w:val="22"/>
        </w:rPr>
        <w:t xml:space="preserve"> pre-diabetes</w:t>
      </w:r>
      <w:r>
        <w:rPr>
          <w:szCs w:val="22"/>
        </w:rPr>
        <w:t>.</w:t>
      </w:r>
      <w:r w:rsidRPr="001C224F">
        <w:rPr>
          <w:szCs w:val="22"/>
        </w:rPr>
        <w:t xml:space="preserve"> </w:t>
      </w:r>
      <w:r>
        <w:rPr>
          <w:szCs w:val="22"/>
        </w:rPr>
        <w:t xml:space="preserve">This estimate assumes that pre-diabetes is negligible for people under 25 and the prevalence is similar to that from over 10 years ago, both which may be underestimated today. </w:t>
      </w:r>
      <w:r w:rsidRPr="0018655F">
        <w:rPr>
          <w:szCs w:val="22"/>
        </w:rPr>
        <w:t>According to</w:t>
      </w:r>
      <w:r>
        <w:rPr>
          <w:szCs w:val="22"/>
        </w:rPr>
        <w:t xml:space="preserve"> other studies,</w:t>
      </w:r>
      <w:r w:rsidRPr="0018655F">
        <w:rPr>
          <w:szCs w:val="22"/>
        </w:rPr>
        <w:t xml:space="preserve"> the true figure may be higher; up to 3.4 million</w:t>
      </w:r>
      <w:r>
        <w:rPr>
          <w:szCs w:val="22"/>
        </w:rPr>
        <w:t xml:space="preserve"> </w:t>
      </w:r>
      <w:r>
        <w:rPr>
          <w:szCs w:val="22"/>
        </w:rPr>
        <w:fldChar w:fldCharType="begin"/>
      </w:r>
      <w:r>
        <w:rPr>
          <w:szCs w:val="22"/>
        </w:rPr>
        <w:instrText xml:space="preserve"> ADDIN EN.CITE &lt;EndNote&gt;&lt;Cite&gt;&lt;Author&gt;Health&lt;/Author&gt;&lt;Year&gt;2006&lt;/Year&gt;&lt;RecNum&gt;65&lt;/RecNum&gt;&lt;DisplayText&gt;[7]&lt;/DisplayText&gt;&lt;record&gt;&lt;rec-number&gt;65&lt;/rec-number&gt;&lt;foreign-keys&gt;&lt;key app="EN" db-id="edz5s99awvadpbexfxhvwe0ofp2svdwzsdpf" timestamp="1413343754"&gt;65&lt;/key&gt;&lt;/foreign-keys&gt;&lt;ref-type name="Book"&gt;6&lt;/ref-type&gt;&lt;contributors&gt;&lt;authors&gt;&lt;author&gt;National Health&lt;/author&gt;&lt;author&gt;Medical Research Council&lt;/author&gt;&lt;author&gt;Barr, ELM&lt;/author&gt;&lt;/authors&gt;&lt;/contributors&gt;&lt;titles&gt;&lt;title&gt;AusDiab 2005: the Australian Diabetes, Obesity and Lifestyle Study: tracking the accelerating epidemic: its causes and outcomes&lt;/title&gt;&lt;/titles&gt;&lt;dates&gt;&lt;year&gt;2006&lt;/year&gt;&lt;/dates&gt;&lt;publisher&gt;International Diabetes Institute&lt;/publisher&gt;&lt;isbn&gt;0646459392&lt;/isbn&gt;&lt;urls&gt;&lt;/urls&gt;&lt;/record&gt;&lt;/Cite&gt;&lt;/EndNote&gt;</w:instrText>
      </w:r>
      <w:r>
        <w:rPr>
          <w:szCs w:val="22"/>
        </w:rPr>
        <w:fldChar w:fldCharType="separate"/>
      </w:r>
      <w:r>
        <w:rPr>
          <w:noProof/>
          <w:szCs w:val="22"/>
        </w:rPr>
        <w:t>[7]</w:t>
      </w:r>
      <w:r>
        <w:rPr>
          <w:szCs w:val="22"/>
        </w:rPr>
        <w:fldChar w:fldCharType="end"/>
      </w:r>
      <w:r w:rsidRPr="0018655F">
        <w:rPr>
          <w:szCs w:val="22"/>
        </w:rPr>
        <w:t>.</w:t>
      </w:r>
      <w:r w:rsidR="004447F9" w:rsidRPr="004447F9">
        <w:rPr>
          <w:szCs w:val="22"/>
        </w:rPr>
        <w:t xml:space="preserve"> </w:t>
      </w:r>
      <w:r>
        <w:rPr>
          <w:szCs w:val="22"/>
        </w:rPr>
        <w:t xml:space="preserve">Up to 58% of T2DM cases may be preventable with optimal management in the pre-diabetic stage </w:t>
      </w:r>
      <w:r>
        <w:rPr>
          <w:szCs w:val="22"/>
        </w:rPr>
        <w:fldChar w:fldCharType="begin"/>
      </w:r>
      <w:r>
        <w:rPr>
          <w:szCs w:val="22"/>
        </w:rPr>
        <w:instrText xml:space="preserve"> ADDIN EN.CITE &lt;EndNote&gt;&lt;Cite&gt;&lt;Author&gt;William C. Knowler&lt;/Author&gt;&lt;Year&gt;2002&lt;/Year&gt;&lt;RecNum&gt;109&lt;/RecNum&gt;&lt;DisplayText&gt;[27]&lt;/DisplayText&gt;&lt;record&gt;&lt;rec-number&gt;109&lt;/rec-number&gt;&lt;foreign-keys&gt;&lt;key app="EN" db-id="edz5s99awvadpbexfxhvwe0ofp2svdwzsdpf" timestamp="1413868677"&gt;109&lt;/key&gt;&lt;/foreign-keys&gt;&lt;ref-type name="Journal Article"&gt;17&lt;/ref-type&gt;&lt;contributors&gt;&lt;authors&gt;&lt;author&gt;William C. Knowler, Elizabeth Barrett-Connor, Sarah E. Fowler&lt;/author&gt;&lt;/authors&gt;&lt;/contributors&gt;&lt;titles&gt;&lt;title&gt;Reduction in the incidence of type 2 diabetes with lifestyle intervention or metformin&lt;/title&gt;&lt;secondary-title&gt;The New England journal of medicine&lt;/secondary-title&gt;&lt;/titles&gt;&lt;periodical&gt;&lt;full-title&gt;The New England journal of medicine&lt;/full-title&gt;&lt;/periodical&gt;&lt;pages&gt;393&lt;/pages&gt;&lt;volume&gt;346&lt;/volume&gt;&lt;number&gt;6&lt;/number&gt;&lt;dates&gt;&lt;year&gt;2002&lt;/year&gt;&lt;/dates&gt;&lt;urls&gt;&lt;/urls&gt;&lt;/record&gt;&lt;/Cite&gt;&lt;/EndNote&gt;</w:instrText>
      </w:r>
      <w:r>
        <w:rPr>
          <w:szCs w:val="22"/>
        </w:rPr>
        <w:fldChar w:fldCharType="separate"/>
      </w:r>
      <w:r>
        <w:rPr>
          <w:noProof/>
          <w:szCs w:val="22"/>
        </w:rPr>
        <w:t>[27]</w:t>
      </w:r>
      <w:r>
        <w:rPr>
          <w:szCs w:val="22"/>
        </w:rPr>
        <w:fldChar w:fldCharType="end"/>
      </w:r>
      <w:r>
        <w:rPr>
          <w:szCs w:val="22"/>
        </w:rPr>
        <w:t>.</w:t>
      </w:r>
    </w:p>
    <w:p w:rsidR="002E01E3" w:rsidRDefault="002E01E3" w:rsidP="002E01E3">
      <w:pPr>
        <w:rPr>
          <w:szCs w:val="22"/>
        </w:rPr>
      </w:pPr>
      <w:r>
        <w:rPr>
          <w:szCs w:val="22"/>
        </w:rPr>
        <w:t xml:space="preserve">In a preliminary study on shared medical appointments carried out in Australia in 2014 </w:t>
      </w:r>
      <w:r>
        <w:rPr>
          <w:szCs w:val="22"/>
        </w:rPr>
        <w:fldChar w:fldCharType="begin"/>
      </w:r>
      <w:r>
        <w:rPr>
          <w:szCs w:val="22"/>
        </w:rPr>
        <w:instrText xml:space="preserve"> ADDIN EN.CITE &lt;EndNote&gt;&lt;Cite&gt;&lt;Author&gt;Stevens&lt;/Author&gt;&lt;Year&gt;2014&lt;/Year&gt;&lt;RecNum&gt;119&lt;/RecNum&gt;&lt;DisplayText&gt;[2]&lt;/DisplayText&gt;&lt;record&gt;&lt;rec-number&gt;119&lt;/rec-number&gt;&lt;foreign-keys&gt;&lt;key app="EN" db-id="edz5s99awvadpbexfxhvwe0ofp2svdwzsdpf" timestamp="1414025459"&gt;119&lt;/key&gt;&lt;/foreign-keys&gt;&lt;ref-type name="Journal Article"&gt;17&lt;/ref-type&gt;&lt;contributors&gt;&lt;authors&gt;&lt;author&gt;Stevens, J.&lt;/author&gt;&lt;author&gt;Cole, M-A.&lt;/author&gt;&lt;author&gt;Binns, A. &lt;/author&gt;&lt;author&gt;Dixon, J.&lt;/author&gt;&lt;author&gt;Egger, Garry&lt;/author&gt;&lt;/authors&gt;&lt;/contributors&gt;&lt;titles&gt;&lt;title&gt;A user assessment of the potential for shared medical appointments in Australia&lt;/title&gt;&lt;secondary-title&gt;Australian Family Physician &lt;/secondary-title&gt;&lt;/titles&gt;&lt;periodical&gt;&lt;full-title&gt;Australian family physician&lt;/full-title&gt;&lt;/periodical&gt;&lt;pages&gt;804-807&lt;/pages&gt;&lt;volume&gt;43&lt;/volume&gt;&lt;number&gt;11&lt;/number&gt;&lt;dates&gt;&lt;year&gt;2014&lt;/year&gt;&lt;/dates&gt;&lt;urls&gt;&lt;/urls&gt;&lt;/record&gt;&lt;/Cite&gt;&lt;/EndNote&gt;</w:instrText>
      </w:r>
      <w:r>
        <w:rPr>
          <w:szCs w:val="22"/>
        </w:rPr>
        <w:fldChar w:fldCharType="separate"/>
      </w:r>
      <w:r>
        <w:rPr>
          <w:noProof/>
          <w:szCs w:val="22"/>
        </w:rPr>
        <w:t>[2]</w:t>
      </w:r>
      <w:r>
        <w:rPr>
          <w:szCs w:val="22"/>
        </w:rPr>
        <w:fldChar w:fldCharType="end"/>
      </w:r>
      <w:r>
        <w:rPr>
          <w:szCs w:val="22"/>
        </w:rPr>
        <w:t>, a high proportion (e.g., &gt;60%) of T2DM patients invited by their doctor to attend a shared medical appointment did so. After attending at least two shared medical appointments, over 90% claimed they would like to continue with this type of consult, suggesting that word</w:t>
      </w:r>
      <w:r w:rsidR="004447F9">
        <w:rPr>
          <w:szCs w:val="22"/>
        </w:rPr>
        <w:t>-</w:t>
      </w:r>
      <w:r>
        <w:rPr>
          <w:szCs w:val="22"/>
        </w:rPr>
        <w:t>of</w:t>
      </w:r>
      <w:r w:rsidR="004447F9">
        <w:rPr>
          <w:szCs w:val="22"/>
        </w:rPr>
        <w:t>-</w:t>
      </w:r>
      <w:r>
        <w:rPr>
          <w:szCs w:val="22"/>
        </w:rPr>
        <w:t xml:space="preserve"> mouth would mean a high demand, over the long-term, for this type of management. Comparative research carried out overseas suggests that shared medical appointments result in improved self-management and health outcomes in a reduced time required through conventional </w:t>
      </w:r>
      <w:r w:rsidR="004447F9">
        <w:rPr>
          <w:szCs w:val="22"/>
        </w:rPr>
        <w:t>one-to-one</w:t>
      </w:r>
      <w:r>
        <w:rPr>
          <w:szCs w:val="22"/>
        </w:rPr>
        <w:t xml:space="preserve"> consulting </w:t>
      </w:r>
      <w:r>
        <w:rPr>
          <w:szCs w:val="22"/>
        </w:rPr>
        <w:fldChar w:fldCharType="begin"/>
      </w:r>
      <w:r>
        <w:rPr>
          <w:szCs w:val="22"/>
        </w:rPr>
        <w:instrText xml:space="preserve"> ADDIN EN.CITE &lt;EndNote&gt;&lt;Cite&gt;&lt;Author&gt;Steinsbekk&lt;/Author&gt;&lt;Year&gt;2012&lt;/Year&gt;&lt;RecNum&gt;121&lt;/RecNum&gt;&lt;DisplayText&gt;[28]&lt;/DisplayText&gt;&lt;record&gt;&lt;rec-number&gt;121&lt;/rec-number&gt;&lt;foreign-keys&gt;&lt;key app="EN" db-id="edz5s99awvadpbexfxhvwe0ofp2svdwzsdpf" timestamp="1414123568"&gt;121&lt;/key&gt;&lt;/foreign-keys&gt;&lt;ref-type name="Journal Article"&gt;17&lt;/ref-type&gt;&lt;contributors&gt;&lt;authors&gt;&lt;author&gt;Steinsbekk, Aslak&lt;/author&gt;&lt;author&gt;Rygg, LisbethØ&lt;/author&gt;&lt;author&gt;Lisulo, Monde&lt;/author&gt;&lt;author&gt;Rise, Marit B&lt;/author&gt;&lt;author&gt;Fretheim, Atle&lt;/author&gt;&lt;/authors&gt;&lt;/contributors&gt;&lt;titles&gt;&lt;title&gt;Group based diabetes self-management education compared to routine treatment for people with type 2 diabetes mellitus. A systematic review with meta-analysis&lt;/title&gt;&lt;secondary-title&gt;BMC health services research&lt;/secondary-title&gt;&lt;/titles&gt;&lt;periodical&gt;&lt;full-title&gt;BMC health services research&lt;/full-title&gt;&lt;/periodical&gt;&lt;pages&gt;213&lt;/pages&gt;&lt;volume&gt;12&lt;/volume&gt;&lt;number&gt;1&lt;/number&gt;&lt;dates&gt;&lt;year&gt;2012&lt;/year&gt;&lt;/dates&gt;&lt;isbn&gt;1472-6963&lt;/isbn&gt;&lt;urls&gt;&lt;/urls&gt;&lt;/record&gt;&lt;/Cite&gt;&lt;/EndNote&gt;</w:instrText>
      </w:r>
      <w:r>
        <w:rPr>
          <w:szCs w:val="22"/>
        </w:rPr>
        <w:fldChar w:fldCharType="separate"/>
      </w:r>
      <w:r>
        <w:rPr>
          <w:noProof/>
          <w:szCs w:val="22"/>
        </w:rPr>
        <w:t>[28]</w:t>
      </w:r>
      <w:r>
        <w:rPr>
          <w:szCs w:val="22"/>
        </w:rPr>
        <w:fldChar w:fldCharType="end"/>
      </w:r>
      <w:r>
        <w:rPr>
          <w:szCs w:val="22"/>
        </w:rPr>
        <w:t xml:space="preserve">. </w:t>
      </w:r>
    </w:p>
    <w:p w:rsidR="002E01E3" w:rsidRPr="00EE1E04" w:rsidRDefault="002E01E3" w:rsidP="002E01E3">
      <w:pPr>
        <w:pStyle w:val="Heading1"/>
        <w:rPr>
          <w:lang w:val="en-AU"/>
        </w:rPr>
      </w:pPr>
      <w:bookmarkStart w:id="39" w:name="_Toc410649143"/>
      <w:bookmarkStart w:id="40" w:name="_Toc420499069"/>
      <w:r w:rsidRPr="00A34E9C">
        <w:t>Comparator</w:t>
      </w:r>
      <w:r>
        <w:rPr>
          <w:lang w:val="en-AU"/>
        </w:rPr>
        <w:t>s</w:t>
      </w:r>
      <w:bookmarkEnd w:id="39"/>
      <w:bookmarkEnd w:id="40"/>
    </w:p>
    <w:p w:rsidR="002E01E3" w:rsidRDefault="002E01E3" w:rsidP="002E01E3">
      <w:pPr>
        <w:rPr>
          <w:szCs w:val="22"/>
        </w:rPr>
      </w:pPr>
      <w:r w:rsidRPr="00691F7F">
        <w:rPr>
          <w:szCs w:val="22"/>
        </w:rPr>
        <w:t>The</w:t>
      </w:r>
      <w:r>
        <w:rPr>
          <w:szCs w:val="22"/>
        </w:rPr>
        <w:t>re are two</w:t>
      </w:r>
      <w:r w:rsidRPr="00691F7F">
        <w:rPr>
          <w:szCs w:val="22"/>
        </w:rPr>
        <w:t xml:space="preserve"> relevant comparator</w:t>
      </w:r>
      <w:r>
        <w:rPr>
          <w:szCs w:val="22"/>
        </w:rPr>
        <w:t>s:</w:t>
      </w:r>
    </w:p>
    <w:p w:rsidR="002E01E3" w:rsidRDefault="002E01E3" w:rsidP="002E01E3">
      <w:pPr>
        <w:numPr>
          <w:ilvl w:val="0"/>
          <w:numId w:val="22"/>
        </w:numPr>
        <w:rPr>
          <w:szCs w:val="22"/>
        </w:rPr>
      </w:pPr>
      <w:r>
        <w:rPr>
          <w:szCs w:val="22"/>
        </w:rPr>
        <w:t>‘</w:t>
      </w:r>
      <w:r w:rsidRPr="009A1E2B">
        <w:rPr>
          <w:szCs w:val="22"/>
        </w:rPr>
        <w:t xml:space="preserve">usual </w:t>
      </w:r>
      <w:r>
        <w:rPr>
          <w:szCs w:val="22"/>
        </w:rPr>
        <w:t xml:space="preserve">GP </w:t>
      </w:r>
      <w:r w:rsidRPr="009A1E2B">
        <w:rPr>
          <w:szCs w:val="22"/>
        </w:rPr>
        <w:t>care</w:t>
      </w:r>
      <w:r>
        <w:rPr>
          <w:szCs w:val="22"/>
        </w:rPr>
        <w:t>’</w:t>
      </w:r>
      <w:r w:rsidRPr="00382F76">
        <w:rPr>
          <w:szCs w:val="22"/>
        </w:rPr>
        <w:t xml:space="preserve"> </w:t>
      </w:r>
      <w:r w:rsidRPr="00F12F1C">
        <w:rPr>
          <w:szCs w:val="22"/>
        </w:rPr>
        <w:t>described as standard care and applies to 1:1 medical consults</w:t>
      </w:r>
      <w:r>
        <w:rPr>
          <w:szCs w:val="22"/>
        </w:rPr>
        <w:t>, and</w:t>
      </w:r>
    </w:p>
    <w:p w:rsidR="002E01E3" w:rsidRPr="00F779FD" w:rsidRDefault="002E01E3" w:rsidP="002E01E3">
      <w:pPr>
        <w:numPr>
          <w:ilvl w:val="0"/>
          <w:numId w:val="22"/>
        </w:numPr>
        <w:rPr>
          <w:szCs w:val="22"/>
        </w:rPr>
      </w:pPr>
      <w:r w:rsidRPr="00F779FD">
        <w:rPr>
          <w:szCs w:val="22"/>
        </w:rPr>
        <w:t>Group allied health services for Type 2 diabetes (MBS items 81100 to 81125).</w:t>
      </w:r>
    </w:p>
    <w:p w:rsidR="002E01E3" w:rsidRDefault="002E01E3" w:rsidP="002E01E3">
      <w:pPr>
        <w:rPr>
          <w:szCs w:val="22"/>
        </w:rPr>
      </w:pPr>
      <w:r>
        <w:rPr>
          <w:szCs w:val="22"/>
        </w:rPr>
        <w:t xml:space="preserve">Usual GP care involves a doctor seeing a patient in a one-on-one setting to discuss nutrition, physical activity and foot care. They would typically assess blood glucose levels, and comorbidities such as hypertension, hyperlipidaemia, and cardiovascular disease. They may also check the appropriateness of current medication, and write prescriptions </w:t>
      </w:r>
      <w:r>
        <w:rPr>
          <w:szCs w:val="22"/>
        </w:rPr>
        <w:fldChar w:fldCharType="begin"/>
      </w:r>
      <w:r>
        <w:rPr>
          <w:szCs w:val="22"/>
        </w:rPr>
        <w:instrText xml:space="preserve"> ADDIN EN.CITE &lt;EndNote&gt;&lt;Cite&gt;&lt;Author&gt;Ridge&lt;/Author&gt;&lt;Year&gt;2012&lt;/Year&gt;&lt;RecNum&gt;75&lt;/RecNum&gt;&lt;DisplayText&gt;[29]&lt;/DisplayText&gt;&lt;record&gt;&lt;rec-number&gt;75&lt;/rec-number&gt;&lt;foreign-keys&gt;&lt;key app="EN" db-id="edz5s99awvadpbexfxhvwe0ofp2svdwzsdpf" timestamp="1413520311"&gt;75&lt;/key&gt;&lt;/foreign-keys&gt;&lt;ref-type name="Journal Article"&gt;17&lt;/ref-type&gt;&lt;contributors&gt;&lt;authors&gt;&lt;author&gt;Ridge, Terry&lt;/author&gt;&lt;/authors&gt;&lt;/contributors&gt;&lt;titles&gt;&lt;title&gt;Shared medical appointments in diabetes care: a literature review&lt;/title&gt;&lt;secondary-title&gt;Diabetes Spectrum&lt;/secondary-title&gt;&lt;/titles&gt;&lt;periodical&gt;&lt;full-title&gt;Diabetes Spectrum&lt;/full-title&gt;&lt;/periodical&gt;&lt;pages&gt;72-75&lt;/pages&gt;&lt;volume&gt;25&lt;/volume&gt;&lt;number&gt;2&lt;/number&gt;&lt;dates&gt;&lt;year&gt;2012&lt;/year&gt;&lt;/dates&gt;&lt;isbn&gt;1040-9165&lt;/isbn&gt;&lt;urls&gt;&lt;/urls&gt;&lt;/record&gt;&lt;/Cite&gt;&lt;/EndNote&gt;</w:instrText>
      </w:r>
      <w:r>
        <w:rPr>
          <w:szCs w:val="22"/>
        </w:rPr>
        <w:fldChar w:fldCharType="separate"/>
      </w:r>
      <w:r>
        <w:rPr>
          <w:noProof/>
          <w:szCs w:val="22"/>
        </w:rPr>
        <w:t>[29]</w:t>
      </w:r>
      <w:r>
        <w:rPr>
          <w:szCs w:val="22"/>
        </w:rPr>
        <w:fldChar w:fldCharType="end"/>
      </w:r>
      <w:r>
        <w:rPr>
          <w:szCs w:val="22"/>
        </w:rPr>
        <w:t>. The Medicare comparator is MBS item numbers 23 and 36, “professional attendance by a GP” lasting less than 20 minutes or more than 20 minutes respectively. Monitoring and support is specified by the nursing MBS item number 10997. Table 3 provides the MBS item descriptors for the comparators.</w:t>
      </w:r>
    </w:p>
    <w:p w:rsidR="002E01E3" w:rsidRPr="00A34E9C" w:rsidRDefault="002E01E3" w:rsidP="002E01E3">
      <w:pPr>
        <w:pStyle w:val="Caption"/>
      </w:pPr>
      <w:bookmarkStart w:id="41" w:name="_Ref284409765"/>
      <w:r w:rsidRPr="00A34E9C">
        <w:lastRenderedPageBreak/>
        <w:t xml:space="preserve">Table </w:t>
      </w:r>
      <w:bookmarkEnd w:id="41"/>
      <w:r>
        <w:t>3</w:t>
      </w:r>
      <w:r w:rsidRPr="00A34E9C">
        <w:t>:</w:t>
      </w:r>
      <w:r w:rsidRPr="00A34E9C">
        <w:tab/>
        <w:t>MBS item descriptor</w:t>
      </w:r>
      <w:r>
        <w:t>s</w:t>
      </w:r>
      <w:r w:rsidRPr="00A34E9C">
        <w:t xml:space="preserve"> for</w:t>
      </w:r>
      <w:r>
        <w:t xml:space="preserve"> 23 and 36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2E01E3" w:rsidRPr="00F7662C">
        <w:tc>
          <w:tcPr>
            <w:tcW w:w="9134" w:type="dxa"/>
          </w:tcPr>
          <w:p w:rsidR="002E01E3" w:rsidRPr="00F7662C" w:rsidRDefault="002E01E3" w:rsidP="002E01E3">
            <w:pPr>
              <w:spacing w:after="120" w:line="240" w:lineRule="auto"/>
              <w:jc w:val="right"/>
              <w:rPr>
                <w:rFonts w:ascii="Arial Narrow" w:hAnsi="Arial Narrow"/>
                <w:b/>
                <w:sz w:val="20"/>
                <w:lang w:eastAsia="ja-JP"/>
              </w:rPr>
            </w:pPr>
            <w:r w:rsidRPr="00F7662C">
              <w:rPr>
                <w:rFonts w:ascii="Arial Narrow" w:hAnsi="Arial Narrow"/>
                <w:b/>
                <w:sz w:val="20"/>
                <w:lang w:eastAsia="ja-JP"/>
              </w:rPr>
              <w:t>Category 1 – Professional Attendances</w:t>
            </w:r>
          </w:p>
        </w:tc>
      </w:tr>
      <w:tr w:rsidR="002E01E3" w:rsidRPr="00F7662C">
        <w:tc>
          <w:tcPr>
            <w:tcW w:w="9134" w:type="dxa"/>
          </w:tcPr>
          <w:p w:rsidR="002E01E3" w:rsidRPr="00F7662C" w:rsidRDefault="002E01E3" w:rsidP="002E01E3">
            <w:pPr>
              <w:spacing w:after="120" w:line="240" w:lineRule="auto"/>
              <w:rPr>
                <w:rFonts w:ascii="Arial Narrow" w:hAnsi="Arial Narrow"/>
                <w:sz w:val="20"/>
                <w:lang w:val="en-US" w:eastAsia="ja-JP"/>
              </w:rPr>
            </w:pPr>
            <w:r w:rsidRPr="00F7662C">
              <w:rPr>
                <w:rFonts w:ascii="Arial Narrow" w:hAnsi="Arial Narrow"/>
                <w:sz w:val="20"/>
                <w:lang w:val="en-US" w:eastAsia="ja-JP"/>
              </w:rPr>
              <w:t>MBS 23</w:t>
            </w:r>
          </w:p>
          <w:p w:rsidR="002E01E3" w:rsidRPr="00F7662C" w:rsidRDefault="002E01E3" w:rsidP="002E01E3">
            <w:pPr>
              <w:spacing w:after="120" w:line="240" w:lineRule="auto"/>
              <w:rPr>
                <w:rFonts w:ascii="Arial Narrow" w:hAnsi="Arial Narrow"/>
                <w:sz w:val="20"/>
                <w:lang w:val="en-US" w:eastAsia="ja-JP"/>
              </w:rPr>
            </w:pPr>
            <w:r w:rsidRPr="00F7662C">
              <w:rPr>
                <w:rFonts w:ascii="Arial Narrow" w:hAnsi="Arial Narrow"/>
                <w:sz w:val="20"/>
                <w:lang w:eastAsia="ja-JP"/>
              </w:rPr>
              <w:t>Professional attendance at consulting rooms</w:t>
            </w:r>
          </w:p>
          <w:p w:rsidR="002E01E3" w:rsidRPr="00F7662C" w:rsidRDefault="002E01E3" w:rsidP="002E01E3">
            <w:pPr>
              <w:spacing w:after="120" w:line="240" w:lineRule="auto"/>
              <w:rPr>
                <w:rFonts w:ascii="Arial Narrow" w:hAnsi="Arial Narrow"/>
                <w:sz w:val="20"/>
                <w:lang w:val="en-US" w:eastAsia="ja-JP"/>
              </w:rPr>
            </w:pPr>
            <w:r w:rsidRPr="00F7662C">
              <w:rPr>
                <w:rFonts w:ascii="Arial Narrow" w:hAnsi="Arial Narrow"/>
                <w:sz w:val="20"/>
                <w:lang w:val="en-US" w:eastAsia="ja-JP"/>
              </w:rPr>
              <w:t>Fee: $37.05</w:t>
            </w:r>
          </w:p>
          <w:p w:rsidR="002E01E3" w:rsidRPr="00F7662C" w:rsidRDefault="002E01E3" w:rsidP="002E01E3">
            <w:pPr>
              <w:spacing w:after="120" w:line="240" w:lineRule="auto"/>
              <w:rPr>
                <w:rFonts w:ascii="Arial Narrow" w:hAnsi="Arial Narrow"/>
                <w:sz w:val="20"/>
                <w:lang w:eastAsia="ja-JP"/>
              </w:rPr>
            </w:pPr>
            <w:r w:rsidRPr="00F7662C">
              <w:rPr>
                <w:rFonts w:ascii="Arial Narrow" w:hAnsi="Arial Narrow"/>
                <w:sz w:val="20"/>
                <w:lang w:eastAsia="ja-JP"/>
              </w:rPr>
              <w:t>Professional attendance by a general practitioner (not being a service to which any other item in this table applies) lasting less than 20 minutes, including any of the following that are clinically relevant:</w:t>
            </w:r>
          </w:p>
          <w:p w:rsidR="002E01E3" w:rsidRPr="00F7662C" w:rsidRDefault="002E01E3" w:rsidP="002E01E3">
            <w:pPr>
              <w:spacing w:after="120" w:line="240" w:lineRule="auto"/>
              <w:rPr>
                <w:rFonts w:ascii="Arial Narrow" w:hAnsi="Arial Narrow"/>
                <w:sz w:val="20"/>
                <w:lang w:eastAsia="ja-JP"/>
              </w:rPr>
            </w:pPr>
            <w:r w:rsidRPr="00F7662C">
              <w:rPr>
                <w:rFonts w:ascii="Arial Narrow" w:hAnsi="Arial Narrow"/>
                <w:sz w:val="20"/>
                <w:lang w:eastAsia="ja-JP"/>
              </w:rPr>
              <w:t>a)</w:t>
            </w:r>
            <w:r w:rsidR="00885B8D" w:rsidRPr="00F7662C">
              <w:rPr>
                <w:rFonts w:ascii="Arial Narrow" w:hAnsi="Arial Narrow"/>
                <w:sz w:val="20"/>
                <w:lang w:eastAsia="ja-JP"/>
              </w:rPr>
              <w:t xml:space="preserve"> </w:t>
            </w:r>
            <w:r w:rsidRPr="00F7662C">
              <w:rPr>
                <w:rFonts w:ascii="Arial Narrow" w:hAnsi="Arial Narrow"/>
                <w:sz w:val="20"/>
                <w:lang w:eastAsia="ja-JP"/>
              </w:rPr>
              <w:t>taking a patient history;</w:t>
            </w:r>
          </w:p>
          <w:p w:rsidR="002E01E3" w:rsidRPr="00F7662C" w:rsidRDefault="00885B8D" w:rsidP="002E01E3">
            <w:pPr>
              <w:spacing w:after="120" w:line="240" w:lineRule="auto"/>
              <w:rPr>
                <w:rFonts w:ascii="Arial Narrow" w:hAnsi="Arial Narrow"/>
                <w:sz w:val="20"/>
                <w:lang w:eastAsia="ja-JP"/>
              </w:rPr>
            </w:pPr>
            <w:r>
              <w:rPr>
                <w:rFonts w:ascii="Arial Narrow" w:hAnsi="Arial Narrow"/>
                <w:sz w:val="20"/>
                <w:lang w:eastAsia="ja-JP"/>
              </w:rPr>
              <w:t xml:space="preserve">b) </w:t>
            </w:r>
            <w:r w:rsidR="002E01E3" w:rsidRPr="00F7662C">
              <w:rPr>
                <w:rFonts w:ascii="Arial Narrow" w:hAnsi="Arial Narrow"/>
                <w:sz w:val="20"/>
                <w:lang w:eastAsia="ja-JP"/>
              </w:rPr>
              <w:t>performing a clinical examination;</w:t>
            </w:r>
          </w:p>
          <w:p w:rsidR="002E01E3" w:rsidRPr="00F7662C" w:rsidRDefault="00885B8D" w:rsidP="002E01E3">
            <w:pPr>
              <w:spacing w:after="120" w:line="240" w:lineRule="auto"/>
              <w:rPr>
                <w:rFonts w:ascii="Arial Narrow" w:hAnsi="Arial Narrow"/>
                <w:sz w:val="20"/>
                <w:lang w:eastAsia="ja-JP"/>
              </w:rPr>
            </w:pPr>
            <w:r>
              <w:rPr>
                <w:rFonts w:ascii="Arial Narrow" w:hAnsi="Arial Narrow"/>
                <w:sz w:val="20"/>
                <w:lang w:eastAsia="ja-JP"/>
              </w:rPr>
              <w:t xml:space="preserve">c) </w:t>
            </w:r>
            <w:r w:rsidR="002E01E3" w:rsidRPr="00F7662C">
              <w:rPr>
                <w:rFonts w:ascii="Arial Narrow" w:hAnsi="Arial Narrow"/>
                <w:sz w:val="20"/>
                <w:lang w:eastAsia="ja-JP"/>
              </w:rPr>
              <w:t>arranging any necessary investigation;</w:t>
            </w:r>
          </w:p>
          <w:p w:rsidR="002E01E3" w:rsidRPr="00F7662C" w:rsidRDefault="00885B8D" w:rsidP="002E01E3">
            <w:pPr>
              <w:spacing w:after="120" w:line="240" w:lineRule="auto"/>
              <w:rPr>
                <w:rFonts w:ascii="Arial Narrow" w:hAnsi="Arial Narrow"/>
                <w:sz w:val="20"/>
                <w:lang w:eastAsia="ja-JP"/>
              </w:rPr>
            </w:pPr>
            <w:r>
              <w:rPr>
                <w:rFonts w:ascii="Arial Narrow" w:hAnsi="Arial Narrow"/>
                <w:sz w:val="20"/>
                <w:lang w:eastAsia="ja-JP"/>
              </w:rPr>
              <w:t xml:space="preserve">d) </w:t>
            </w:r>
            <w:r w:rsidR="002E01E3" w:rsidRPr="00F7662C">
              <w:rPr>
                <w:rFonts w:ascii="Arial Narrow" w:hAnsi="Arial Narrow"/>
                <w:sz w:val="20"/>
                <w:lang w:eastAsia="ja-JP"/>
              </w:rPr>
              <w:t>implementing a management plan;</w:t>
            </w:r>
          </w:p>
          <w:p w:rsidR="002E01E3" w:rsidRPr="00F7662C" w:rsidRDefault="002E01E3" w:rsidP="002E01E3">
            <w:pPr>
              <w:spacing w:after="120" w:line="240" w:lineRule="auto"/>
              <w:rPr>
                <w:rFonts w:ascii="Arial Narrow" w:hAnsi="Arial Narrow"/>
                <w:sz w:val="20"/>
                <w:lang w:eastAsia="ja-JP"/>
              </w:rPr>
            </w:pPr>
            <w:r w:rsidRPr="00F7662C">
              <w:rPr>
                <w:rFonts w:ascii="Arial Narrow" w:hAnsi="Arial Narrow"/>
                <w:sz w:val="20"/>
                <w:lang w:eastAsia="ja-JP"/>
              </w:rPr>
              <w:t>e)</w:t>
            </w:r>
            <w:r w:rsidR="00885B8D" w:rsidRPr="00F7662C">
              <w:rPr>
                <w:rFonts w:ascii="Arial Narrow" w:hAnsi="Arial Narrow"/>
                <w:sz w:val="20"/>
                <w:lang w:eastAsia="ja-JP"/>
              </w:rPr>
              <w:t xml:space="preserve"> </w:t>
            </w:r>
            <w:r w:rsidRPr="00F7662C">
              <w:rPr>
                <w:rFonts w:ascii="Arial Narrow" w:hAnsi="Arial Narrow"/>
                <w:sz w:val="20"/>
                <w:lang w:eastAsia="ja-JP"/>
              </w:rPr>
              <w:t>providing appropriate preventive health care;</w:t>
            </w:r>
          </w:p>
          <w:p w:rsidR="002E01E3" w:rsidRPr="00F7662C" w:rsidRDefault="002E01E3" w:rsidP="002E01E3">
            <w:pPr>
              <w:spacing w:after="120" w:line="240" w:lineRule="auto"/>
              <w:rPr>
                <w:rFonts w:ascii="Arial Narrow" w:hAnsi="Arial Narrow"/>
                <w:sz w:val="20"/>
                <w:lang w:eastAsia="ja-JP"/>
              </w:rPr>
            </w:pPr>
            <w:proofErr w:type="gramStart"/>
            <w:r w:rsidRPr="00F7662C">
              <w:rPr>
                <w:rFonts w:ascii="Arial Narrow" w:hAnsi="Arial Narrow"/>
                <w:sz w:val="20"/>
                <w:lang w:eastAsia="ja-JP"/>
              </w:rPr>
              <w:t>in</w:t>
            </w:r>
            <w:proofErr w:type="gramEnd"/>
            <w:r w:rsidRPr="00F7662C">
              <w:rPr>
                <w:rFonts w:ascii="Arial Narrow" w:hAnsi="Arial Narrow"/>
                <w:sz w:val="20"/>
                <w:lang w:eastAsia="ja-JP"/>
              </w:rPr>
              <w:t xml:space="preserve"> relation to 1 or more health-related issues, with appropriate documentation.</w:t>
            </w:r>
          </w:p>
        </w:tc>
      </w:tr>
      <w:tr w:rsidR="002E01E3" w:rsidRPr="00F7662C">
        <w:tc>
          <w:tcPr>
            <w:tcW w:w="9134" w:type="dxa"/>
          </w:tcPr>
          <w:p w:rsidR="002E01E3" w:rsidRPr="00F7662C" w:rsidRDefault="002E01E3" w:rsidP="002E01E3">
            <w:pPr>
              <w:spacing w:after="120" w:line="240" w:lineRule="auto"/>
              <w:jc w:val="right"/>
              <w:rPr>
                <w:rFonts w:ascii="Arial Narrow" w:hAnsi="Arial Narrow"/>
                <w:b/>
                <w:sz w:val="20"/>
                <w:lang w:val="en-US" w:eastAsia="ja-JP"/>
              </w:rPr>
            </w:pPr>
            <w:r w:rsidRPr="00F7662C">
              <w:rPr>
                <w:rFonts w:ascii="Arial Narrow" w:hAnsi="Arial Narrow"/>
                <w:b/>
                <w:sz w:val="20"/>
                <w:lang w:eastAsia="ja-JP"/>
              </w:rPr>
              <w:t>Category 1 – Professional Attendances</w:t>
            </w:r>
          </w:p>
        </w:tc>
      </w:tr>
      <w:tr w:rsidR="002E01E3" w:rsidRPr="00F7662C">
        <w:tc>
          <w:tcPr>
            <w:tcW w:w="9134" w:type="dxa"/>
          </w:tcPr>
          <w:p w:rsidR="002E01E3" w:rsidRPr="00F7662C" w:rsidRDefault="002E01E3" w:rsidP="002E01E3">
            <w:pPr>
              <w:spacing w:after="120" w:line="240" w:lineRule="auto"/>
              <w:rPr>
                <w:rFonts w:ascii="Arial Narrow" w:hAnsi="Arial Narrow"/>
                <w:sz w:val="20"/>
                <w:lang w:val="en-US" w:eastAsia="ja-JP"/>
              </w:rPr>
            </w:pPr>
            <w:r w:rsidRPr="00F7662C">
              <w:rPr>
                <w:rFonts w:ascii="Arial Narrow" w:hAnsi="Arial Narrow"/>
                <w:sz w:val="20"/>
                <w:lang w:val="en-US" w:eastAsia="ja-JP"/>
              </w:rPr>
              <w:t>MBS 36</w:t>
            </w:r>
          </w:p>
          <w:p w:rsidR="002E01E3" w:rsidRPr="00F7662C" w:rsidRDefault="002E01E3" w:rsidP="002E01E3">
            <w:pPr>
              <w:spacing w:after="120" w:line="240" w:lineRule="auto"/>
              <w:rPr>
                <w:rFonts w:ascii="Arial Narrow" w:hAnsi="Arial Narrow"/>
                <w:sz w:val="20"/>
                <w:lang w:val="en-US" w:eastAsia="ja-JP"/>
              </w:rPr>
            </w:pPr>
            <w:r w:rsidRPr="00F7662C">
              <w:rPr>
                <w:rFonts w:ascii="Arial Narrow" w:hAnsi="Arial Narrow"/>
                <w:sz w:val="20"/>
                <w:lang w:eastAsia="ja-JP"/>
              </w:rPr>
              <w:t>Professional attendance at consulting rooms</w:t>
            </w:r>
          </w:p>
          <w:p w:rsidR="002E01E3" w:rsidRPr="00F7662C" w:rsidRDefault="002E01E3" w:rsidP="002E01E3">
            <w:pPr>
              <w:spacing w:after="120" w:line="240" w:lineRule="auto"/>
              <w:rPr>
                <w:rFonts w:ascii="Arial Narrow" w:hAnsi="Arial Narrow"/>
                <w:sz w:val="20"/>
                <w:lang w:val="en-US" w:eastAsia="ja-JP"/>
              </w:rPr>
            </w:pPr>
            <w:r w:rsidRPr="00F7662C">
              <w:rPr>
                <w:rFonts w:ascii="Arial Narrow" w:hAnsi="Arial Narrow"/>
                <w:sz w:val="20"/>
                <w:lang w:val="en-US" w:eastAsia="ja-JP"/>
              </w:rPr>
              <w:t>Fee: $71.70</w:t>
            </w:r>
          </w:p>
          <w:tbl>
            <w:tblPr>
              <w:tblW w:w="5000" w:type="pct"/>
              <w:tblCellSpacing w:w="0" w:type="dxa"/>
              <w:tblCellMar>
                <w:left w:w="0" w:type="dxa"/>
                <w:right w:w="0" w:type="dxa"/>
              </w:tblCellMar>
              <w:tblLook w:val="04A0" w:firstRow="1" w:lastRow="0" w:firstColumn="1" w:lastColumn="0" w:noHBand="0" w:noVBand="1"/>
            </w:tblPr>
            <w:tblGrid>
              <w:gridCol w:w="8918"/>
            </w:tblGrid>
            <w:tr w:rsidR="002E01E3" w:rsidRPr="00F7662C">
              <w:trPr>
                <w:tblCellSpacing w:w="0" w:type="dxa"/>
              </w:trPr>
              <w:tc>
                <w:tcPr>
                  <w:tcW w:w="0" w:type="auto"/>
                  <w:vAlign w:val="center"/>
                </w:tcPr>
                <w:p w:rsidR="002E01E3" w:rsidRPr="00F7662C" w:rsidRDefault="002E01E3" w:rsidP="002E01E3">
                  <w:pPr>
                    <w:spacing w:after="120" w:line="240" w:lineRule="auto"/>
                    <w:rPr>
                      <w:rFonts w:ascii="Arial Narrow" w:hAnsi="Arial Narrow"/>
                      <w:sz w:val="20"/>
                      <w:lang w:eastAsia="ja-JP"/>
                    </w:rPr>
                  </w:pPr>
                  <w:r w:rsidRPr="00F7662C">
                    <w:rPr>
                      <w:rFonts w:ascii="Arial Narrow" w:hAnsi="Arial Narrow"/>
                      <w:sz w:val="20"/>
                      <w:lang w:eastAsia="ja-JP"/>
                    </w:rPr>
                    <w:t>Professional attendance by a general practitioner (not being a service to which any other item in this table applies) lasting at least 20 minutes, including any of the following that are clinically relevant:</w:t>
                  </w:r>
                </w:p>
                <w:p w:rsidR="002E01E3" w:rsidRPr="00F7662C" w:rsidRDefault="002E01E3" w:rsidP="002E01E3">
                  <w:pPr>
                    <w:spacing w:after="120" w:line="240" w:lineRule="auto"/>
                    <w:rPr>
                      <w:rFonts w:ascii="Arial Narrow" w:hAnsi="Arial Narrow"/>
                      <w:sz w:val="20"/>
                      <w:lang w:eastAsia="ja-JP"/>
                    </w:rPr>
                  </w:pPr>
                  <w:r w:rsidRPr="00F7662C">
                    <w:rPr>
                      <w:rFonts w:ascii="Arial Narrow" w:hAnsi="Arial Narrow"/>
                      <w:sz w:val="20"/>
                      <w:lang w:eastAsia="ja-JP"/>
                    </w:rPr>
                    <w:t>a)</w:t>
                  </w:r>
                  <w:r w:rsidR="00885B8D" w:rsidRPr="00F7662C">
                    <w:rPr>
                      <w:rFonts w:ascii="Arial Narrow" w:hAnsi="Arial Narrow"/>
                      <w:sz w:val="20"/>
                      <w:lang w:eastAsia="ja-JP"/>
                    </w:rPr>
                    <w:t xml:space="preserve"> </w:t>
                  </w:r>
                  <w:r w:rsidRPr="00F7662C">
                    <w:rPr>
                      <w:rFonts w:ascii="Arial Narrow" w:hAnsi="Arial Narrow"/>
                      <w:sz w:val="20"/>
                      <w:lang w:eastAsia="ja-JP"/>
                    </w:rPr>
                    <w:t>taking a detailed patient history;</w:t>
                  </w:r>
                </w:p>
                <w:p w:rsidR="002E01E3" w:rsidRPr="00F7662C" w:rsidRDefault="002E01E3" w:rsidP="002E01E3">
                  <w:pPr>
                    <w:spacing w:after="120" w:line="240" w:lineRule="auto"/>
                    <w:rPr>
                      <w:rFonts w:ascii="Arial Narrow" w:hAnsi="Arial Narrow"/>
                      <w:sz w:val="20"/>
                      <w:lang w:eastAsia="ja-JP"/>
                    </w:rPr>
                  </w:pPr>
                  <w:r w:rsidRPr="00F7662C">
                    <w:rPr>
                      <w:rFonts w:ascii="Arial Narrow" w:hAnsi="Arial Narrow"/>
                      <w:sz w:val="20"/>
                      <w:lang w:eastAsia="ja-JP"/>
                    </w:rPr>
                    <w:t>b)</w:t>
                  </w:r>
                  <w:r w:rsidR="00885B8D">
                    <w:rPr>
                      <w:rFonts w:ascii="Arial Narrow" w:hAnsi="Arial Narrow"/>
                      <w:sz w:val="20"/>
                      <w:lang w:eastAsia="ja-JP"/>
                    </w:rPr>
                    <w:t xml:space="preserve"> </w:t>
                  </w:r>
                  <w:r w:rsidRPr="00F7662C">
                    <w:rPr>
                      <w:rFonts w:ascii="Arial Narrow" w:hAnsi="Arial Narrow"/>
                      <w:sz w:val="20"/>
                      <w:lang w:eastAsia="ja-JP"/>
                    </w:rPr>
                    <w:t>performing a clinical examination;</w:t>
                  </w:r>
                </w:p>
                <w:p w:rsidR="002E01E3" w:rsidRPr="00F7662C" w:rsidRDefault="00885B8D" w:rsidP="002E01E3">
                  <w:pPr>
                    <w:spacing w:after="120" w:line="240" w:lineRule="auto"/>
                    <w:rPr>
                      <w:rFonts w:ascii="Arial Narrow" w:hAnsi="Arial Narrow"/>
                      <w:sz w:val="20"/>
                      <w:lang w:eastAsia="ja-JP"/>
                    </w:rPr>
                  </w:pPr>
                  <w:r>
                    <w:rPr>
                      <w:rFonts w:ascii="Arial Narrow" w:hAnsi="Arial Narrow"/>
                      <w:sz w:val="20"/>
                      <w:lang w:eastAsia="ja-JP"/>
                    </w:rPr>
                    <w:t xml:space="preserve">c) </w:t>
                  </w:r>
                  <w:r w:rsidR="002E01E3" w:rsidRPr="00F7662C">
                    <w:rPr>
                      <w:rFonts w:ascii="Arial Narrow" w:hAnsi="Arial Narrow"/>
                      <w:sz w:val="20"/>
                      <w:lang w:eastAsia="ja-JP"/>
                    </w:rPr>
                    <w:t>arranging any necessary investigation;</w:t>
                  </w:r>
                </w:p>
                <w:p w:rsidR="002E01E3" w:rsidRPr="00F7662C" w:rsidRDefault="002E01E3" w:rsidP="002E01E3">
                  <w:pPr>
                    <w:spacing w:after="120" w:line="240" w:lineRule="auto"/>
                    <w:rPr>
                      <w:rFonts w:ascii="Arial Narrow" w:hAnsi="Arial Narrow"/>
                      <w:sz w:val="20"/>
                      <w:lang w:eastAsia="ja-JP"/>
                    </w:rPr>
                  </w:pPr>
                  <w:r w:rsidRPr="00F7662C">
                    <w:rPr>
                      <w:rFonts w:ascii="Arial Narrow" w:hAnsi="Arial Narrow"/>
                      <w:sz w:val="20"/>
                      <w:lang w:eastAsia="ja-JP"/>
                    </w:rPr>
                    <w:t>d)</w:t>
                  </w:r>
                  <w:r w:rsidR="00885B8D" w:rsidRPr="00F7662C">
                    <w:rPr>
                      <w:rFonts w:ascii="Arial Narrow" w:hAnsi="Arial Narrow"/>
                      <w:sz w:val="20"/>
                      <w:lang w:eastAsia="ja-JP"/>
                    </w:rPr>
                    <w:t xml:space="preserve"> </w:t>
                  </w:r>
                  <w:r w:rsidRPr="00F7662C">
                    <w:rPr>
                      <w:rFonts w:ascii="Arial Narrow" w:hAnsi="Arial Narrow"/>
                      <w:sz w:val="20"/>
                      <w:lang w:eastAsia="ja-JP"/>
                    </w:rPr>
                    <w:t>implementing a management plan;</w:t>
                  </w:r>
                </w:p>
                <w:p w:rsidR="002E01E3" w:rsidRPr="00F7662C" w:rsidRDefault="00885B8D" w:rsidP="002E01E3">
                  <w:pPr>
                    <w:spacing w:after="120" w:line="240" w:lineRule="auto"/>
                    <w:rPr>
                      <w:rFonts w:ascii="Arial Narrow" w:hAnsi="Arial Narrow"/>
                      <w:sz w:val="20"/>
                      <w:lang w:eastAsia="ja-JP"/>
                    </w:rPr>
                  </w:pPr>
                  <w:r>
                    <w:rPr>
                      <w:rFonts w:ascii="Arial Narrow" w:hAnsi="Arial Narrow"/>
                      <w:sz w:val="20"/>
                      <w:lang w:eastAsia="ja-JP"/>
                    </w:rPr>
                    <w:t xml:space="preserve">e) </w:t>
                  </w:r>
                  <w:r w:rsidR="002E01E3" w:rsidRPr="00F7662C">
                    <w:rPr>
                      <w:rFonts w:ascii="Arial Narrow" w:hAnsi="Arial Narrow"/>
                      <w:sz w:val="20"/>
                      <w:lang w:eastAsia="ja-JP"/>
                    </w:rPr>
                    <w:t>providing appropriate preventive health care;</w:t>
                  </w:r>
                </w:p>
                <w:p w:rsidR="002E01E3" w:rsidRPr="00F7662C" w:rsidRDefault="002E01E3" w:rsidP="002E01E3">
                  <w:pPr>
                    <w:spacing w:after="120" w:line="240" w:lineRule="auto"/>
                    <w:rPr>
                      <w:rFonts w:ascii="Arial Narrow" w:hAnsi="Arial Narrow"/>
                      <w:sz w:val="20"/>
                      <w:lang w:eastAsia="ja-JP"/>
                    </w:rPr>
                  </w:pPr>
                  <w:proofErr w:type="gramStart"/>
                  <w:r w:rsidRPr="00F7662C">
                    <w:rPr>
                      <w:rFonts w:ascii="Arial Narrow" w:hAnsi="Arial Narrow"/>
                      <w:sz w:val="20"/>
                      <w:lang w:eastAsia="ja-JP"/>
                    </w:rPr>
                    <w:t>in</w:t>
                  </w:r>
                  <w:proofErr w:type="gramEnd"/>
                  <w:r w:rsidRPr="00F7662C">
                    <w:rPr>
                      <w:rFonts w:ascii="Arial Narrow" w:hAnsi="Arial Narrow"/>
                      <w:sz w:val="20"/>
                      <w:lang w:eastAsia="ja-JP"/>
                    </w:rPr>
                    <w:t xml:space="preserve"> relation to 1 or more health-related issues, with appropriate documentation.</w:t>
                  </w:r>
                </w:p>
              </w:tc>
            </w:tr>
          </w:tbl>
          <w:p w:rsidR="002E01E3" w:rsidRPr="00F7662C" w:rsidRDefault="002E01E3" w:rsidP="002E01E3">
            <w:pPr>
              <w:spacing w:after="120" w:line="240" w:lineRule="auto"/>
              <w:rPr>
                <w:rFonts w:ascii="Arial Narrow" w:hAnsi="Arial Narrow"/>
                <w:sz w:val="20"/>
                <w:lang w:val="en-US" w:eastAsia="ja-JP"/>
              </w:rPr>
            </w:pPr>
          </w:p>
        </w:tc>
      </w:tr>
      <w:tr w:rsidR="002E01E3" w:rsidRPr="00F7662C">
        <w:tc>
          <w:tcPr>
            <w:tcW w:w="9134" w:type="dxa"/>
          </w:tcPr>
          <w:p w:rsidR="002E01E3" w:rsidRPr="00F7662C" w:rsidRDefault="002E01E3" w:rsidP="002E01E3">
            <w:pPr>
              <w:spacing w:after="120" w:line="240" w:lineRule="auto"/>
              <w:jc w:val="right"/>
              <w:rPr>
                <w:rFonts w:ascii="Arial Narrow" w:hAnsi="Arial Narrow"/>
                <w:b/>
                <w:sz w:val="20"/>
                <w:lang w:val="en-US" w:eastAsia="ja-JP"/>
              </w:rPr>
            </w:pPr>
            <w:r w:rsidRPr="00F7662C">
              <w:rPr>
                <w:rFonts w:ascii="Arial Narrow" w:hAnsi="Arial Narrow"/>
                <w:b/>
                <w:sz w:val="20"/>
                <w:lang w:eastAsia="ja-JP"/>
              </w:rPr>
              <w:t>Category 8 –Miscellaneous services</w:t>
            </w:r>
          </w:p>
        </w:tc>
      </w:tr>
      <w:tr w:rsidR="002E01E3" w:rsidRPr="00F7662C">
        <w:tc>
          <w:tcPr>
            <w:tcW w:w="9134" w:type="dxa"/>
          </w:tcPr>
          <w:p w:rsidR="002E01E3" w:rsidRPr="00F7662C" w:rsidRDefault="002E01E3" w:rsidP="002E01E3">
            <w:pPr>
              <w:pStyle w:val="NormalWeb"/>
              <w:shd w:val="clear" w:color="auto" w:fill="FFFFFF"/>
              <w:spacing w:before="0" w:beforeAutospacing="0" w:after="30" w:afterAutospacing="0"/>
              <w:textAlignment w:val="top"/>
              <w:rPr>
                <w:rFonts w:ascii="Arial Narrow" w:eastAsia="SimSun" w:hAnsi="Arial Narrow" w:cs="Tahoma"/>
                <w:sz w:val="20"/>
                <w:szCs w:val="20"/>
                <w:lang w:eastAsia="ja-JP"/>
              </w:rPr>
            </w:pPr>
            <w:r w:rsidRPr="00F7662C">
              <w:rPr>
                <w:rFonts w:ascii="Arial Narrow" w:eastAsia="SimSun" w:hAnsi="Arial Narrow" w:cs="Tahoma"/>
                <w:sz w:val="20"/>
                <w:szCs w:val="20"/>
                <w:lang w:eastAsia="ja-JP"/>
              </w:rPr>
              <w:t>MBS 10997</w:t>
            </w:r>
          </w:p>
          <w:p w:rsidR="002E01E3" w:rsidRPr="00F7662C" w:rsidRDefault="002E01E3" w:rsidP="002E01E3">
            <w:pPr>
              <w:pStyle w:val="NormalWeb"/>
              <w:shd w:val="clear" w:color="auto" w:fill="FFFFFF"/>
              <w:spacing w:before="0" w:beforeAutospacing="0" w:after="30" w:afterAutospacing="0"/>
              <w:textAlignment w:val="top"/>
              <w:rPr>
                <w:rFonts w:ascii="Arial Narrow" w:eastAsia="SimSun" w:hAnsi="Arial Narrow" w:cs="Tahoma"/>
                <w:sz w:val="20"/>
                <w:szCs w:val="20"/>
                <w:lang w:eastAsia="ja-JP"/>
              </w:rPr>
            </w:pPr>
          </w:p>
          <w:p w:rsidR="002E01E3" w:rsidRPr="00F7662C" w:rsidRDefault="002E01E3" w:rsidP="002E01E3">
            <w:pPr>
              <w:pStyle w:val="NormalWeb"/>
              <w:shd w:val="clear" w:color="auto" w:fill="FFFFFF"/>
              <w:spacing w:before="0" w:beforeAutospacing="0" w:after="30" w:afterAutospacing="0"/>
              <w:textAlignment w:val="top"/>
              <w:rPr>
                <w:rFonts w:ascii="Arial Narrow" w:eastAsia="SimSun" w:hAnsi="Arial Narrow" w:cs="Tahoma"/>
                <w:sz w:val="20"/>
                <w:szCs w:val="20"/>
                <w:lang w:eastAsia="ja-JP"/>
              </w:rPr>
            </w:pPr>
            <w:r w:rsidRPr="00F7662C">
              <w:rPr>
                <w:rFonts w:ascii="Arial Narrow" w:eastAsia="SimSun" w:hAnsi="Arial Narrow" w:cs="Tahoma"/>
                <w:sz w:val="20"/>
                <w:szCs w:val="20"/>
                <w:lang w:eastAsia="ja-JP"/>
              </w:rPr>
              <w:t>Provision of monitoring and support for a person with a chronic disease by a practice nurse or Aboriginal and Torres Strait Islander health practitioner</w:t>
            </w:r>
          </w:p>
          <w:p w:rsidR="002E01E3" w:rsidRPr="00F7662C" w:rsidRDefault="002E01E3" w:rsidP="002E01E3">
            <w:pPr>
              <w:pStyle w:val="NormalWeb"/>
              <w:shd w:val="clear" w:color="auto" w:fill="FFFFFF"/>
              <w:spacing w:before="0" w:beforeAutospacing="0" w:after="30" w:afterAutospacing="0"/>
              <w:textAlignment w:val="top"/>
              <w:rPr>
                <w:rFonts w:ascii="Arial Narrow" w:eastAsia="SimSun" w:hAnsi="Arial Narrow" w:cs="Tahoma"/>
                <w:sz w:val="20"/>
                <w:szCs w:val="20"/>
                <w:lang w:eastAsia="ja-JP"/>
              </w:rPr>
            </w:pPr>
          </w:p>
          <w:p w:rsidR="002E01E3" w:rsidRPr="00F7662C" w:rsidRDefault="002E01E3" w:rsidP="002E01E3">
            <w:pPr>
              <w:pStyle w:val="NormalWeb"/>
              <w:shd w:val="clear" w:color="auto" w:fill="FFFFFF"/>
              <w:spacing w:before="0" w:beforeAutospacing="0" w:after="30" w:afterAutospacing="0"/>
              <w:textAlignment w:val="top"/>
              <w:rPr>
                <w:rFonts w:ascii="Arial Narrow" w:eastAsia="SimSun" w:hAnsi="Arial Narrow" w:cs="Tahoma"/>
                <w:sz w:val="20"/>
                <w:szCs w:val="20"/>
                <w:lang w:eastAsia="ja-JP"/>
              </w:rPr>
            </w:pPr>
            <w:r w:rsidRPr="00F7662C">
              <w:rPr>
                <w:rFonts w:ascii="Arial Narrow" w:eastAsia="SimSun" w:hAnsi="Arial Narrow" w:cs="Tahoma"/>
                <w:sz w:val="20"/>
                <w:szCs w:val="20"/>
                <w:lang w:eastAsia="ja-JP"/>
              </w:rPr>
              <w:t>Fee $12.00</w:t>
            </w:r>
          </w:p>
          <w:p w:rsidR="002E01E3" w:rsidRPr="00F7662C" w:rsidRDefault="002E01E3" w:rsidP="002E01E3">
            <w:pPr>
              <w:pStyle w:val="NormalWeb"/>
              <w:shd w:val="clear" w:color="auto" w:fill="FFFFFF"/>
              <w:spacing w:before="0" w:beforeAutospacing="0" w:after="30" w:afterAutospacing="0"/>
              <w:textAlignment w:val="top"/>
              <w:rPr>
                <w:rFonts w:ascii="Arial Narrow" w:eastAsia="SimSun" w:hAnsi="Arial Narrow" w:cs="Tahoma"/>
                <w:sz w:val="20"/>
                <w:szCs w:val="20"/>
                <w:lang w:eastAsia="ja-JP"/>
              </w:rPr>
            </w:pPr>
          </w:p>
          <w:p w:rsidR="002E01E3" w:rsidRPr="00F7662C" w:rsidRDefault="002E01E3" w:rsidP="002E01E3">
            <w:pPr>
              <w:pStyle w:val="NormalWeb"/>
              <w:shd w:val="clear" w:color="auto" w:fill="FFFFFF"/>
              <w:spacing w:before="0" w:beforeAutospacing="0" w:after="30" w:afterAutospacing="0"/>
              <w:textAlignment w:val="top"/>
              <w:rPr>
                <w:rFonts w:ascii="Arial Narrow" w:eastAsia="SimSun" w:hAnsi="Arial Narrow" w:cs="Tahoma"/>
                <w:sz w:val="20"/>
                <w:szCs w:val="20"/>
                <w:lang w:eastAsia="ja-JP"/>
              </w:rPr>
            </w:pPr>
            <w:r w:rsidRPr="00F7662C">
              <w:rPr>
                <w:rFonts w:ascii="Arial Narrow" w:eastAsia="SimSun" w:hAnsi="Arial Narrow" w:cs="Tahoma"/>
                <w:sz w:val="20"/>
                <w:szCs w:val="20"/>
                <w:lang w:eastAsia="ja-JP"/>
              </w:rPr>
              <w:t>Service provided to a person with a chronic disease by a practice nurse or an Aboriginal and Torres Strait Islander health practitioner if:</w:t>
            </w:r>
          </w:p>
          <w:p w:rsidR="002E01E3" w:rsidRPr="00F7662C" w:rsidRDefault="002E01E3" w:rsidP="002E01E3">
            <w:pPr>
              <w:pStyle w:val="NormalWeb"/>
              <w:shd w:val="clear" w:color="auto" w:fill="FFFFFF"/>
              <w:spacing w:before="0" w:beforeAutospacing="0" w:after="30" w:afterAutospacing="0"/>
              <w:ind w:left="570"/>
              <w:textAlignment w:val="top"/>
              <w:rPr>
                <w:rFonts w:ascii="Arial Narrow" w:eastAsia="SimSun" w:hAnsi="Arial Narrow" w:cs="Tahoma"/>
                <w:sz w:val="20"/>
                <w:szCs w:val="20"/>
                <w:lang w:eastAsia="ja-JP"/>
              </w:rPr>
            </w:pPr>
            <w:r w:rsidRPr="00F7662C">
              <w:rPr>
                <w:rFonts w:ascii="Arial Narrow" w:eastAsia="SimSun" w:hAnsi="Arial Narrow" w:cs="Tahoma"/>
                <w:sz w:val="20"/>
                <w:szCs w:val="20"/>
                <w:lang w:eastAsia="ja-JP"/>
              </w:rPr>
              <w:t>(a) the service is provided on behalf of and under the supervision of a medical practitioner; and</w:t>
            </w:r>
          </w:p>
          <w:p w:rsidR="002E01E3" w:rsidRPr="00F7662C" w:rsidRDefault="002E01E3" w:rsidP="002E01E3">
            <w:pPr>
              <w:pStyle w:val="NormalWeb"/>
              <w:shd w:val="clear" w:color="auto" w:fill="FFFFFF"/>
              <w:spacing w:before="0" w:beforeAutospacing="0" w:after="30" w:afterAutospacing="0"/>
              <w:ind w:left="570"/>
              <w:textAlignment w:val="top"/>
              <w:rPr>
                <w:rFonts w:ascii="Arial Narrow" w:eastAsia="SimSun" w:hAnsi="Arial Narrow" w:cs="Tahoma"/>
                <w:sz w:val="20"/>
                <w:szCs w:val="20"/>
                <w:lang w:eastAsia="ja-JP"/>
              </w:rPr>
            </w:pPr>
            <w:r w:rsidRPr="00F7662C">
              <w:rPr>
                <w:rFonts w:ascii="Arial Narrow" w:eastAsia="SimSun" w:hAnsi="Arial Narrow" w:cs="Tahoma"/>
                <w:sz w:val="20"/>
                <w:szCs w:val="20"/>
                <w:lang w:eastAsia="ja-JP"/>
              </w:rPr>
              <w:t>(b) the person is not an admitted patient of a hospital; and</w:t>
            </w:r>
          </w:p>
          <w:p w:rsidR="002E01E3" w:rsidRPr="00F7662C" w:rsidRDefault="002E01E3" w:rsidP="002E01E3">
            <w:pPr>
              <w:pStyle w:val="NormalWeb"/>
              <w:shd w:val="clear" w:color="auto" w:fill="FFFFFF"/>
              <w:spacing w:before="0" w:beforeAutospacing="0" w:after="30" w:afterAutospacing="0"/>
              <w:ind w:left="570"/>
              <w:textAlignment w:val="top"/>
              <w:rPr>
                <w:rFonts w:ascii="Arial Narrow" w:eastAsia="SimSun" w:hAnsi="Arial Narrow" w:cs="Tahoma"/>
                <w:sz w:val="20"/>
                <w:szCs w:val="20"/>
                <w:lang w:eastAsia="ja-JP"/>
              </w:rPr>
            </w:pPr>
            <w:r w:rsidRPr="00F7662C">
              <w:rPr>
                <w:rFonts w:ascii="Arial Narrow" w:eastAsia="SimSun" w:hAnsi="Arial Narrow" w:cs="Tahoma"/>
                <w:sz w:val="20"/>
                <w:szCs w:val="20"/>
                <w:lang w:eastAsia="ja-JP"/>
              </w:rPr>
              <w:t>(c) the person has a GP Management Plan, Team Care Arrangements or Multidisciplinary Care Plan in place; and</w:t>
            </w:r>
          </w:p>
          <w:p w:rsidR="002E01E3" w:rsidRPr="00F7662C" w:rsidRDefault="002E01E3" w:rsidP="002E01E3">
            <w:pPr>
              <w:pStyle w:val="NormalWeb"/>
              <w:shd w:val="clear" w:color="auto" w:fill="FFFFFF"/>
              <w:spacing w:before="0" w:beforeAutospacing="0" w:after="30" w:afterAutospacing="0"/>
              <w:ind w:left="570"/>
              <w:textAlignment w:val="top"/>
              <w:rPr>
                <w:rFonts w:ascii="Arial Narrow" w:eastAsia="SimSun" w:hAnsi="Arial Narrow" w:cs="Tahoma"/>
                <w:sz w:val="20"/>
                <w:szCs w:val="20"/>
                <w:lang w:eastAsia="ja-JP"/>
              </w:rPr>
            </w:pPr>
            <w:r w:rsidRPr="00F7662C">
              <w:rPr>
                <w:rFonts w:ascii="Arial Narrow" w:eastAsia="SimSun" w:hAnsi="Arial Narrow" w:cs="Tahoma"/>
                <w:sz w:val="20"/>
                <w:szCs w:val="20"/>
                <w:lang w:eastAsia="ja-JP"/>
              </w:rPr>
              <w:t>(d) the service is consistent with the GP Management Plan, Team Care Arrangements or Multidisciplinary Care Plan</w:t>
            </w:r>
          </w:p>
          <w:p w:rsidR="002E01E3" w:rsidRPr="00F7662C" w:rsidRDefault="002E01E3" w:rsidP="002E01E3">
            <w:pPr>
              <w:pStyle w:val="NormalWeb"/>
              <w:shd w:val="clear" w:color="auto" w:fill="FFFFFF"/>
              <w:spacing w:before="0" w:beforeAutospacing="0" w:after="30" w:afterAutospacing="0"/>
              <w:textAlignment w:val="top"/>
              <w:rPr>
                <w:rFonts w:ascii="Arial Narrow" w:hAnsi="Arial Narrow"/>
                <w:sz w:val="20"/>
                <w:szCs w:val="20"/>
                <w:lang w:val="en-US" w:eastAsia="ja-JP"/>
              </w:rPr>
            </w:pPr>
            <w:r w:rsidRPr="00F7662C">
              <w:rPr>
                <w:rFonts w:ascii="Arial Narrow" w:eastAsia="SimSun" w:hAnsi="Arial Narrow" w:cs="Tahoma"/>
                <w:sz w:val="20"/>
                <w:szCs w:val="20"/>
                <w:lang w:eastAsia="ja-JP"/>
              </w:rPr>
              <w:t>to a maximum of 5 services per patient in a calendar year</w:t>
            </w:r>
          </w:p>
        </w:tc>
      </w:tr>
    </w:tbl>
    <w:p w:rsidR="002E01E3" w:rsidRDefault="002E01E3" w:rsidP="002E01E3">
      <w:pPr>
        <w:rPr>
          <w:szCs w:val="22"/>
        </w:rPr>
      </w:pPr>
    </w:p>
    <w:p w:rsidR="002E1411" w:rsidRPr="00F12F1C" w:rsidRDefault="002E1411" w:rsidP="002E01E3">
      <w:pPr>
        <w:rPr>
          <w:szCs w:val="22"/>
        </w:rPr>
      </w:pPr>
      <w:r>
        <w:rPr>
          <w:szCs w:val="22"/>
        </w:rPr>
        <w:lastRenderedPageBreak/>
        <w:t xml:space="preserve">It is acknowledged that ‘Usual care’ as described by the one-to-one doctor-patient consultation is likely to be the most common scenario however it may also include several other varieties such as group allied health services for T2DM (items 81100 to </w:t>
      </w:r>
      <w:r w:rsidRPr="00F12F1C">
        <w:rPr>
          <w:szCs w:val="22"/>
        </w:rPr>
        <w:t>81125), individual allied health services (items 10950 to 10970) with item 721, individual practice nurse or ATSI health practitioner services (item 10997) and HbA</w:t>
      </w:r>
      <w:r w:rsidRPr="00D633D7">
        <w:rPr>
          <w:vertAlign w:val="subscript"/>
        </w:rPr>
        <w:t>1c</w:t>
      </w:r>
      <w:r w:rsidRPr="00F12F1C">
        <w:rPr>
          <w:szCs w:val="22"/>
        </w:rPr>
        <w:t xml:space="preserve"> (item 66841).</w:t>
      </w:r>
    </w:p>
    <w:p w:rsidR="002E01E3" w:rsidRDefault="002E01E3" w:rsidP="002E01E3">
      <w:pPr>
        <w:rPr>
          <w:rFonts w:eastAsia="Times New Roman"/>
          <w:szCs w:val="22"/>
          <w:lang w:eastAsia="en-AU"/>
        </w:rPr>
      </w:pPr>
      <w:r w:rsidRPr="0001739F">
        <w:rPr>
          <w:szCs w:val="22"/>
        </w:rPr>
        <w:t xml:space="preserve">Group allied health services under MBS items (81100 to 81125) are collectively a second relevant comparator for patients with T2DM.  These items apply to services provided by eligible diabetes educators, exercise physiologists and </w:t>
      </w:r>
      <w:proofErr w:type="spellStart"/>
      <w:r w:rsidRPr="0001739F">
        <w:rPr>
          <w:szCs w:val="22"/>
        </w:rPr>
        <w:t>dieti</w:t>
      </w:r>
      <w:r w:rsidR="004447F9">
        <w:rPr>
          <w:szCs w:val="22"/>
        </w:rPr>
        <w:t>t</w:t>
      </w:r>
      <w:r w:rsidRPr="0001739F">
        <w:rPr>
          <w:szCs w:val="22"/>
        </w:rPr>
        <w:t>ians</w:t>
      </w:r>
      <w:proofErr w:type="spellEnd"/>
      <w:r w:rsidRPr="0001739F">
        <w:rPr>
          <w:szCs w:val="22"/>
        </w:rPr>
        <w:t xml:space="preserve">, on referral from a GP. </w:t>
      </w:r>
      <w:r w:rsidRPr="0001739F">
        <w:rPr>
          <w:rFonts w:eastAsia="Times New Roman"/>
          <w:szCs w:val="22"/>
          <w:lang w:eastAsia="en-AU"/>
        </w:rPr>
        <w:t>Services available under these items are in addition to the five individual allied health services available to patients each calendar year (refer to items 10950 to 10970). Patients are eligible for these services if the patient has in place a GP Management Plan (item 721); OR for a resident of a residential aged care facility, the GP must have contributed to, or contributed to a review of, a care plan prepared for them by the facility (item 731). Unlike the individual allied health services under items 10950 to 10970, there is no additional requirement for a Team Care Arrangement (item 723) in order for the patient to be referred for group allied health services.</w:t>
      </w:r>
    </w:p>
    <w:p w:rsidR="002E01E3" w:rsidRDefault="002E01E3" w:rsidP="002E01E3">
      <w:pPr>
        <w:rPr>
          <w:rFonts w:eastAsia="Times New Roman"/>
          <w:szCs w:val="22"/>
          <w:lang w:eastAsia="en-AU"/>
        </w:rPr>
      </w:pPr>
      <w:r>
        <w:rPr>
          <w:rFonts w:eastAsia="Times New Roman"/>
          <w:szCs w:val="22"/>
          <w:lang w:eastAsia="en-AU"/>
        </w:rPr>
        <w:t>Table 4 provides the MBS items for 8110</w:t>
      </w:r>
      <w:r w:rsidR="004447F9">
        <w:rPr>
          <w:rFonts w:eastAsia="Times New Roman"/>
          <w:szCs w:val="22"/>
          <w:lang w:eastAsia="en-AU"/>
        </w:rPr>
        <w:t>0</w:t>
      </w:r>
      <w:r>
        <w:rPr>
          <w:rFonts w:eastAsia="Times New Roman"/>
          <w:szCs w:val="22"/>
          <w:lang w:eastAsia="en-AU"/>
        </w:rPr>
        <w:t xml:space="preserve"> (assessment) and 811</w:t>
      </w:r>
      <w:r w:rsidR="004447F9">
        <w:rPr>
          <w:rFonts w:eastAsia="Times New Roman"/>
          <w:szCs w:val="22"/>
          <w:lang w:eastAsia="en-AU"/>
        </w:rPr>
        <w:t>05</w:t>
      </w:r>
      <w:r>
        <w:rPr>
          <w:rFonts w:eastAsia="Times New Roman"/>
          <w:szCs w:val="22"/>
          <w:lang w:eastAsia="en-AU"/>
        </w:rPr>
        <w:t xml:space="preserve"> (treatment services) for a diabetes educator. </w:t>
      </w:r>
      <w:r w:rsidR="00584C0A">
        <w:rPr>
          <w:rFonts w:eastAsia="Times New Roman"/>
          <w:szCs w:val="22"/>
          <w:lang w:eastAsia="en-AU"/>
        </w:rPr>
        <w:t xml:space="preserve">In the interests of space, the corresponding items for exercise physiologists (81115 &amp; 81120) and </w:t>
      </w:r>
      <w:proofErr w:type="spellStart"/>
      <w:r w:rsidR="00584C0A">
        <w:rPr>
          <w:rFonts w:eastAsia="Times New Roman"/>
          <w:szCs w:val="22"/>
          <w:lang w:eastAsia="en-AU"/>
        </w:rPr>
        <w:t>dieti</w:t>
      </w:r>
      <w:r w:rsidR="004447F9">
        <w:rPr>
          <w:rFonts w:eastAsia="Times New Roman"/>
          <w:szCs w:val="22"/>
          <w:lang w:eastAsia="en-AU"/>
        </w:rPr>
        <w:t>t</w:t>
      </w:r>
      <w:r w:rsidR="00584C0A">
        <w:rPr>
          <w:rFonts w:eastAsia="Times New Roman"/>
          <w:szCs w:val="22"/>
          <w:lang w:eastAsia="en-AU"/>
        </w:rPr>
        <w:t>ians</w:t>
      </w:r>
      <w:proofErr w:type="spellEnd"/>
      <w:r w:rsidR="00584C0A">
        <w:rPr>
          <w:rFonts w:eastAsia="Times New Roman"/>
          <w:szCs w:val="22"/>
          <w:lang w:eastAsia="en-AU"/>
        </w:rPr>
        <w:t xml:space="preserve"> (81120 &amp; 81125) are not presented here. </w:t>
      </w:r>
      <w:r>
        <w:rPr>
          <w:rFonts w:eastAsia="Times New Roman"/>
          <w:szCs w:val="22"/>
          <w:lang w:eastAsia="en-AU"/>
        </w:rPr>
        <w:t>The</w:t>
      </w:r>
      <w:r w:rsidR="00584C0A">
        <w:rPr>
          <w:rFonts w:eastAsia="Times New Roman"/>
          <w:szCs w:val="22"/>
          <w:lang w:eastAsia="en-AU"/>
        </w:rPr>
        <w:t>se</w:t>
      </w:r>
      <w:r>
        <w:rPr>
          <w:rFonts w:eastAsia="Times New Roman"/>
          <w:szCs w:val="22"/>
          <w:lang w:eastAsia="en-AU"/>
        </w:rPr>
        <w:t xml:space="preserve"> are identical assessment and treatment service items but relate to exercise physiologists and </w:t>
      </w:r>
      <w:proofErr w:type="spellStart"/>
      <w:r>
        <w:rPr>
          <w:rFonts w:eastAsia="Times New Roman"/>
          <w:szCs w:val="22"/>
          <w:lang w:eastAsia="en-AU"/>
        </w:rPr>
        <w:t>dieti</w:t>
      </w:r>
      <w:r w:rsidR="004447F9">
        <w:rPr>
          <w:rFonts w:eastAsia="Times New Roman"/>
          <w:szCs w:val="22"/>
          <w:lang w:eastAsia="en-AU"/>
        </w:rPr>
        <w:t>t</w:t>
      </w:r>
      <w:r>
        <w:rPr>
          <w:rFonts w:eastAsia="Times New Roman"/>
          <w:szCs w:val="22"/>
          <w:lang w:eastAsia="en-AU"/>
        </w:rPr>
        <w:t>ians</w:t>
      </w:r>
      <w:proofErr w:type="spellEnd"/>
      <w:r w:rsidRPr="00CA55AF">
        <w:rPr>
          <w:rFonts w:eastAsia="Times New Roman"/>
          <w:szCs w:val="22"/>
          <w:lang w:eastAsia="en-AU"/>
        </w:rPr>
        <w:t xml:space="preserve"> </w:t>
      </w:r>
    </w:p>
    <w:p w:rsidR="002E01E3" w:rsidRDefault="002E01E3" w:rsidP="002E01E3">
      <w:pPr>
        <w:pStyle w:val="Caption"/>
      </w:pPr>
      <w:r>
        <w:t>Table 4: MBS item descriptors for 8110</w:t>
      </w:r>
      <w:r w:rsidR="004447F9">
        <w:t>0</w:t>
      </w:r>
      <w:r>
        <w:t xml:space="preserve"> and 811</w:t>
      </w:r>
      <w:r w:rsidR="004447F9">
        <w:t>05</w:t>
      </w:r>
    </w:p>
    <w:p w:rsidR="002E01E3" w:rsidRPr="00F7662C" w:rsidRDefault="002E01E3" w:rsidP="002E01E3">
      <w:pPr>
        <w:pBdr>
          <w:top w:val="single" w:sz="4" w:space="1" w:color="auto"/>
          <w:left w:val="single" w:sz="4" w:space="1" w:color="auto"/>
          <w:right w:val="single" w:sz="4" w:space="4" w:color="auto"/>
        </w:pBdr>
        <w:spacing w:after="0"/>
        <w:jc w:val="right"/>
        <w:rPr>
          <w:rFonts w:ascii="Arial Narrow" w:hAnsi="Arial Narrow"/>
          <w:b/>
          <w:sz w:val="20"/>
        </w:rPr>
      </w:pPr>
      <w:r w:rsidRPr="00F7662C">
        <w:rPr>
          <w:rFonts w:ascii="Arial Narrow" w:hAnsi="Arial Narrow"/>
          <w:b/>
          <w:sz w:val="20"/>
        </w:rPr>
        <w:t>Category 8 – Miscellaneous services</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hAnsi="Arial Narrow"/>
          <w:sz w:val="20"/>
        </w:rPr>
      </w:pPr>
      <w:r w:rsidRPr="00F7662C">
        <w:rPr>
          <w:rFonts w:ascii="Arial Narrow" w:hAnsi="Arial Narrow"/>
          <w:sz w:val="20"/>
        </w:rPr>
        <w:t>MBS 81100</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sidRPr="00F7662C">
        <w:rPr>
          <w:rFonts w:ascii="Arial Narrow" w:eastAsia="Times New Roman" w:hAnsi="Arial Narrow" w:cs="Helvetica"/>
          <w:bCs/>
          <w:color w:val="222222"/>
          <w:sz w:val="20"/>
          <w:lang w:eastAsia="en-AU"/>
        </w:rPr>
        <w:t>DIABETES EDUCATION SERVICE - ASSESSMENT FOR GROUP SERVICES</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sidRPr="00F7662C">
        <w:rPr>
          <w:rFonts w:ascii="Arial Narrow" w:eastAsia="Times New Roman" w:hAnsi="Arial Narrow" w:cs="Helvetica"/>
          <w:color w:val="222222"/>
          <w:sz w:val="20"/>
          <w:lang w:eastAsia="en-AU"/>
        </w:rPr>
        <w:t>Diabetes education health service provided to a person by an eligible diabetes educator</w:t>
      </w:r>
      <w:r w:rsidRPr="00F7662C">
        <w:rPr>
          <w:rFonts w:ascii="Arial Narrow" w:eastAsia="Times New Roman" w:hAnsi="Arial Narrow" w:cs="Helvetica"/>
          <w:i/>
          <w:iCs/>
          <w:color w:val="222222"/>
          <w:sz w:val="20"/>
          <w:lang w:eastAsia="en-AU"/>
        </w:rPr>
        <w:t> </w:t>
      </w:r>
      <w:r w:rsidRPr="00F7662C">
        <w:rPr>
          <w:rFonts w:ascii="Arial Narrow" w:eastAsia="Times New Roman" w:hAnsi="Arial Narrow" w:cs="Helvetica"/>
          <w:color w:val="222222"/>
          <w:sz w:val="20"/>
          <w:lang w:eastAsia="en-AU"/>
        </w:rPr>
        <w:t>for the purposes of ASSESSING a person's suitability for group services for the management of type 2 diabetes, including taking a comprehensive patient history, identifying an appropriate group services program based on the patient's needs, and preparing the person for the group services, if:</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sidRPr="00F7662C">
        <w:rPr>
          <w:rFonts w:ascii="Arial Narrow" w:eastAsia="Times New Roman" w:hAnsi="Arial Narrow" w:cs="Helvetica"/>
          <w:color w:val="222222"/>
          <w:sz w:val="20"/>
          <w:lang w:eastAsia="en-AU"/>
        </w:rPr>
        <w:t>(a)</w:t>
      </w:r>
      <w:r w:rsidR="00885B8D" w:rsidRPr="00F7662C">
        <w:rPr>
          <w:rFonts w:ascii="Arial Narrow" w:eastAsia="Times New Roman" w:hAnsi="Arial Narrow" w:cs="Helvetica"/>
          <w:color w:val="222222"/>
          <w:sz w:val="20"/>
          <w:lang w:eastAsia="en-AU"/>
        </w:rPr>
        <w:t xml:space="preserve"> </w:t>
      </w:r>
      <w:proofErr w:type="gramStart"/>
      <w:r w:rsidRPr="00F7662C">
        <w:rPr>
          <w:rFonts w:ascii="Arial Narrow" w:eastAsia="Times New Roman" w:hAnsi="Arial Narrow" w:cs="Helvetica"/>
          <w:color w:val="222222"/>
          <w:sz w:val="20"/>
          <w:lang w:eastAsia="en-AU"/>
        </w:rPr>
        <w:t>the</w:t>
      </w:r>
      <w:proofErr w:type="gramEnd"/>
      <w:r w:rsidRPr="00F7662C">
        <w:rPr>
          <w:rFonts w:ascii="Arial Narrow" w:eastAsia="Times New Roman" w:hAnsi="Arial Narrow" w:cs="Helvetica"/>
          <w:color w:val="222222"/>
          <w:sz w:val="20"/>
          <w:lang w:eastAsia="en-AU"/>
        </w:rPr>
        <w:t xml:space="preserve"> service is provided to a person who has type 2 diabetes; and</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sidRPr="00F7662C">
        <w:rPr>
          <w:rFonts w:ascii="Arial Narrow" w:eastAsia="Times New Roman" w:hAnsi="Arial Narrow" w:cs="Helvetica"/>
          <w:color w:val="222222"/>
          <w:sz w:val="20"/>
          <w:lang w:eastAsia="en-AU"/>
        </w:rPr>
        <w:lastRenderedPageBreak/>
        <w:t xml:space="preserve">(b) </w:t>
      </w:r>
      <w:proofErr w:type="gramStart"/>
      <w:r w:rsidRPr="00F7662C">
        <w:rPr>
          <w:rFonts w:ascii="Arial Narrow" w:eastAsia="Times New Roman" w:hAnsi="Arial Narrow" w:cs="Helvetica"/>
          <w:color w:val="222222"/>
          <w:sz w:val="20"/>
          <w:lang w:eastAsia="en-AU"/>
        </w:rPr>
        <w:t>the</w:t>
      </w:r>
      <w:proofErr w:type="gramEnd"/>
      <w:r w:rsidRPr="00F7662C">
        <w:rPr>
          <w:rFonts w:ascii="Arial Narrow" w:eastAsia="Times New Roman" w:hAnsi="Arial Narrow" w:cs="Helvetica"/>
          <w:color w:val="222222"/>
          <w:sz w:val="20"/>
          <w:lang w:eastAsia="en-AU"/>
        </w:rPr>
        <w:t xml:space="preserve"> person is being managed by a medical practitioner (including a general practitioner, but not a specialist or consultant physician) under a GP Management Plan [</w:t>
      </w:r>
      <w:proofErr w:type="spellStart"/>
      <w:r w:rsidRPr="00F7662C">
        <w:rPr>
          <w:rFonts w:ascii="Arial Narrow" w:eastAsia="Times New Roman" w:hAnsi="Arial Narrow" w:cs="Helvetica"/>
          <w:color w:val="222222"/>
          <w:sz w:val="20"/>
          <w:lang w:eastAsia="en-AU"/>
        </w:rPr>
        <w:t>ie</w:t>
      </w:r>
      <w:proofErr w:type="spellEnd"/>
      <w:r w:rsidRPr="00F7662C">
        <w:rPr>
          <w:rFonts w:ascii="Arial Narrow" w:eastAsia="Times New Roman" w:hAnsi="Arial Narrow" w:cs="Helvetica"/>
          <w:color w:val="222222"/>
          <w:sz w:val="20"/>
          <w:lang w:eastAsia="en-AU"/>
        </w:rPr>
        <w:t xml:space="preserve"> item 721 or 732], or if the person is a resident of an aged care facility, their medical practitioner has contributed to a multidisciplinary care plan [</w:t>
      </w:r>
      <w:proofErr w:type="spellStart"/>
      <w:r w:rsidRPr="00F7662C">
        <w:rPr>
          <w:rFonts w:ascii="Arial Narrow" w:eastAsia="Times New Roman" w:hAnsi="Arial Narrow" w:cs="Helvetica"/>
          <w:color w:val="222222"/>
          <w:sz w:val="20"/>
          <w:lang w:eastAsia="en-AU"/>
        </w:rPr>
        <w:t>ie</w:t>
      </w:r>
      <w:proofErr w:type="spellEnd"/>
      <w:r w:rsidRPr="00F7662C">
        <w:rPr>
          <w:rFonts w:ascii="Arial Narrow" w:eastAsia="Times New Roman" w:hAnsi="Arial Narrow" w:cs="Helvetica"/>
          <w:color w:val="222222"/>
          <w:sz w:val="20"/>
          <w:lang w:eastAsia="en-AU"/>
        </w:rPr>
        <w:t xml:space="preserve"> item 731]; and  </w:t>
      </w:r>
    </w:p>
    <w:p w:rsidR="002E01E3" w:rsidRPr="00F7662C" w:rsidRDefault="00885B8D"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Pr>
          <w:rFonts w:ascii="Arial Narrow" w:eastAsia="Times New Roman" w:hAnsi="Arial Narrow" w:cs="Helvetica"/>
          <w:color w:val="222222"/>
          <w:sz w:val="20"/>
          <w:lang w:eastAsia="en-AU"/>
        </w:rPr>
        <w:t>(c)</w:t>
      </w:r>
      <w:r w:rsidR="002E01E3" w:rsidRPr="00F7662C">
        <w:rPr>
          <w:rFonts w:ascii="Arial Narrow" w:eastAsia="Times New Roman" w:hAnsi="Arial Narrow" w:cs="Helvetica"/>
          <w:color w:val="222222"/>
          <w:sz w:val="20"/>
          <w:lang w:eastAsia="en-AU"/>
        </w:rPr>
        <w:t>the person is referred to an eligible diabetes educator by the medical practitioner using a referral form that has been issued by the Department of Health, or a referral form that contains all the components of the form issued by the Department; and</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sidRPr="00F7662C">
        <w:rPr>
          <w:rFonts w:ascii="Arial Narrow" w:eastAsia="Times New Roman" w:hAnsi="Arial Narrow" w:cs="Helvetica"/>
          <w:color w:val="222222"/>
          <w:sz w:val="20"/>
          <w:lang w:eastAsia="en-AU"/>
        </w:rPr>
        <w:t>(d)</w:t>
      </w:r>
      <w:r w:rsidR="00885B8D" w:rsidRPr="00F7662C">
        <w:rPr>
          <w:rFonts w:ascii="Arial Narrow" w:eastAsia="Times New Roman" w:hAnsi="Arial Narrow" w:cs="Helvetica"/>
          <w:color w:val="222222"/>
          <w:sz w:val="20"/>
          <w:lang w:eastAsia="en-AU"/>
        </w:rPr>
        <w:t xml:space="preserve"> </w:t>
      </w:r>
      <w:proofErr w:type="gramStart"/>
      <w:r w:rsidRPr="00F7662C">
        <w:rPr>
          <w:rFonts w:ascii="Arial Narrow" w:eastAsia="Times New Roman" w:hAnsi="Arial Narrow" w:cs="Helvetica"/>
          <w:color w:val="222222"/>
          <w:sz w:val="20"/>
          <w:lang w:eastAsia="en-AU"/>
        </w:rPr>
        <w:t>the</w:t>
      </w:r>
      <w:proofErr w:type="gramEnd"/>
      <w:r w:rsidRPr="00F7662C">
        <w:rPr>
          <w:rFonts w:ascii="Arial Narrow" w:eastAsia="Times New Roman" w:hAnsi="Arial Narrow" w:cs="Helvetica"/>
          <w:color w:val="222222"/>
          <w:sz w:val="20"/>
          <w:lang w:eastAsia="en-AU"/>
        </w:rPr>
        <w:t xml:space="preserve"> person is not an admitted patient of a hospital; and</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sidRPr="00F7662C">
        <w:rPr>
          <w:rFonts w:ascii="Arial Narrow" w:eastAsia="Times New Roman" w:hAnsi="Arial Narrow" w:cs="Helvetica"/>
          <w:color w:val="222222"/>
          <w:sz w:val="20"/>
          <w:lang w:eastAsia="en-AU"/>
        </w:rPr>
        <w:t>(e)</w:t>
      </w:r>
      <w:r w:rsidR="00885B8D" w:rsidRPr="00F7662C">
        <w:rPr>
          <w:rFonts w:ascii="Arial Narrow" w:eastAsia="Times New Roman" w:hAnsi="Arial Narrow" w:cs="Helvetica"/>
          <w:color w:val="222222"/>
          <w:sz w:val="20"/>
          <w:lang w:eastAsia="en-AU"/>
        </w:rPr>
        <w:t xml:space="preserve"> </w:t>
      </w:r>
      <w:proofErr w:type="gramStart"/>
      <w:r w:rsidRPr="00F7662C">
        <w:rPr>
          <w:rFonts w:ascii="Arial Narrow" w:eastAsia="Times New Roman" w:hAnsi="Arial Narrow" w:cs="Helvetica"/>
          <w:color w:val="222222"/>
          <w:sz w:val="20"/>
          <w:lang w:eastAsia="en-AU"/>
        </w:rPr>
        <w:t>the</w:t>
      </w:r>
      <w:proofErr w:type="gramEnd"/>
      <w:r w:rsidRPr="00F7662C">
        <w:rPr>
          <w:rFonts w:ascii="Arial Narrow" w:eastAsia="Times New Roman" w:hAnsi="Arial Narrow" w:cs="Helvetica"/>
          <w:color w:val="222222"/>
          <w:sz w:val="20"/>
          <w:lang w:eastAsia="en-AU"/>
        </w:rPr>
        <w:t xml:space="preserve"> service is provided to the person individually and in person; and</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sidRPr="00F7662C">
        <w:rPr>
          <w:rFonts w:ascii="Arial Narrow" w:eastAsia="Times New Roman" w:hAnsi="Arial Narrow" w:cs="Helvetica"/>
          <w:color w:val="222222"/>
          <w:sz w:val="20"/>
          <w:lang w:eastAsia="en-AU"/>
        </w:rPr>
        <w:t xml:space="preserve">(f) </w:t>
      </w:r>
      <w:proofErr w:type="gramStart"/>
      <w:r w:rsidRPr="00F7662C">
        <w:rPr>
          <w:rFonts w:ascii="Arial Narrow" w:eastAsia="Times New Roman" w:hAnsi="Arial Narrow" w:cs="Helvetica"/>
          <w:color w:val="222222"/>
          <w:sz w:val="20"/>
          <w:lang w:eastAsia="en-AU"/>
        </w:rPr>
        <w:t>the</w:t>
      </w:r>
      <w:proofErr w:type="gramEnd"/>
      <w:r w:rsidRPr="00F7662C">
        <w:rPr>
          <w:rFonts w:ascii="Arial Narrow" w:eastAsia="Times New Roman" w:hAnsi="Arial Narrow" w:cs="Helvetica"/>
          <w:color w:val="222222"/>
          <w:sz w:val="20"/>
          <w:lang w:eastAsia="en-AU"/>
        </w:rPr>
        <w:t xml:space="preserve"> service is of at least 45 minutes duration; and</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sidRPr="00F7662C">
        <w:rPr>
          <w:rFonts w:ascii="Arial Narrow" w:eastAsia="Times New Roman" w:hAnsi="Arial Narrow" w:cs="Helvetica"/>
          <w:color w:val="222222"/>
          <w:sz w:val="20"/>
          <w:lang w:eastAsia="en-AU"/>
        </w:rPr>
        <w:t>(g)</w:t>
      </w:r>
      <w:r w:rsidR="00885B8D" w:rsidRPr="00F7662C">
        <w:rPr>
          <w:rFonts w:ascii="Arial Narrow" w:eastAsia="Times New Roman" w:hAnsi="Arial Narrow" w:cs="Helvetica"/>
          <w:color w:val="222222"/>
          <w:sz w:val="20"/>
          <w:lang w:eastAsia="en-AU"/>
        </w:rPr>
        <w:t xml:space="preserve"> </w:t>
      </w:r>
      <w:proofErr w:type="gramStart"/>
      <w:r w:rsidRPr="00F7662C">
        <w:rPr>
          <w:rFonts w:ascii="Arial Narrow" w:eastAsia="Times New Roman" w:hAnsi="Arial Narrow" w:cs="Helvetica"/>
          <w:color w:val="222222"/>
          <w:sz w:val="20"/>
          <w:lang w:eastAsia="en-AU"/>
        </w:rPr>
        <w:t>after</w:t>
      </w:r>
      <w:proofErr w:type="gramEnd"/>
      <w:r w:rsidRPr="00F7662C">
        <w:rPr>
          <w:rFonts w:ascii="Arial Narrow" w:eastAsia="Times New Roman" w:hAnsi="Arial Narrow" w:cs="Helvetica"/>
          <w:color w:val="222222"/>
          <w:sz w:val="20"/>
          <w:lang w:eastAsia="en-AU"/>
        </w:rPr>
        <w:t xml:space="preserve"> the service, the eligible diabetes educator gives a written report to the referring medical practitioner mentioned in paragraph (c); and</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sidRPr="00F7662C">
        <w:rPr>
          <w:rFonts w:ascii="Arial Narrow" w:eastAsia="Times New Roman" w:hAnsi="Arial Narrow" w:cs="Helvetica"/>
          <w:color w:val="222222"/>
          <w:sz w:val="20"/>
          <w:lang w:eastAsia="en-AU"/>
        </w:rPr>
        <w:t>(h)</w:t>
      </w:r>
      <w:r w:rsidR="00885B8D" w:rsidRPr="00F7662C">
        <w:rPr>
          <w:rFonts w:ascii="Arial Narrow" w:eastAsia="Times New Roman" w:hAnsi="Arial Narrow" w:cs="Helvetica"/>
          <w:color w:val="222222"/>
          <w:sz w:val="20"/>
          <w:lang w:eastAsia="en-AU"/>
        </w:rPr>
        <w:t xml:space="preserve"> </w:t>
      </w:r>
      <w:proofErr w:type="gramStart"/>
      <w:r w:rsidRPr="00F7662C">
        <w:rPr>
          <w:rFonts w:ascii="Arial Narrow" w:eastAsia="Times New Roman" w:hAnsi="Arial Narrow" w:cs="Helvetica"/>
          <w:color w:val="222222"/>
          <w:sz w:val="20"/>
          <w:lang w:eastAsia="en-AU"/>
        </w:rPr>
        <w:t>in</w:t>
      </w:r>
      <w:proofErr w:type="gramEnd"/>
      <w:r w:rsidRPr="00F7662C">
        <w:rPr>
          <w:rFonts w:ascii="Arial Narrow" w:eastAsia="Times New Roman" w:hAnsi="Arial Narrow" w:cs="Helvetica"/>
          <w:color w:val="222222"/>
          <w:sz w:val="20"/>
          <w:lang w:eastAsia="en-AU"/>
        </w:rPr>
        <w:t xml:space="preserve">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sidRPr="00F7662C">
        <w:rPr>
          <w:rFonts w:ascii="Arial Narrow" w:eastAsia="Times New Roman" w:hAnsi="Arial Narrow" w:cs="Helvetica"/>
          <w:color w:val="222222"/>
          <w:sz w:val="20"/>
          <w:lang w:eastAsia="en-AU"/>
        </w:rPr>
        <w:t>Benefits are payable </w:t>
      </w:r>
      <w:r w:rsidRPr="00F7662C">
        <w:rPr>
          <w:rFonts w:ascii="Arial Narrow" w:eastAsia="Times New Roman" w:hAnsi="Arial Narrow" w:cs="Helvetica"/>
          <w:b/>
          <w:bCs/>
          <w:color w:val="222222"/>
          <w:sz w:val="20"/>
          <w:lang w:eastAsia="en-AU"/>
        </w:rPr>
        <w:t>once </w:t>
      </w:r>
      <w:r w:rsidRPr="00F7662C">
        <w:rPr>
          <w:rFonts w:ascii="Arial Narrow" w:eastAsia="Times New Roman" w:hAnsi="Arial Narrow" w:cs="Helvetica"/>
          <w:color w:val="222222"/>
          <w:sz w:val="20"/>
          <w:lang w:eastAsia="en-AU"/>
        </w:rPr>
        <w:t>only in a calendar year for this or any other Assessment for Group Services item (including services to which items </w:t>
      </w:r>
      <w:r w:rsidRPr="00F7662C">
        <w:rPr>
          <w:rFonts w:ascii="Arial Narrow" w:eastAsia="Times New Roman" w:hAnsi="Arial Narrow" w:cs="Helvetica"/>
          <w:color w:val="000000"/>
          <w:sz w:val="20"/>
          <w:lang w:eastAsia="en-AU"/>
        </w:rPr>
        <w:t>81100</w:t>
      </w:r>
      <w:r w:rsidRPr="00F7662C">
        <w:rPr>
          <w:rFonts w:ascii="Arial Narrow" w:eastAsia="Times New Roman" w:hAnsi="Arial Narrow" w:cs="Helvetica"/>
          <w:color w:val="222222"/>
          <w:sz w:val="20"/>
          <w:lang w:eastAsia="en-AU"/>
        </w:rPr>
        <w:t>, 81110 and 81120 apply).</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eastAsia="Times New Roman" w:hAnsi="Arial Narrow" w:cs="Helvetica"/>
          <w:color w:val="222222"/>
          <w:sz w:val="20"/>
          <w:lang w:eastAsia="en-AU"/>
        </w:rPr>
      </w:pPr>
      <w:r w:rsidRPr="00F7662C">
        <w:rPr>
          <w:rFonts w:ascii="Arial Narrow" w:eastAsia="Times New Roman" w:hAnsi="Arial Narrow" w:cs="Helvetica"/>
          <w:bCs/>
          <w:color w:val="222222"/>
          <w:sz w:val="20"/>
          <w:lang w:eastAsia="en-AU"/>
        </w:rPr>
        <w:t>Fee:</w:t>
      </w:r>
      <w:r w:rsidRPr="00F7662C">
        <w:rPr>
          <w:rFonts w:ascii="Arial Narrow" w:eastAsia="Times New Roman" w:hAnsi="Arial Narrow" w:cs="Helvetica"/>
          <w:color w:val="222222"/>
          <w:sz w:val="20"/>
          <w:lang w:eastAsia="en-AU"/>
        </w:rPr>
        <w:t> $79.85 </w:t>
      </w:r>
      <w:r w:rsidRPr="00F7662C">
        <w:rPr>
          <w:rFonts w:ascii="Arial Narrow" w:eastAsia="Times New Roman" w:hAnsi="Arial Narrow" w:cs="Helvetica"/>
          <w:bCs/>
          <w:color w:val="222222"/>
          <w:sz w:val="20"/>
          <w:lang w:eastAsia="en-AU"/>
        </w:rPr>
        <w:t>Benefit:</w:t>
      </w:r>
      <w:r w:rsidRPr="00F7662C">
        <w:rPr>
          <w:rFonts w:ascii="Arial Narrow" w:eastAsia="Times New Roman" w:hAnsi="Arial Narrow" w:cs="Helvetica"/>
          <w:color w:val="222222"/>
          <w:sz w:val="20"/>
          <w:lang w:eastAsia="en-AU"/>
        </w:rPr>
        <w:t> 85% = $67.90</w:t>
      </w:r>
    </w:p>
    <w:p w:rsidR="002E01E3" w:rsidRPr="00F7662C" w:rsidRDefault="002E01E3" w:rsidP="002E01E3">
      <w:pPr>
        <w:pBdr>
          <w:top w:val="single" w:sz="4" w:space="1" w:color="auto"/>
          <w:left w:val="single" w:sz="4" w:space="1" w:color="auto"/>
          <w:right w:val="single" w:sz="4" w:space="4" w:color="auto"/>
        </w:pBdr>
        <w:spacing w:after="0"/>
        <w:jc w:val="right"/>
        <w:rPr>
          <w:rFonts w:ascii="Arial Narrow" w:hAnsi="Arial Narrow"/>
          <w:b/>
          <w:sz w:val="20"/>
        </w:rPr>
      </w:pPr>
      <w:r w:rsidRPr="00F7662C">
        <w:rPr>
          <w:rFonts w:ascii="Arial Narrow" w:hAnsi="Arial Narrow"/>
          <w:b/>
          <w:sz w:val="20"/>
        </w:rPr>
        <w:t>Category 8 – Miscellaneous services</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sidRPr="00F7662C">
        <w:rPr>
          <w:rFonts w:ascii="Arial Narrow" w:hAnsi="Arial Narrow"/>
          <w:sz w:val="20"/>
          <w:lang w:eastAsia="en-AU"/>
        </w:rPr>
        <w:t>MBS 81105</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sidRPr="00F7662C">
        <w:rPr>
          <w:rFonts w:ascii="Arial Narrow" w:hAnsi="Arial Narrow"/>
          <w:sz w:val="20"/>
          <w:lang w:eastAsia="en-AU"/>
        </w:rPr>
        <w:t>DIABETES EDUCATION SERVICE - GROUP SERVICE</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sidRPr="00F7662C">
        <w:rPr>
          <w:rFonts w:ascii="Arial Narrow" w:hAnsi="Arial Narrow"/>
          <w:sz w:val="20"/>
          <w:lang w:eastAsia="en-AU"/>
        </w:rPr>
        <w:t xml:space="preserve">Diabetes education health service provided to a person by an eligible diabetes educator, as a GROUP SERVICE for the management of type </w:t>
      </w:r>
      <w:proofErr w:type="gramStart"/>
      <w:r w:rsidRPr="00F7662C">
        <w:rPr>
          <w:rFonts w:ascii="Arial Narrow" w:hAnsi="Arial Narrow"/>
          <w:sz w:val="20"/>
          <w:lang w:eastAsia="en-AU"/>
        </w:rPr>
        <w:t>2 diabetes</w:t>
      </w:r>
      <w:proofErr w:type="gramEnd"/>
      <w:r w:rsidRPr="00F7662C">
        <w:rPr>
          <w:rFonts w:ascii="Arial Narrow" w:hAnsi="Arial Narrow"/>
          <w:sz w:val="20"/>
          <w:lang w:eastAsia="en-AU"/>
        </w:rPr>
        <w:t xml:space="preserve"> if:</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sidRPr="00F7662C">
        <w:rPr>
          <w:rFonts w:ascii="Arial Narrow" w:hAnsi="Arial Narrow"/>
          <w:sz w:val="20"/>
          <w:lang w:eastAsia="en-AU"/>
        </w:rPr>
        <w:t>(a)</w:t>
      </w:r>
      <w:r w:rsidR="00885B8D" w:rsidRPr="00F7662C">
        <w:rPr>
          <w:rFonts w:ascii="Arial Narrow" w:hAnsi="Arial Narrow"/>
          <w:sz w:val="20"/>
          <w:lang w:eastAsia="en-AU"/>
        </w:rPr>
        <w:t xml:space="preserve"> </w:t>
      </w:r>
      <w:proofErr w:type="gramStart"/>
      <w:r w:rsidRPr="00F7662C">
        <w:rPr>
          <w:rFonts w:ascii="Arial Narrow" w:hAnsi="Arial Narrow"/>
          <w:sz w:val="20"/>
          <w:lang w:eastAsia="en-AU"/>
        </w:rPr>
        <w:t>the</w:t>
      </w:r>
      <w:proofErr w:type="gramEnd"/>
      <w:r w:rsidRPr="00F7662C">
        <w:rPr>
          <w:rFonts w:ascii="Arial Narrow" w:hAnsi="Arial Narrow"/>
          <w:sz w:val="20"/>
          <w:lang w:eastAsia="en-AU"/>
        </w:rPr>
        <w:t xml:space="preserve"> person has been assessed as suitable for a type 2 diabetes group service under assessment item 81100, 81110 or 81120; and</w:t>
      </w:r>
    </w:p>
    <w:p w:rsidR="002E01E3" w:rsidRPr="00F7662C" w:rsidRDefault="00A2751B"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Pr>
          <w:rFonts w:ascii="Arial Narrow" w:hAnsi="Arial Narrow"/>
          <w:sz w:val="20"/>
          <w:lang w:eastAsia="en-AU"/>
        </w:rPr>
        <w:t>(b)</w:t>
      </w:r>
      <w:r w:rsidR="002E01E3" w:rsidRPr="00F7662C">
        <w:rPr>
          <w:rFonts w:ascii="Arial Narrow" w:hAnsi="Arial Narrow"/>
          <w:sz w:val="20"/>
          <w:lang w:eastAsia="en-AU"/>
        </w:rPr>
        <w:t xml:space="preserve"> </w:t>
      </w:r>
      <w:proofErr w:type="gramStart"/>
      <w:r w:rsidR="002E01E3" w:rsidRPr="00F7662C">
        <w:rPr>
          <w:rFonts w:ascii="Arial Narrow" w:hAnsi="Arial Narrow"/>
          <w:sz w:val="20"/>
          <w:lang w:eastAsia="en-AU"/>
        </w:rPr>
        <w:t>the</w:t>
      </w:r>
      <w:proofErr w:type="gramEnd"/>
      <w:r w:rsidR="002E01E3" w:rsidRPr="00F7662C">
        <w:rPr>
          <w:rFonts w:ascii="Arial Narrow" w:hAnsi="Arial Narrow"/>
          <w:sz w:val="20"/>
          <w:lang w:eastAsia="en-AU"/>
        </w:rPr>
        <w:t xml:space="preserve"> service is provided to a person who is part of a group of between 2 and 12 patients inclusive; and</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sidRPr="00F7662C">
        <w:rPr>
          <w:rFonts w:ascii="Arial Narrow" w:hAnsi="Arial Narrow"/>
          <w:sz w:val="20"/>
          <w:lang w:eastAsia="en-AU"/>
        </w:rPr>
        <w:t>(c)</w:t>
      </w:r>
      <w:r w:rsidR="00885B8D" w:rsidRPr="00F7662C">
        <w:rPr>
          <w:rFonts w:ascii="Arial Narrow" w:hAnsi="Arial Narrow"/>
          <w:sz w:val="20"/>
          <w:lang w:eastAsia="en-AU"/>
        </w:rPr>
        <w:t xml:space="preserve"> </w:t>
      </w:r>
      <w:proofErr w:type="gramStart"/>
      <w:r w:rsidRPr="00F7662C">
        <w:rPr>
          <w:rFonts w:ascii="Arial Narrow" w:hAnsi="Arial Narrow"/>
          <w:sz w:val="20"/>
          <w:lang w:eastAsia="en-AU"/>
        </w:rPr>
        <w:t>the</w:t>
      </w:r>
      <w:proofErr w:type="gramEnd"/>
      <w:r w:rsidRPr="00F7662C">
        <w:rPr>
          <w:rFonts w:ascii="Arial Narrow" w:hAnsi="Arial Narrow"/>
          <w:sz w:val="20"/>
          <w:lang w:eastAsia="en-AU"/>
        </w:rPr>
        <w:t xml:space="preserve"> person is not an admitted patient of a hospital; and</w:t>
      </w:r>
    </w:p>
    <w:p w:rsidR="002E01E3" w:rsidRPr="00F7662C" w:rsidRDefault="00A2751B"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Pr>
          <w:rFonts w:ascii="Arial Narrow" w:hAnsi="Arial Narrow"/>
          <w:sz w:val="20"/>
          <w:lang w:eastAsia="en-AU"/>
        </w:rPr>
        <w:t>(d)</w:t>
      </w:r>
      <w:r w:rsidR="002E01E3" w:rsidRPr="00F7662C">
        <w:rPr>
          <w:rFonts w:ascii="Arial Narrow" w:hAnsi="Arial Narrow"/>
          <w:sz w:val="20"/>
          <w:lang w:eastAsia="en-AU"/>
        </w:rPr>
        <w:t xml:space="preserve"> </w:t>
      </w:r>
      <w:proofErr w:type="gramStart"/>
      <w:r w:rsidR="002E01E3" w:rsidRPr="00F7662C">
        <w:rPr>
          <w:rFonts w:ascii="Arial Narrow" w:hAnsi="Arial Narrow"/>
          <w:sz w:val="20"/>
          <w:lang w:eastAsia="en-AU"/>
        </w:rPr>
        <w:t>the</w:t>
      </w:r>
      <w:proofErr w:type="gramEnd"/>
      <w:r w:rsidR="002E01E3" w:rsidRPr="00F7662C">
        <w:rPr>
          <w:rFonts w:ascii="Arial Narrow" w:hAnsi="Arial Narrow"/>
          <w:sz w:val="20"/>
          <w:lang w:eastAsia="en-AU"/>
        </w:rPr>
        <w:t xml:space="preserve"> service is provided to a person involving the personal attendance by an eligible diabetes educator; and</w:t>
      </w:r>
    </w:p>
    <w:p w:rsidR="002E01E3" w:rsidRPr="00F7662C" w:rsidRDefault="00A2751B"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Pr>
          <w:rFonts w:ascii="Arial Narrow" w:hAnsi="Arial Narrow"/>
          <w:sz w:val="20"/>
          <w:lang w:eastAsia="en-AU"/>
        </w:rPr>
        <w:lastRenderedPageBreak/>
        <w:t>(e)</w:t>
      </w:r>
      <w:r w:rsidR="002E01E3" w:rsidRPr="00F7662C">
        <w:rPr>
          <w:rFonts w:ascii="Arial Narrow" w:hAnsi="Arial Narrow"/>
          <w:sz w:val="20"/>
          <w:lang w:eastAsia="en-AU"/>
        </w:rPr>
        <w:t xml:space="preserve"> </w:t>
      </w:r>
      <w:proofErr w:type="gramStart"/>
      <w:r w:rsidR="002E01E3" w:rsidRPr="00F7662C">
        <w:rPr>
          <w:rFonts w:ascii="Arial Narrow" w:hAnsi="Arial Narrow"/>
          <w:sz w:val="20"/>
          <w:lang w:eastAsia="en-AU"/>
        </w:rPr>
        <w:t>the</w:t>
      </w:r>
      <w:proofErr w:type="gramEnd"/>
      <w:r w:rsidR="002E01E3" w:rsidRPr="00F7662C">
        <w:rPr>
          <w:rFonts w:ascii="Arial Narrow" w:hAnsi="Arial Narrow"/>
          <w:sz w:val="20"/>
          <w:lang w:eastAsia="en-AU"/>
        </w:rPr>
        <w:t xml:space="preserve"> service is of at least 60 minutes duration; and</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sidRPr="00F7662C">
        <w:rPr>
          <w:rFonts w:ascii="Arial Narrow" w:hAnsi="Arial Narrow"/>
          <w:sz w:val="20"/>
          <w:lang w:eastAsia="en-AU"/>
        </w:rPr>
        <w:t>(f)</w:t>
      </w:r>
      <w:r w:rsidR="00885B8D" w:rsidRPr="00F7662C">
        <w:rPr>
          <w:rFonts w:ascii="Arial Narrow" w:hAnsi="Arial Narrow"/>
          <w:sz w:val="20"/>
          <w:lang w:eastAsia="en-AU"/>
        </w:rPr>
        <w:t xml:space="preserve"> </w:t>
      </w:r>
      <w:r w:rsidRPr="00F7662C">
        <w:rPr>
          <w:rFonts w:ascii="Arial Narrow" w:hAnsi="Arial Narrow"/>
          <w:sz w:val="20"/>
          <w:lang w:eastAsia="en-AU"/>
        </w:rPr>
        <w:t>after the last service in the group services program provided to the person under items 81105, 81115 or 81125, the eligible diabetes educator prepares, or contribute to, a written report to be provided to the referring medical practitioner; and</w:t>
      </w:r>
    </w:p>
    <w:p w:rsidR="002E01E3" w:rsidRPr="00F7662C" w:rsidRDefault="00A2751B"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Pr>
          <w:rFonts w:ascii="Arial Narrow" w:hAnsi="Arial Narrow"/>
          <w:sz w:val="20"/>
          <w:lang w:eastAsia="en-AU"/>
        </w:rPr>
        <w:t>(g)</w:t>
      </w:r>
      <w:r w:rsidR="002E01E3" w:rsidRPr="00F7662C">
        <w:rPr>
          <w:rFonts w:ascii="Arial Narrow" w:hAnsi="Arial Narrow"/>
          <w:sz w:val="20"/>
          <w:lang w:eastAsia="en-AU"/>
        </w:rPr>
        <w:t xml:space="preserve"> </w:t>
      </w:r>
      <w:proofErr w:type="gramStart"/>
      <w:r w:rsidR="002E01E3" w:rsidRPr="00F7662C">
        <w:rPr>
          <w:rFonts w:ascii="Arial Narrow" w:hAnsi="Arial Narrow"/>
          <w:sz w:val="20"/>
          <w:lang w:eastAsia="en-AU"/>
        </w:rPr>
        <w:t>an</w:t>
      </w:r>
      <w:proofErr w:type="gramEnd"/>
      <w:r w:rsidR="002E01E3" w:rsidRPr="00F7662C">
        <w:rPr>
          <w:rFonts w:ascii="Arial Narrow" w:hAnsi="Arial Narrow"/>
          <w:sz w:val="20"/>
          <w:lang w:eastAsia="en-AU"/>
        </w:rPr>
        <w:t xml:space="preserve"> attendance record for the group is maintained by the eligible diabetes educator; and</w:t>
      </w:r>
    </w:p>
    <w:p w:rsidR="002E01E3" w:rsidRPr="00F7662C" w:rsidRDefault="00A2751B"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Pr>
          <w:rFonts w:ascii="Arial Narrow" w:hAnsi="Arial Narrow"/>
          <w:sz w:val="20"/>
          <w:lang w:eastAsia="en-AU"/>
        </w:rPr>
        <w:t>(h).</w:t>
      </w:r>
      <w:r w:rsidR="002E01E3" w:rsidRPr="00F7662C">
        <w:rPr>
          <w:rFonts w:ascii="Arial Narrow" w:hAnsi="Arial Narrow"/>
          <w:sz w:val="20"/>
          <w:lang w:eastAsia="en-AU"/>
        </w:rPr>
        <w:t>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rsidR="002E01E3" w:rsidRPr="00F7662C" w:rsidRDefault="00A2751B"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Pr>
          <w:rFonts w:ascii="Arial Narrow" w:hAnsi="Arial Narrow"/>
          <w:sz w:val="20"/>
          <w:lang w:eastAsia="en-AU"/>
        </w:rPr>
        <w:t xml:space="preserve">- </w:t>
      </w:r>
      <w:proofErr w:type="gramStart"/>
      <w:r>
        <w:rPr>
          <w:rFonts w:ascii="Arial Narrow" w:hAnsi="Arial Narrow"/>
          <w:sz w:val="20"/>
          <w:lang w:eastAsia="en-AU"/>
        </w:rPr>
        <w:t>to</w:t>
      </w:r>
      <w:proofErr w:type="gramEnd"/>
      <w:r>
        <w:rPr>
          <w:rFonts w:ascii="Arial Narrow" w:hAnsi="Arial Narrow"/>
          <w:sz w:val="20"/>
          <w:lang w:eastAsia="en-AU"/>
        </w:rPr>
        <w:t xml:space="preserve"> a maximum of eight </w:t>
      </w:r>
      <w:r w:rsidR="002E01E3" w:rsidRPr="00F7662C">
        <w:rPr>
          <w:rFonts w:ascii="Arial Narrow" w:hAnsi="Arial Narrow"/>
          <w:sz w:val="20"/>
          <w:lang w:eastAsia="en-AU"/>
        </w:rPr>
        <w:t>GROUP SERVICES (including services to which items 81105, 81115 and 81125 apply) in a calendar year.</w:t>
      </w:r>
    </w:p>
    <w:p w:rsidR="002E01E3" w:rsidRPr="00F7662C" w:rsidRDefault="002E01E3" w:rsidP="002E01E3">
      <w:pPr>
        <w:pBdr>
          <w:top w:val="single" w:sz="4" w:space="1" w:color="auto"/>
          <w:left w:val="single" w:sz="4" w:space="1" w:color="auto"/>
          <w:bottom w:val="single" w:sz="4" w:space="1" w:color="auto"/>
          <w:right w:val="single" w:sz="4" w:space="4" w:color="auto"/>
        </w:pBdr>
        <w:rPr>
          <w:rFonts w:ascii="Arial Narrow" w:hAnsi="Arial Narrow"/>
          <w:sz w:val="20"/>
          <w:lang w:eastAsia="en-AU"/>
        </w:rPr>
      </w:pPr>
      <w:r w:rsidRPr="00F7662C">
        <w:rPr>
          <w:rFonts w:ascii="Arial Narrow" w:hAnsi="Arial Narrow"/>
          <w:sz w:val="20"/>
          <w:lang w:eastAsia="en-AU"/>
        </w:rPr>
        <w:t>Fee: $19.90 Benefit: 85% = $16.95</w:t>
      </w:r>
    </w:p>
    <w:p w:rsidR="002E01E3" w:rsidRPr="00005D10" w:rsidRDefault="002E01E3" w:rsidP="002E01E3">
      <w:pPr>
        <w:rPr>
          <w:szCs w:val="22"/>
        </w:rPr>
      </w:pPr>
      <w:r>
        <w:rPr>
          <w:szCs w:val="22"/>
        </w:rPr>
        <w:t>Listed in November 2012, the total number of services provided for eligible Australians through group allied health items 81100 to 81125, was 118,268 (Nov 2012 to Sept 2014) with MBS funding of $3.2 million. The majority were for services by exercise physiologists (81,564 services) followed by dietetics (7,984 services) (</w:t>
      </w:r>
      <w:hyperlink r:id="rId10" w:tooltip="Medicare Item Reports" w:history="1">
        <w:r w:rsidRPr="00A5727E">
          <w:rPr>
            <w:rStyle w:val="Hyperlink"/>
            <w:rFonts w:cs="Tahoma"/>
            <w:szCs w:val="22"/>
          </w:rPr>
          <w:t>https://www.medicareaustralia.gov.au/statistics/mbs_item.shtml</w:t>
        </w:r>
      </w:hyperlink>
      <w:r>
        <w:rPr>
          <w:szCs w:val="22"/>
        </w:rPr>
        <w:t>).</w:t>
      </w:r>
    </w:p>
    <w:p w:rsidR="002E01E3" w:rsidRDefault="002E01E3" w:rsidP="002E01E3">
      <w:pPr>
        <w:pStyle w:val="Heading2"/>
      </w:pPr>
      <w:bookmarkStart w:id="42" w:name="_Toc410649144"/>
      <w:bookmarkStart w:id="43" w:name="_Toc420499070"/>
      <w:r>
        <w:t>Interventions vs the comparators</w:t>
      </w:r>
      <w:bookmarkEnd w:id="42"/>
      <w:bookmarkEnd w:id="43"/>
      <w:r>
        <w:t xml:space="preserve"> </w:t>
      </w:r>
    </w:p>
    <w:p w:rsidR="002E01E3" w:rsidRDefault="002E01E3" w:rsidP="002E01E3">
      <w:pPr>
        <w:rPr>
          <w:szCs w:val="22"/>
          <w:lang w:val="en-GB" w:eastAsia="ja-JP"/>
        </w:rPr>
      </w:pPr>
      <w:r w:rsidRPr="00AB0FCC">
        <w:rPr>
          <w:szCs w:val="22"/>
          <w:lang w:val="en-GB" w:eastAsia="ja-JP"/>
        </w:rPr>
        <w:t>The following table compare</w:t>
      </w:r>
      <w:r>
        <w:rPr>
          <w:szCs w:val="22"/>
          <w:lang w:val="en-GB" w:eastAsia="ja-JP"/>
        </w:rPr>
        <w:t>s</w:t>
      </w:r>
      <w:r w:rsidRPr="00AB0FCC">
        <w:rPr>
          <w:szCs w:val="22"/>
          <w:lang w:val="en-GB" w:eastAsia="ja-JP"/>
        </w:rPr>
        <w:t xml:space="preserve"> </w:t>
      </w:r>
      <w:r>
        <w:rPr>
          <w:szCs w:val="22"/>
          <w:lang w:val="en-GB" w:eastAsia="ja-JP"/>
        </w:rPr>
        <w:t>shared medical appointments</w:t>
      </w:r>
      <w:r w:rsidRPr="00AB0FCC">
        <w:rPr>
          <w:szCs w:val="22"/>
          <w:lang w:val="en-GB" w:eastAsia="ja-JP"/>
        </w:rPr>
        <w:t xml:space="preserve"> with </w:t>
      </w:r>
      <w:r>
        <w:rPr>
          <w:szCs w:val="22"/>
          <w:lang w:val="en-GB" w:eastAsia="ja-JP"/>
        </w:rPr>
        <w:t>the comparator services</w:t>
      </w:r>
      <w:r w:rsidRPr="00AB0FCC">
        <w:rPr>
          <w:szCs w:val="22"/>
          <w:lang w:val="en-GB" w:eastAsia="ja-JP"/>
        </w:rPr>
        <w:t xml:space="preserve"> currently billable under the MBS.</w:t>
      </w:r>
    </w:p>
    <w:p w:rsidR="002E01E3" w:rsidRPr="007360B8" w:rsidRDefault="002E01E3" w:rsidP="002E01E3">
      <w:pPr>
        <w:pStyle w:val="Caption"/>
      </w:pPr>
      <w:r>
        <w:lastRenderedPageBreak/>
        <w:t>Table 5: Shared medical appointments versus comparators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00"/>
        <w:gridCol w:w="978"/>
        <w:gridCol w:w="978"/>
        <w:gridCol w:w="1167"/>
        <w:gridCol w:w="1166"/>
        <w:gridCol w:w="1166"/>
      </w:tblGrid>
      <w:tr w:rsidR="002E01E3" w:rsidRPr="00113FCC">
        <w:trPr>
          <w:trHeight w:val="575"/>
          <w:tblHeader/>
        </w:trPr>
        <w:tc>
          <w:tcPr>
            <w:tcW w:w="1687" w:type="dxa"/>
            <w:shd w:val="clear" w:color="auto" w:fill="auto"/>
          </w:tcPr>
          <w:p w:rsidR="002E01E3" w:rsidRPr="00113FCC" w:rsidRDefault="002E01E3" w:rsidP="002E01E3">
            <w:pPr>
              <w:pStyle w:val="TableText0"/>
              <w:rPr>
                <w:b/>
                <w:sz w:val="20"/>
              </w:rPr>
            </w:pPr>
            <w:r w:rsidRPr="00113FCC">
              <w:rPr>
                <w:b/>
                <w:sz w:val="20"/>
              </w:rPr>
              <w:t>Intervention</w:t>
            </w:r>
          </w:p>
        </w:tc>
        <w:tc>
          <w:tcPr>
            <w:tcW w:w="2100" w:type="dxa"/>
            <w:shd w:val="clear" w:color="auto" w:fill="auto"/>
          </w:tcPr>
          <w:p w:rsidR="002E01E3" w:rsidRPr="00113FCC" w:rsidRDefault="002E01E3" w:rsidP="002E01E3">
            <w:pPr>
              <w:pStyle w:val="TableText0"/>
              <w:rPr>
                <w:b/>
                <w:sz w:val="20"/>
              </w:rPr>
            </w:pPr>
            <w:r w:rsidRPr="00113FCC">
              <w:rPr>
                <w:b/>
                <w:sz w:val="20"/>
              </w:rPr>
              <w:t>Shared medical appointments</w:t>
            </w:r>
          </w:p>
        </w:tc>
        <w:tc>
          <w:tcPr>
            <w:tcW w:w="978" w:type="dxa"/>
            <w:tcBorders>
              <w:right w:val="nil"/>
            </w:tcBorders>
            <w:shd w:val="clear" w:color="auto" w:fill="auto"/>
          </w:tcPr>
          <w:p w:rsidR="002E01E3" w:rsidRPr="00113FCC" w:rsidRDefault="002E01E3" w:rsidP="002E01E3">
            <w:pPr>
              <w:pStyle w:val="TableText0"/>
              <w:rPr>
                <w:b/>
                <w:sz w:val="20"/>
                <w:lang w:val="en-US"/>
              </w:rPr>
            </w:pPr>
            <w:r>
              <w:rPr>
                <w:b/>
                <w:sz w:val="20"/>
                <w:lang w:val="en-US"/>
              </w:rPr>
              <w:t>GP care</w:t>
            </w:r>
          </w:p>
        </w:tc>
        <w:tc>
          <w:tcPr>
            <w:tcW w:w="978" w:type="dxa"/>
            <w:tcBorders>
              <w:left w:val="nil"/>
              <w:right w:val="nil"/>
            </w:tcBorders>
            <w:shd w:val="clear" w:color="auto" w:fill="auto"/>
          </w:tcPr>
          <w:p w:rsidR="002E01E3" w:rsidRPr="00113FCC" w:rsidRDefault="002E01E3" w:rsidP="002E01E3">
            <w:pPr>
              <w:pStyle w:val="TableText0"/>
              <w:rPr>
                <w:b/>
                <w:sz w:val="20"/>
                <w:lang w:val="en-US"/>
              </w:rPr>
            </w:pPr>
          </w:p>
        </w:tc>
        <w:tc>
          <w:tcPr>
            <w:tcW w:w="1167" w:type="dxa"/>
            <w:tcBorders>
              <w:left w:val="nil"/>
            </w:tcBorders>
            <w:shd w:val="clear" w:color="auto" w:fill="auto"/>
          </w:tcPr>
          <w:p w:rsidR="002E01E3" w:rsidRPr="00113FCC" w:rsidRDefault="002E01E3" w:rsidP="002E01E3">
            <w:pPr>
              <w:pStyle w:val="TableText0"/>
              <w:rPr>
                <w:rFonts w:cs="Tahoma"/>
                <w:b/>
                <w:sz w:val="20"/>
              </w:rPr>
            </w:pPr>
          </w:p>
        </w:tc>
        <w:tc>
          <w:tcPr>
            <w:tcW w:w="1166" w:type="dxa"/>
            <w:tcBorders>
              <w:right w:val="nil"/>
            </w:tcBorders>
          </w:tcPr>
          <w:p w:rsidR="002E01E3" w:rsidRDefault="002E01E3" w:rsidP="002E01E3">
            <w:pPr>
              <w:pStyle w:val="TableText0"/>
              <w:rPr>
                <w:rFonts w:cs="Tahoma"/>
                <w:b/>
                <w:sz w:val="20"/>
              </w:rPr>
            </w:pPr>
            <w:r>
              <w:rPr>
                <w:rFonts w:cs="Tahoma"/>
                <w:b/>
                <w:sz w:val="20"/>
              </w:rPr>
              <w:t>Group allied health</w:t>
            </w:r>
          </w:p>
        </w:tc>
        <w:tc>
          <w:tcPr>
            <w:tcW w:w="1166" w:type="dxa"/>
            <w:tcBorders>
              <w:left w:val="nil"/>
            </w:tcBorders>
          </w:tcPr>
          <w:p w:rsidR="002E01E3" w:rsidRDefault="002E01E3" w:rsidP="002E01E3">
            <w:pPr>
              <w:pStyle w:val="TableText0"/>
              <w:rPr>
                <w:rFonts w:cs="Tahoma"/>
                <w:b/>
                <w:sz w:val="20"/>
              </w:rPr>
            </w:pPr>
          </w:p>
        </w:tc>
      </w:tr>
      <w:tr w:rsidR="002E01E3" w:rsidRPr="00113FCC">
        <w:trPr>
          <w:trHeight w:val="575"/>
          <w:tblHeader/>
        </w:trPr>
        <w:tc>
          <w:tcPr>
            <w:tcW w:w="1687" w:type="dxa"/>
            <w:shd w:val="clear" w:color="auto" w:fill="auto"/>
          </w:tcPr>
          <w:p w:rsidR="002E01E3" w:rsidRPr="00113FCC" w:rsidRDefault="002E01E3" w:rsidP="002E01E3">
            <w:pPr>
              <w:pStyle w:val="TableText0"/>
              <w:rPr>
                <w:b/>
                <w:sz w:val="20"/>
              </w:rPr>
            </w:pPr>
          </w:p>
        </w:tc>
        <w:tc>
          <w:tcPr>
            <w:tcW w:w="2100" w:type="dxa"/>
            <w:shd w:val="clear" w:color="auto" w:fill="auto"/>
          </w:tcPr>
          <w:p w:rsidR="002E01E3" w:rsidRPr="00113FCC" w:rsidRDefault="002E01E3" w:rsidP="002E01E3">
            <w:pPr>
              <w:pStyle w:val="TableText0"/>
              <w:rPr>
                <w:b/>
                <w:sz w:val="20"/>
              </w:rPr>
            </w:pPr>
          </w:p>
        </w:tc>
        <w:tc>
          <w:tcPr>
            <w:tcW w:w="978" w:type="dxa"/>
            <w:shd w:val="clear" w:color="auto" w:fill="auto"/>
          </w:tcPr>
          <w:p w:rsidR="002E01E3" w:rsidRPr="00113FCC" w:rsidRDefault="002E01E3" w:rsidP="002E01E3">
            <w:pPr>
              <w:pStyle w:val="TableText0"/>
              <w:rPr>
                <w:b/>
                <w:sz w:val="20"/>
                <w:lang w:val="en-US"/>
              </w:rPr>
            </w:pPr>
            <w:r w:rsidRPr="00113FCC">
              <w:rPr>
                <w:b/>
                <w:sz w:val="20"/>
                <w:lang w:val="en-US"/>
              </w:rPr>
              <w:t>MBS 23</w:t>
            </w:r>
          </w:p>
          <w:p w:rsidR="002E01E3" w:rsidRPr="00113FCC" w:rsidRDefault="002E01E3" w:rsidP="002E01E3">
            <w:pPr>
              <w:pStyle w:val="TableText0"/>
              <w:rPr>
                <w:b/>
                <w:sz w:val="20"/>
              </w:rPr>
            </w:pPr>
          </w:p>
        </w:tc>
        <w:tc>
          <w:tcPr>
            <w:tcW w:w="978" w:type="dxa"/>
            <w:shd w:val="clear" w:color="auto" w:fill="auto"/>
          </w:tcPr>
          <w:p w:rsidR="002E01E3" w:rsidRPr="00113FCC" w:rsidRDefault="002E01E3" w:rsidP="002E01E3">
            <w:pPr>
              <w:pStyle w:val="TableText0"/>
              <w:rPr>
                <w:b/>
                <w:sz w:val="20"/>
                <w:lang w:val="en-US"/>
              </w:rPr>
            </w:pPr>
            <w:r w:rsidRPr="00113FCC">
              <w:rPr>
                <w:b/>
                <w:sz w:val="20"/>
                <w:lang w:val="en-US"/>
              </w:rPr>
              <w:t>MBS 36</w:t>
            </w:r>
          </w:p>
          <w:p w:rsidR="002E01E3" w:rsidRPr="00113FCC" w:rsidRDefault="002E01E3" w:rsidP="002E01E3">
            <w:pPr>
              <w:pStyle w:val="TableText0"/>
              <w:rPr>
                <w:b/>
                <w:sz w:val="20"/>
              </w:rPr>
            </w:pPr>
          </w:p>
        </w:tc>
        <w:tc>
          <w:tcPr>
            <w:tcW w:w="1167" w:type="dxa"/>
            <w:shd w:val="clear" w:color="auto" w:fill="auto"/>
          </w:tcPr>
          <w:p w:rsidR="002E01E3" w:rsidRPr="00113FCC" w:rsidRDefault="002E01E3" w:rsidP="002E01E3">
            <w:pPr>
              <w:pStyle w:val="TableText0"/>
              <w:rPr>
                <w:rFonts w:cs="Tahoma"/>
                <w:b/>
                <w:sz w:val="20"/>
              </w:rPr>
            </w:pPr>
            <w:r w:rsidRPr="00113FCC">
              <w:rPr>
                <w:rFonts w:cs="Tahoma"/>
                <w:b/>
                <w:sz w:val="20"/>
              </w:rPr>
              <w:t>MBS 10997</w:t>
            </w:r>
          </w:p>
          <w:p w:rsidR="002E01E3" w:rsidRPr="00113FCC" w:rsidRDefault="002E01E3" w:rsidP="002E01E3">
            <w:pPr>
              <w:pStyle w:val="TableText0"/>
              <w:rPr>
                <w:b/>
                <w:sz w:val="20"/>
              </w:rPr>
            </w:pPr>
          </w:p>
        </w:tc>
        <w:tc>
          <w:tcPr>
            <w:tcW w:w="1166" w:type="dxa"/>
          </w:tcPr>
          <w:p w:rsidR="002E01E3" w:rsidRPr="00113FCC" w:rsidRDefault="002E01E3" w:rsidP="002E01E3">
            <w:pPr>
              <w:pStyle w:val="TableText0"/>
              <w:rPr>
                <w:rFonts w:cs="Tahoma"/>
                <w:b/>
                <w:sz w:val="20"/>
              </w:rPr>
            </w:pPr>
            <w:r>
              <w:rPr>
                <w:rFonts w:cs="Tahoma"/>
                <w:b/>
                <w:sz w:val="20"/>
              </w:rPr>
              <w:t>MBS 81100 or 81110 or 81120</w:t>
            </w:r>
          </w:p>
        </w:tc>
        <w:tc>
          <w:tcPr>
            <w:tcW w:w="1166" w:type="dxa"/>
          </w:tcPr>
          <w:p w:rsidR="002E01E3" w:rsidRDefault="002E01E3" w:rsidP="002E01E3">
            <w:pPr>
              <w:pStyle w:val="TableText0"/>
              <w:rPr>
                <w:rFonts w:cs="Tahoma"/>
                <w:b/>
                <w:sz w:val="20"/>
              </w:rPr>
            </w:pPr>
            <w:r>
              <w:rPr>
                <w:rFonts w:cs="Tahoma"/>
                <w:b/>
                <w:sz w:val="20"/>
              </w:rPr>
              <w:t>MBS 81105 or 81115 or 81125</w:t>
            </w:r>
          </w:p>
        </w:tc>
      </w:tr>
      <w:tr w:rsidR="002E01E3" w:rsidRPr="00113FCC">
        <w:trPr>
          <w:tblHeader/>
        </w:trPr>
        <w:tc>
          <w:tcPr>
            <w:tcW w:w="1687" w:type="dxa"/>
            <w:shd w:val="clear" w:color="auto" w:fill="auto"/>
          </w:tcPr>
          <w:p w:rsidR="002E01E3" w:rsidRPr="00113FCC" w:rsidRDefault="002E01E3" w:rsidP="002E01E3">
            <w:pPr>
              <w:pStyle w:val="TableText0"/>
              <w:rPr>
                <w:sz w:val="20"/>
              </w:rPr>
            </w:pPr>
            <w:r w:rsidRPr="00113FCC">
              <w:rPr>
                <w:sz w:val="20"/>
              </w:rPr>
              <w:t>Fee (per patient)</w:t>
            </w:r>
          </w:p>
        </w:tc>
        <w:tc>
          <w:tcPr>
            <w:tcW w:w="2100" w:type="dxa"/>
            <w:shd w:val="clear" w:color="auto" w:fill="auto"/>
          </w:tcPr>
          <w:p w:rsidR="002E01E3" w:rsidRPr="00113FCC" w:rsidRDefault="002E01E3" w:rsidP="002E01E3">
            <w:pPr>
              <w:pStyle w:val="TableText0"/>
              <w:rPr>
                <w:sz w:val="20"/>
              </w:rPr>
            </w:pPr>
            <w:r w:rsidRPr="00113FCC">
              <w:rPr>
                <w:sz w:val="20"/>
              </w:rPr>
              <w:t>$47.30</w:t>
            </w:r>
          </w:p>
        </w:tc>
        <w:tc>
          <w:tcPr>
            <w:tcW w:w="978" w:type="dxa"/>
            <w:shd w:val="clear" w:color="auto" w:fill="auto"/>
          </w:tcPr>
          <w:p w:rsidR="002E01E3" w:rsidRPr="00113FCC" w:rsidRDefault="002E01E3" w:rsidP="002E01E3">
            <w:pPr>
              <w:pStyle w:val="TableText0"/>
              <w:rPr>
                <w:sz w:val="20"/>
              </w:rPr>
            </w:pPr>
            <w:r w:rsidRPr="00113FCC">
              <w:rPr>
                <w:sz w:val="20"/>
              </w:rPr>
              <w:t>$37.05</w:t>
            </w:r>
          </w:p>
        </w:tc>
        <w:tc>
          <w:tcPr>
            <w:tcW w:w="978" w:type="dxa"/>
            <w:shd w:val="clear" w:color="auto" w:fill="auto"/>
          </w:tcPr>
          <w:p w:rsidR="002E01E3" w:rsidRPr="00113FCC" w:rsidRDefault="002E01E3" w:rsidP="002E01E3">
            <w:pPr>
              <w:pStyle w:val="TableText0"/>
              <w:rPr>
                <w:sz w:val="20"/>
              </w:rPr>
            </w:pPr>
            <w:r w:rsidRPr="00113FCC">
              <w:rPr>
                <w:sz w:val="20"/>
              </w:rPr>
              <w:t>$71.70</w:t>
            </w:r>
          </w:p>
        </w:tc>
        <w:tc>
          <w:tcPr>
            <w:tcW w:w="1167" w:type="dxa"/>
            <w:shd w:val="clear" w:color="auto" w:fill="auto"/>
          </w:tcPr>
          <w:p w:rsidR="002E01E3" w:rsidRPr="00113FCC" w:rsidRDefault="002E01E3" w:rsidP="002E01E3">
            <w:pPr>
              <w:pStyle w:val="TableText0"/>
              <w:rPr>
                <w:sz w:val="20"/>
              </w:rPr>
            </w:pPr>
            <w:r w:rsidRPr="00113FCC">
              <w:rPr>
                <w:sz w:val="20"/>
              </w:rPr>
              <w:t>$12.00</w:t>
            </w:r>
          </w:p>
        </w:tc>
        <w:tc>
          <w:tcPr>
            <w:tcW w:w="1166" w:type="dxa"/>
          </w:tcPr>
          <w:p w:rsidR="002E01E3" w:rsidRPr="00113FCC" w:rsidRDefault="002E01E3" w:rsidP="002E01E3">
            <w:pPr>
              <w:pStyle w:val="TableText0"/>
              <w:rPr>
                <w:sz w:val="20"/>
              </w:rPr>
            </w:pPr>
            <w:r>
              <w:rPr>
                <w:sz w:val="20"/>
              </w:rPr>
              <w:t>$79.85</w:t>
            </w:r>
          </w:p>
        </w:tc>
        <w:tc>
          <w:tcPr>
            <w:tcW w:w="1166" w:type="dxa"/>
          </w:tcPr>
          <w:p w:rsidR="002E01E3" w:rsidRPr="00113FCC" w:rsidRDefault="002E01E3" w:rsidP="002E01E3">
            <w:pPr>
              <w:pStyle w:val="TableText0"/>
              <w:rPr>
                <w:sz w:val="20"/>
              </w:rPr>
            </w:pPr>
            <w:r>
              <w:rPr>
                <w:sz w:val="20"/>
              </w:rPr>
              <w:t>$19.90</w:t>
            </w:r>
          </w:p>
        </w:tc>
      </w:tr>
      <w:tr w:rsidR="002E01E3" w:rsidRPr="00113FCC">
        <w:trPr>
          <w:tblHeader/>
        </w:trPr>
        <w:tc>
          <w:tcPr>
            <w:tcW w:w="1687" w:type="dxa"/>
            <w:shd w:val="clear" w:color="auto" w:fill="auto"/>
          </w:tcPr>
          <w:p w:rsidR="002E01E3" w:rsidRPr="00113FCC" w:rsidRDefault="002E01E3" w:rsidP="002E01E3">
            <w:pPr>
              <w:pStyle w:val="TableText0"/>
              <w:rPr>
                <w:sz w:val="20"/>
              </w:rPr>
            </w:pPr>
            <w:r w:rsidRPr="00113FCC">
              <w:rPr>
                <w:sz w:val="20"/>
              </w:rPr>
              <w:t>Duration</w:t>
            </w:r>
          </w:p>
        </w:tc>
        <w:tc>
          <w:tcPr>
            <w:tcW w:w="2100" w:type="dxa"/>
            <w:shd w:val="clear" w:color="auto" w:fill="auto"/>
          </w:tcPr>
          <w:p w:rsidR="002E01E3" w:rsidRPr="00113FCC" w:rsidRDefault="002E01E3" w:rsidP="002E01E3">
            <w:pPr>
              <w:pStyle w:val="TableText0"/>
              <w:rPr>
                <w:sz w:val="20"/>
              </w:rPr>
            </w:pPr>
            <w:r w:rsidRPr="00113FCC">
              <w:rPr>
                <w:sz w:val="20"/>
              </w:rPr>
              <w:t>90</w:t>
            </w:r>
            <w:r>
              <w:rPr>
                <w:sz w:val="20"/>
              </w:rPr>
              <w:t>-120</w:t>
            </w:r>
            <w:r w:rsidRPr="00113FCC">
              <w:rPr>
                <w:sz w:val="20"/>
              </w:rPr>
              <w:t xml:space="preserve"> minutes</w:t>
            </w:r>
          </w:p>
        </w:tc>
        <w:tc>
          <w:tcPr>
            <w:tcW w:w="978" w:type="dxa"/>
            <w:shd w:val="clear" w:color="auto" w:fill="auto"/>
          </w:tcPr>
          <w:p w:rsidR="002E01E3" w:rsidRPr="00113FCC" w:rsidRDefault="002E01E3" w:rsidP="002E01E3">
            <w:pPr>
              <w:pStyle w:val="TableText0"/>
              <w:rPr>
                <w:sz w:val="20"/>
              </w:rPr>
            </w:pPr>
            <w:r>
              <w:rPr>
                <w:sz w:val="20"/>
              </w:rPr>
              <w:t xml:space="preserve">&lt;20 </w:t>
            </w:r>
            <w:proofErr w:type="spellStart"/>
            <w:r>
              <w:rPr>
                <w:sz w:val="20"/>
              </w:rPr>
              <w:t>min</w:t>
            </w:r>
            <w:r w:rsidRPr="00113FCC">
              <w:rPr>
                <w:sz w:val="20"/>
              </w:rPr>
              <w:t>s</w:t>
            </w:r>
            <w:proofErr w:type="spellEnd"/>
          </w:p>
        </w:tc>
        <w:tc>
          <w:tcPr>
            <w:tcW w:w="978" w:type="dxa"/>
            <w:shd w:val="clear" w:color="auto" w:fill="auto"/>
          </w:tcPr>
          <w:p w:rsidR="002E01E3" w:rsidRPr="00113FCC" w:rsidRDefault="002E01E3" w:rsidP="002E01E3">
            <w:pPr>
              <w:pStyle w:val="TableText0"/>
              <w:rPr>
                <w:sz w:val="20"/>
              </w:rPr>
            </w:pPr>
            <w:r>
              <w:rPr>
                <w:sz w:val="20"/>
              </w:rPr>
              <w:t xml:space="preserve">≥20 </w:t>
            </w:r>
            <w:proofErr w:type="spellStart"/>
            <w:r>
              <w:rPr>
                <w:sz w:val="20"/>
              </w:rPr>
              <w:t>min</w:t>
            </w:r>
            <w:r w:rsidRPr="00113FCC">
              <w:rPr>
                <w:sz w:val="20"/>
              </w:rPr>
              <w:t>s</w:t>
            </w:r>
            <w:proofErr w:type="spellEnd"/>
          </w:p>
        </w:tc>
        <w:tc>
          <w:tcPr>
            <w:tcW w:w="1167" w:type="dxa"/>
            <w:shd w:val="clear" w:color="auto" w:fill="auto"/>
          </w:tcPr>
          <w:p w:rsidR="002E01E3" w:rsidRPr="00113FCC" w:rsidRDefault="002E01E3" w:rsidP="002E01E3">
            <w:pPr>
              <w:pStyle w:val="TableText0"/>
              <w:rPr>
                <w:sz w:val="20"/>
              </w:rPr>
            </w:pPr>
          </w:p>
        </w:tc>
        <w:tc>
          <w:tcPr>
            <w:tcW w:w="1166" w:type="dxa"/>
          </w:tcPr>
          <w:p w:rsidR="002E01E3" w:rsidRPr="00113FCC" w:rsidRDefault="002E01E3" w:rsidP="002E01E3">
            <w:pPr>
              <w:pStyle w:val="TableText0"/>
              <w:rPr>
                <w:sz w:val="20"/>
              </w:rPr>
            </w:pPr>
            <w:r>
              <w:rPr>
                <w:sz w:val="20"/>
              </w:rPr>
              <w:t xml:space="preserve">≥45 </w:t>
            </w:r>
            <w:proofErr w:type="spellStart"/>
            <w:r>
              <w:rPr>
                <w:sz w:val="20"/>
              </w:rPr>
              <w:t>mins</w:t>
            </w:r>
            <w:proofErr w:type="spellEnd"/>
          </w:p>
        </w:tc>
        <w:tc>
          <w:tcPr>
            <w:tcW w:w="1166" w:type="dxa"/>
          </w:tcPr>
          <w:p w:rsidR="002E01E3" w:rsidRPr="00113FCC" w:rsidRDefault="002E01E3" w:rsidP="002E01E3">
            <w:pPr>
              <w:pStyle w:val="TableText0"/>
              <w:rPr>
                <w:sz w:val="20"/>
              </w:rPr>
            </w:pPr>
            <w:r>
              <w:rPr>
                <w:sz w:val="20"/>
              </w:rPr>
              <w:t xml:space="preserve">≥60 </w:t>
            </w:r>
            <w:proofErr w:type="spellStart"/>
            <w:r>
              <w:rPr>
                <w:sz w:val="20"/>
              </w:rPr>
              <w:t>mins</w:t>
            </w:r>
            <w:proofErr w:type="spellEnd"/>
          </w:p>
        </w:tc>
      </w:tr>
      <w:tr w:rsidR="002E01E3" w:rsidRPr="00113FCC">
        <w:trPr>
          <w:tblHeader/>
        </w:trPr>
        <w:tc>
          <w:tcPr>
            <w:tcW w:w="1687" w:type="dxa"/>
            <w:shd w:val="clear" w:color="auto" w:fill="auto"/>
          </w:tcPr>
          <w:p w:rsidR="002E01E3" w:rsidRPr="00113FCC" w:rsidRDefault="002E01E3" w:rsidP="002E01E3">
            <w:pPr>
              <w:pStyle w:val="TableText0"/>
              <w:rPr>
                <w:sz w:val="20"/>
              </w:rPr>
            </w:pPr>
            <w:r>
              <w:rPr>
                <w:sz w:val="20"/>
              </w:rPr>
              <w:t>Ratio of health prof to patient</w:t>
            </w:r>
          </w:p>
        </w:tc>
        <w:tc>
          <w:tcPr>
            <w:tcW w:w="2100" w:type="dxa"/>
            <w:shd w:val="clear" w:color="auto" w:fill="auto"/>
          </w:tcPr>
          <w:p w:rsidR="002E01E3" w:rsidRPr="00113FCC" w:rsidRDefault="002E01E3" w:rsidP="002E01E3">
            <w:pPr>
              <w:pStyle w:val="TableText0"/>
              <w:rPr>
                <w:sz w:val="20"/>
              </w:rPr>
            </w:pPr>
            <w:r>
              <w:rPr>
                <w:sz w:val="20"/>
              </w:rPr>
              <w:t>Many to many (2:12)</w:t>
            </w:r>
          </w:p>
        </w:tc>
        <w:tc>
          <w:tcPr>
            <w:tcW w:w="978" w:type="dxa"/>
            <w:shd w:val="clear" w:color="auto" w:fill="auto"/>
          </w:tcPr>
          <w:p w:rsidR="002E01E3" w:rsidRPr="00113FCC" w:rsidRDefault="002E01E3" w:rsidP="002E01E3">
            <w:pPr>
              <w:pStyle w:val="TableText0"/>
              <w:rPr>
                <w:sz w:val="20"/>
              </w:rPr>
            </w:pPr>
            <w:r>
              <w:rPr>
                <w:sz w:val="20"/>
              </w:rPr>
              <w:t>1:1</w:t>
            </w:r>
          </w:p>
        </w:tc>
        <w:tc>
          <w:tcPr>
            <w:tcW w:w="978" w:type="dxa"/>
            <w:shd w:val="clear" w:color="auto" w:fill="auto"/>
          </w:tcPr>
          <w:p w:rsidR="002E01E3" w:rsidRPr="00113FCC" w:rsidRDefault="002E01E3" w:rsidP="002E01E3">
            <w:pPr>
              <w:pStyle w:val="TableText0"/>
              <w:rPr>
                <w:sz w:val="20"/>
              </w:rPr>
            </w:pPr>
            <w:r>
              <w:rPr>
                <w:sz w:val="20"/>
              </w:rPr>
              <w:t>1:1</w:t>
            </w:r>
          </w:p>
        </w:tc>
        <w:tc>
          <w:tcPr>
            <w:tcW w:w="1167" w:type="dxa"/>
            <w:shd w:val="clear" w:color="auto" w:fill="auto"/>
          </w:tcPr>
          <w:p w:rsidR="002E01E3" w:rsidRPr="00113FCC" w:rsidRDefault="002E01E3" w:rsidP="002E01E3">
            <w:pPr>
              <w:pStyle w:val="TableText0"/>
              <w:rPr>
                <w:sz w:val="20"/>
              </w:rPr>
            </w:pPr>
            <w:r>
              <w:rPr>
                <w:sz w:val="20"/>
              </w:rPr>
              <w:t>1:1</w:t>
            </w:r>
          </w:p>
        </w:tc>
        <w:tc>
          <w:tcPr>
            <w:tcW w:w="1166" w:type="dxa"/>
          </w:tcPr>
          <w:p w:rsidR="002E01E3" w:rsidRDefault="002E01E3" w:rsidP="002E01E3">
            <w:pPr>
              <w:pStyle w:val="TableText0"/>
              <w:rPr>
                <w:sz w:val="20"/>
              </w:rPr>
            </w:pPr>
            <w:r>
              <w:rPr>
                <w:sz w:val="20"/>
              </w:rPr>
              <w:t>1:many (1:12)</w:t>
            </w:r>
          </w:p>
        </w:tc>
        <w:tc>
          <w:tcPr>
            <w:tcW w:w="1166" w:type="dxa"/>
          </w:tcPr>
          <w:p w:rsidR="002E01E3" w:rsidRDefault="002E01E3" w:rsidP="002E01E3">
            <w:pPr>
              <w:pStyle w:val="TableText0"/>
              <w:rPr>
                <w:sz w:val="20"/>
              </w:rPr>
            </w:pPr>
            <w:r>
              <w:rPr>
                <w:sz w:val="20"/>
              </w:rPr>
              <w:t>1:many (1:12)</w:t>
            </w:r>
          </w:p>
        </w:tc>
      </w:tr>
      <w:tr w:rsidR="002E01E3" w:rsidRPr="00113FCC">
        <w:trPr>
          <w:tblHeader/>
        </w:trPr>
        <w:tc>
          <w:tcPr>
            <w:tcW w:w="1687" w:type="dxa"/>
            <w:shd w:val="clear" w:color="auto" w:fill="auto"/>
          </w:tcPr>
          <w:p w:rsidR="002E01E3" w:rsidRPr="00113FCC" w:rsidRDefault="002E01E3" w:rsidP="002E01E3">
            <w:pPr>
              <w:pStyle w:val="TableText0"/>
              <w:rPr>
                <w:sz w:val="20"/>
              </w:rPr>
            </w:pPr>
            <w:r w:rsidRPr="00113FCC">
              <w:rPr>
                <w:sz w:val="20"/>
              </w:rPr>
              <w:t>Number of patients</w:t>
            </w:r>
          </w:p>
        </w:tc>
        <w:tc>
          <w:tcPr>
            <w:tcW w:w="2100" w:type="dxa"/>
            <w:shd w:val="clear" w:color="auto" w:fill="auto"/>
          </w:tcPr>
          <w:p w:rsidR="002E01E3" w:rsidRPr="00113FCC" w:rsidRDefault="0094033C" w:rsidP="002E01E3">
            <w:pPr>
              <w:pStyle w:val="TableText0"/>
              <w:rPr>
                <w:sz w:val="20"/>
              </w:rPr>
            </w:pPr>
            <w:r>
              <w:rPr>
                <w:sz w:val="20"/>
              </w:rPr>
              <w:t>6</w:t>
            </w:r>
            <w:r w:rsidR="002E01E3" w:rsidRPr="00113FCC">
              <w:rPr>
                <w:sz w:val="20"/>
              </w:rPr>
              <w:t>-12</w:t>
            </w:r>
          </w:p>
        </w:tc>
        <w:tc>
          <w:tcPr>
            <w:tcW w:w="978" w:type="dxa"/>
            <w:shd w:val="clear" w:color="auto" w:fill="auto"/>
          </w:tcPr>
          <w:p w:rsidR="002E01E3" w:rsidRPr="00113FCC" w:rsidRDefault="002E01E3" w:rsidP="002E01E3">
            <w:pPr>
              <w:pStyle w:val="TableText0"/>
              <w:rPr>
                <w:sz w:val="20"/>
              </w:rPr>
            </w:pPr>
            <w:r w:rsidRPr="00113FCC">
              <w:rPr>
                <w:sz w:val="20"/>
              </w:rPr>
              <w:t>1</w:t>
            </w:r>
          </w:p>
        </w:tc>
        <w:tc>
          <w:tcPr>
            <w:tcW w:w="978" w:type="dxa"/>
            <w:shd w:val="clear" w:color="auto" w:fill="auto"/>
          </w:tcPr>
          <w:p w:rsidR="002E01E3" w:rsidRPr="00113FCC" w:rsidRDefault="002E01E3" w:rsidP="002E01E3">
            <w:pPr>
              <w:pStyle w:val="TableText0"/>
              <w:rPr>
                <w:sz w:val="20"/>
              </w:rPr>
            </w:pPr>
            <w:r w:rsidRPr="00113FCC">
              <w:rPr>
                <w:sz w:val="20"/>
              </w:rPr>
              <w:t>1</w:t>
            </w:r>
          </w:p>
        </w:tc>
        <w:tc>
          <w:tcPr>
            <w:tcW w:w="1167" w:type="dxa"/>
            <w:shd w:val="clear" w:color="auto" w:fill="auto"/>
          </w:tcPr>
          <w:p w:rsidR="002E01E3" w:rsidRPr="00113FCC" w:rsidRDefault="002E01E3" w:rsidP="002E01E3">
            <w:pPr>
              <w:pStyle w:val="TableText0"/>
              <w:rPr>
                <w:sz w:val="20"/>
              </w:rPr>
            </w:pPr>
            <w:r w:rsidRPr="00113FCC">
              <w:rPr>
                <w:sz w:val="20"/>
              </w:rPr>
              <w:t>1</w:t>
            </w:r>
          </w:p>
        </w:tc>
        <w:tc>
          <w:tcPr>
            <w:tcW w:w="1166" w:type="dxa"/>
          </w:tcPr>
          <w:p w:rsidR="002E01E3" w:rsidRPr="00113FCC" w:rsidRDefault="002E01E3" w:rsidP="002E01E3">
            <w:pPr>
              <w:pStyle w:val="TableText0"/>
              <w:rPr>
                <w:sz w:val="20"/>
              </w:rPr>
            </w:pPr>
            <w:r>
              <w:rPr>
                <w:sz w:val="20"/>
              </w:rPr>
              <w:t>2-12</w:t>
            </w:r>
          </w:p>
        </w:tc>
        <w:tc>
          <w:tcPr>
            <w:tcW w:w="1166" w:type="dxa"/>
          </w:tcPr>
          <w:p w:rsidR="002E01E3" w:rsidRPr="00113FCC" w:rsidRDefault="002E01E3" w:rsidP="002E01E3">
            <w:pPr>
              <w:pStyle w:val="TableText0"/>
              <w:rPr>
                <w:sz w:val="20"/>
              </w:rPr>
            </w:pPr>
            <w:r>
              <w:rPr>
                <w:sz w:val="20"/>
              </w:rPr>
              <w:t>2-12</w:t>
            </w:r>
          </w:p>
        </w:tc>
      </w:tr>
      <w:tr w:rsidR="002E01E3" w:rsidRPr="00113FCC">
        <w:trPr>
          <w:tblHeader/>
        </w:trPr>
        <w:tc>
          <w:tcPr>
            <w:tcW w:w="1687" w:type="dxa"/>
            <w:shd w:val="clear" w:color="auto" w:fill="auto"/>
          </w:tcPr>
          <w:p w:rsidR="002E01E3" w:rsidRPr="00113FCC" w:rsidRDefault="002E01E3" w:rsidP="002E01E3">
            <w:pPr>
              <w:pStyle w:val="TableText0"/>
              <w:rPr>
                <w:sz w:val="20"/>
              </w:rPr>
            </w:pPr>
            <w:r w:rsidRPr="00113FCC">
              <w:rPr>
                <w:sz w:val="20"/>
              </w:rPr>
              <w:t xml:space="preserve">Types of medical officials present </w:t>
            </w:r>
          </w:p>
        </w:tc>
        <w:tc>
          <w:tcPr>
            <w:tcW w:w="2100" w:type="dxa"/>
            <w:shd w:val="clear" w:color="auto" w:fill="auto"/>
          </w:tcPr>
          <w:p w:rsidR="002E01E3" w:rsidRPr="00113FCC" w:rsidRDefault="002E01E3" w:rsidP="002E01E3">
            <w:pPr>
              <w:pStyle w:val="TableText0"/>
              <w:rPr>
                <w:sz w:val="20"/>
              </w:rPr>
            </w:pPr>
            <w:r w:rsidRPr="00113FCC">
              <w:rPr>
                <w:sz w:val="20"/>
              </w:rPr>
              <w:t>1 GP for 4</w:t>
            </w:r>
            <w:r>
              <w:rPr>
                <w:sz w:val="20"/>
              </w:rPr>
              <w:t>0</w:t>
            </w:r>
            <w:r w:rsidRPr="00113FCC">
              <w:rPr>
                <w:sz w:val="20"/>
              </w:rPr>
              <w:t>-</w:t>
            </w:r>
            <w:r w:rsidR="002353EB">
              <w:rPr>
                <w:sz w:val="20"/>
              </w:rPr>
              <w:t>8</w:t>
            </w:r>
            <w:r w:rsidRPr="00113FCC">
              <w:rPr>
                <w:sz w:val="20"/>
              </w:rPr>
              <w:t>0 minutes</w:t>
            </w:r>
          </w:p>
          <w:p w:rsidR="002E01E3" w:rsidRPr="00113FCC" w:rsidRDefault="002E01E3" w:rsidP="002E01E3">
            <w:pPr>
              <w:pStyle w:val="TableText0"/>
              <w:rPr>
                <w:sz w:val="20"/>
              </w:rPr>
            </w:pPr>
            <w:r w:rsidRPr="00113FCC">
              <w:rPr>
                <w:sz w:val="20"/>
              </w:rPr>
              <w:t xml:space="preserve">1 Group </w:t>
            </w:r>
            <w:r>
              <w:rPr>
                <w:sz w:val="20"/>
              </w:rPr>
              <w:t>Facilitator</w:t>
            </w:r>
          </w:p>
          <w:p w:rsidR="002E01E3" w:rsidRPr="00113FCC" w:rsidRDefault="002E01E3" w:rsidP="002E01E3">
            <w:pPr>
              <w:pStyle w:val="TableText0"/>
              <w:rPr>
                <w:sz w:val="20"/>
              </w:rPr>
            </w:pPr>
            <w:r w:rsidRPr="00113FCC">
              <w:rPr>
                <w:sz w:val="20"/>
              </w:rPr>
              <w:t>1 Documenter</w:t>
            </w:r>
            <w:r>
              <w:rPr>
                <w:sz w:val="20"/>
              </w:rPr>
              <w:t xml:space="preserve"> (can be the Group Facilitator)</w:t>
            </w:r>
          </w:p>
        </w:tc>
        <w:tc>
          <w:tcPr>
            <w:tcW w:w="978" w:type="dxa"/>
            <w:shd w:val="clear" w:color="auto" w:fill="auto"/>
          </w:tcPr>
          <w:p w:rsidR="002E01E3" w:rsidRPr="00113FCC" w:rsidRDefault="002E01E3" w:rsidP="002E01E3">
            <w:pPr>
              <w:pStyle w:val="TableText0"/>
              <w:rPr>
                <w:sz w:val="20"/>
              </w:rPr>
            </w:pPr>
            <w:r w:rsidRPr="00113FCC">
              <w:rPr>
                <w:sz w:val="20"/>
              </w:rPr>
              <w:t>1 GP</w:t>
            </w:r>
          </w:p>
        </w:tc>
        <w:tc>
          <w:tcPr>
            <w:tcW w:w="978" w:type="dxa"/>
            <w:shd w:val="clear" w:color="auto" w:fill="auto"/>
          </w:tcPr>
          <w:p w:rsidR="002E01E3" w:rsidRPr="00113FCC" w:rsidRDefault="002E01E3" w:rsidP="002E01E3">
            <w:pPr>
              <w:pStyle w:val="TableText0"/>
              <w:rPr>
                <w:sz w:val="20"/>
              </w:rPr>
            </w:pPr>
            <w:r w:rsidRPr="00113FCC">
              <w:rPr>
                <w:sz w:val="20"/>
              </w:rPr>
              <w:t>1 GP</w:t>
            </w:r>
          </w:p>
        </w:tc>
        <w:tc>
          <w:tcPr>
            <w:tcW w:w="1167" w:type="dxa"/>
            <w:shd w:val="clear" w:color="auto" w:fill="auto"/>
          </w:tcPr>
          <w:p w:rsidR="002E01E3" w:rsidRPr="00113FCC" w:rsidRDefault="002E01E3" w:rsidP="002E01E3">
            <w:pPr>
              <w:pStyle w:val="TableText0"/>
              <w:rPr>
                <w:sz w:val="20"/>
              </w:rPr>
            </w:pPr>
            <w:r w:rsidRPr="00113FCC">
              <w:rPr>
                <w:sz w:val="20"/>
              </w:rPr>
              <w:t>1 practice nurse or registered Aboriginal Health Worker</w:t>
            </w:r>
          </w:p>
        </w:tc>
        <w:tc>
          <w:tcPr>
            <w:tcW w:w="1166" w:type="dxa"/>
          </w:tcPr>
          <w:p w:rsidR="002E01E3" w:rsidRPr="00113FCC" w:rsidRDefault="002E01E3" w:rsidP="002E01E3">
            <w:pPr>
              <w:pStyle w:val="TableText0"/>
              <w:rPr>
                <w:sz w:val="20"/>
              </w:rPr>
            </w:pPr>
            <w:r>
              <w:rPr>
                <w:sz w:val="20"/>
              </w:rPr>
              <w:t xml:space="preserve">Eligible diabetes educator, or exercise physiologist, or </w:t>
            </w:r>
            <w:proofErr w:type="spellStart"/>
            <w:r>
              <w:rPr>
                <w:sz w:val="20"/>
              </w:rPr>
              <w:t>dietitian</w:t>
            </w:r>
            <w:proofErr w:type="spellEnd"/>
            <w:r>
              <w:rPr>
                <w:sz w:val="20"/>
              </w:rPr>
              <w:t xml:space="preserve"> </w:t>
            </w:r>
          </w:p>
        </w:tc>
        <w:tc>
          <w:tcPr>
            <w:tcW w:w="1166" w:type="dxa"/>
          </w:tcPr>
          <w:p w:rsidR="002E01E3" w:rsidRPr="00113FCC" w:rsidRDefault="002E01E3" w:rsidP="002E01E3">
            <w:pPr>
              <w:pStyle w:val="TableText0"/>
              <w:rPr>
                <w:sz w:val="20"/>
              </w:rPr>
            </w:pPr>
            <w:r>
              <w:rPr>
                <w:sz w:val="20"/>
              </w:rPr>
              <w:t xml:space="preserve">Eligible diabetes educator, or exercise physiologist, or </w:t>
            </w:r>
            <w:proofErr w:type="spellStart"/>
            <w:r>
              <w:rPr>
                <w:sz w:val="20"/>
              </w:rPr>
              <w:t>dietitian</w:t>
            </w:r>
            <w:proofErr w:type="spellEnd"/>
          </w:p>
        </w:tc>
      </w:tr>
      <w:tr w:rsidR="002E01E3" w:rsidRPr="00113FCC">
        <w:trPr>
          <w:tblHeader/>
        </w:trPr>
        <w:tc>
          <w:tcPr>
            <w:tcW w:w="1687" w:type="dxa"/>
            <w:shd w:val="clear" w:color="auto" w:fill="auto"/>
          </w:tcPr>
          <w:p w:rsidR="002E01E3" w:rsidRPr="00113FCC" w:rsidRDefault="002E01E3" w:rsidP="002E01E3">
            <w:pPr>
              <w:pStyle w:val="TableText0"/>
              <w:rPr>
                <w:sz w:val="20"/>
              </w:rPr>
            </w:pPr>
            <w:r w:rsidRPr="00113FCC">
              <w:rPr>
                <w:sz w:val="20"/>
              </w:rPr>
              <w:t>Eligible patients</w:t>
            </w:r>
          </w:p>
        </w:tc>
        <w:tc>
          <w:tcPr>
            <w:tcW w:w="2100" w:type="dxa"/>
            <w:shd w:val="clear" w:color="auto" w:fill="auto"/>
          </w:tcPr>
          <w:p w:rsidR="002E01E3" w:rsidRPr="00113FCC" w:rsidRDefault="002E01E3" w:rsidP="002E01E3">
            <w:pPr>
              <w:pStyle w:val="TableText0"/>
              <w:rPr>
                <w:sz w:val="20"/>
              </w:rPr>
            </w:pPr>
            <w:r w:rsidRPr="00113FCC">
              <w:rPr>
                <w:sz w:val="20"/>
              </w:rPr>
              <w:t>Type 2 diabetes</w:t>
            </w:r>
            <w:r>
              <w:rPr>
                <w:sz w:val="20"/>
              </w:rPr>
              <w:t xml:space="preserve"> </w:t>
            </w:r>
            <w:r w:rsidRPr="00113FCC">
              <w:rPr>
                <w:sz w:val="20"/>
              </w:rPr>
              <w:t xml:space="preserve">who have attended a GP consultation </w:t>
            </w:r>
            <w:r>
              <w:rPr>
                <w:sz w:val="20"/>
              </w:rPr>
              <w:t>for referral</w:t>
            </w:r>
          </w:p>
        </w:tc>
        <w:tc>
          <w:tcPr>
            <w:tcW w:w="978" w:type="dxa"/>
            <w:shd w:val="clear" w:color="auto" w:fill="auto"/>
          </w:tcPr>
          <w:p w:rsidR="002E01E3" w:rsidRPr="00113FCC" w:rsidRDefault="002E01E3" w:rsidP="002E01E3">
            <w:pPr>
              <w:pStyle w:val="TableText0"/>
              <w:rPr>
                <w:sz w:val="20"/>
              </w:rPr>
            </w:pPr>
          </w:p>
        </w:tc>
        <w:tc>
          <w:tcPr>
            <w:tcW w:w="978" w:type="dxa"/>
            <w:shd w:val="clear" w:color="auto" w:fill="auto"/>
          </w:tcPr>
          <w:p w:rsidR="002E01E3" w:rsidRPr="00113FCC" w:rsidRDefault="002E01E3" w:rsidP="002E01E3">
            <w:pPr>
              <w:pStyle w:val="TableText0"/>
              <w:rPr>
                <w:sz w:val="20"/>
              </w:rPr>
            </w:pPr>
          </w:p>
        </w:tc>
        <w:tc>
          <w:tcPr>
            <w:tcW w:w="1167" w:type="dxa"/>
            <w:shd w:val="clear" w:color="auto" w:fill="auto"/>
          </w:tcPr>
          <w:p w:rsidR="002E01E3" w:rsidRPr="00113FCC" w:rsidRDefault="002E01E3" w:rsidP="002E01E3">
            <w:pPr>
              <w:pStyle w:val="TableText0"/>
              <w:rPr>
                <w:sz w:val="20"/>
              </w:rPr>
            </w:pPr>
          </w:p>
        </w:tc>
        <w:tc>
          <w:tcPr>
            <w:tcW w:w="1166" w:type="dxa"/>
          </w:tcPr>
          <w:p w:rsidR="002E01E3" w:rsidRPr="00113FCC" w:rsidRDefault="002E01E3" w:rsidP="002E01E3">
            <w:pPr>
              <w:pStyle w:val="TableText0"/>
              <w:rPr>
                <w:sz w:val="20"/>
              </w:rPr>
            </w:pPr>
            <w:r>
              <w:rPr>
                <w:sz w:val="20"/>
              </w:rPr>
              <w:t>Type 2 diabetes, item 721 or resident of aged care home and item 731</w:t>
            </w:r>
          </w:p>
        </w:tc>
        <w:tc>
          <w:tcPr>
            <w:tcW w:w="1166" w:type="dxa"/>
          </w:tcPr>
          <w:p w:rsidR="002E01E3" w:rsidRPr="00113FCC" w:rsidRDefault="002E01E3" w:rsidP="002E01E3">
            <w:pPr>
              <w:pStyle w:val="TableText0"/>
              <w:rPr>
                <w:sz w:val="20"/>
              </w:rPr>
            </w:pPr>
            <w:r>
              <w:rPr>
                <w:sz w:val="20"/>
              </w:rPr>
              <w:t>Assessment under item 81100, or 81110, or 81120</w:t>
            </w:r>
          </w:p>
        </w:tc>
      </w:tr>
    </w:tbl>
    <w:p w:rsidR="002E01E3" w:rsidRDefault="002E01E3" w:rsidP="002E01E3">
      <w:pPr>
        <w:rPr>
          <w:lang w:val="en-GB" w:eastAsia="ja-JP"/>
        </w:rPr>
      </w:pPr>
    </w:p>
    <w:p w:rsidR="002E01E3" w:rsidRPr="00AB0FCC" w:rsidRDefault="002E01E3" w:rsidP="002E01E3">
      <w:pPr>
        <w:rPr>
          <w:szCs w:val="22"/>
          <w:lang w:val="en-GB" w:eastAsia="ja-JP"/>
        </w:rPr>
      </w:pPr>
      <w:r w:rsidRPr="00AB0FCC">
        <w:rPr>
          <w:szCs w:val="22"/>
          <w:lang w:val="en-GB" w:eastAsia="ja-JP"/>
        </w:rPr>
        <w:t>Another MBS item which could be considered a comparator is item 44 (Professional attendance at consulting rooms – Level D - &lt;</w:t>
      </w:r>
      <w:r>
        <w:rPr>
          <w:szCs w:val="22"/>
          <w:lang w:val="en-GB" w:eastAsia="ja-JP"/>
        </w:rPr>
        <w:t xml:space="preserve"> </w:t>
      </w:r>
      <w:r w:rsidRPr="00AB0FCC">
        <w:rPr>
          <w:szCs w:val="22"/>
          <w:lang w:val="en-GB" w:eastAsia="ja-JP"/>
        </w:rPr>
        <w:t xml:space="preserve">40 </w:t>
      </w:r>
      <w:proofErr w:type="spellStart"/>
      <w:r w:rsidRPr="00AB0FCC">
        <w:rPr>
          <w:szCs w:val="22"/>
          <w:lang w:val="en-GB" w:eastAsia="ja-JP"/>
        </w:rPr>
        <w:t>mins</w:t>
      </w:r>
      <w:proofErr w:type="spellEnd"/>
      <w:r w:rsidRPr="00AB0FCC">
        <w:rPr>
          <w:szCs w:val="22"/>
          <w:lang w:val="en-GB" w:eastAsia="ja-JP"/>
        </w:rPr>
        <w:t xml:space="preserve">). The </w:t>
      </w:r>
      <w:r>
        <w:rPr>
          <w:szCs w:val="22"/>
          <w:lang w:val="en-GB" w:eastAsia="ja-JP"/>
        </w:rPr>
        <w:t>fee</w:t>
      </w:r>
      <w:r w:rsidRPr="00AB0FCC">
        <w:rPr>
          <w:szCs w:val="22"/>
          <w:lang w:val="en-GB" w:eastAsia="ja-JP"/>
        </w:rPr>
        <w:t xml:space="preserve"> of </w:t>
      </w:r>
      <w:r>
        <w:rPr>
          <w:szCs w:val="22"/>
          <w:lang w:val="en-GB" w:eastAsia="ja-JP"/>
        </w:rPr>
        <w:t>MBS item 44</w:t>
      </w:r>
      <w:r w:rsidRPr="00AB0FCC">
        <w:rPr>
          <w:szCs w:val="22"/>
          <w:lang w:val="en-GB" w:eastAsia="ja-JP"/>
        </w:rPr>
        <w:t xml:space="preserve"> is $105.55.</w:t>
      </w:r>
    </w:p>
    <w:p w:rsidR="00D633D7" w:rsidRDefault="00D633D7">
      <w:pPr>
        <w:spacing w:after="0" w:line="240" w:lineRule="auto"/>
        <w:jc w:val="left"/>
        <w:rPr>
          <w:rFonts w:cs="Times New Roman"/>
          <w:b/>
          <w:bCs/>
          <w:color w:val="215868"/>
          <w:sz w:val="32"/>
          <w:szCs w:val="32"/>
          <w:lang w:val="x-none"/>
        </w:rPr>
      </w:pPr>
      <w:bookmarkStart w:id="44" w:name="_Toc301450602"/>
      <w:bookmarkStart w:id="45" w:name="_Toc410649145"/>
      <w:bookmarkStart w:id="46" w:name="_Toc420499071"/>
      <w:r>
        <w:br w:type="page"/>
      </w:r>
    </w:p>
    <w:p w:rsidR="002E01E3" w:rsidRDefault="002E01E3" w:rsidP="002E01E3">
      <w:pPr>
        <w:pStyle w:val="Heading1"/>
        <w:jc w:val="left"/>
      </w:pPr>
      <w:r>
        <w:lastRenderedPageBreak/>
        <w:t>Outcomes for safety and effectiveness evaluation</w:t>
      </w:r>
      <w:bookmarkEnd w:id="44"/>
      <w:bookmarkEnd w:id="45"/>
      <w:bookmarkEnd w:id="46"/>
    </w:p>
    <w:p w:rsidR="002E01E3" w:rsidRDefault="002E01E3" w:rsidP="002E01E3">
      <w:pPr>
        <w:pStyle w:val="Heading2"/>
      </w:pPr>
      <w:bookmarkStart w:id="47" w:name="_Toc410649146"/>
      <w:bookmarkStart w:id="48" w:name="_Toc420499072"/>
      <w:r>
        <w:t>Clinical outcomes</w:t>
      </w:r>
      <w:bookmarkEnd w:id="47"/>
      <w:bookmarkEnd w:id="48"/>
    </w:p>
    <w:p w:rsidR="002E01E3" w:rsidRDefault="002E01E3" w:rsidP="002E01E3">
      <w:pPr>
        <w:autoSpaceDE w:val="0"/>
        <w:autoSpaceDN w:val="0"/>
        <w:adjustRightInd w:val="0"/>
        <w:spacing w:after="120"/>
        <w:rPr>
          <w:szCs w:val="22"/>
        </w:rPr>
      </w:pPr>
      <w:r>
        <w:rPr>
          <w:szCs w:val="22"/>
        </w:rPr>
        <w:t xml:space="preserve">Studies from overseas suggest that shared medical appointments have superior efficacy and lower costs than the comparators </w:t>
      </w:r>
      <w:r>
        <w:rPr>
          <w:szCs w:val="22"/>
        </w:rPr>
        <w:fldChar w:fldCharType="begin">
          <w:fldData xml:space="preserve">PEVuZE5vdGU+PENpdGU+PEF1dGhvcj5DbGFuY3k8L0F1dGhvcj48WWVhcj4yMDAyPC9ZZWFyPjxS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=
</w:fldData>
        </w:fldChar>
      </w:r>
      <w:r>
        <w:rPr>
          <w:szCs w:val="22"/>
        </w:rPr>
        <w:instrText xml:space="preserve"> ADDIN EN.CITE </w:instrText>
      </w:r>
      <w:r>
        <w:rPr>
          <w:szCs w:val="22"/>
        </w:rPr>
        <w:fldChar w:fldCharType="begin">
          <w:fldData xml:space="preserve">PEVuZE5vdGU+PENpdGU+PEF1dGhvcj5DbGFuY3k8L0F1dGhvcj48WWVhcj4yMDAyPC9ZZWFyPjxS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=
</w:fldData>
        </w:fldChar>
      </w:r>
      <w:r>
        <w:rPr>
          <w:szCs w:val="22"/>
        </w:rPr>
        <w:instrText xml:space="preserve"> ADDIN EN.CITE.DATA </w:instrText>
      </w:r>
      <w:r>
        <w:rPr>
          <w:szCs w:val="22"/>
        </w:rPr>
      </w:r>
      <w:r>
        <w:rPr>
          <w:szCs w:val="22"/>
        </w:rPr>
        <w:fldChar w:fldCharType="end"/>
      </w:r>
      <w:r>
        <w:rPr>
          <w:szCs w:val="22"/>
        </w:rPr>
      </w:r>
      <w:r>
        <w:rPr>
          <w:szCs w:val="22"/>
        </w:rPr>
        <w:fldChar w:fldCharType="separate"/>
      </w:r>
      <w:r>
        <w:rPr>
          <w:noProof/>
          <w:szCs w:val="22"/>
        </w:rPr>
        <w:t>[23, 30-33]</w:t>
      </w:r>
      <w:r>
        <w:rPr>
          <w:szCs w:val="22"/>
        </w:rPr>
        <w:fldChar w:fldCharType="end"/>
      </w:r>
      <w:r>
        <w:rPr>
          <w:szCs w:val="22"/>
        </w:rPr>
        <w:t xml:space="preserve">. Based on this literature, it is expected that implementation of shared medical appointments will lead to </w:t>
      </w:r>
      <w:r w:rsidRPr="00F779FD">
        <w:rPr>
          <w:szCs w:val="22"/>
        </w:rPr>
        <w:t>improved self-management of T2DM through;</w:t>
      </w:r>
    </w:p>
    <w:p w:rsidR="002E01E3" w:rsidRDefault="002E01E3" w:rsidP="002E01E3">
      <w:pPr>
        <w:numPr>
          <w:ilvl w:val="0"/>
          <w:numId w:val="11"/>
        </w:numPr>
        <w:autoSpaceDE w:val="0"/>
        <w:autoSpaceDN w:val="0"/>
        <w:adjustRightInd w:val="0"/>
        <w:spacing w:after="120" w:line="240" w:lineRule="auto"/>
        <w:jc w:val="left"/>
        <w:rPr>
          <w:szCs w:val="22"/>
        </w:rPr>
      </w:pPr>
      <w:r w:rsidRPr="00ED6630">
        <w:rPr>
          <w:szCs w:val="22"/>
        </w:rPr>
        <w:t>improved patient education</w:t>
      </w:r>
      <w:r>
        <w:rPr>
          <w:szCs w:val="22"/>
        </w:rPr>
        <w:t>;</w:t>
      </w:r>
    </w:p>
    <w:p w:rsidR="002E01E3" w:rsidRPr="000A2CB0" w:rsidRDefault="002E01E3" w:rsidP="002E01E3">
      <w:pPr>
        <w:numPr>
          <w:ilvl w:val="0"/>
          <w:numId w:val="11"/>
        </w:numPr>
        <w:autoSpaceDE w:val="0"/>
        <w:autoSpaceDN w:val="0"/>
        <w:adjustRightInd w:val="0"/>
        <w:spacing w:after="120" w:line="240" w:lineRule="auto"/>
        <w:jc w:val="left"/>
        <w:rPr>
          <w:szCs w:val="22"/>
        </w:rPr>
      </w:pPr>
      <w:r w:rsidRPr="000A2CB0">
        <w:rPr>
          <w:szCs w:val="22"/>
        </w:rPr>
        <w:t>increased peer support from fellow sufferers</w:t>
      </w:r>
      <w:r>
        <w:rPr>
          <w:szCs w:val="22"/>
        </w:rPr>
        <w:t>;</w:t>
      </w:r>
    </w:p>
    <w:p w:rsidR="002E01E3" w:rsidRPr="00ED6630" w:rsidRDefault="002E01E3" w:rsidP="002E01E3">
      <w:pPr>
        <w:numPr>
          <w:ilvl w:val="0"/>
          <w:numId w:val="11"/>
        </w:numPr>
        <w:autoSpaceDE w:val="0"/>
        <w:autoSpaceDN w:val="0"/>
        <w:adjustRightInd w:val="0"/>
        <w:spacing w:after="120" w:line="240" w:lineRule="auto"/>
        <w:jc w:val="left"/>
        <w:rPr>
          <w:szCs w:val="22"/>
        </w:rPr>
      </w:pPr>
      <w:r w:rsidRPr="00ED6630">
        <w:rPr>
          <w:szCs w:val="22"/>
        </w:rPr>
        <w:t>improved integration between GPs, nursing staff, and allied health</w:t>
      </w:r>
      <w:r>
        <w:rPr>
          <w:szCs w:val="22"/>
        </w:rPr>
        <w:t>;</w:t>
      </w:r>
    </w:p>
    <w:p w:rsidR="002E01E3" w:rsidRPr="00ED6630" w:rsidRDefault="002E01E3" w:rsidP="002E01E3">
      <w:pPr>
        <w:numPr>
          <w:ilvl w:val="0"/>
          <w:numId w:val="11"/>
        </w:numPr>
        <w:autoSpaceDE w:val="0"/>
        <w:autoSpaceDN w:val="0"/>
        <w:adjustRightInd w:val="0"/>
        <w:spacing w:after="120" w:line="240" w:lineRule="auto"/>
        <w:jc w:val="left"/>
        <w:rPr>
          <w:szCs w:val="22"/>
        </w:rPr>
      </w:pPr>
      <w:r w:rsidRPr="00ED6630">
        <w:rPr>
          <w:szCs w:val="22"/>
        </w:rPr>
        <w:t>reduced number of standard visits per annum</w:t>
      </w:r>
      <w:r>
        <w:rPr>
          <w:szCs w:val="22"/>
        </w:rPr>
        <w:t>;</w:t>
      </w:r>
    </w:p>
    <w:p w:rsidR="002E01E3" w:rsidRPr="00ED6630" w:rsidRDefault="002E01E3" w:rsidP="002E01E3">
      <w:pPr>
        <w:numPr>
          <w:ilvl w:val="0"/>
          <w:numId w:val="11"/>
        </w:numPr>
        <w:autoSpaceDE w:val="0"/>
        <w:autoSpaceDN w:val="0"/>
        <w:adjustRightInd w:val="0"/>
        <w:spacing w:after="120" w:line="240" w:lineRule="auto"/>
        <w:jc w:val="left"/>
        <w:rPr>
          <w:szCs w:val="22"/>
        </w:rPr>
      </w:pPr>
      <w:r>
        <w:rPr>
          <w:szCs w:val="22"/>
        </w:rPr>
        <w:t>appropriate management through pharmacotherapy; and</w:t>
      </w:r>
    </w:p>
    <w:p w:rsidR="002E01E3" w:rsidRPr="00ED6630" w:rsidRDefault="002E01E3" w:rsidP="002E01E3">
      <w:pPr>
        <w:numPr>
          <w:ilvl w:val="0"/>
          <w:numId w:val="11"/>
        </w:numPr>
        <w:autoSpaceDE w:val="0"/>
        <w:autoSpaceDN w:val="0"/>
        <w:adjustRightInd w:val="0"/>
        <w:spacing w:after="120" w:line="240" w:lineRule="auto"/>
        <w:jc w:val="left"/>
        <w:rPr>
          <w:szCs w:val="22"/>
        </w:rPr>
      </w:pPr>
      <w:proofErr w:type="gramStart"/>
      <w:r w:rsidRPr="00ED6630">
        <w:rPr>
          <w:szCs w:val="22"/>
        </w:rPr>
        <w:t>reduced</w:t>
      </w:r>
      <w:proofErr w:type="gramEnd"/>
      <w:r w:rsidRPr="00ED6630">
        <w:rPr>
          <w:szCs w:val="22"/>
        </w:rPr>
        <w:t xml:space="preserve"> costs to the health system of </w:t>
      </w:r>
      <w:r>
        <w:rPr>
          <w:szCs w:val="22"/>
        </w:rPr>
        <w:t>~</w:t>
      </w:r>
      <w:r w:rsidRPr="00ED6630">
        <w:rPr>
          <w:szCs w:val="22"/>
        </w:rPr>
        <w:t>20-30%.</w:t>
      </w:r>
    </w:p>
    <w:p w:rsidR="002E01E3" w:rsidRPr="000A2CB0" w:rsidRDefault="002E01E3" w:rsidP="002E01E3">
      <w:pPr>
        <w:autoSpaceDE w:val="0"/>
        <w:autoSpaceDN w:val="0"/>
        <w:adjustRightInd w:val="0"/>
        <w:spacing w:after="120" w:line="240" w:lineRule="auto"/>
        <w:ind w:left="360"/>
        <w:jc w:val="left"/>
        <w:rPr>
          <w:szCs w:val="22"/>
        </w:rPr>
      </w:pPr>
    </w:p>
    <w:p w:rsidR="002E01E3" w:rsidRDefault="002E01E3" w:rsidP="002E01E3">
      <w:pPr>
        <w:spacing w:after="120"/>
        <w:rPr>
          <w:szCs w:val="22"/>
        </w:rPr>
      </w:pPr>
      <w:r w:rsidRPr="00F779FD">
        <w:rPr>
          <w:szCs w:val="22"/>
        </w:rPr>
        <w:t>The first three of these are outcomes relating to patient health literacy and better healthcare delivery. Item 3) has a beneficial effect on both health outcomes and costs. Better integration between health care professionals could improve overall diabetes management (captured by lowering HbA</w:t>
      </w:r>
      <w:r w:rsidRPr="00DF6573">
        <w:rPr>
          <w:szCs w:val="22"/>
          <w:vertAlign w:val="subscript"/>
        </w:rPr>
        <w:t>1c</w:t>
      </w:r>
      <w:r w:rsidRPr="00DF6573">
        <w:rPr>
          <w:szCs w:val="22"/>
        </w:rPr>
        <w:t>), and increase the chance that adverse events are identi</w:t>
      </w:r>
      <w:r w:rsidRPr="00493232">
        <w:rPr>
          <w:szCs w:val="22"/>
        </w:rPr>
        <w:t>fied in their earlier, more treatable stages. Thus, the effect of item 3) would be to reduce both the number and severity of adverse events, as well as to reduce total costs. Items 4) to 6) relate to cost reduction. In an economic evaluat</w:t>
      </w:r>
      <w:r w:rsidRPr="00790F31">
        <w:rPr>
          <w:szCs w:val="22"/>
        </w:rPr>
        <w:t>ion, all costs would be considered for both treatments and the results compared.</w:t>
      </w:r>
      <w:r>
        <w:rPr>
          <w:szCs w:val="22"/>
        </w:rPr>
        <w:t xml:space="preserve"> </w:t>
      </w:r>
    </w:p>
    <w:p w:rsidR="002E01E3" w:rsidRDefault="002E01E3" w:rsidP="002E01E3">
      <w:pPr>
        <w:pStyle w:val="Heading2"/>
      </w:pPr>
      <w:bookmarkStart w:id="49" w:name="_Toc410649147"/>
      <w:bookmarkStart w:id="50" w:name="_Toc420499073"/>
      <w:r>
        <w:t>Surrogate outcomes</w:t>
      </w:r>
      <w:bookmarkEnd w:id="49"/>
      <w:bookmarkEnd w:id="50"/>
    </w:p>
    <w:p w:rsidR="002E01E3" w:rsidRDefault="002E01E3" w:rsidP="002E01E3">
      <w:pPr>
        <w:spacing w:after="0"/>
        <w:rPr>
          <w:szCs w:val="22"/>
          <w:lang w:eastAsia="ja-JP"/>
        </w:rPr>
      </w:pPr>
      <w:r w:rsidRPr="00F12F1C">
        <w:rPr>
          <w:szCs w:val="22"/>
        </w:rPr>
        <w:t>The primary surrogate clinical outcome</w:t>
      </w:r>
      <w:r w:rsidRPr="00AB0FCC">
        <w:rPr>
          <w:szCs w:val="22"/>
        </w:rPr>
        <w:t xml:space="preserve"> </w:t>
      </w:r>
      <w:r>
        <w:rPr>
          <w:szCs w:val="22"/>
        </w:rPr>
        <w:t xml:space="preserve">for persons with T2DM </w:t>
      </w:r>
      <w:r w:rsidRPr="00AB0FCC">
        <w:rPr>
          <w:szCs w:val="22"/>
        </w:rPr>
        <w:t xml:space="preserve">will be </w:t>
      </w:r>
      <w:r w:rsidRPr="00C974A7">
        <w:rPr>
          <w:szCs w:val="22"/>
          <w:u w:val="single"/>
        </w:rPr>
        <w:t>reduction in HbA</w:t>
      </w:r>
      <w:r w:rsidRPr="00C974A7">
        <w:rPr>
          <w:szCs w:val="22"/>
          <w:u w:val="single"/>
          <w:vertAlign w:val="subscript"/>
        </w:rPr>
        <w:t>1c</w:t>
      </w:r>
      <w:r>
        <w:rPr>
          <w:szCs w:val="22"/>
        </w:rPr>
        <w:t xml:space="preserve">. For a person with established T2DM, this could be </w:t>
      </w:r>
      <w:r w:rsidRPr="00AB0FCC">
        <w:rPr>
          <w:szCs w:val="22"/>
        </w:rPr>
        <w:t>HbA</w:t>
      </w:r>
      <w:r w:rsidRPr="00135F7F">
        <w:rPr>
          <w:szCs w:val="22"/>
          <w:vertAlign w:val="subscript"/>
        </w:rPr>
        <w:t>1c</w:t>
      </w:r>
      <w:r w:rsidRPr="00AB0FCC">
        <w:rPr>
          <w:szCs w:val="22"/>
        </w:rPr>
        <w:t xml:space="preserve"> </w:t>
      </w:r>
      <w:r w:rsidRPr="00AB0FCC">
        <w:rPr>
          <w:szCs w:val="22"/>
          <w:lang w:eastAsia="ja-JP"/>
        </w:rPr>
        <w:t>≤7.0</w:t>
      </w:r>
      <w:r>
        <w:rPr>
          <w:szCs w:val="22"/>
          <w:lang w:eastAsia="ja-JP"/>
        </w:rPr>
        <w:t>%</w:t>
      </w:r>
      <w:r w:rsidRPr="00AB0FCC">
        <w:rPr>
          <w:szCs w:val="22"/>
          <w:lang w:eastAsia="ja-JP"/>
        </w:rPr>
        <w:t xml:space="preserve"> (</w:t>
      </w:r>
      <w:r>
        <w:rPr>
          <w:szCs w:val="22"/>
          <w:lang w:eastAsia="ja-JP"/>
        </w:rPr>
        <w:t xml:space="preserve">range </w:t>
      </w:r>
      <w:r w:rsidRPr="00AB0FCC">
        <w:rPr>
          <w:szCs w:val="22"/>
          <w:lang w:eastAsia="ja-JP"/>
        </w:rPr>
        <w:t xml:space="preserve">6.5-7.5) or ≤53 </w:t>
      </w:r>
      <w:proofErr w:type="spellStart"/>
      <w:r w:rsidRPr="00AB0FCC">
        <w:rPr>
          <w:szCs w:val="22"/>
          <w:lang w:eastAsia="ja-JP"/>
        </w:rPr>
        <w:t>mmol</w:t>
      </w:r>
      <w:proofErr w:type="spellEnd"/>
      <w:r w:rsidRPr="00AB0FCC">
        <w:rPr>
          <w:szCs w:val="22"/>
          <w:lang w:eastAsia="ja-JP"/>
        </w:rPr>
        <w:t>/</w:t>
      </w:r>
      <w:proofErr w:type="spellStart"/>
      <w:r w:rsidRPr="00AB0FCC">
        <w:rPr>
          <w:szCs w:val="22"/>
          <w:lang w:eastAsia="ja-JP"/>
        </w:rPr>
        <w:t>mol</w:t>
      </w:r>
      <w:proofErr w:type="spellEnd"/>
      <w:r w:rsidRPr="00AB0FCC">
        <w:rPr>
          <w:szCs w:val="22"/>
          <w:lang w:eastAsia="ja-JP"/>
        </w:rPr>
        <w:t xml:space="preserve"> (</w:t>
      </w:r>
      <w:r>
        <w:rPr>
          <w:szCs w:val="22"/>
          <w:lang w:eastAsia="ja-JP"/>
        </w:rPr>
        <w:t xml:space="preserve">range </w:t>
      </w:r>
      <w:r w:rsidRPr="00AB0FCC">
        <w:rPr>
          <w:szCs w:val="22"/>
          <w:lang w:eastAsia="ja-JP"/>
        </w:rPr>
        <w:t>48-58)</w:t>
      </w:r>
      <w:r>
        <w:rPr>
          <w:szCs w:val="22"/>
          <w:lang w:eastAsia="ja-JP"/>
        </w:rPr>
        <w:t xml:space="preserve">. However, in clinical practice this specific target is individualised for the patient. It should be as low as reasonably possible with a balance between hyper- and hypoglycaemia </w:t>
      </w:r>
      <w:r>
        <w:rPr>
          <w:szCs w:val="22"/>
          <w:lang w:eastAsia="ja-JP"/>
        </w:rPr>
        <w:fldChar w:fldCharType="begin"/>
      </w:r>
      <w:r>
        <w:rPr>
          <w:szCs w:val="22"/>
          <w:lang w:eastAsia="ja-JP"/>
        </w:rPr>
        <w:instrText xml:space="preserve"> ADDIN EN.CITE &lt;EndNote&gt;&lt;Cite&gt;&lt;Author&gt;Australia&lt;/Author&gt;&lt;Year&gt;2014&lt;/Year&gt;&lt;RecNum&gt;86&lt;/RecNum&gt;&lt;DisplayText&gt;[17]&lt;/DisplayText&gt;&lt;record&gt;&lt;rec-number&gt;86&lt;/rec-number&gt;&lt;foreign-keys&gt;&lt;key app="EN" db-id="edz5s99awvadpbexfxhvwe0ofp2svdwzsdpf" timestamp="1413862725"&gt;86&lt;/key&gt;&lt;/foreign-keys&gt;&lt;ref-type name="Report"&gt;27&lt;/ref-type&gt;&lt;contributors&gt;&lt;authors&gt;&lt;author&gt;Diabetes Australia&lt;/author&gt;&lt;/authors&gt;&lt;/contributors&gt;&lt;titles&gt;&lt;title&gt;General practice management of type 2 diabetes&lt;/title&gt;&lt;/titles&gt;&lt;pages&gt;200&lt;/pages&gt;&lt;dates&gt;&lt;year&gt;2014&lt;/year&gt;&lt;/dates&gt;&lt;pub-location&gt;Australia&lt;/pub-location&gt;&lt;publisher&gt;The Royal Australian College of General Practitioners&lt;/publisher&gt;&lt;urls&gt;&lt;/urls&gt;&lt;/record&gt;&lt;/Cite&gt;&lt;/EndNote&gt;</w:instrText>
      </w:r>
      <w:r>
        <w:rPr>
          <w:szCs w:val="22"/>
          <w:lang w:eastAsia="ja-JP"/>
        </w:rPr>
        <w:fldChar w:fldCharType="separate"/>
      </w:r>
      <w:r>
        <w:rPr>
          <w:noProof/>
          <w:szCs w:val="22"/>
          <w:lang w:eastAsia="ja-JP"/>
        </w:rPr>
        <w:t>[17]</w:t>
      </w:r>
      <w:r>
        <w:rPr>
          <w:szCs w:val="22"/>
          <w:lang w:eastAsia="ja-JP"/>
        </w:rPr>
        <w:fldChar w:fldCharType="end"/>
      </w:r>
      <w:r>
        <w:rPr>
          <w:szCs w:val="22"/>
          <w:lang w:eastAsia="ja-JP"/>
        </w:rPr>
        <w:t>.</w:t>
      </w:r>
    </w:p>
    <w:p w:rsidR="002E01E3" w:rsidRPr="00AB0FCC" w:rsidRDefault="002E01E3" w:rsidP="002E01E3">
      <w:pPr>
        <w:spacing w:after="0"/>
        <w:rPr>
          <w:szCs w:val="22"/>
        </w:rPr>
      </w:pPr>
    </w:p>
    <w:p w:rsidR="00D633D7" w:rsidRDefault="00D633D7">
      <w:pPr>
        <w:spacing w:after="0" w:line="240" w:lineRule="auto"/>
        <w:jc w:val="left"/>
        <w:rPr>
          <w:szCs w:val="22"/>
          <w:lang w:eastAsia="en-AU"/>
        </w:rPr>
      </w:pPr>
      <w:r>
        <w:rPr>
          <w:szCs w:val="22"/>
          <w:lang w:eastAsia="en-AU"/>
        </w:rPr>
        <w:br w:type="page"/>
      </w:r>
    </w:p>
    <w:p w:rsidR="002E01E3" w:rsidRPr="007E127F" w:rsidRDefault="002E01E3" w:rsidP="002E01E3">
      <w:pPr>
        <w:autoSpaceDE w:val="0"/>
        <w:autoSpaceDN w:val="0"/>
        <w:adjustRightInd w:val="0"/>
        <w:spacing w:after="120"/>
        <w:rPr>
          <w:szCs w:val="22"/>
        </w:rPr>
      </w:pPr>
      <w:r>
        <w:rPr>
          <w:szCs w:val="22"/>
          <w:lang w:eastAsia="en-AU"/>
        </w:rPr>
        <w:lastRenderedPageBreak/>
        <w:t>HbA</w:t>
      </w:r>
      <w:r w:rsidRPr="008B28D0">
        <w:rPr>
          <w:szCs w:val="22"/>
          <w:vertAlign w:val="subscript"/>
          <w:lang w:eastAsia="en-AU"/>
        </w:rPr>
        <w:t>1c</w:t>
      </w:r>
      <w:r>
        <w:rPr>
          <w:szCs w:val="22"/>
        </w:rPr>
        <w:t xml:space="preserve"> indicates a person’s average plasma glucose concentration over the last several months. In a person with T2DM, these concentrations are higher than in the general population. The Pharmaceutical Benefits Advisory Committee has considered a reduction of 0.3-0.4% to be clinically relevant </w:t>
      </w:r>
      <w:r>
        <w:rPr>
          <w:szCs w:val="22"/>
        </w:rPr>
        <w:fldChar w:fldCharType="begin"/>
      </w:r>
      <w:r>
        <w:rPr>
          <w:szCs w:val="22"/>
        </w:rPr>
        <w:instrText xml:space="preserve"> ADDIN EN.CITE &lt;EndNote&gt;&lt;Cite&gt;&lt;Author&gt;PBS&lt;/Author&gt;&lt;Year&gt;2010&lt;/Year&gt;&lt;RecNum&gt;123&lt;/RecNum&gt;&lt;DisplayText&gt;[34]&lt;/DisplayText&gt;&lt;record&gt;&lt;rec-number&gt;123&lt;/rec-number&gt;&lt;foreign-keys&gt;&lt;key app="EN" db-id="edz5s99awvadpbexfxhvwe0ofp2svdwzsdpf" timestamp="1414634073"&gt;123&lt;/key&gt;&lt;/foreign-keys&gt;&lt;ref-type name="Government Document"&gt;46&lt;/ref-type&gt;&lt;contributors&gt;&lt;authors&gt;&lt;author&gt;PBS&lt;/author&gt;&lt;/authors&gt;&lt;secondary-authors&gt;&lt;author&gt;Australian Government department of health&lt;/author&gt;&lt;/secondary-authors&gt;&lt;/contributors&gt;&lt;titles&gt;&lt;title&gt;Public Summary Document for Vildagliptin, tablet, 50 mg, Galvus® - March 2010&lt;/title&gt;&lt;/titles&gt;&lt;dates&gt;&lt;year&gt;2010&lt;/year&gt;&lt;/dates&gt;&lt;urls&gt;&lt;/urls&gt;&lt;/record&gt;&lt;/Cite&gt;&lt;/EndNote&gt;</w:instrText>
      </w:r>
      <w:r>
        <w:rPr>
          <w:szCs w:val="22"/>
        </w:rPr>
        <w:fldChar w:fldCharType="separate"/>
      </w:r>
      <w:r>
        <w:rPr>
          <w:noProof/>
          <w:szCs w:val="22"/>
        </w:rPr>
        <w:t>[34]</w:t>
      </w:r>
      <w:r>
        <w:rPr>
          <w:szCs w:val="22"/>
        </w:rPr>
        <w:fldChar w:fldCharType="end"/>
      </w:r>
      <w:r>
        <w:rPr>
          <w:szCs w:val="22"/>
        </w:rPr>
        <w:t xml:space="preserve"> and</w:t>
      </w:r>
      <w:r w:rsidRPr="007E127F">
        <w:rPr>
          <w:szCs w:val="22"/>
        </w:rPr>
        <w:t xml:space="preserve"> </w:t>
      </w:r>
      <w:r>
        <w:rPr>
          <w:szCs w:val="22"/>
        </w:rPr>
        <w:t>is</w:t>
      </w:r>
      <w:r w:rsidRPr="007E127F">
        <w:rPr>
          <w:szCs w:val="22"/>
        </w:rPr>
        <w:t xml:space="preserve"> considered </w:t>
      </w:r>
      <w:r>
        <w:rPr>
          <w:szCs w:val="22"/>
        </w:rPr>
        <w:t xml:space="preserve">to produce </w:t>
      </w:r>
      <w:r w:rsidRPr="007E127F">
        <w:rPr>
          <w:szCs w:val="22"/>
        </w:rPr>
        <w:t>clinically significant</w:t>
      </w:r>
      <w:r>
        <w:rPr>
          <w:szCs w:val="22"/>
        </w:rPr>
        <w:t xml:space="preserve"> improvements</w:t>
      </w:r>
      <w:r w:rsidRPr="007E127F">
        <w:rPr>
          <w:szCs w:val="22"/>
        </w:rPr>
        <w:t>.</w:t>
      </w:r>
      <w:r>
        <w:rPr>
          <w:szCs w:val="22"/>
        </w:rPr>
        <w:t xml:space="preserve"> One older but large trial indicated that a reduction of 1% in HbA</w:t>
      </w:r>
      <w:r w:rsidRPr="008B28D0">
        <w:rPr>
          <w:szCs w:val="22"/>
          <w:vertAlign w:val="subscript"/>
        </w:rPr>
        <w:t>1c</w:t>
      </w:r>
      <w:r>
        <w:rPr>
          <w:szCs w:val="22"/>
        </w:rPr>
        <w:t xml:space="preserve"> was linked to 21% fewer deaths, 14% fewer non-fatal myocardial infarctions and a reduction in microvascular complications (such as retinopathy and nephropathy) by 37% </w:t>
      </w:r>
      <w:r>
        <w:rPr>
          <w:szCs w:val="22"/>
        </w:rPr>
        <w:fldChar w:fldCharType="begin">
          <w:fldData xml:space="preserve">PEVuZE5vdGU+PENpdGU+PEF1dGhvcj5TdHJhdHRvbjwvQXV0aG9yPjxZZWFyPjIwMDA8L1llYXI+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</w:fldData>
        </w:fldChar>
      </w:r>
      <w:r>
        <w:rPr>
          <w:szCs w:val="22"/>
        </w:rPr>
        <w:instrText xml:space="preserve"> ADDIN EN.CITE </w:instrText>
      </w:r>
      <w:r>
        <w:rPr>
          <w:szCs w:val="22"/>
        </w:rPr>
        <w:fldChar w:fldCharType="begin">
          <w:fldData xml:space="preserve">PEVuZE5vdGU+PENpdGU+PEF1dGhvcj5TdHJhdHRvbjwvQXV0aG9yPjxZZWFyPjIwMDA8L1llYXI+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</w:fldData>
        </w:fldChar>
      </w:r>
      <w:r>
        <w:rPr>
          <w:szCs w:val="22"/>
        </w:rPr>
        <w:instrText xml:space="preserve"> ADDIN EN.CITE.DATA </w:instrText>
      </w:r>
      <w:r>
        <w:rPr>
          <w:szCs w:val="22"/>
        </w:rPr>
      </w:r>
      <w:r>
        <w:rPr>
          <w:szCs w:val="22"/>
        </w:rPr>
        <w:fldChar w:fldCharType="end"/>
      </w:r>
      <w:r>
        <w:rPr>
          <w:szCs w:val="22"/>
        </w:rPr>
      </w:r>
      <w:r>
        <w:rPr>
          <w:szCs w:val="22"/>
        </w:rPr>
        <w:fldChar w:fldCharType="separate"/>
      </w:r>
      <w:r>
        <w:rPr>
          <w:noProof/>
          <w:szCs w:val="22"/>
        </w:rPr>
        <w:t>[35]</w:t>
      </w:r>
      <w:r>
        <w:rPr>
          <w:szCs w:val="22"/>
        </w:rPr>
        <w:fldChar w:fldCharType="end"/>
      </w:r>
      <w:r>
        <w:rPr>
          <w:szCs w:val="22"/>
        </w:rPr>
        <w:t xml:space="preserve">. </w:t>
      </w:r>
      <w:r w:rsidRPr="007E127F">
        <w:rPr>
          <w:szCs w:val="22"/>
        </w:rPr>
        <w:t xml:space="preserve"> </w:t>
      </w:r>
    </w:p>
    <w:p w:rsidR="002E01E3" w:rsidRPr="007E127F" w:rsidRDefault="002E01E3" w:rsidP="002E01E3">
      <w:pPr>
        <w:rPr>
          <w:szCs w:val="22"/>
        </w:rPr>
      </w:pPr>
      <w:r w:rsidRPr="00382F76">
        <w:rPr>
          <w:szCs w:val="22"/>
        </w:rPr>
        <w:t>There are several other surrogate clinical outcomes applying to persons with T2DM with direct effect on patient health.</w:t>
      </w:r>
      <w:r>
        <w:rPr>
          <w:szCs w:val="22"/>
        </w:rPr>
        <w:t xml:space="preserve"> </w:t>
      </w:r>
      <w:r w:rsidRPr="007E127F">
        <w:rPr>
          <w:szCs w:val="22"/>
        </w:rPr>
        <w:t xml:space="preserve"> These </w:t>
      </w:r>
      <w:r>
        <w:rPr>
          <w:szCs w:val="22"/>
        </w:rPr>
        <w:t xml:space="preserve">outcomes </w:t>
      </w:r>
      <w:r w:rsidRPr="007E127F">
        <w:rPr>
          <w:szCs w:val="22"/>
        </w:rPr>
        <w:t xml:space="preserve">are presented in </w:t>
      </w:r>
      <w:r>
        <w:rPr>
          <w:szCs w:val="22"/>
        </w:rPr>
        <w:t>T</w:t>
      </w:r>
      <w:r w:rsidRPr="007E127F">
        <w:rPr>
          <w:szCs w:val="22"/>
        </w:rPr>
        <w:t xml:space="preserve">able </w:t>
      </w:r>
      <w:r>
        <w:rPr>
          <w:szCs w:val="22"/>
        </w:rPr>
        <w:t>6</w:t>
      </w:r>
      <w:r w:rsidRPr="007E127F">
        <w:rPr>
          <w:szCs w:val="22"/>
        </w:rPr>
        <w:t>.</w:t>
      </w:r>
    </w:p>
    <w:p w:rsidR="002E01E3" w:rsidRPr="004E4C4D" w:rsidRDefault="002E01E3" w:rsidP="002E01E3">
      <w:pPr>
        <w:pStyle w:val="Caption"/>
      </w:pPr>
      <w:r>
        <w:t>Table 6: Surrogate outcomes</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907"/>
        <w:gridCol w:w="3082"/>
      </w:tblGrid>
      <w:tr w:rsidR="002E01E3" w:rsidRPr="00F7662C">
        <w:trPr>
          <w:tblHeader/>
        </w:trPr>
        <w:tc>
          <w:tcPr>
            <w:tcW w:w="2251" w:type="pct"/>
            <w:shd w:val="clear" w:color="auto" w:fill="auto"/>
          </w:tcPr>
          <w:p w:rsidR="002E01E3" w:rsidRPr="00F7662C" w:rsidRDefault="002E01E3" w:rsidP="002E01E3">
            <w:pPr>
              <w:tabs>
                <w:tab w:val="left" w:pos="2835"/>
              </w:tabs>
              <w:spacing w:before="40" w:after="0"/>
              <w:rPr>
                <w:rFonts w:ascii="Arial Narrow" w:hAnsi="Arial Narrow"/>
                <w:b/>
                <w:sz w:val="20"/>
                <w:lang w:val="en-GB" w:eastAsia="ja-JP"/>
              </w:rPr>
            </w:pPr>
            <w:r w:rsidRPr="00F7662C">
              <w:rPr>
                <w:rFonts w:ascii="Arial Narrow" w:hAnsi="Arial Narrow"/>
                <w:b/>
                <w:sz w:val="20"/>
                <w:lang w:val="en-GB" w:eastAsia="ja-JP"/>
              </w:rPr>
              <w:t>Outcome</w:t>
            </w:r>
          </w:p>
        </w:tc>
        <w:tc>
          <w:tcPr>
            <w:tcW w:w="1051" w:type="pct"/>
            <w:shd w:val="clear" w:color="auto" w:fill="auto"/>
          </w:tcPr>
          <w:p w:rsidR="002E01E3" w:rsidRPr="00F7662C" w:rsidRDefault="002E01E3" w:rsidP="002E01E3">
            <w:pPr>
              <w:tabs>
                <w:tab w:val="left" w:pos="2835"/>
              </w:tabs>
              <w:spacing w:before="40" w:after="0"/>
              <w:jc w:val="center"/>
              <w:rPr>
                <w:rFonts w:ascii="Arial Narrow" w:hAnsi="Arial Narrow"/>
                <w:b/>
                <w:sz w:val="20"/>
                <w:lang w:val="en-GB" w:eastAsia="ja-JP"/>
              </w:rPr>
            </w:pPr>
            <w:r w:rsidRPr="00F7662C">
              <w:rPr>
                <w:rFonts w:ascii="Arial Narrow" w:hAnsi="Arial Narrow"/>
                <w:b/>
                <w:sz w:val="20"/>
                <w:lang w:val="en-GB" w:eastAsia="ja-JP"/>
              </w:rPr>
              <w:t>Optimum control</w:t>
            </w:r>
          </w:p>
        </w:tc>
        <w:tc>
          <w:tcPr>
            <w:tcW w:w="1698" w:type="pct"/>
            <w:shd w:val="clear" w:color="auto" w:fill="auto"/>
          </w:tcPr>
          <w:p w:rsidR="002E01E3" w:rsidRPr="00F7662C" w:rsidRDefault="002E01E3" w:rsidP="002E01E3">
            <w:pPr>
              <w:tabs>
                <w:tab w:val="left" w:pos="2835"/>
              </w:tabs>
              <w:spacing w:before="40" w:after="0"/>
              <w:jc w:val="center"/>
              <w:rPr>
                <w:rFonts w:ascii="Arial Narrow" w:hAnsi="Arial Narrow"/>
                <w:b/>
                <w:sz w:val="20"/>
                <w:lang w:val="en-GB" w:eastAsia="ja-JP"/>
              </w:rPr>
            </w:pPr>
            <w:r w:rsidRPr="00F7662C">
              <w:rPr>
                <w:rFonts w:ascii="Arial Narrow" w:hAnsi="Arial Narrow"/>
                <w:b/>
                <w:sz w:val="20"/>
                <w:lang w:val="en-GB" w:eastAsia="ja-JP"/>
              </w:rPr>
              <w:t>Minimum clinically relevant change</w:t>
            </w:r>
          </w:p>
        </w:tc>
      </w:tr>
      <w:tr w:rsidR="002E01E3" w:rsidRPr="00F7662C">
        <w:trPr>
          <w:tblHeader/>
        </w:trPr>
        <w:tc>
          <w:tcPr>
            <w:tcW w:w="2251" w:type="pct"/>
            <w:shd w:val="clear" w:color="auto" w:fill="auto"/>
          </w:tcPr>
          <w:p w:rsidR="002E01E3" w:rsidRPr="00F779FD" w:rsidRDefault="002E01E3" w:rsidP="002E01E3">
            <w:pPr>
              <w:tabs>
                <w:tab w:val="left" w:pos="2835"/>
              </w:tabs>
              <w:spacing w:before="40" w:after="0"/>
              <w:jc w:val="left"/>
              <w:rPr>
                <w:rFonts w:ascii="Arial Narrow" w:hAnsi="Arial Narrow"/>
                <w:b/>
                <w:sz w:val="20"/>
                <w:lang w:val="en-GB" w:eastAsia="ja-JP"/>
              </w:rPr>
            </w:pPr>
            <w:r w:rsidRPr="00F779FD">
              <w:rPr>
                <w:rFonts w:ascii="Arial Narrow" w:hAnsi="Arial Narrow"/>
                <w:b/>
                <w:sz w:val="20"/>
                <w:lang w:val="en-GB" w:eastAsia="ja-JP"/>
              </w:rPr>
              <w:t>Weight loss in overweight or obese patients</w:t>
            </w:r>
          </w:p>
        </w:tc>
        <w:tc>
          <w:tcPr>
            <w:tcW w:w="1051" w:type="pct"/>
            <w:shd w:val="clear" w:color="auto" w:fill="auto"/>
          </w:tcPr>
          <w:p w:rsidR="002E01E3" w:rsidRPr="00F779FD" w:rsidRDefault="002E01E3" w:rsidP="002E01E3">
            <w:pPr>
              <w:tabs>
                <w:tab w:val="left" w:pos="2835"/>
              </w:tabs>
              <w:spacing w:before="40" w:after="0"/>
              <w:jc w:val="center"/>
              <w:rPr>
                <w:rFonts w:ascii="Arial Narrow" w:hAnsi="Arial Narrow"/>
                <w:sz w:val="20"/>
                <w:lang w:val="en-GB" w:eastAsia="ja-JP"/>
              </w:rPr>
            </w:pPr>
            <w:r w:rsidRPr="00F779FD">
              <w:rPr>
                <w:rFonts w:ascii="Arial Narrow" w:hAnsi="Arial Narrow"/>
                <w:sz w:val="20"/>
                <w:lang w:val="en-GB" w:eastAsia="ja-JP"/>
              </w:rPr>
              <w:t xml:space="preserve">BMI&lt;25 </w:t>
            </w:r>
            <w:r w:rsidRPr="00F779FD">
              <w:rPr>
                <w:rFonts w:ascii="Arial Narrow" w:hAnsi="Arial Narrow"/>
                <w:sz w:val="20"/>
                <w:lang w:val="en-GB" w:eastAsia="ja-JP"/>
              </w:rPr>
              <w:fldChar w:fldCharType="begin"/>
            </w:r>
            <w:r w:rsidRPr="00F779FD">
              <w:rPr>
                <w:rFonts w:ascii="Arial Narrow" w:hAnsi="Arial Narrow"/>
                <w:sz w:val="20"/>
                <w:lang w:val="en-GB" w:eastAsia="ja-JP"/>
              </w:rPr>
              <w:instrText xml:space="preserve"> ADDIN EN.CITE &lt;EndNote&gt;&lt;Cite&gt;&lt;Author&gt;Wing&lt;/Author&gt;&lt;Year&gt;2011&lt;/Year&gt;&lt;RecNum&gt;41&lt;/RecNum&gt;&lt;DisplayText&gt;[36]&lt;/DisplayText&gt;&lt;record&gt;&lt;rec-number&gt;41&lt;/rec-number&gt;&lt;foreign-keys&gt;&lt;key app="EN" db-id="edz5s99awvadpbexfxhvwe0ofp2svdwzsdpf" timestamp="1413242734"&gt;41&lt;/key&gt;&lt;/foreign-keys&gt;&lt;ref-type name="Journal Article"&gt;17&lt;/ref-type&gt;&lt;contributors&gt;&lt;authors&gt;&lt;author&gt;Wing, Rena R&lt;/author&gt;&lt;author&gt;Lang, Wei&lt;/author&gt;&lt;author&gt;Wadden, Thomas A&lt;/author&gt;&lt;author&gt;Safford, Monika&lt;/author&gt;&lt;author&gt;Knowler, William C&lt;/author&gt;&lt;author&gt;Bertoni, Alain G&lt;/author&gt;&lt;author&gt;Hill, James O&lt;/author&gt;&lt;author&gt;Brancati, Frederick L&lt;/author&gt;&lt;author&gt;Peters, Anne&lt;/author&gt;&lt;author&gt;Wagenknecht, Lynne&lt;/author&gt;&lt;/authors&gt;&lt;/contributors&gt;&lt;titles&gt;&lt;title&gt;Benefits of modest weight loss in improving cardiovascular risk factors in overweight and obese individuals with type 2 diabetes&lt;/title&gt;&lt;secondary-title&gt;Diabetes care&lt;/secondary-title&gt;&lt;/titles&gt;&lt;periodical&gt;&lt;full-title&gt;Diabetes care&lt;/full-title&gt;&lt;/periodical&gt;&lt;pages&gt;1481-1486&lt;/pages&gt;&lt;volume&gt;34&lt;/volume&gt;&lt;number&gt;7&lt;/number&gt;&lt;dates&gt;&lt;year&gt;2011&lt;/year&gt;&lt;/dates&gt;&lt;isbn&gt;0149-5992&lt;/isbn&gt;&lt;urls&gt;&lt;/urls&gt;&lt;/record&gt;&lt;/Cite&gt;&lt;/EndNote&gt;</w:instrText>
            </w:r>
            <w:r w:rsidRPr="00F779FD">
              <w:rPr>
                <w:rFonts w:ascii="Arial Narrow" w:hAnsi="Arial Narrow"/>
                <w:sz w:val="20"/>
                <w:lang w:val="en-GB" w:eastAsia="ja-JP"/>
              </w:rPr>
              <w:fldChar w:fldCharType="separate"/>
            </w:r>
            <w:r w:rsidRPr="00F779FD">
              <w:rPr>
                <w:rFonts w:ascii="Arial Narrow" w:hAnsi="Arial Narrow"/>
                <w:noProof/>
                <w:sz w:val="20"/>
                <w:lang w:val="en-GB" w:eastAsia="ja-JP"/>
              </w:rPr>
              <w:t>[36]</w:t>
            </w:r>
            <w:r w:rsidRPr="00F779FD">
              <w:rPr>
                <w:rFonts w:ascii="Arial Narrow" w:hAnsi="Arial Narrow"/>
                <w:sz w:val="20"/>
                <w:lang w:val="en-GB" w:eastAsia="ja-JP"/>
              </w:rPr>
              <w:fldChar w:fldCharType="end"/>
            </w:r>
          </w:p>
        </w:tc>
        <w:tc>
          <w:tcPr>
            <w:tcW w:w="1698" w:type="pct"/>
            <w:shd w:val="clear" w:color="auto" w:fill="auto"/>
          </w:tcPr>
          <w:p w:rsidR="002E01E3" w:rsidRPr="00F779FD" w:rsidRDefault="002E01E3" w:rsidP="002E01E3">
            <w:pPr>
              <w:tabs>
                <w:tab w:val="left" w:pos="2835"/>
              </w:tabs>
              <w:spacing w:before="40" w:after="0"/>
              <w:jc w:val="center"/>
              <w:rPr>
                <w:rFonts w:ascii="Arial Narrow" w:hAnsi="Arial Narrow"/>
                <w:sz w:val="20"/>
                <w:lang w:val="en-GB" w:eastAsia="ja-JP"/>
              </w:rPr>
            </w:pPr>
            <w:r w:rsidRPr="00F779FD">
              <w:rPr>
                <w:rFonts w:ascii="Arial Narrow" w:hAnsi="Arial Narrow"/>
                <w:sz w:val="20"/>
                <w:lang w:val="en-GB" w:eastAsia="ja-JP"/>
              </w:rPr>
              <w:t xml:space="preserve">5-10% of total body weight </w:t>
            </w:r>
            <w:r w:rsidRPr="00F779FD">
              <w:rPr>
                <w:rFonts w:ascii="Arial Narrow" w:hAnsi="Arial Narrow"/>
                <w:sz w:val="20"/>
                <w:lang w:val="en-GB" w:eastAsia="ja-JP"/>
              </w:rPr>
              <w:fldChar w:fldCharType="begin"/>
            </w:r>
            <w:r w:rsidRPr="00F779FD">
              <w:rPr>
                <w:rFonts w:ascii="Arial Narrow" w:hAnsi="Arial Narrow"/>
                <w:sz w:val="20"/>
                <w:lang w:val="en-GB" w:eastAsia="ja-JP"/>
              </w:rPr>
              <w:instrText xml:space="preserve"> ADDIN EN.CITE &lt;EndNote&gt;&lt;Cite&gt;&lt;Author&gt;Wing&lt;/Author&gt;&lt;Year&gt;2011&lt;/Year&gt;&lt;RecNum&gt;41&lt;/RecNum&gt;&lt;DisplayText&gt;[36]&lt;/DisplayText&gt;&lt;record&gt;&lt;rec-number&gt;41&lt;/rec-number&gt;&lt;foreign-keys&gt;&lt;key app="EN" db-id="edz5s99awvadpbexfxhvwe0ofp2svdwzsdpf" timestamp="1413242734"&gt;41&lt;/key&gt;&lt;/foreign-keys&gt;&lt;ref-type name="Journal Article"&gt;17&lt;/ref-type&gt;&lt;contributors&gt;&lt;authors&gt;&lt;author&gt;Wing, Rena R&lt;/author&gt;&lt;author&gt;Lang, Wei&lt;/author&gt;&lt;author&gt;Wadden, Thomas A&lt;/author&gt;&lt;author&gt;Safford, Monika&lt;/author&gt;&lt;author&gt;Knowler, William C&lt;/author&gt;&lt;author&gt;Bertoni, Alain G&lt;/author&gt;&lt;author&gt;Hill, James O&lt;/author&gt;&lt;author&gt;Brancati, Frederick L&lt;/author&gt;&lt;author&gt;Peters, Anne&lt;/author&gt;&lt;author&gt;Wagenknecht, Lynne&lt;/author&gt;&lt;/authors&gt;&lt;/contributors&gt;&lt;titles&gt;&lt;title&gt;Benefits of modest weight loss in improving cardiovascular risk factors in overweight and obese individuals with type 2 diabetes&lt;/title&gt;&lt;secondary-title&gt;Diabetes care&lt;/secondary-title&gt;&lt;/titles&gt;&lt;periodical&gt;&lt;full-title&gt;Diabetes care&lt;/full-title&gt;&lt;/periodical&gt;&lt;pages&gt;1481-1486&lt;/pages&gt;&lt;volume&gt;34&lt;/volume&gt;&lt;number&gt;7&lt;/number&gt;&lt;dates&gt;&lt;year&gt;2011&lt;/year&gt;&lt;/dates&gt;&lt;isbn&gt;0149-5992&lt;/isbn&gt;&lt;urls&gt;&lt;/urls&gt;&lt;/record&gt;&lt;/Cite&gt;&lt;/EndNote&gt;</w:instrText>
            </w:r>
            <w:r w:rsidRPr="00F779FD">
              <w:rPr>
                <w:rFonts w:ascii="Arial Narrow" w:hAnsi="Arial Narrow"/>
                <w:sz w:val="20"/>
                <w:lang w:val="en-GB" w:eastAsia="ja-JP"/>
              </w:rPr>
              <w:fldChar w:fldCharType="separate"/>
            </w:r>
            <w:r w:rsidRPr="00F779FD">
              <w:rPr>
                <w:rFonts w:ascii="Arial Narrow" w:hAnsi="Arial Narrow"/>
                <w:noProof/>
                <w:sz w:val="20"/>
                <w:lang w:val="en-GB" w:eastAsia="ja-JP"/>
              </w:rPr>
              <w:t>[36]</w:t>
            </w:r>
            <w:r w:rsidRPr="00F779FD">
              <w:rPr>
                <w:rFonts w:ascii="Arial Narrow" w:hAnsi="Arial Narrow"/>
                <w:sz w:val="20"/>
                <w:lang w:val="en-GB" w:eastAsia="ja-JP"/>
              </w:rPr>
              <w:fldChar w:fldCharType="end"/>
            </w:r>
          </w:p>
        </w:tc>
      </w:tr>
      <w:tr w:rsidR="002E01E3" w:rsidRPr="00F7662C">
        <w:trPr>
          <w:tblHeader/>
        </w:trPr>
        <w:tc>
          <w:tcPr>
            <w:tcW w:w="2251" w:type="pct"/>
            <w:shd w:val="clear" w:color="auto" w:fill="auto"/>
          </w:tcPr>
          <w:p w:rsidR="002E01E3" w:rsidRPr="00F7662C" w:rsidRDefault="002E01E3" w:rsidP="002E01E3">
            <w:pPr>
              <w:tabs>
                <w:tab w:val="left" w:pos="2835"/>
              </w:tabs>
              <w:spacing w:before="40" w:after="0"/>
              <w:jc w:val="left"/>
              <w:rPr>
                <w:rFonts w:ascii="Arial Narrow" w:hAnsi="Arial Narrow"/>
                <w:b/>
                <w:sz w:val="20"/>
                <w:lang w:val="en-GB" w:eastAsia="ja-JP"/>
              </w:rPr>
            </w:pPr>
            <w:r w:rsidRPr="00F7662C">
              <w:rPr>
                <w:rFonts w:ascii="Arial Narrow" w:hAnsi="Arial Narrow"/>
                <w:b/>
                <w:sz w:val="20"/>
                <w:lang w:val="en-GB" w:eastAsia="ja-JP"/>
              </w:rPr>
              <w:t>Blood pressure</w:t>
            </w:r>
          </w:p>
        </w:tc>
        <w:tc>
          <w:tcPr>
            <w:tcW w:w="1051" w:type="pct"/>
            <w:shd w:val="clear" w:color="auto" w:fill="auto"/>
          </w:tcPr>
          <w:p w:rsidR="002E01E3" w:rsidRPr="00F7662C" w:rsidRDefault="002E01E3" w:rsidP="002E01E3">
            <w:pPr>
              <w:tabs>
                <w:tab w:val="left" w:pos="2835"/>
              </w:tabs>
              <w:spacing w:before="40" w:after="0"/>
              <w:jc w:val="center"/>
              <w:rPr>
                <w:rFonts w:ascii="Arial Narrow" w:hAnsi="Arial Narrow"/>
                <w:sz w:val="20"/>
                <w:lang w:val="en-GB" w:eastAsia="ja-JP"/>
              </w:rPr>
            </w:pPr>
            <w:r w:rsidRPr="00F7662C">
              <w:rPr>
                <w:rFonts w:ascii="Arial Narrow" w:hAnsi="Arial Narrow"/>
                <w:sz w:val="20"/>
              </w:rPr>
              <w:t xml:space="preserve">&lt;130/80 mmHg </w:t>
            </w:r>
            <w:r w:rsidRPr="00F7662C">
              <w:rPr>
                <w:rFonts w:ascii="Arial Narrow" w:hAnsi="Arial Narrow"/>
                <w:sz w:val="20"/>
              </w:rPr>
              <w:fldChar w:fldCharType="begin"/>
            </w:r>
            <w:r>
              <w:rPr>
                <w:rFonts w:ascii="Arial Narrow" w:hAnsi="Arial Narrow"/>
                <w:sz w:val="20"/>
              </w:rPr>
              <w:instrText xml:space="preserve"> ADDIN EN.CITE &lt;EndNote&gt;&lt;Cite&gt;&lt;Author&gt;Australia&lt;/Author&gt;&lt;Year&gt;2014&lt;/Year&gt;&lt;RecNum&gt;86&lt;/RecNum&gt;&lt;DisplayText&gt;[17]&lt;/DisplayText&gt;&lt;record&gt;&lt;rec-number&gt;86&lt;/rec-number&gt;&lt;foreign-keys&gt;&lt;key app="EN" db-id="edz5s99awvadpbexfxhvwe0ofp2svdwzsdpf" timestamp="1413862725"&gt;86&lt;/key&gt;&lt;/foreign-keys&gt;&lt;ref-type name="Report"&gt;27&lt;/ref-type&gt;&lt;contributors&gt;&lt;authors&gt;&lt;author&gt;Diabetes Australia&lt;/author&gt;&lt;/authors&gt;&lt;/contributors&gt;&lt;titles&gt;&lt;title&gt;General practice management of type 2 diabetes&lt;/title&gt;&lt;/titles&gt;&lt;pages&gt;200&lt;/pages&gt;&lt;dates&gt;&lt;year&gt;2014&lt;/year&gt;&lt;/dates&gt;&lt;pub-location&gt;Australia&lt;/pub-location&gt;&lt;publisher&gt;The Royal Australian College of General Practitioners&lt;/publisher&gt;&lt;urls&gt;&lt;/urls&gt;&lt;/record&gt;&lt;/Cite&gt;&lt;/EndNote&gt;</w:instrText>
            </w:r>
            <w:r w:rsidRPr="00F7662C">
              <w:rPr>
                <w:rFonts w:ascii="Arial Narrow" w:hAnsi="Arial Narrow"/>
                <w:sz w:val="20"/>
              </w:rPr>
              <w:fldChar w:fldCharType="separate"/>
            </w:r>
            <w:r>
              <w:rPr>
                <w:rFonts w:ascii="Arial Narrow" w:hAnsi="Arial Narrow"/>
                <w:noProof/>
                <w:sz w:val="20"/>
              </w:rPr>
              <w:t>[17]</w:t>
            </w:r>
            <w:r w:rsidRPr="00F7662C">
              <w:rPr>
                <w:rFonts w:ascii="Arial Narrow" w:hAnsi="Arial Narrow"/>
                <w:sz w:val="20"/>
              </w:rPr>
              <w:fldChar w:fldCharType="end"/>
            </w:r>
          </w:p>
        </w:tc>
        <w:tc>
          <w:tcPr>
            <w:tcW w:w="1698" w:type="pct"/>
            <w:shd w:val="clear" w:color="auto" w:fill="auto"/>
          </w:tcPr>
          <w:p w:rsidR="002E01E3" w:rsidRPr="00F7662C" w:rsidRDefault="002E01E3" w:rsidP="002E01E3">
            <w:pPr>
              <w:tabs>
                <w:tab w:val="left" w:pos="2835"/>
              </w:tabs>
              <w:spacing w:before="40" w:after="0"/>
              <w:jc w:val="center"/>
              <w:rPr>
                <w:rFonts w:ascii="Arial Narrow" w:hAnsi="Arial Narrow"/>
                <w:sz w:val="20"/>
                <w:lang w:val="en-GB" w:eastAsia="ja-JP"/>
              </w:rPr>
            </w:pPr>
            <w:r w:rsidRPr="00F7662C">
              <w:rPr>
                <w:rFonts w:ascii="Arial Narrow" w:hAnsi="Arial Narrow"/>
                <w:sz w:val="20"/>
              </w:rPr>
              <w:t xml:space="preserve">10 mmHg systolic </w:t>
            </w:r>
            <w:r w:rsidRPr="00F7662C">
              <w:rPr>
                <w:rFonts w:ascii="Arial Narrow" w:hAnsi="Arial Narrow"/>
                <w:sz w:val="20"/>
              </w:rPr>
              <w:fldChar w:fldCharType="begin"/>
            </w:r>
            <w:r>
              <w:rPr>
                <w:rFonts w:ascii="Arial Narrow" w:hAnsi="Arial Narrow"/>
                <w:sz w:val="20"/>
              </w:rPr>
              <w:instrText xml:space="preserve"> ADDIN EN.CITE &lt;EndNote&gt;&lt;Cite&gt;&lt;Author&gt;Association&lt;/Author&gt;&lt;Year&gt;2013&lt;/Year&gt;&lt;RecNum&gt;77&lt;/RecNum&gt;&lt;DisplayText&gt;[37]&lt;/DisplayText&gt;&lt;record&gt;&lt;rec-number&gt;77&lt;/rec-number&gt;&lt;foreign-keys&gt;&lt;key app="EN" db-id="edz5s99awvadpbexfxhvwe0ofp2svdwzsdpf" timestamp="1413522524"&gt;77&lt;/key&gt;&lt;/foreign-keys&gt;&lt;ref-type name="Journal Article"&gt;17&lt;/ref-type&gt;&lt;contributors&gt;&lt;authors&gt;&lt;author&gt;American Diabetes Association&lt;/author&gt;&lt;/authors&gt;&lt;/contributors&gt;&lt;titles&gt;&lt;title&gt;Standards of medical care in diabetes—2013&lt;/title&gt;&lt;secondary-title&gt;Diabetes care&lt;/secondary-title&gt;&lt;/titles&gt;&lt;periodical&gt;&lt;full-title&gt;Diabetes care&lt;/full-title&gt;&lt;/periodical&gt;&lt;pages&gt;S11&lt;/pages&gt;&lt;volume&gt;36&lt;/volume&gt;&lt;number&gt;Suppl 1&lt;/number&gt;&lt;dates&gt;&lt;year&gt;2013&lt;/year&gt;&lt;/dates&gt;&lt;urls&gt;&lt;/urls&gt;&lt;/record&gt;&lt;/Cite&gt;&lt;/EndNote&gt;</w:instrText>
            </w:r>
            <w:r w:rsidRPr="00F7662C">
              <w:rPr>
                <w:rFonts w:ascii="Arial Narrow" w:hAnsi="Arial Narrow"/>
                <w:sz w:val="20"/>
              </w:rPr>
              <w:fldChar w:fldCharType="separate"/>
            </w:r>
            <w:r>
              <w:rPr>
                <w:rFonts w:ascii="Arial Narrow" w:hAnsi="Arial Narrow"/>
                <w:noProof/>
                <w:sz w:val="20"/>
              </w:rPr>
              <w:t>[37]</w:t>
            </w:r>
            <w:r w:rsidRPr="00F7662C">
              <w:rPr>
                <w:rFonts w:ascii="Arial Narrow" w:hAnsi="Arial Narrow"/>
                <w:sz w:val="20"/>
              </w:rPr>
              <w:fldChar w:fldCharType="end"/>
            </w:r>
          </w:p>
        </w:tc>
      </w:tr>
      <w:tr w:rsidR="002E01E3" w:rsidRPr="00F7662C">
        <w:trPr>
          <w:tblHeader/>
        </w:trPr>
        <w:tc>
          <w:tcPr>
            <w:tcW w:w="2251" w:type="pct"/>
            <w:shd w:val="clear" w:color="auto" w:fill="auto"/>
          </w:tcPr>
          <w:p w:rsidR="002E01E3" w:rsidRPr="00F7662C" w:rsidRDefault="002E01E3" w:rsidP="002E01E3">
            <w:pPr>
              <w:tabs>
                <w:tab w:val="left" w:pos="2835"/>
              </w:tabs>
              <w:spacing w:before="40" w:after="0"/>
              <w:jc w:val="left"/>
              <w:rPr>
                <w:rFonts w:ascii="Arial Narrow" w:hAnsi="Arial Narrow"/>
                <w:b/>
                <w:sz w:val="20"/>
                <w:lang w:val="en-GB" w:eastAsia="ja-JP"/>
              </w:rPr>
            </w:pPr>
            <w:r w:rsidRPr="00F7662C">
              <w:rPr>
                <w:rFonts w:ascii="Arial Narrow" w:hAnsi="Arial Narrow"/>
                <w:b/>
                <w:sz w:val="20"/>
                <w:lang w:val="en-GB" w:eastAsia="ja-JP"/>
              </w:rPr>
              <w:t>LDL cholesterol</w:t>
            </w:r>
          </w:p>
        </w:tc>
        <w:tc>
          <w:tcPr>
            <w:tcW w:w="1051" w:type="pct"/>
            <w:shd w:val="clear" w:color="auto" w:fill="auto"/>
          </w:tcPr>
          <w:p w:rsidR="002E01E3" w:rsidRPr="00F7662C" w:rsidRDefault="002E01E3" w:rsidP="002E01E3">
            <w:pPr>
              <w:tabs>
                <w:tab w:val="left" w:pos="2835"/>
              </w:tabs>
              <w:spacing w:before="40" w:after="0"/>
              <w:jc w:val="center"/>
              <w:rPr>
                <w:rFonts w:ascii="Arial Narrow" w:hAnsi="Arial Narrow"/>
                <w:sz w:val="20"/>
                <w:lang w:val="en-GB" w:eastAsia="ja-JP"/>
              </w:rPr>
            </w:pPr>
            <w:r w:rsidRPr="00F7662C">
              <w:rPr>
                <w:rFonts w:ascii="Arial Narrow" w:hAnsi="Arial Narrow"/>
                <w:sz w:val="20"/>
                <w:lang w:val="en-GB" w:eastAsia="ja-JP"/>
              </w:rPr>
              <w:t xml:space="preserve">&lt;2.0mmol/L </w:t>
            </w:r>
            <w:r w:rsidRPr="00F7662C">
              <w:rPr>
                <w:rFonts w:ascii="Arial Narrow" w:hAnsi="Arial Narrow"/>
                <w:sz w:val="20"/>
                <w:lang w:val="en-GB" w:eastAsia="ja-JP"/>
              </w:rPr>
              <w:fldChar w:fldCharType="begin"/>
            </w:r>
            <w:r>
              <w:rPr>
                <w:rFonts w:ascii="Arial Narrow" w:hAnsi="Arial Narrow"/>
                <w:sz w:val="20"/>
                <w:lang w:val="en-GB" w:eastAsia="ja-JP"/>
              </w:rPr>
              <w:instrText xml:space="preserve"> ADDIN EN.CITE &lt;EndNote&gt;&lt;Cite&gt;&lt;Author&gt;Australia&lt;/Author&gt;&lt;Year&gt;2014&lt;/Year&gt;&lt;RecNum&gt;86&lt;/RecNum&gt;&lt;DisplayText&gt;[17]&lt;/DisplayText&gt;&lt;record&gt;&lt;rec-number&gt;86&lt;/rec-number&gt;&lt;foreign-keys&gt;&lt;key app="EN" db-id="edz5s99awvadpbexfxhvwe0ofp2svdwzsdpf" timestamp="1413862725"&gt;86&lt;/key&gt;&lt;/foreign-keys&gt;&lt;ref-type name="Report"&gt;27&lt;/ref-type&gt;&lt;contributors&gt;&lt;authors&gt;&lt;author&gt;Diabetes Australia&lt;/author&gt;&lt;/authors&gt;&lt;/contributors&gt;&lt;titles&gt;&lt;title&gt;General practice management of type 2 diabetes&lt;/title&gt;&lt;/titles&gt;&lt;pages&gt;200&lt;/pages&gt;&lt;dates&gt;&lt;year&gt;2014&lt;/year&gt;&lt;/dates&gt;&lt;pub-location&gt;Australia&lt;/pub-location&gt;&lt;publisher&gt;The Royal Australian College of General Practitioners&lt;/publisher&gt;&lt;urls&gt;&lt;/urls&gt;&lt;/record&gt;&lt;/Cite&gt;&lt;/EndNote&gt;</w:instrText>
            </w:r>
            <w:r w:rsidRPr="00F7662C">
              <w:rPr>
                <w:rFonts w:ascii="Arial Narrow" w:hAnsi="Arial Narrow"/>
                <w:sz w:val="20"/>
                <w:lang w:val="en-GB" w:eastAsia="ja-JP"/>
              </w:rPr>
              <w:fldChar w:fldCharType="separate"/>
            </w:r>
            <w:r>
              <w:rPr>
                <w:rFonts w:ascii="Arial Narrow" w:hAnsi="Arial Narrow"/>
                <w:noProof/>
                <w:sz w:val="20"/>
                <w:lang w:val="en-GB" w:eastAsia="ja-JP"/>
              </w:rPr>
              <w:t>[17]</w:t>
            </w:r>
            <w:r w:rsidRPr="00F7662C">
              <w:rPr>
                <w:rFonts w:ascii="Arial Narrow" w:hAnsi="Arial Narrow"/>
                <w:sz w:val="20"/>
                <w:lang w:val="en-GB" w:eastAsia="ja-JP"/>
              </w:rPr>
              <w:fldChar w:fldCharType="end"/>
            </w:r>
          </w:p>
        </w:tc>
        <w:tc>
          <w:tcPr>
            <w:tcW w:w="1698" w:type="pct"/>
            <w:shd w:val="clear" w:color="auto" w:fill="auto"/>
          </w:tcPr>
          <w:p w:rsidR="002E01E3" w:rsidRPr="00F7662C" w:rsidRDefault="002E01E3" w:rsidP="002E01E3">
            <w:pPr>
              <w:tabs>
                <w:tab w:val="left" w:pos="2835"/>
              </w:tabs>
              <w:spacing w:before="40" w:after="0"/>
              <w:jc w:val="center"/>
              <w:rPr>
                <w:rFonts w:ascii="Arial Narrow" w:hAnsi="Arial Narrow"/>
                <w:sz w:val="20"/>
                <w:lang w:val="en-GB" w:eastAsia="ja-JP"/>
              </w:rPr>
            </w:pPr>
            <w:r w:rsidRPr="00F7662C">
              <w:rPr>
                <w:rFonts w:ascii="Arial Narrow" w:hAnsi="Arial Narrow"/>
                <w:sz w:val="20"/>
                <w:lang w:val="en-GB" w:eastAsia="ja-JP"/>
              </w:rPr>
              <w:t xml:space="preserve">0.5mmol/L </w:t>
            </w:r>
            <w:r w:rsidRPr="00F7662C">
              <w:rPr>
                <w:rFonts w:ascii="Arial Narrow" w:hAnsi="Arial Narrow"/>
                <w:sz w:val="20"/>
                <w:lang w:val="en-GB" w:eastAsia="ja-JP"/>
              </w:rPr>
              <w:fldChar w:fldCharType="begin"/>
            </w:r>
            <w:r>
              <w:rPr>
                <w:rFonts w:ascii="Arial Narrow" w:hAnsi="Arial Narrow"/>
                <w:sz w:val="20"/>
                <w:lang w:val="en-GB" w:eastAsia="ja-JP"/>
              </w:rPr>
              <w:instrText xml:space="preserve"> ADDIN EN.CITE &lt;EndNote&gt;&lt;Cite&gt;&lt;Author&gt;Nesto&lt;/Author&gt;&lt;Year&gt;2008&lt;/Year&gt;&lt;RecNum&gt;42&lt;/RecNum&gt;&lt;DisplayText&gt;[38]&lt;/DisplayText&gt;&lt;record&gt;&lt;rec-number&gt;42&lt;/rec-number&gt;&lt;foreign-keys&gt;&lt;key app="EN" db-id="edz5s99awvadpbexfxhvwe0ofp2svdwzsdpf" timestamp="1413242763"&gt;42&lt;/key&gt;&lt;/foreign-keys&gt;&lt;ref-type name="Journal Article"&gt;17&lt;/ref-type&gt;&lt;contributors&gt;&lt;authors&gt;&lt;author&gt;Nesto, Richard W&lt;/author&gt;&lt;/authors&gt;&lt;/contributors&gt;&lt;titles&gt;&lt;title&gt;LDL Cholesterol Lowering in Type 2 Diabetes: What Is the Optimum Approach?&lt;/title&gt;&lt;secondary-title&gt;Clinical Diabetes&lt;/secondary-title&gt;&lt;/titles&gt;&lt;periodical&gt;&lt;full-title&gt;Clinical Diabetes&lt;/full-title&gt;&lt;/periodical&gt;&lt;pages&gt;8-13&lt;/pages&gt;&lt;volume&gt;26&lt;/volume&gt;&lt;number&gt;1&lt;/number&gt;&lt;dates&gt;&lt;year&gt;2008&lt;/year&gt;&lt;/dates&gt;&lt;isbn&gt;0891-8929&lt;/isbn&gt;&lt;urls&gt;&lt;/urls&gt;&lt;/record&gt;&lt;/Cite&gt;&lt;/EndNote&gt;</w:instrText>
            </w:r>
            <w:r w:rsidRPr="00F7662C">
              <w:rPr>
                <w:rFonts w:ascii="Arial Narrow" w:hAnsi="Arial Narrow"/>
                <w:sz w:val="20"/>
                <w:lang w:val="en-GB" w:eastAsia="ja-JP"/>
              </w:rPr>
              <w:fldChar w:fldCharType="separate"/>
            </w:r>
            <w:r>
              <w:rPr>
                <w:rFonts w:ascii="Arial Narrow" w:hAnsi="Arial Narrow"/>
                <w:noProof/>
                <w:sz w:val="20"/>
                <w:lang w:val="en-GB" w:eastAsia="ja-JP"/>
              </w:rPr>
              <w:t>[38]</w:t>
            </w:r>
            <w:r w:rsidRPr="00F7662C">
              <w:rPr>
                <w:rFonts w:ascii="Arial Narrow" w:hAnsi="Arial Narrow"/>
                <w:sz w:val="20"/>
                <w:lang w:val="en-GB" w:eastAsia="ja-JP"/>
              </w:rPr>
              <w:fldChar w:fldCharType="end"/>
            </w:r>
          </w:p>
        </w:tc>
      </w:tr>
      <w:tr w:rsidR="002E01E3" w:rsidRPr="00F7662C">
        <w:trPr>
          <w:tblHeader/>
        </w:trPr>
        <w:tc>
          <w:tcPr>
            <w:tcW w:w="2251" w:type="pct"/>
            <w:shd w:val="clear" w:color="auto" w:fill="auto"/>
          </w:tcPr>
          <w:p w:rsidR="002E01E3" w:rsidRPr="00F7662C" w:rsidRDefault="002E01E3" w:rsidP="002E01E3">
            <w:pPr>
              <w:tabs>
                <w:tab w:val="left" w:pos="2835"/>
              </w:tabs>
              <w:spacing w:before="40" w:after="0"/>
              <w:jc w:val="left"/>
              <w:rPr>
                <w:rFonts w:ascii="Arial Narrow" w:hAnsi="Arial Narrow"/>
                <w:b/>
                <w:sz w:val="20"/>
                <w:lang w:val="en-GB" w:eastAsia="ja-JP"/>
              </w:rPr>
            </w:pPr>
            <w:r w:rsidRPr="00F7662C">
              <w:rPr>
                <w:rFonts w:ascii="Arial Narrow" w:hAnsi="Arial Narrow"/>
                <w:b/>
                <w:sz w:val="20"/>
                <w:lang w:val="en-GB" w:eastAsia="ja-JP"/>
              </w:rPr>
              <w:t>Triglycerides</w:t>
            </w:r>
          </w:p>
        </w:tc>
        <w:tc>
          <w:tcPr>
            <w:tcW w:w="1051" w:type="pct"/>
            <w:shd w:val="clear" w:color="auto" w:fill="auto"/>
          </w:tcPr>
          <w:p w:rsidR="002E01E3" w:rsidRPr="00F7662C" w:rsidRDefault="002E01E3" w:rsidP="002E01E3">
            <w:pPr>
              <w:tabs>
                <w:tab w:val="left" w:pos="2835"/>
              </w:tabs>
              <w:spacing w:before="40" w:after="0"/>
              <w:jc w:val="center"/>
              <w:rPr>
                <w:rFonts w:ascii="Arial Narrow" w:hAnsi="Arial Narrow"/>
                <w:sz w:val="20"/>
                <w:lang w:val="en-GB" w:eastAsia="ja-JP"/>
              </w:rPr>
            </w:pPr>
            <w:r w:rsidRPr="00F7662C">
              <w:rPr>
                <w:rFonts w:ascii="Arial Narrow" w:hAnsi="Arial Narrow"/>
                <w:sz w:val="20"/>
                <w:lang w:val="en-GB" w:eastAsia="ja-JP"/>
              </w:rPr>
              <w:t xml:space="preserve">&lt; 2.0mmol/L </w:t>
            </w:r>
            <w:r w:rsidRPr="00F7662C">
              <w:rPr>
                <w:rFonts w:ascii="Arial Narrow" w:hAnsi="Arial Narrow"/>
                <w:sz w:val="20"/>
                <w:lang w:val="en-GB" w:eastAsia="ja-JP"/>
              </w:rPr>
              <w:fldChar w:fldCharType="begin"/>
            </w:r>
            <w:r>
              <w:rPr>
                <w:rFonts w:ascii="Arial Narrow" w:hAnsi="Arial Narrow"/>
                <w:sz w:val="20"/>
                <w:lang w:val="en-GB" w:eastAsia="ja-JP"/>
              </w:rPr>
              <w:instrText xml:space="preserve"> ADDIN EN.CITE &lt;EndNote&gt;&lt;Cite&gt;&lt;Author&gt;Australia&lt;/Author&gt;&lt;Year&gt;2014&lt;/Year&gt;&lt;RecNum&gt;86&lt;/RecNum&gt;&lt;DisplayText&gt;[17]&lt;/DisplayText&gt;&lt;record&gt;&lt;rec-number&gt;86&lt;/rec-number&gt;&lt;foreign-keys&gt;&lt;key app="EN" db-id="edz5s99awvadpbexfxhvwe0ofp2svdwzsdpf" timestamp="1413862725"&gt;86&lt;/key&gt;&lt;/foreign-keys&gt;&lt;ref-type name="Report"&gt;27&lt;/ref-type&gt;&lt;contributors&gt;&lt;authors&gt;&lt;author&gt;Diabetes Australia&lt;/author&gt;&lt;/authors&gt;&lt;/contributors&gt;&lt;titles&gt;&lt;title&gt;General practice management of type 2 diabetes&lt;/title&gt;&lt;/titles&gt;&lt;pages&gt;200&lt;/pages&gt;&lt;dates&gt;&lt;year&gt;2014&lt;/year&gt;&lt;/dates&gt;&lt;pub-location&gt;Australia&lt;/pub-location&gt;&lt;publisher&gt;The Royal Australian College of General Practitioners&lt;/publisher&gt;&lt;urls&gt;&lt;/urls&gt;&lt;/record&gt;&lt;/Cite&gt;&lt;/EndNote&gt;</w:instrText>
            </w:r>
            <w:r w:rsidRPr="00F7662C">
              <w:rPr>
                <w:rFonts w:ascii="Arial Narrow" w:hAnsi="Arial Narrow"/>
                <w:sz w:val="20"/>
                <w:lang w:val="en-GB" w:eastAsia="ja-JP"/>
              </w:rPr>
              <w:fldChar w:fldCharType="separate"/>
            </w:r>
            <w:r>
              <w:rPr>
                <w:rFonts w:ascii="Arial Narrow" w:hAnsi="Arial Narrow"/>
                <w:noProof/>
                <w:sz w:val="20"/>
                <w:lang w:val="en-GB" w:eastAsia="ja-JP"/>
              </w:rPr>
              <w:t>[17]</w:t>
            </w:r>
            <w:r w:rsidRPr="00F7662C">
              <w:rPr>
                <w:rFonts w:ascii="Arial Narrow" w:hAnsi="Arial Narrow"/>
                <w:sz w:val="20"/>
                <w:lang w:val="en-GB" w:eastAsia="ja-JP"/>
              </w:rPr>
              <w:fldChar w:fldCharType="end"/>
            </w:r>
          </w:p>
        </w:tc>
        <w:tc>
          <w:tcPr>
            <w:tcW w:w="1698" w:type="pct"/>
            <w:shd w:val="clear" w:color="auto" w:fill="auto"/>
          </w:tcPr>
          <w:p w:rsidR="002E01E3" w:rsidRPr="00F7662C" w:rsidRDefault="002E01E3" w:rsidP="002E01E3">
            <w:pPr>
              <w:tabs>
                <w:tab w:val="left" w:pos="2835"/>
              </w:tabs>
              <w:spacing w:before="40" w:after="0"/>
              <w:jc w:val="center"/>
              <w:rPr>
                <w:rFonts w:ascii="Arial Narrow" w:hAnsi="Arial Narrow"/>
                <w:sz w:val="20"/>
                <w:lang w:val="en-GB" w:eastAsia="ja-JP"/>
              </w:rPr>
            </w:pPr>
            <w:r w:rsidRPr="00F7662C">
              <w:rPr>
                <w:rFonts w:ascii="Arial Narrow" w:hAnsi="Arial Narrow"/>
                <w:sz w:val="20"/>
                <w:lang w:val="en-GB" w:eastAsia="ja-JP"/>
              </w:rPr>
              <w:t xml:space="preserve">0.5 </w:t>
            </w:r>
            <w:proofErr w:type="spellStart"/>
            <w:r w:rsidRPr="00F7662C">
              <w:rPr>
                <w:rFonts w:ascii="Arial Narrow" w:hAnsi="Arial Narrow"/>
                <w:sz w:val="20"/>
                <w:lang w:val="en-GB" w:eastAsia="ja-JP"/>
              </w:rPr>
              <w:t>mmol</w:t>
            </w:r>
            <w:proofErr w:type="spellEnd"/>
            <w:r w:rsidRPr="00F7662C">
              <w:rPr>
                <w:rFonts w:ascii="Arial Narrow" w:hAnsi="Arial Narrow"/>
                <w:sz w:val="20"/>
                <w:lang w:val="en-GB" w:eastAsia="ja-JP"/>
              </w:rPr>
              <w:t xml:space="preserve">/L </w:t>
            </w:r>
            <w:r w:rsidRPr="00F7662C">
              <w:rPr>
                <w:rFonts w:ascii="Arial Narrow" w:hAnsi="Arial Narrow"/>
                <w:sz w:val="20"/>
                <w:lang w:val="en-GB" w:eastAsia="ja-JP"/>
              </w:rPr>
              <w:fldChar w:fldCharType="begin"/>
            </w:r>
            <w:r>
              <w:rPr>
                <w:rFonts w:ascii="Arial Narrow" w:hAnsi="Arial Narrow"/>
                <w:sz w:val="20"/>
                <w:lang w:val="en-GB" w:eastAsia="ja-JP"/>
              </w:rPr>
              <w:instrText xml:space="preserve"> ADDIN EN.CITE &lt;EndNote&gt;&lt;Cite&gt;&lt;Author&gt;Miller&lt;/Author&gt;&lt;Year&gt;2011&lt;/Year&gt;&lt;RecNum&gt;121&lt;/RecNum&gt;&lt;DisplayText&gt;[39]&lt;/DisplayText&gt;&lt;record&gt;&lt;rec-number&gt;121&lt;/rec-number&gt;&lt;foreign-keys&gt;&lt;key app="EN" db-id="edz5s99awvadpbexfxhvwe0ofp2svdwzsdpf" timestamp="1414474723"&gt;121&lt;/key&gt;&lt;/foreign-keys&gt;&lt;ref-type name="Journal Article"&gt;17&lt;/ref-type&gt;&lt;contributors&gt;&lt;authors&gt;&lt;author&gt;Miller, Michael&lt;/author&gt;&lt;author&gt;Stone, Neil J&lt;/author&gt;&lt;author&gt;Ballantyne, Christie&lt;/author&gt;&lt;author&gt;Bittner, Vera&lt;/author&gt;&lt;author&gt;Criqui, Michael H&lt;/author&gt;&lt;author&gt;Ginsberg, Henry N&lt;/author&gt;&lt;author&gt;Goldberg, Anne Carol&lt;/author&gt;&lt;author&gt;Howard, William James&lt;/author&gt;&lt;author&gt;Jacobson, Marc S&lt;/author&gt;&lt;author&gt;Kris-Etherton, Penny M&lt;/author&gt;&lt;/authors&gt;&lt;/contributors&gt;&lt;titles&gt;&lt;title&gt;Triglycerides and cardiovascular disease a scientific statement from the American Heart Association&lt;/title&gt;&lt;secondary-title&gt;Circulation&lt;/secondary-title&gt;&lt;/titles&gt;&lt;periodical&gt;&lt;full-title&gt;Circulation&lt;/full-title&gt;&lt;/periodical&gt;&lt;pages&gt;2292-2333&lt;/pages&gt;&lt;volume&gt;123&lt;/volume&gt;&lt;number&gt;20&lt;/number&gt;&lt;dates&gt;&lt;year&gt;2011&lt;/year&gt;&lt;/dates&gt;&lt;isbn&gt;0009-7322&lt;/isbn&gt;&lt;urls&gt;&lt;/urls&gt;&lt;/record&gt;&lt;/Cite&gt;&lt;/EndNote&gt;</w:instrText>
            </w:r>
            <w:r w:rsidRPr="00F7662C">
              <w:rPr>
                <w:rFonts w:ascii="Arial Narrow" w:hAnsi="Arial Narrow"/>
                <w:sz w:val="20"/>
                <w:lang w:val="en-GB" w:eastAsia="ja-JP"/>
              </w:rPr>
              <w:fldChar w:fldCharType="separate"/>
            </w:r>
            <w:r>
              <w:rPr>
                <w:rFonts w:ascii="Arial Narrow" w:hAnsi="Arial Narrow"/>
                <w:noProof/>
                <w:sz w:val="20"/>
                <w:lang w:val="en-GB" w:eastAsia="ja-JP"/>
              </w:rPr>
              <w:t>[39]</w:t>
            </w:r>
            <w:r w:rsidRPr="00F7662C">
              <w:rPr>
                <w:rFonts w:ascii="Arial Narrow" w:hAnsi="Arial Narrow"/>
                <w:sz w:val="20"/>
                <w:lang w:val="en-GB" w:eastAsia="ja-JP"/>
              </w:rPr>
              <w:fldChar w:fldCharType="end"/>
            </w:r>
          </w:p>
        </w:tc>
      </w:tr>
    </w:tbl>
    <w:p w:rsidR="002E01E3" w:rsidRDefault="002E01E3" w:rsidP="002E01E3">
      <w:pPr>
        <w:jc w:val="left"/>
        <w:rPr>
          <w:szCs w:val="22"/>
        </w:rPr>
      </w:pPr>
    </w:p>
    <w:p w:rsidR="002E01E3" w:rsidRPr="00382F76" w:rsidRDefault="002E01E3" w:rsidP="002E01E3">
      <w:pPr>
        <w:pStyle w:val="Heading2"/>
      </w:pPr>
      <w:bookmarkStart w:id="51" w:name="_Toc410649148"/>
      <w:bookmarkStart w:id="52" w:name="_Toc420499074"/>
      <w:r w:rsidRPr="00382F76">
        <w:t>Patient-relevant outcomes</w:t>
      </w:r>
      <w:bookmarkEnd w:id="51"/>
      <w:bookmarkEnd w:id="52"/>
    </w:p>
    <w:p w:rsidR="002E01E3" w:rsidRPr="00EE2341" w:rsidRDefault="002E01E3" w:rsidP="002E01E3">
      <w:pPr>
        <w:spacing w:after="0"/>
        <w:rPr>
          <w:szCs w:val="22"/>
          <w:lang w:val="en-GB" w:eastAsia="ja-JP"/>
        </w:rPr>
      </w:pPr>
      <w:r w:rsidRPr="00382F76">
        <w:rPr>
          <w:szCs w:val="22"/>
          <w:lang w:val="en-GB" w:eastAsia="ja-JP"/>
        </w:rPr>
        <w:t xml:space="preserve">In addition, there are a number of other outcomes </w:t>
      </w:r>
      <w:r w:rsidRPr="00382F76">
        <w:rPr>
          <w:szCs w:val="22"/>
        </w:rPr>
        <w:t>applying to both persons with T2DM</w:t>
      </w:r>
      <w:r w:rsidRPr="00D633D7">
        <w:t xml:space="preserve"> </w:t>
      </w:r>
      <w:r>
        <w:rPr>
          <w:szCs w:val="22"/>
          <w:lang w:val="en-GB" w:eastAsia="ja-JP"/>
        </w:rPr>
        <w:t>that may be</w:t>
      </w:r>
      <w:r w:rsidRPr="00EE2341">
        <w:rPr>
          <w:szCs w:val="22"/>
          <w:lang w:val="en-GB" w:eastAsia="ja-JP"/>
        </w:rPr>
        <w:t xml:space="preserve"> consider</w:t>
      </w:r>
      <w:r>
        <w:rPr>
          <w:szCs w:val="22"/>
          <w:lang w:val="en-GB" w:eastAsia="ja-JP"/>
        </w:rPr>
        <w:t>ed depending on those available in the evidence base for shared medical appointments including</w:t>
      </w:r>
      <w:r w:rsidRPr="00EE2341">
        <w:rPr>
          <w:szCs w:val="22"/>
          <w:lang w:val="en-GB" w:eastAsia="ja-JP"/>
        </w:rPr>
        <w:t>:</w:t>
      </w:r>
    </w:p>
    <w:p w:rsidR="002E01E3" w:rsidRPr="00EE2341" w:rsidRDefault="002E01E3" w:rsidP="002E01E3">
      <w:pPr>
        <w:numPr>
          <w:ilvl w:val="0"/>
          <w:numId w:val="16"/>
        </w:numPr>
        <w:spacing w:after="0"/>
        <w:rPr>
          <w:lang w:val="en-GB" w:eastAsia="ja-JP"/>
        </w:rPr>
      </w:pPr>
      <w:r>
        <w:rPr>
          <w:szCs w:val="22"/>
          <w:lang w:eastAsia="en-US"/>
        </w:rPr>
        <w:t>Reduced m</w:t>
      </w:r>
      <w:r w:rsidRPr="00EE2341">
        <w:rPr>
          <w:szCs w:val="22"/>
          <w:lang w:eastAsia="en-US"/>
        </w:rPr>
        <w:t>ortality</w:t>
      </w:r>
    </w:p>
    <w:p w:rsidR="002E01E3" w:rsidRPr="00F12F1C" w:rsidRDefault="002E01E3" w:rsidP="002E01E3">
      <w:pPr>
        <w:numPr>
          <w:ilvl w:val="0"/>
          <w:numId w:val="16"/>
        </w:numPr>
        <w:spacing w:after="0"/>
        <w:rPr>
          <w:lang w:val="en-GB" w:eastAsia="ja-JP"/>
        </w:rPr>
      </w:pPr>
      <w:r w:rsidRPr="00F12F1C">
        <w:rPr>
          <w:szCs w:val="22"/>
          <w:lang w:eastAsia="en-US"/>
        </w:rPr>
        <w:t>Fewer T2DM-related hospitalisations &amp; other health services</w:t>
      </w:r>
    </w:p>
    <w:p w:rsidR="002E01E3" w:rsidRPr="00EE2341" w:rsidRDefault="002E01E3" w:rsidP="002E01E3">
      <w:pPr>
        <w:numPr>
          <w:ilvl w:val="0"/>
          <w:numId w:val="16"/>
        </w:numPr>
        <w:spacing w:after="0"/>
        <w:rPr>
          <w:lang w:val="en-GB" w:eastAsia="ja-JP"/>
        </w:rPr>
      </w:pPr>
      <w:r>
        <w:rPr>
          <w:szCs w:val="22"/>
          <w:lang w:eastAsia="en-US"/>
        </w:rPr>
        <w:t>Improved q</w:t>
      </w:r>
      <w:r w:rsidRPr="00EE2341">
        <w:rPr>
          <w:szCs w:val="22"/>
          <w:lang w:eastAsia="en-US"/>
        </w:rPr>
        <w:t>uality of life/anxiety score</w:t>
      </w:r>
      <w:r>
        <w:rPr>
          <w:szCs w:val="22"/>
          <w:lang w:eastAsia="en-US"/>
        </w:rPr>
        <w:t>s</w:t>
      </w:r>
    </w:p>
    <w:p w:rsidR="002E01E3" w:rsidRPr="008B28D0" w:rsidRDefault="002E01E3" w:rsidP="002E01E3">
      <w:pPr>
        <w:numPr>
          <w:ilvl w:val="0"/>
          <w:numId w:val="16"/>
        </w:numPr>
        <w:spacing w:after="0"/>
        <w:rPr>
          <w:szCs w:val="22"/>
          <w:lang w:val="en-GB" w:eastAsia="ja-JP"/>
        </w:rPr>
      </w:pPr>
      <w:r>
        <w:rPr>
          <w:szCs w:val="22"/>
          <w:lang w:val="en-GB" w:eastAsia="ja-JP"/>
        </w:rPr>
        <w:t>Fewer m</w:t>
      </w:r>
      <w:r w:rsidRPr="008B28D0">
        <w:rPr>
          <w:szCs w:val="22"/>
          <w:lang w:val="en-GB" w:eastAsia="ja-JP"/>
        </w:rPr>
        <w:t>ajor cardiovascular events</w:t>
      </w:r>
    </w:p>
    <w:p w:rsidR="002E01E3" w:rsidRPr="008B28D0" w:rsidRDefault="002E01E3" w:rsidP="002E01E3">
      <w:pPr>
        <w:numPr>
          <w:ilvl w:val="0"/>
          <w:numId w:val="16"/>
        </w:numPr>
        <w:spacing w:after="0"/>
        <w:rPr>
          <w:szCs w:val="22"/>
          <w:lang w:val="en-GB" w:eastAsia="ja-JP"/>
        </w:rPr>
      </w:pPr>
      <w:r>
        <w:rPr>
          <w:szCs w:val="22"/>
          <w:lang w:val="en-GB" w:eastAsia="ja-JP"/>
        </w:rPr>
        <w:t>Fewer m</w:t>
      </w:r>
      <w:r w:rsidRPr="008B28D0">
        <w:rPr>
          <w:szCs w:val="22"/>
          <w:lang w:val="en-GB" w:eastAsia="ja-JP"/>
        </w:rPr>
        <w:t>icrovascular events (e.g. retinopathy, neuropathy, nephropathy)</w:t>
      </w:r>
    </w:p>
    <w:p w:rsidR="002E01E3" w:rsidRPr="00B15171" w:rsidRDefault="002E01E3" w:rsidP="002E01E3">
      <w:pPr>
        <w:numPr>
          <w:ilvl w:val="0"/>
          <w:numId w:val="16"/>
        </w:numPr>
        <w:spacing w:after="0"/>
        <w:rPr>
          <w:lang w:val="en-GB" w:eastAsia="ja-JP"/>
        </w:rPr>
      </w:pPr>
      <w:r>
        <w:rPr>
          <w:szCs w:val="22"/>
          <w:lang w:eastAsia="en-US"/>
        </w:rPr>
        <w:t>Fewer e</w:t>
      </w:r>
      <w:r w:rsidRPr="00EE2341">
        <w:rPr>
          <w:szCs w:val="22"/>
          <w:lang w:eastAsia="en-US"/>
        </w:rPr>
        <w:t>mergency department visits</w:t>
      </w:r>
    </w:p>
    <w:p w:rsidR="002E01E3" w:rsidRPr="005C633E" w:rsidRDefault="002E01E3" w:rsidP="002E01E3">
      <w:pPr>
        <w:numPr>
          <w:ilvl w:val="0"/>
          <w:numId w:val="16"/>
        </w:numPr>
        <w:spacing w:after="0"/>
        <w:rPr>
          <w:lang w:val="en-GB" w:eastAsia="ja-JP"/>
        </w:rPr>
      </w:pPr>
      <w:r>
        <w:rPr>
          <w:szCs w:val="22"/>
          <w:lang w:eastAsia="en-US"/>
        </w:rPr>
        <w:t>Reduced/better medication use</w:t>
      </w:r>
    </w:p>
    <w:p w:rsidR="002E01E3" w:rsidRPr="00F12F1C" w:rsidRDefault="002E01E3" w:rsidP="002E01E3">
      <w:pPr>
        <w:numPr>
          <w:ilvl w:val="0"/>
          <w:numId w:val="16"/>
        </w:numPr>
        <w:spacing w:after="0"/>
        <w:rPr>
          <w:lang w:val="en-GB" w:eastAsia="ja-JP"/>
        </w:rPr>
      </w:pPr>
      <w:r w:rsidRPr="00F12F1C">
        <w:rPr>
          <w:szCs w:val="22"/>
          <w:lang w:eastAsia="en-US"/>
        </w:rPr>
        <w:t>Greater reliance on self-management principles</w:t>
      </w:r>
    </w:p>
    <w:p w:rsidR="00D633D7" w:rsidRDefault="00D633D7">
      <w:pPr>
        <w:spacing w:after="0" w:line="240" w:lineRule="auto"/>
        <w:jc w:val="left"/>
        <w:rPr>
          <w:rFonts w:cs="Times New Roman"/>
          <w:b/>
          <w:color w:val="215868"/>
          <w:szCs w:val="28"/>
          <w:lang w:val="en-GB" w:eastAsia="ja-JP"/>
        </w:rPr>
      </w:pPr>
      <w:bookmarkStart w:id="53" w:name="_Toc410649149"/>
      <w:bookmarkStart w:id="54" w:name="_Toc420499075"/>
      <w:r>
        <w:br w:type="page"/>
      </w:r>
    </w:p>
    <w:p w:rsidR="002E01E3" w:rsidRDefault="002E01E3" w:rsidP="002E01E3">
      <w:pPr>
        <w:pStyle w:val="Heading2"/>
      </w:pPr>
      <w:r>
        <w:lastRenderedPageBreak/>
        <w:t>Evidence for the effectiveness of shared medical appointments</w:t>
      </w:r>
      <w:bookmarkEnd w:id="53"/>
      <w:bookmarkEnd w:id="54"/>
    </w:p>
    <w:p w:rsidR="002E01E3" w:rsidRDefault="002E01E3" w:rsidP="002E01E3">
      <w:pPr>
        <w:rPr>
          <w:szCs w:val="22"/>
        </w:rPr>
      </w:pPr>
      <w:r>
        <w:rPr>
          <w:szCs w:val="22"/>
        </w:rPr>
        <w:t>A non-exhaustive search located several studies reporting on the effectiveness of shared medical appointments. In addition to a large body of clinical studies, there are at least three existing literature reviews on the efficacy of shared medical appointments for treatment of patients with T2DM</w:t>
      </w:r>
      <w:r>
        <w:rPr>
          <w:color w:val="222222"/>
          <w:szCs w:val="22"/>
          <w:shd w:val="clear" w:color="auto" w:fill="FFFFFF"/>
        </w:rPr>
        <w:t xml:space="preserve"> </w:t>
      </w:r>
      <w:r>
        <w:rPr>
          <w:color w:val="222222"/>
          <w:szCs w:val="22"/>
          <w:shd w:val="clear" w:color="auto" w:fill="FFFFFF"/>
        </w:rPr>
        <w:fldChar w:fldCharType="begin">
          <w:fldData xml:space="preserve">PEVuZE5vdGU+PENpdGU+PEF1dGhvcj5FZGVsbWFuPC9BdXRob3I+PFllYXI+MjAxNDwvWWVhcj48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</w:fldData>
        </w:fldChar>
      </w:r>
      <w:r>
        <w:rPr>
          <w:color w:val="222222"/>
          <w:szCs w:val="22"/>
          <w:shd w:val="clear" w:color="auto" w:fill="FFFFFF"/>
        </w:rPr>
        <w:instrText xml:space="preserve"> ADDIN EN.CITE </w:instrText>
      </w:r>
      <w:r>
        <w:rPr>
          <w:color w:val="222222"/>
          <w:szCs w:val="22"/>
          <w:shd w:val="clear" w:color="auto" w:fill="FFFFFF"/>
        </w:rPr>
        <w:fldChar w:fldCharType="begin">
          <w:fldData xml:space="preserve">PEVuZE5vdGU+PENpdGU+PEF1dGhvcj5FZGVsbWFuPC9BdXRob3I+PFllYXI+MjAxNDwvWWVhcj48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</w:fldData>
        </w:fldChar>
      </w:r>
      <w:r>
        <w:rPr>
          <w:color w:val="222222"/>
          <w:szCs w:val="22"/>
          <w:shd w:val="clear" w:color="auto" w:fill="FFFFFF"/>
        </w:rPr>
        <w:instrText xml:space="preserve"> ADDIN EN.CITE.DATA </w:instrText>
      </w:r>
      <w:r>
        <w:rPr>
          <w:color w:val="222222"/>
          <w:szCs w:val="22"/>
          <w:shd w:val="clear" w:color="auto" w:fill="FFFFFF"/>
        </w:rPr>
      </w:r>
      <w:r>
        <w:rPr>
          <w:color w:val="222222"/>
          <w:szCs w:val="22"/>
          <w:shd w:val="clear" w:color="auto" w:fill="FFFFFF"/>
        </w:rPr>
        <w:fldChar w:fldCharType="end"/>
      </w:r>
      <w:r>
        <w:rPr>
          <w:color w:val="222222"/>
          <w:szCs w:val="22"/>
          <w:shd w:val="clear" w:color="auto" w:fill="FFFFFF"/>
        </w:rPr>
      </w:r>
      <w:r>
        <w:rPr>
          <w:color w:val="222222"/>
          <w:szCs w:val="22"/>
          <w:shd w:val="clear" w:color="auto" w:fill="FFFFFF"/>
        </w:rPr>
        <w:fldChar w:fldCharType="separate"/>
      </w:r>
      <w:r>
        <w:rPr>
          <w:noProof/>
          <w:color w:val="222222"/>
          <w:szCs w:val="22"/>
          <w:shd w:val="clear" w:color="auto" w:fill="FFFFFF"/>
        </w:rPr>
        <w:t>[1, 29, 40]</w:t>
      </w:r>
      <w:r>
        <w:rPr>
          <w:color w:val="222222"/>
          <w:szCs w:val="22"/>
          <w:shd w:val="clear" w:color="auto" w:fill="FFFFFF"/>
        </w:rPr>
        <w:fldChar w:fldCharType="end"/>
      </w:r>
      <w:r>
        <w:rPr>
          <w:color w:val="222222"/>
          <w:szCs w:val="22"/>
          <w:shd w:val="clear" w:color="auto" w:fill="FFFFFF"/>
        </w:rPr>
        <w:t xml:space="preserve">. </w:t>
      </w:r>
      <w:r>
        <w:rPr>
          <w:szCs w:val="22"/>
        </w:rPr>
        <w:t>Table 7 presents a summary of prospective randomised control trials (RCTs) comparing shared medical appointments with usual GP care for treatment of patients with T2DM. Every trial measured reduction in HbA</w:t>
      </w:r>
      <w:r w:rsidRPr="00135F7F">
        <w:rPr>
          <w:szCs w:val="22"/>
          <w:vertAlign w:val="subscript"/>
        </w:rPr>
        <w:t>1c</w:t>
      </w:r>
      <w:r>
        <w:rPr>
          <w:szCs w:val="22"/>
        </w:rPr>
        <w:t xml:space="preserve"> as the primary outcome and a number of trial-specific secondary outcomes. These trials appear relevant to the evidence base on shared medical appointments for Australia and will contribute to the main clinical evidence. </w:t>
      </w:r>
      <w:r w:rsidRPr="00F779FD">
        <w:rPr>
          <w:szCs w:val="22"/>
        </w:rPr>
        <w:t xml:space="preserve">No Australian trials were identified but an initial trial of patient and provider satisfaction has been completed </w:t>
      </w:r>
      <w:r w:rsidRPr="00F779FD">
        <w:rPr>
          <w:szCs w:val="22"/>
        </w:rPr>
        <w:fldChar w:fldCharType="begin"/>
      </w:r>
      <w:r w:rsidRPr="00F779FD">
        <w:rPr>
          <w:szCs w:val="22"/>
        </w:rPr>
        <w:instrText xml:space="preserve"> ADDIN EN.CITE &lt;EndNote&gt;&lt;Cite&gt;&lt;Author&gt;Stevens&lt;/Author&gt;&lt;Year&gt;2014&lt;/Year&gt;&lt;RecNum&gt;119&lt;/RecNum&gt;&lt;DisplayText&gt;[2]&lt;/DisplayText&gt;&lt;record&gt;&lt;rec-number&gt;119&lt;/rec-number&gt;&lt;foreign-keys&gt;&lt;key app="EN" db-id="edz5s99awvadpbexfxhvwe0ofp2svdwzsdpf" timestamp="1414025459"&gt;119&lt;/key&gt;&lt;/foreign-keys&gt;&lt;ref-type name="Journal Article"&gt;17&lt;/ref-type&gt;&lt;contributors&gt;&lt;authors&gt;&lt;author&gt;Stevens, J.&lt;/author&gt;&lt;author&gt;Cole, M-A.&lt;/author&gt;&lt;author&gt;Binns, A. &lt;/author&gt;&lt;author&gt;Dixon, J.&lt;/author&gt;&lt;author&gt;Egger, Garry&lt;/author&gt;&lt;/authors&gt;&lt;/contributors&gt;&lt;titles&gt;&lt;title&gt;A user assessment of the potential for shared medical appointments in Australia&lt;/title&gt;&lt;secondary-title&gt;Australian Family Physician &lt;/secondary-title&gt;&lt;/titles&gt;&lt;periodical&gt;&lt;full-title&gt;Australian family physician&lt;/full-title&gt;&lt;/periodical&gt;&lt;pages&gt;804-807&lt;/pages&gt;&lt;volume&gt;43&lt;/volume&gt;&lt;number&gt;11&lt;/number&gt;&lt;dates&gt;&lt;year&gt;2014&lt;/year&gt;&lt;/dates&gt;&lt;urls&gt;&lt;/urls&gt;&lt;/record&gt;&lt;/Cite&gt;&lt;/EndNote&gt;</w:instrText>
      </w:r>
      <w:r w:rsidRPr="00F779FD">
        <w:rPr>
          <w:szCs w:val="22"/>
        </w:rPr>
        <w:fldChar w:fldCharType="separate"/>
      </w:r>
      <w:r w:rsidRPr="00F779FD">
        <w:rPr>
          <w:noProof/>
          <w:szCs w:val="22"/>
        </w:rPr>
        <w:t>[2]</w:t>
      </w:r>
      <w:r w:rsidRPr="00F779FD">
        <w:rPr>
          <w:szCs w:val="22"/>
        </w:rPr>
        <w:fldChar w:fldCharType="end"/>
      </w:r>
      <w:r w:rsidRPr="00F779FD">
        <w:rPr>
          <w:szCs w:val="22"/>
        </w:rPr>
        <w:t xml:space="preserve"> and grant applications have been made for further research.</w:t>
      </w:r>
      <w:r>
        <w:rPr>
          <w:szCs w:val="22"/>
        </w:rPr>
        <w:t xml:space="preserve"> </w:t>
      </w:r>
    </w:p>
    <w:p w:rsidR="002E01E3" w:rsidRDefault="002E01E3" w:rsidP="002E01E3">
      <w:pPr>
        <w:rPr>
          <w:szCs w:val="22"/>
        </w:rPr>
      </w:pPr>
      <w:r w:rsidRPr="007431DB">
        <w:rPr>
          <w:szCs w:val="22"/>
        </w:rPr>
        <w:t>The applicability of the trial population results to the proposed MBS population will be assessed at the evidence stage. </w:t>
      </w:r>
    </w:p>
    <w:p w:rsidR="002E01E3" w:rsidRPr="00C36E11" w:rsidRDefault="002E01E3" w:rsidP="002E01E3">
      <w:pPr>
        <w:pStyle w:val="Caption"/>
      </w:pPr>
      <w:r>
        <w:t xml:space="preserve">Table 7: </w:t>
      </w:r>
      <w:r w:rsidRPr="00C36E11">
        <w:t>Overview of prospective RCTs</w:t>
      </w:r>
      <w:r w:rsidRPr="0046370A">
        <w:rPr>
          <w:rFonts w:cs="Times New Roman"/>
          <w:b w:val="0"/>
          <w:bCs/>
          <w:color w:val="000000"/>
          <w:sz w:val="18"/>
          <w:szCs w:val="18"/>
          <w:lang w:eastAsia="en-AU"/>
        </w:rPr>
        <w:t xml:space="preserve"> </w:t>
      </w:r>
      <w:r w:rsidRPr="0046370A">
        <w:rPr>
          <w:rFonts w:cs="Times New Roman"/>
          <w:bCs/>
          <w:color w:val="000000"/>
          <w:lang w:eastAsia="en-AU"/>
        </w:rPr>
        <w:t xml:space="preserve">involving T2DM and </w:t>
      </w:r>
      <w:r>
        <w:rPr>
          <w:rFonts w:cs="Times New Roman"/>
          <w:bCs/>
          <w:color w:val="000000"/>
          <w:lang w:eastAsia="en-AU"/>
        </w:rPr>
        <w:t>Shared medical appointments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998"/>
        <w:gridCol w:w="1760"/>
        <w:gridCol w:w="1102"/>
        <w:gridCol w:w="1054"/>
        <w:gridCol w:w="930"/>
        <w:gridCol w:w="1198"/>
        <w:gridCol w:w="1225"/>
      </w:tblGrid>
      <w:tr w:rsidR="002E01E3" w:rsidRPr="00BE2022">
        <w:trPr>
          <w:trHeight w:val="1000"/>
          <w:tblHeader/>
        </w:trPr>
        <w:tc>
          <w:tcPr>
            <w:tcW w:w="527" w:type="pct"/>
            <w:shd w:val="clear" w:color="auto" w:fill="auto"/>
            <w:vAlign w:val="center"/>
          </w:tcPr>
          <w:p w:rsidR="002E01E3" w:rsidRPr="00C44EE5" w:rsidRDefault="002E01E3" w:rsidP="002E01E3">
            <w:pPr>
              <w:spacing w:after="0" w:line="240" w:lineRule="auto"/>
              <w:jc w:val="left"/>
              <w:rPr>
                <w:rFonts w:ascii="Arial Narrow" w:eastAsia="Times New Roman" w:hAnsi="Arial Narrow" w:cs="Times New Roman"/>
                <w:b/>
                <w:bCs/>
                <w:color w:val="000000"/>
                <w:sz w:val="18"/>
                <w:szCs w:val="18"/>
                <w:lang w:eastAsia="en-AU"/>
              </w:rPr>
            </w:pPr>
            <w:r w:rsidRPr="00C44EE5">
              <w:rPr>
                <w:rFonts w:ascii="Arial Narrow" w:eastAsia="Times New Roman" w:hAnsi="Arial Narrow" w:cs="Times New Roman"/>
                <w:b/>
                <w:bCs/>
                <w:color w:val="000000"/>
                <w:sz w:val="18"/>
                <w:szCs w:val="18"/>
                <w:lang w:val="en-GB" w:eastAsia="en-AU"/>
              </w:rPr>
              <w:t>RCT</w:t>
            </w:r>
            <w:r>
              <w:rPr>
                <w:rFonts w:ascii="Arial Narrow" w:eastAsia="Times New Roman" w:hAnsi="Arial Narrow" w:cs="Times New Roman"/>
                <w:b/>
                <w:bCs/>
                <w:color w:val="000000"/>
                <w:sz w:val="18"/>
                <w:szCs w:val="18"/>
                <w:lang w:val="en-GB" w:eastAsia="en-AU"/>
              </w:rPr>
              <w:t>s</w:t>
            </w:r>
            <w:r w:rsidRPr="00C44EE5">
              <w:rPr>
                <w:rFonts w:ascii="Arial Narrow" w:eastAsia="Times New Roman" w:hAnsi="Arial Narrow" w:cs="Times New Roman"/>
                <w:b/>
                <w:bCs/>
                <w:color w:val="000000"/>
                <w:sz w:val="18"/>
                <w:szCs w:val="18"/>
                <w:lang w:val="en-GB" w:eastAsia="en-AU"/>
              </w:rPr>
              <w:t xml:space="preserve"> </w:t>
            </w:r>
          </w:p>
        </w:tc>
        <w:tc>
          <w:tcPr>
            <w:tcW w:w="540" w:type="pct"/>
            <w:shd w:val="clear" w:color="auto" w:fill="auto"/>
            <w:vAlign w:val="center"/>
          </w:tcPr>
          <w:p w:rsidR="002E01E3" w:rsidRPr="00BE2022" w:rsidRDefault="002E01E3" w:rsidP="002E01E3">
            <w:pPr>
              <w:spacing w:after="0" w:line="240" w:lineRule="auto"/>
              <w:jc w:val="left"/>
              <w:rPr>
                <w:rFonts w:ascii="Arial Narrow" w:eastAsia="Times New Roman" w:hAnsi="Arial Narrow" w:cs="Times New Roman"/>
                <w:b/>
                <w:bCs/>
                <w:color w:val="000000"/>
                <w:sz w:val="18"/>
                <w:szCs w:val="18"/>
                <w:lang w:eastAsia="en-AU"/>
              </w:rPr>
            </w:pPr>
            <w:r w:rsidRPr="00BE2022">
              <w:rPr>
                <w:rFonts w:ascii="Arial Narrow" w:eastAsia="Times New Roman" w:hAnsi="Arial Narrow" w:cs="Times New Roman"/>
                <w:b/>
                <w:bCs/>
                <w:color w:val="000000"/>
                <w:sz w:val="18"/>
                <w:szCs w:val="18"/>
                <w:lang w:val="en-GB" w:eastAsia="en-AU"/>
              </w:rPr>
              <w:t>Primary clinical outcome</w:t>
            </w:r>
          </w:p>
        </w:tc>
        <w:tc>
          <w:tcPr>
            <w:tcW w:w="952" w:type="pct"/>
            <w:shd w:val="clear" w:color="auto" w:fill="auto"/>
            <w:vAlign w:val="center"/>
          </w:tcPr>
          <w:p w:rsidR="002E01E3" w:rsidRPr="00BE2022" w:rsidRDefault="002E01E3" w:rsidP="002E01E3">
            <w:pPr>
              <w:spacing w:after="0" w:line="240" w:lineRule="auto"/>
              <w:jc w:val="left"/>
              <w:rPr>
                <w:rFonts w:ascii="Arial Narrow" w:eastAsia="Times New Roman" w:hAnsi="Arial Narrow" w:cs="Times New Roman"/>
                <w:b/>
                <w:bCs/>
                <w:color w:val="000000"/>
                <w:sz w:val="18"/>
                <w:szCs w:val="18"/>
                <w:lang w:eastAsia="en-AU"/>
              </w:rPr>
            </w:pPr>
            <w:r w:rsidRPr="00BE2022">
              <w:rPr>
                <w:rFonts w:ascii="Arial Narrow" w:eastAsia="Times New Roman" w:hAnsi="Arial Narrow" w:cs="Times New Roman"/>
                <w:b/>
                <w:bCs/>
                <w:color w:val="000000"/>
                <w:sz w:val="18"/>
                <w:szCs w:val="18"/>
                <w:lang w:val="en-GB" w:eastAsia="en-AU"/>
              </w:rPr>
              <w:t>Secondary clinical outcomes</w:t>
            </w:r>
          </w:p>
        </w:tc>
        <w:tc>
          <w:tcPr>
            <w:tcW w:w="596"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b/>
                <w:bCs/>
                <w:color w:val="000000"/>
                <w:sz w:val="18"/>
                <w:szCs w:val="18"/>
                <w:lang w:eastAsia="en-AU"/>
              </w:rPr>
            </w:pPr>
            <w:r w:rsidRPr="00BE2022">
              <w:rPr>
                <w:rFonts w:ascii="Arial Narrow" w:eastAsia="Times New Roman" w:hAnsi="Arial Narrow" w:cs="Times New Roman"/>
                <w:b/>
                <w:bCs/>
                <w:color w:val="000000"/>
                <w:sz w:val="18"/>
                <w:szCs w:val="18"/>
                <w:lang w:val="en-GB" w:eastAsia="en-AU"/>
              </w:rPr>
              <w:t>Frequency/</w:t>
            </w:r>
            <w:r>
              <w:rPr>
                <w:rFonts w:ascii="Arial Narrow" w:eastAsia="Times New Roman" w:hAnsi="Arial Narrow" w:cs="Times New Roman"/>
                <w:b/>
                <w:bCs/>
                <w:color w:val="000000"/>
                <w:sz w:val="18"/>
                <w:szCs w:val="18"/>
                <w:lang w:val="en-GB" w:eastAsia="en-AU"/>
              </w:rPr>
              <w:t xml:space="preserve"> </w:t>
            </w:r>
            <w:r w:rsidRPr="00BE2022">
              <w:rPr>
                <w:rFonts w:ascii="Arial Narrow" w:eastAsia="Times New Roman" w:hAnsi="Arial Narrow" w:cs="Times New Roman"/>
                <w:b/>
                <w:bCs/>
                <w:color w:val="000000"/>
                <w:sz w:val="18"/>
                <w:szCs w:val="18"/>
                <w:lang w:val="en-GB" w:eastAsia="en-AU"/>
              </w:rPr>
              <w:t xml:space="preserve">duration of </w:t>
            </w:r>
            <w:r>
              <w:rPr>
                <w:rFonts w:ascii="Arial Narrow" w:eastAsia="Times New Roman" w:hAnsi="Arial Narrow" w:cs="Times New Roman"/>
                <w:b/>
                <w:bCs/>
                <w:color w:val="000000"/>
                <w:sz w:val="18"/>
                <w:szCs w:val="18"/>
                <w:lang w:val="en-GB" w:eastAsia="en-AU"/>
              </w:rPr>
              <w:t>shared medical appointment</w:t>
            </w:r>
          </w:p>
        </w:tc>
        <w:tc>
          <w:tcPr>
            <w:tcW w:w="570"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b/>
                <w:bCs/>
                <w:color w:val="000000"/>
                <w:sz w:val="18"/>
                <w:szCs w:val="18"/>
                <w:lang w:eastAsia="en-AU"/>
              </w:rPr>
            </w:pPr>
            <w:r w:rsidRPr="00BE2022">
              <w:rPr>
                <w:rFonts w:ascii="Arial Narrow" w:eastAsia="Times New Roman" w:hAnsi="Arial Narrow" w:cs="Times New Roman"/>
                <w:b/>
                <w:bCs/>
                <w:color w:val="000000"/>
                <w:sz w:val="18"/>
                <w:szCs w:val="18"/>
                <w:lang w:val="en-GB" w:eastAsia="en-AU"/>
              </w:rPr>
              <w:t>Comparator</w:t>
            </w:r>
          </w:p>
        </w:tc>
        <w:tc>
          <w:tcPr>
            <w:tcW w:w="503"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b/>
                <w:bCs/>
                <w:color w:val="000000"/>
                <w:sz w:val="18"/>
                <w:szCs w:val="18"/>
                <w:lang w:eastAsia="en-AU"/>
              </w:rPr>
            </w:pPr>
            <w:r w:rsidRPr="00BE2022">
              <w:rPr>
                <w:rFonts w:ascii="Arial Narrow" w:eastAsia="Times New Roman" w:hAnsi="Arial Narrow" w:cs="Times New Roman"/>
                <w:b/>
                <w:bCs/>
                <w:color w:val="000000"/>
                <w:sz w:val="18"/>
                <w:szCs w:val="18"/>
                <w:lang w:val="en-GB" w:eastAsia="en-AU"/>
              </w:rPr>
              <w:t>Duration of trial</w:t>
            </w:r>
          </w:p>
        </w:tc>
        <w:tc>
          <w:tcPr>
            <w:tcW w:w="648"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b/>
                <w:bCs/>
                <w:color w:val="000000"/>
                <w:sz w:val="18"/>
                <w:szCs w:val="18"/>
                <w:lang w:eastAsia="en-AU"/>
              </w:rPr>
            </w:pPr>
            <w:r w:rsidRPr="00BE2022">
              <w:rPr>
                <w:rFonts w:ascii="Arial Narrow" w:eastAsia="Times New Roman" w:hAnsi="Arial Narrow" w:cs="Times New Roman"/>
                <w:b/>
                <w:bCs/>
                <w:color w:val="000000"/>
                <w:sz w:val="18"/>
                <w:szCs w:val="18"/>
                <w:lang w:val="en-GB" w:eastAsia="en-AU"/>
              </w:rPr>
              <w:t>Subjects</w:t>
            </w:r>
          </w:p>
        </w:tc>
        <w:tc>
          <w:tcPr>
            <w:tcW w:w="663"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b/>
                <w:bCs/>
                <w:color w:val="000000"/>
                <w:sz w:val="18"/>
                <w:szCs w:val="18"/>
                <w:lang w:eastAsia="en-AU"/>
              </w:rPr>
            </w:pPr>
            <w:r w:rsidRPr="00BE2022">
              <w:rPr>
                <w:rFonts w:ascii="Arial Narrow" w:eastAsia="Times New Roman" w:hAnsi="Arial Narrow" w:cs="Times New Roman"/>
                <w:b/>
                <w:bCs/>
                <w:color w:val="000000"/>
                <w:sz w:val="18"/>
                <w:szCs w:val="18"/>
                <w:lang w:val="en-GB" w:eastAsia="en-AU"/>
              </w:rPr>
              <w:t>Setting</w:t>
            </w:r>
          </w:p>
        </w:tc>
      </w:tr>
      <w:tr w:rsidR="002E01E3" w:rsidRPr="00BE2022">
        <w:trPr>
          <w:trHeight w:val="2120"/>
          <w:tblHeader/>
        </w:trPr>
        <w:tc>
          <w:tcPr>
            <w:tcW w:w="527" w:type="pct"/>
            <w:shd w:val="clear" w:color="auto" w:fill="auto"/>
            <w:vAlign w:val="center"/>
          </w:tcPr>
          <w:p w:rsidR="002E01E3" w:rsidRPr="00C44EE5" w:rsidRDefault="002E01E3" w:rsidP="002E01E3">
            <w:pPr>
              <w:spacing w:after="0" w:line="240" w:lineRule="auto"/>
              <w:jc w:val="left"/>
              <w:rPr>
                <w:rFonts w:ascii="Arial Narrow" w:hAnsi="Arial Narrow"/>
                <w:noProof/>
                <w:sz w:val="18"/>
                <w:szCs w:val="18"/>
              </w:rPr>
            </w:pPr>
            <w:r w:rsidRPr="00C44EE5">
              <w:rPr>
                <w:rFonts w:ascii="Arial Narrow" w:hAnsi="Arial Narrow"/>
                <w:noProof/>
                <w:sz w:val="18"/>
                <w:szCs w:val="18"/>
              </w:rPr>
              <w:t>Rygg (2012)</w:t>
            </w:r>
            <w:r w:rsidRPr="00C44EE5">
              <w:rPr>
                <w:rFonts w:ascii="Arial Narrow" w:eastAsia="Times New Roman" w:hAnsi="Arial Narrow" w:cs="Times New Roman"/>
                <w:bCs/>
                <w:noProof/>
                <w:color w:val="000000"/>
                <w:sz w:val="18"/>
                <w:szCs w:val="18"/>
                <w:lang w:val="en-GB" w:eastAsia="en-AU"/>
              </w:rPr>
              <w:fldChar w:fldCharType="begin"/>
            </w:r>
            <w:r>
              <w:rPr>
                <w:rFonts w:ascii="Arial Narrow" w:eastAsia="Times New Roman" w:hAnsi="Arial Narrow" w:cs="Times New Roman"/>
                <w:bCs/>
                <w:noProof/>
                <w:color w:val="000000"/>
                <w:sz w:val="18"/>
                <w:szCs w:val="18"/>
                <w:lang w:val="en-GB" w:eastAsia="en-AU"/>
              </w:rPr>
              <w:instrText xml:space="preserve"> ADDIN EN.CITE &lt;EndNote&gt;&lt;Cite&gt;&lt;Author&gt;Rygg&lt;/Author&gt;&lt;Year&gt;2012&lt;/Year&gt;&lt;RecNum&gt;123&lt;/RecNum&gt;&lt;DisplayText&gt;[41]&lt;/DisplayText&gt;&lt;record&gt;&lt;rec-number&gt;123&lt;/rec-number&gt;&lt;foreign-keys&gt;&lt;key app="EN" db-id="edz5s99awvadpbexfxhvwe0ofp2svdwzsdpf" timestamp="1414127127"&gt;123&lt;/key&gt;&lt;/foreign-keys&gt;&lt;ref-type name="Journal Article"&gt;17&lt;/ref-type&gt;&lt;contributors&gt;&lt;authors&gt;&lt;author&gt;Rygg, Lisbeth Ø&lt;/author&gt;&lt;author&gt;Rise, Marit By&lt;/author&gt;&lt;author&gt;Grønning, Kjersti&lt;/author&gt;&lt;author&gt;Steinsbekk, Aslak&lt;/author&gt;&lt;/authors&gt;&lt;/contributors&gt;&lt;titles&gt;&lt;title&gt;Efficacy of ongoing group based diabetes self-management education for patients with type 2 diabetes mellitus. A randomised controlled trial&lt;/title&gt;&lt;secondary-title&gt;Patient education and counseling&lt;/secondary-title&gt;&lt;/titles&gt;&lt;periodical&gt;&lt;full-title&gt;Patient education and counseling&lt;/full-title&gt;&lt;/periodical&gt;&lt;pages&gt;98-105&lt;/pages&gt;&lt;volume&gt;86&lt;/volume&gt;&lt;number&gt;1&lt;/number&gt;&lt;dates&gt;&lt;year&gt;2012&lt;/year&gt;&lt;/dates&gt;&lt;isbn&gt;0738-3991&lt;/isbn&gt;&lt;urls&gt;&lt;/urls&gt;&lt;/record&gt;&lt;/Cite&gt;&lt;/EndNote&gt;</w:instrText>
            </w:r>
            <w:r w:rsidRPr="00C44EE5">
              <w:rPr>
                <w:rFonts w:ascii="Arial Narrow" w:eastAsia="Times New Roman" w:hAnsi="Arial Narrow" w:cs="Times New Roman"/>
                <w:bCs/>
                <w:noProof/>
                <w:color w:val="000000"/>
                <w:sz w:val="18"/>
                <w:szCs w:val="18"/>
                <w:lang w:val="en-GB" w:eastAsia="en-AU"/>
              </w:rPr>
              <w:fldChar w:fldCharType="separate"/>
            </w:r>
            <w:r>
              <w:rPr>
                <w:rFonts w:ascii="Arial Narrow" w:eastAsia="Times New Roman" w:hAnsi="Arial Narrow" w:cs="Times New Roman"/>
                <w:bCs/>
                <w:noProof/>
                <w:color w:val="000000"/>
                <w:sz w:val="18"/>
                <w:szCs w:val="18"/>
                <w:lang w:val="en-GB" w:eastAsia="en-AU"/>
              </w:rPr>
              <w:t>[41]</w:t>
            </w:r>
            <w:r w:rsidRPr="00C44EE5">
              <w:rPr>
                <w:rFonts w:ascii="Arial Narrow" w:eastAsia="Times New Roman" w:hAnsi="Arial Narrow" w:cs="Times New Roman"/>
                <w:bCs/>
                <w:noProof/>
                <w:color w:val="000000"/>
                <w:sz w:val="18"/>
                <w:szCs w:val="18"/>
                <w:lang w:val="en-GB" w:eastAsia="en-AU"/>
              </w:rPr>
              <w:fldChar w:fldCharType="end"/>
            </w:r>
          </w:p>
        </w:tc>
        <w:tc>
          <w:tcPr>
            <w:tcW w:w="540" w:type="pct"/>
            <w:shd w:val="clear" w:color="auto" w:fill="auto"/>
            <w:vAlign w:val="center"/>
          </w:tcPr>
          <w:p w:rsidR="002E01E3" w:rsidRPr="00BE2022" w:rsidRDefault="002E01E3" w:rsidP="002E01E3">
            <w:pPr>
              <w:spacing w:after="0" w:line="240" w:lineRule="auto"/>
              <w:jc w:val="left"/>
              <w:rPr>
                <w:rFonts w:ascii="Arial Narrow" w:eastAsia="Times New Roman" w:hAnsi="Arial Narrow" w:cs="Times New Roman"/>
                <w:color w:val="000000"/>
                <w:sz w:val="18"/>
                <w:szCs w:val="18"/>
                <w:lang w:val="en-GB" w:eastAsia="en-AU"/>
              </w:rPr>
            </w:pPr>
            <w:r w:rsidRPr="00F63209">
              <w:rPr>
                <w:rFonts w:ascii="Arial Narrow" w:eastAsia="Times New Roman" w:hAnsi="Arial Narrow" w:cs="Times New Roman"/>
                <w:color w:val="000000"/>
                <w:sz w:val="18"/>
                <w:szCs w:val="18"/>
                <w:lang w:val="en-GB" w:eastAsia="en-AU"/>
              </w:rPr>
              <w:t>Reduction of HbA</w:t>
            </w:r>
            <w:r w:rsidRPr="00135F7F">
              <w:rPr>
                <w:rFonts w:ascii="Arial Narrow" w:eastAsia="Times New Roman" w:hAnsi="Arial Narrow" w:cs="Times New Roman"/>
                <w:color w:val="000000"/>
                <w:sz w:val="18"/>
                <w:szCs w:val="18"/>
                <w:vertAlign w:val="subscript"/>
                <w:lang w:val="en-GB" w:eastAsia="en-AU"/>
              </w:rPr>
              <w:t>1c</w:t>
            </w:r>
          </w:p>
        </w:tc>
        <w:tc>
          <w:tcPr>
            <w:tcW w:w="952" w:type="pct"/>
            <w:shd w:val="clear" w:color="auto" w:fill="auto"/>
            <w:vAlign w:val="center"/>
          </w:tcPr>
          <w:p w:rsidR="002E01E3" w:rsidRPr="00BE2022" w:rsidRDefault="002E01E3" w:rsidP="002E01E3">
            <w:pPr>
              <w:spacing w:after="0" w:line="240" w:lineRule="auto"/>
              <w:jc w:val="left"/>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P</w:t>
            </w:r>
            <w:r w:rsidRPr="00F63209">
              <w:rPr>
                <w:rFonts w:ascii="Arial Narrow" w:eastAsia="Times New Roman" w:hAnsi="Arial Narrow" w:cs="Times New Roman"/>
                <w:color w:val="000000"/>
                <w:sz w:val="18"/>
                <w:szCs w:val="18"/>
                <w:lang w:val="en-GB" w:eastAsia="en-AU"/>
              </w:rPr>
              <w:t>atient activation, diabetes knowledge, BP, weight, BMI, total and HDL cholesterol, triglycerides, creatinine, oral glucose-lowering medication, visits with he</w:t>
            </w:r>
            <w:r>
              <w:rPr>
                <w:rFonts w:ascii="Arial Narrow" w:eastAsia="Times New Roman" w:hAnsi="Arial Narrow" w:cs="Times New Roman"/>
                <w:color w:val="000000"/>
                <w:sz w:val="18"/>
                <w:szCs w:val="18"/>
                <w:lang w:val="en-GB" w:eastAsia="en-AU"/>
              </w:rPr>
              <w:t xml:space="preserve">alth care personnel in past 3 </w:t>
            </w:r>
            <w:proofErr w:type="spellStart"/>
            <w:r>
              <w:rPr>
                <w:rFonts w:ascii="Arial Narrow" w:eastAsia="Times New Roman" w:hAnsi="Arial Narrow" w:cs="Times New Roman"/>
                <w:color w:val="000000"/>
                <w:sz w:val="18"/>
                <w:szCs w:val="18"/>
                <w:lang w:val="en-GB" w:eastAsia="en-AU"/>
              </w:rPr>
              <w:t>mth</w:t>
            </w:r>
            <w:proofErr w:type="spellEnd"/>
            <w:r w:rsidRPr="00F63209">
              <w:rPr>
                <w:rFonts w:ascii="Arial Narrow" w:eastAsia="Times New Roman" w:hAnsi="Arial Narrow" w:cs="Times New Roman"/>
                <w:color w:val="000000"/>
                <w:sz w:val="18"/>
                <w:szCs w:val="18"/>
                <w:lang w:val="en-GB" w:eastAsia="en-AU"/>
              </w:rPr>
              <w:t xml:space="preserve">, treatment satisfaction, </w:t>
            </w:r>
            <w:r>
              <w:rPr>
                <w:rFonts w:ascii="Arial Narrow" w:eastAsia="Times New Roman" w:hAnsi="Arial Narrow" w:cs="Times New Roman"/>
                <w:color w:val="000000"/>
                <w:sz w:val="18"/>
                <w:szCs w:val="18"/>
                <w:lang w:val="en-GB" w:eastAsia="en-AU"/>
              </w:rPr>
              <w:t>EQ-VAS</w:t>
            </w:r>
            <w:r w:rsidRPr="00F63209">
              <w:rPr>
                <w:rFonts w:ascii="Arial Narrow" w:eastAsia="Times New Roman" w:hAnsi="Arial Narrow" w:cs="Times New Roman"/>
                <w:color w:val="000000"/>
                <w:sz w:val="18"/>
                <w:szCs w:val="18"/>
                <w:lang w:val="en-GB" w:eastAsia="en-AU"/>
              </w:rPr>
              <w:t xml:space="preserve"> </w:t>
            </w:r>
          </w:p>
        </w:tc>
        <w:tc>
          <w:tcPr>
            <w:tcW w:w="596" w:type="pct"/>
            <w:shd w:val="clear" w:color="auto" w:fill="auto"/>
            <w:vAlign w:val="center"/>
          </w:tcPr>
          <w:p w:rsidR="002E01E3"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 xml:space="preserve">Fortnightly or 3 </w:t>
            </w:r>
            <w:proofErr w:type="spellStart"/>
            <w:r>
              <w:rPr>
                <w:rFonts w:ascii="Arial Narrow" w:eastAsia="Times New Roman" w:hAnsi="Arial Narrow" w:cs="Times New Roman"/>
                <w:color w:val="000000"/>
                <w:sz w:val="18"/>
                <w:szCs w:val="18"/>
                <w:lang w:val="en-GB" w:eastAsia="en-AU"/>
              </w:rPr>
              <w:t>wkly</w:t>
            </w:r>
            <w:proofErr w:type="spellEnd"/>
            <w:r>
              <w:rPr>
                <w:rFonts w:ascii="Arial Narrow" w:eastAsia="Times New Roman" w:hAnsi="Arial Narrow" w:cs="Times New Roman"/>
                <w:color w:val="000000"/>
                <w:sz w:val="18"/>
                <w:szCs w:val="18"/>
                <w:lang w:val="en-GB" w:eastAsia="en-AU"/>
              </w:rPr>
              <w:t>/5hrs</w:t>
            </w:r>
          </w:p>
          <w:p w:rsidR="002E01E3"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Depending on site</w:t>
            </w:r>
          </w:p>
          <w:p w:rsidR="002E01E3" w:rsidRDefault="002E01E3" w:rsidP="002E01E3">
            <w:pPr>
              <w:spacing w:after="0" w:line="240" w:lineRule="auto"/>
              <w:jc w:val="center"/>
              <w:rPr>
                <w:rFonts w:ascii="Arial Narrow" w:eastAsia="Times New Roman" w:hAnsi="Arial Narrow" w:cs="Times New Roman"/>
                <w:color w:val="000000"/>
                <w:sz w:val="18"/>
                <w:szCs w:val="18"/>
                <w:lang w:val="en-GB" w:eastAsia="en-AU"/>
              </w:rPr>
            </w:pPr>
          </w:p>
        </w:tc>
        <w:tc>
          <w:tcPr>
            <w:tcW w:w="570"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Usual GP care</w:t>
            </w:r>
          </w:p>
        </w:tc>
        <w:tc>
          <w:tcPr>
            <w:tcW w:w="503" w:type="pct"/>
            <w:shd w:val="clear" w:color="auto" w:fill="auto"/>
            <w:vAlign w:val="center"/>
          </w:tcPr>
          <w:p w:rsidR="002E01E3"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 xml:space="preserve">6 </w:t>
            </w:r>
            <w:proofErr w:type="spellStart"/>
            <w:r>
              <w:rPr>
                <w:rFonts w:ascii="Arial Narrow" w:eastAsia="Times New Roman" w:hAnsi="Arial Narrow" w:cs="Times New Roman"/>
                <w:color w:val="000000"/>
                <w:sz w:val="18"/>
                <w:szCs w:val="18"/>
                <w:lang w:val="en-GB" w:eastAsia="en-AU"/>
              </w:rPr>
              <w:t>wks</w:t>
            </w:r>
            <w:proofErr w:type="spellEnd"/>
            <w:r>
              <w:rPr>
                <w:rFonts w:ascii="Arial Narrow" w:eastAsia="Times New Roman" w:hAnsi="Arial Narrow" w:cs="Times New Roman"/>
                <w:color w:val="000000"/>
                <w:sz w:val="18"/>
                <w:szCs w:val="18"/>
                <w:lang w:val="en-GB" w:eastAsia="en-AU"/>
              </w:rPr>
              <w:t xml:space="preserve"> – 9 </w:t>
            </w:r>
            <w:proofErr w:type="spellStart"/>
            <w:r>
              <w:rPr>
                <w:rFonts w:ascii="Arial Narrow" w:eastAsia="Times New Roman" w:hAnsi="Arial Narrow" w:cs="Times New Roman"/>
                <w:color w:val="000000"/>
                <w:sz w:val="18"/>
                <w:szCs w:val="18"/>
                <w:lang w:val="en-GB" w:eastAsia="en-AU"/>
              </w:rPr>
              <w:t>wks</w:t>
            </w:r>
            <w:proofErr w:type="spellEnd"/>
          </w:p>
          <w:p w:rsidR="002E01E3"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Depending on site</w:t>
            </w:r>
          </w:p>
          <w:p w:rsidR="002E01E3"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 xml:space="preserve">12 </w:t>
            </w:r>
            <w:proofErr w:type="spellStart"/>
            <w:r>
              <w:rPr>
                <w:rFonts w:ascii="Arial Narrow" w:eastAsia="Times New Roman" w:hAnsi="Arial Narrow" w:cs="Times New Roman"/>
                <w:color w:val="000000"/>
                <w:sz w:val="18"/>
                <w:szCs w:val="18"/>
                <w:lang w:val="en-GB" w:eastAsia="en-AU"/>
              </w:rPr>
              <w:t>mth</w:t>
            </w:r>
            <w:proofErr w:type="spellEnd"/>
            <w:r>
              <w:rPr>
                <w:rFonts w:ascii="Arial Narrow" w:eastAsia="Times New Roman" w:hAnsi="Arial Narrow" w:cs="Times New Roman"/>
                <w:color w:val="000000"/>
                <w:sz w:val="18"/>
                <w:szCs w:val="18"/>
                <w:lang w:val="en-GB" w:eastAsia="en-AU"/>
              </w:rPr>
              <w:t xml:space="preserve"> follow up</w:t>
            </w:r>
          </w:p>
        </w:tc>
        <w:tc>
          <w:tcPr>
            <w:tcW w:w="648" w:type="pct"/>
            <w:shd w:val="clear" w:color="auto" w:fill="auto"/>
            <w:vAlign w:val="center"/>
          </w:tcPr>
          <w:p w:rsidR="002E01E3"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146 patients with type 2 diabetes</w:t>
            </w:r>
          </w:p>
          <w:p w:rsidR="002E01E3" w:rsidRPr="00BE2022" w:rsidRDefault="002E01E3" w:rsidP="002E01E3">
            <w:pPr>
              <w:spacing w:after="0" w:line="240" w:lineRule="auto"/>
              <w:jc w:val="center"/>
              <w:rPr>
                <w:rFonts w:ascii="Arial Narrow" w:eastAsia="Times New Roman" w:hAnsi="Arial Narrow" w:cs="Times New Roman"/>
                <w:color w:val="000000"/>
                <w:sz w:val="18"/>
                <w:szCs w:val="18"/>
                <w:lang w:val="en-GB" w:eastAsia="en-AU"/>
              </w:rPr>
            </w:pPr>
            <w:r w:rsidRPr="00F63209">
              <w:rPr>
                <w:rFonts w:ascii="Arial Narrow" w:eastAsia="Times New Roman" w:hAnsi="Arial Narrow" w:cs="Times New Roman"/>
                <w:color w:val="000000"/>
                <w:sz w:val="18"/>
                <w:szCs w:val="18"/>
                <w:lang w:val="en-GB" w:eastAsia="en-AU"/>
              </w:rPr>
              <w:t xml:space="preserve">Age &gt; 18 </w:t>
            </w:r>
            <w:proofErr w:type="spellStart"/>
            <w:r w:rsidRPr="00F63209">
              <w:rPr>
                <w:rFonts w:ascii="Arial Narrow" w:eastAsia="Times New Roman" w:hAnsi="Arial Narrow" w:cs="Times New Roman"/>
                <w:color w:val="000000"/>
                <w:sz w:val="18"/>
                <w:szCs w:val="18"/>
                <w:lang w:val="en-GB" w:eastAsia="en-AU"/>
              </w:rPr>
              <w:t>yr</w:t>
            </w:r>
            <w:proofErr w:type="spellEnd"/>
            <w:r w:rsidRPr="00F63209">
              <w:rPr>
                <w:rFonts w:ascii="Arial Narrow" w:eastAsia="Times New Roman" w:hAnsi="Arial Narrow" w:cs="Times New Roman"/>
                <w:color w:val="000000"/>
                <w:sz w:val="18"/>
                <w:szCs w:val="18"/>
                <w:lang w:val="en-GB" w:eastAsia="en-AU"/>
              </w:rPr>
              <w:t xml:space="preserve">;; consultation with general practitioner in past 3 </w:t>
            </w:r>
            <w:proofErr w:type="spellStart"/>
            <w:r w:rsidRPr="00F63209">
              <w:rPr>
                <w:rFonts w:ascii="Arial Narrow" w:eastAsia="Times New Roman" w:hAnsi="Arial Narrow" w:cs="Times New Roman"/>
                <w:color w:val="000000"/>
                <w:sz w:val="18"/>
                <w:szCs w:val="18"/>
                <w:lang w:val="en-GB" w:eastAsia="en-AU"/>
              </w:rPr>
              <w:t>yr</w:t>
            </w:r>
            <w:proofErr w:type="spellEnd"/>
          </w:p>
        </w:tc>
        <w:tc>
          <w:tcPr>
            <w:tcW w:w="663"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GP clinics in Central Norway</w:t>
            </w:r>
          </w:p>
        </w:tc>
      </w:tr>
      <w:tr w:rsidR="002E01E3" w:rsidRPr="00BE2022">
        <w:trPr>
          <w:trHeight w:val="1141"/>
          <w:tblHeader/>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hAnsi="Arial Narrow"/>
                <w:noProof/>
                <w:sz w:val="18"/>
                <w:szCs w:val="18"/>
              </w:rPr>
            </w:pPr>
            <w:r w:rsidRPr="00C44EE5">
              <w:rPr>
                <w:rFonts w:ascii="Arial Narrow" w:hAnsi="Arial Narrow"/>
                <w:noProof/>
                <w:sz w:val="18"/>
                <w:szCs w:val="18"/>
              </w:rPr>
              <w:t xml:space="preserve">Naik </w:t>
            </w:r>
          </w:p>
          <w:p w:rsidR="002E01E3" w:rsidRPr="00C44EE5" w:rsidRDefault="002E01E3" w:rsidP="002E01E3">
            <w:pPr>
              <w:spacing w:after="0" w:line="240" w:lineRule="auto"/>
              <w:jc w:val="left"/>
              <w:rPr>
                <w:rFonts w:ascii="Arial Narrow" w:hAnsi="Arial Narrow"/>
                <w:noProof/>
                <w:sz w:val="18"/>
                <w:szCs w:val="18"/>
              </w:rPr>
            </w:pPr>
            <w:r>
              <w:rPr>
                <w:rFonts w:ascii="Arial Narrow" w:hAnsi="Arial Narrow"/>
                <w:noProof/>
                <w:sz w:val="18"/>
                <w:szCs w:val="18"/>
              </w:rPr>
              <w:t>(201</w:t>
            </w:r>
            <w:r w:rsidRPr="00C44EE5">
              <w:rPr>
                <w:rFonts w:ascii="Arial Narrow" w:hAnsi="Arial Narrow"/>
                <w:noProof/>
                <w:sz w:val="18"/>
                <w:szCs w:val="18"/>
              </w:rPr>
              <w:t>1)</w:t>
            </w:r>
            <w:r w:rsidRPr="00C44EE5">
              <w:rPr>
                <w:rFonts w:ascii="Arial Narrow" w:hAnsi="Arial Narrow"/>
                <w:noProof/>
                <w:sz w:val="18"/>
                <w:szCs w:val="18"/>
              </w:rPr>
              <w:fldChar w:fldCharType="begin"/>
            </w:r>
            <w:r>
              <w:rPr>
                <w:rFonts w:ascii="Arial Narrow" w:hAnsi="Arial Narrow"/>
                <w:noProof/>
                <w:sz w:val="18"/>
                <w:szCs w:val="18"/>
              </w:rPr>
              <w:instrText xml:space="preserve"> ADDIN EN.CITE &lt;EndNote&gt;&lt;Cite&gt;&lt;Author&gt;Naik&lt;/Author&gt;&lt;Year&gt;2011&lt;/Year&gt;&lt;RecNum&gt;63&lt;/RecNum&gt;&lt;DisplayText&gt;[42]&lt;/DisplayText&gt;&lt;record&gt;&lt;rec-number&gt;63&lt;/rec-number&gt;&lt;foreign-keys&gt;&lt;key app="EN" db-id="edz5s99awvadpbexfxhvwe0ofp2svdwzsdpf" timestamp="1413332871"&gt;63&lt;/key&gt;&lt;/foreign-keys&gt;&lt;ref-type name="Journal Article"&gt;17&lt;/ref-type&gt;&lt;contributors&gt;&lt;authors&gt;&lt;author&gt;Naik, Aanand D&lt;/author&gt;&lt;author&gt;Palmer, Nynikka&lt;/author&gt;&lt;author&gt;Petersen, Nancy J&lt;/author&gt;&lt;author&gt;Street, Richard L&lt;/author&gt;&lt;author&gt;Rao, Radha&lt;/author&gt;&lt;author&gt;Suarez-Almazor, Maria&lt;/author&gt;&lt;author&gt;Haidet, Paul&lt;/author&gt;&lt;/authors&gt;&lt;/contributors&gt;&lt;titles&gt;&lt;title&gt;Comparative effectiveness of goal setting in diabetes mellitus group clinics: randomized clinical trial&lt;/title&gt;&lt;secondary-title&gt;Archives of internal medicine&lt;/secondary-title&gt;&lt;/titles&gt;&lt;periodical&gt;&lt;full-title&gt;Archives of internal medicine&lt;/full-title&gt;&lt;/periodical&gt;&lt;pages&gt;453-459&lt;/pages&gt;&lt;volume&gt;171&lt;/volume&gt;&lt;number&gt;5&lt;/number&gt;&lt;dates&gt;&lt;year&gt;2011&lt;/year&gt;&lt;/dates&gt;&lt;isbn&gt;0003-9926&lt;/isbn&gt;&lt;urls&gt;&lt;/urls&gt;&lt;/record&gt;&lt;/Cite&gt;&lt;/EndNote&gt;</w:instrText>
            </w:r>
            <w:r w:rsidRPr="00C44EE5">
              <w:rPr>
                <w:rFonts w:ascii="Arial Narrow" w:hAnsi="Arial Narrow"/>
                <w:noProof/>
                <w:sz w:val="18"/>
                <w:szCs w:val="18"/>
              </w:rPr>
              <w:fldChar w:fldCharType="separate"/>
            </w:r>
            <w:r>
              <w:rPr>
                <w:rFonts w:ascii="Arial Narrow" w:hAnsi="Arial Narrow"/>
                <w:noProof/>
                <w:sz w:val="18"/>
                <w:szCs w:val="18"/>
              </w:rPr>
              <w:t>[42]</w:t>
            </w:r>
            <w:r w:rsidRPr="00C44EE5">
              <w:rPr>
                <w:rFonts w:ascii="Arial Narrow" w:hAnsi="Arial Narrow"/>
                <w:noProof/>
                <w:sz w:val="18"/>
                <w:szCs w:val="18"/>
              </w:rPr>
              <w:fldChar w:fldCharType="end"/>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Reduction of HbA</w:t>
            </w:r>
            <w:r w:rsidRPr="0038677D">
              <w:rPr>
                <w:rFonts w:ascii="Arial Narrow" w:eastAsia="Times New Roman" w:hAnsi="Arial Narrow" w:cs="Times New Roman"/>
                <w:color w:val="000000"/>
                <w:sz w:val="18"/>
                <w:szCs w:val="18"/>
                <w:vertAlign w:val="subscript"/>
                <w:lang w:val="en-GB" w:eastAsia="en-AU"/>
              </w:rPr>
              <w:t>1c</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Diab</w:t>
            </w:r>
            <w:r w:rsidRPr="00BE2022">
              <w:rPr>
                <w:rFonts w:ascii="Arial Narrow" w:eastAsia="Times New Roman" w:hAnsi="Arial Narrow" w:cs="Times New Roman"/>
                <w:color w:val="000000"/>
                <w:sz w:val="18"/>
                <w:szCs w:val="18"/>
                <w:lang w:val="en-GB" w:eastAsia="en-AU"/>
              </w:rPr>
              <w:t>etes self-efficacy, knowledge and understanding tests</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 xml:space="preserve">3 </w:t>
            </w:r>
            <w:proofErr w:type="spellStart"/>
            <w:r>
              <w:rPr>
                <w:rFonts w:ascii="Arial Narrow" w:eastAsia="Times New Roman" w:hAnsi="Arial Narrow" w:cs="Times New Roman"/>
                <w:color w:val="000000"/>
                <w:sz w:val="18"/>
                <w:szCs w:val="18"/>
                <w:lang w:val="en-GB" w:eastAsia="en-AU"/>
              </w:rPr>
              <w:t>w</w:t>
            </w:r>
            <w:r w:rsidRPr="00BE2022">
              <w:rPr>
                <w:rFonts w:ascii="Arial Narrow" w:eastAsia="Times New Roman" w:hAnsi="Arial Narrow" w:cs="Times New Roman"/>
                <w:color w:val="000000"/>
                <w:sz w:val="18"/>
                <w:szCs w:val="18"/>
                <w:lang w:val="en-GB" w:eastAsia="en-AU"/>
              </w:rPr>
              <w:t>kly</w:t>
            </w:r>
            <w:proofErr w:type="spellEnd"/>
            <w:r w:rsidRPr="00BE2022">
              <w:rPr>
                <w:rFonts w:ascii="Arial Narrow" w:eastAsia="Times New Roman" w:hAnsi="Arial Narrow" w:cs="Times New Roman"/>
                <w:color w:val="000000"/>
                <w:sz w:val="18"/>
                <w:szCs w:val="18"/>
                <w:lang w:val="en-GB" w:eastAsia="en-AU"/>
              </w:rPr>
              <w:t>/</w:t>
            </w:r>
            <w:r>
              <w:rPr>
                <w:rFonts w:ascii="Arial Narrow" w:eastAsia="Times New Roman" w:hAnsi="Arial Narrow" w:cs="Times New Roman"/>
                <w:color w:val="000000"/>
                <w:sz w:val="18"/>
                <w:szCs w:val="18"/>
                <w:lang w:val="en-GB" w:eastAsia="en-AU"/>
              </w:rPr>
              <w:t xml:space="preserve"> 70 </w:t>
            </w:r>
            <w:proofErr w:type="spellStart"/>
            <w:r>
              <w:rPr>
                <w:rFonts w:ascii="Arial Narrow" w:eastAsia="Times New Roman" w:hAnsi="Arial Narrow" w:cs="Times New Roman"/>
                <w:color w:val="000000"/>
                <w:sz w:val="18"/>
                <w:szCs w:val="18"/>
                <w:lang w:val="en-GB" w:eastAsia="en-AU"/>
              </w:rPr>
              <w:t>min</w:t>
            </w:r>
            <w:r w:rsidRPr="00BE2022">
              <w:rPr>
                <w:rFonts w:ascii="Arial Narrow" w:eastAsia="Times New Roman" w:hAnsi="Arial Narrow" w:cs="Times New Roman"/>
                <w:color w:val="000000"/>
                <w:sz w:val="18"/>
                <w:szCs w:val="18"/>
                <w:lang w:val="en-GB" w:eastAsia="en-AU"/>
              </w:rPr>
              <w:t>s</w:t>
            </w:r>
            <w:proofErr w:type="spellEnd"/>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Usual GP care</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 xml:space="preserve">3 </w:t>
            </w:r>
            <w:proofErr w:type="spellStart"/>
            <w:r>
              <w:rPr>
                <w:rFonts w:ascii="Arial Narrow" w:eastAsia="Times New Roman" w:hAnsi="Arial Narrow" w:cs="Times New Roman"/>
                <w:color w:val="000000"/>
                <w:sz w:val="18"/>
                <w:szCs w:val="18"/>
                <w:lang w:val="en-GB" w:eastAsia="en-AU"/>
              </w:rPr>
              <w:t>m</w:t>
            </w:r>
            <w:r w:rsidRPr="00BE2022">
              <w:rPr>
                <w:rFonts w:ascii="Arial Narrow" w:eastAsia="Times New Roman" w:hAnsi="Arial Narrow" w:cs="Times New Roman"/>
                <w:color w:val="000000"/>
                <w:sz w:val="18"/>
                <w:szCs w:val="18"/>
                <w:lang w:val="en-GB" w:eastAsia="en-AU"/>
              </w:rPr>
              <w:t>ths</w:t>
            </w:r>
            <w:proofErr w:type="spellEnd"/>
            <w:r w:rsidRPr="00BE2022">
              <w:rPr>
                <w:rFonts w:ascii="Arial Narrow" w:eastAsia="Times New Roman" w:hAnsi="Arial Narrow" w:cs="Times New Roman"/>
                <w:color w:val="000000"/>
                <w:sz w:val="18"/>
                <w:szCs w:val="18"/>
                <w:lang w:val="en-GB" w:eastAsia="en-AU"/>
              </w:rPr>
              <w:t xml:space="preserve"> with 1 year follow-up</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87</w:t>
            </w:r>
            <w:r>
              <w:rPr>
                <w:rFonts w:ascii="Arial Narrow" w:eastAsia="Times New Roman" w:hAnsi="Arial Narrow" w:cs="Times New Roman"/>
                <w:color w:val="000000"/>
                <w:sz w:val="18"/>
                <w:szCs w:val="18"/>
                <w:lang w:val="en-GB" w:eastAsia="en-AU"/>
              </w:rPr>
              <w:t xml:space="preserve"> patients with diabetes</w:t>
            </w:r>
            <w:r w:rsidRPr="00BE2022">
              <w:rPr>
                <w:rFonts w:ascii="Arial Narrow" w:eastAsia="Times New Roman" w:hAnsi="Arial Narrow" w:cs="Times New Roman"/>
                <w:color w:val="000000"/>
                <w:sz w:val="18"/>
                <w:szCs w:val="18"/>
                <w:lang w:val="en-GB" w:eastAsia="en-AU"/>
              </w:rPr>
              <w:t xml:space="preserve"> </w:t>
            </w:r>
            <w:r>
              <w:rPr>
                <w:rFonts w:ascii="Arial Narrow" w:eastAsia="Times New Roman" w:hAnsi="Arial Narrow" w:cs="Times New Roman"/>
                <w:color w:val="000000"/>
                <w:sz w:val="18"/>
                <w:szCs w:val="18"/>
                <w:lang w:val="en-GB" w:eastAsia="en-AU"/>
              </w:rPr>
              <w:t xml:space="preserve">whose </w:t>
            </w:r>
            <w:r w:rsidRPr="00BE2022">
              <w:rPr>
                <w:rFonts w:ascii="Arial Narrow" w:eastAsia="Times New Roman" w:hAnsi="Arial Narrow" w:cs="Times New Roman"/>
                <w:color w:val="000000"/>
                <w:sz w:val="18"/>
                <w:szCs w:val="18"/>
                <w:lang w:val="en-GB" w:eastAsia="en-AU"/>
              </w:rPr>
              <w:t>HbA</w:t>
            </w:r>
            <w:r w:rsidRPr="0038677D">
              <w:rPr>
                <w:rFonts w:ascii="Arial Narrow" w:eastAsia="Times New Roman" w:hAnsi="Arial Narrow" w:cs="Times New Roman"/>
                <w:color w:val="000000"/>
                <w:sz w:val="18"/>
                <w:szCs w:val="18"/>
                <w:vertAlign w:val="subscript"/>
                <w:lang w:val="en-GB" w:eastAsia="en-AU"/>
              </w:rPr>
              <w:t>1c</w:t>
            </w:r>
            <w:r w:rsidRPr="00BE2022">
              <w:rPr>
                <w:rFonts w:ascii="Arial Narrow" w:eastAsia="Times New Roman" w:hAnsi="Arial Narrow" w:cs="Times New Roman"/>
                <w:color w:val="000000"/>
                <w:sz w:val="18"/>
                <w:szCs w:val="18"/>
                <w:lang w:val="en-GB" w:eastAsia="en-AU"/>
              </w:rPr>
              <w:t xml:space="preserve"> levels &gt; 7.5% from veterans affairs medical centre</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Diabetes clinic</w:t>
            </w:r>
          </w:p>
        </w:tc>
      </w:tr>
      <w:tr w:rsidR="002E01E3" w:rsidRPr="00BE2022">
        <w:trPr>
          <w:trHeight w:val="1978"/>
          <w:tblHeader/>
        </w:trPr>
        <w:tc>
          <w:tcPr>
            <w:tcW w:w="527" w:type="pct"/>
            <w:shd w:val="clear" w:color="auto" w:fill="auto"/>
            <w:vAlign w:val="center"/>
          </w:tcPr>
          <w:p w:rsidR="002E01E3" w:rsidRPr="00C44EE5" w:rsidRDefault="002E01E3" w:rsidP="002E01E3">
            <w:pPr>
              <w:spacing w:after="0" w:line="240" w:lineRule="auto"/>
              <w:jc w:val="left"/>
              <w:rPr>
                <w:rFonts w:ascii="Arial Narrow" w:hAnsi="Arial Narrow"/>
                <w:noProof/>
                <w:sz w:val="18"/>
                <w:szCs w:val="18"/>
              </w:rPr>
            </w:pPr>
            <w:r w:rsidRPr="00C44EE5">
              <w:rPr>
                <w:rFonts w:ascii="Arial Narrow" w:hAnsi="Arial Narrow"/>
                <w:noProof/>
                <w:sz w:val="18"/>
                <w:szCs w:val="18"/>
              </w:rPr>
              <w:t xml:space="preserve">Trento </w:t>
            </w:r>
          </w:p>
          <w:p w:rsidR="002E01E3" w:rsidRPr="00C44EE5" w:rsidRDefault="002E01E3" w:rsidP="002E01E3">
            <w:pPr>
              <w:spacing w:after="0" w:line="240" w:lineRule="auto"/>
              <w:jc w:val="left"/>
              <w:rPr>
                <w:rFonts w:ascii="Arial Narrow" w:eastAsia="Times New Roman" w:hAnsi="Arial Narrow" w:cs="Times New Roman"/>
                <w:bCs/>
                <w:color w:val="000000"/>
                <w:sz w:val="18"/>
                <w:szCs w:val="18"/>
                <w:lang w:eastAsia="en-AU"/>
              </w:rPr>
            </w:pPr>
            <w:r w:rsidRPr="00C44EE5">
              <w:rPr>
                <w:rFonts w:ascii="Arial Narrow" w:hAnsi="Arial Narrow"/>
                <w:noProof/>
                <w:sz w:val="18"/>
                <w:szCs w:val="18"/>
              </w:rPr>
              <w:t>(2010)</w:t>
            </w:r>
            <w:r w:rsidRPr="00C44EE5">
              <w:rPr>
                <w:rFonts w:ascii="Arial Narrow" w:eastAsia="Times New Roman" w:hAnsi="Arial Narrow" w:cs="Times New Roman"/>
                <w:bCs/>
                <w:color w:val="000000"/>
                <w:sz w:val="18"/>
                <w:szCs w:val="18"/>
                <w:lang w:eastAsia="en-AU"/>
              </w:rPr>
              <w:fldChar w:fldCharType="begin"/>
            </w:r>
            <w:r>
              <w:rPr>
                <w:rFonts w:ascii="Arial Narrow" w:eastAsia="Times New Roman" w:hAnsi="Arial Narrow" w:cs="Times New Roman"/>
                <w:bCs/>
                <w:color w:val="000000"/>
                <w:sz w:val="18"/>
                <w:szCs w:val="18"/>
                <w:lang w:eastAsia="en-AU"/>
              </w:rPr>
              <w:instrText xml:space="preserve"> ADDIN EN.CITE &lt;EndNote&gt;&lt;Cite&gt;&lt;Author&gt;Trento&lt;/Author&gt;&lt;Year&gt;2010&lt;/Year&gt;&lt;RecNum&gt;64&lt;/RecNum&gt;&lt;DisplayText&gt;[23]&lt;/DisplayText&gt;&lt;record&gt;&lt;rec-number&gt;64&lt;/rec-number&gt;&lt;foreign-keys&gt;&lt;key app="EN" db-id="edz5s99awvadpbexfxhvwe0ofp2svdwzsdpf" timestamp="1413335031"&gt;64&lt;/key&gt;&lt;/foreign-keys&gt;&lt;ref-type name="Journal Article"&gt;17&lt;/ref-type&gt;&lt;contributors&gt;&lt;authors&gt;&lt;author&gt;Trento, Marina&lt;/author&gt;&lt;author&gt;Gamba, Silvia&lt;/author&gt;&lt;author&gt;Gentile, Luigi&lt;/author&gt;&lt;author&gt;Grassi, Giorgio&lt;/author&gt;&lt;author&gt;Miselli, Valerio&lt;/author&gt;&lt;author&gt;Morone, Gabriel&lt;/author&gt;&lt;author&gt;Passera, Pietro&lt;/author&gt;&lt;author&gt;Tonutti, Laura&lt;/author&gt;&lt;author&gt;Tomalino, Marco&lt;/author&gt;&lt;author&gt;Bondonio, Piervincenzo&lt;/author&gt;&lt;/authors&gt;&lt;/contributors&gt;&lt;titles&gt;&lt;title&gt;Rethink Organization to iMprove Education and Outcomes (ROMEO) A multicenter randomized trial of lifestyle intervention by group care to manage type 2 diabetes&lt;/title&gt;&lt;secondary-title&gt;Diabetes care&lt;/secondary-title&gt;&lt;/titles&gt;&lt;periodical&gt;&lt;full-title&gt;Diabetes care&lt;/full-title&gt;&lt;/periodical&gt;&lt;pages&gt;745-747&lt;/pages&gt;&lt;volume&gt;33&lt;/volume&gt;&lt;number&gt;4&lt;/number&gt;&lt;dates&gt;&lt;year&gt;2010&lt;/year&gt;&lt;/dates&gt;&lt;isbn&gt;0149-5992&lt;/isbn&gt;&lt;urls&gt;&lt;/urls&gt;&lt;/record&gt;&lt;/Cite&gt;&lt;/EndNote&gt;</w:instrText>
            </w:r>
            <w:r w:rsidRPr="00C44EE5">
              <w:rPr>
                <w:rFonts w:ascii="Arial Narrow" w:eastAsia="Times New Roman" w:hAnsi="Arial Narrow" w:cs="Times New Roman"/>
                <w:bCs/>
                <w:color w:val="000000"/>
                <w:sz w:val="18"/>
                <w:szCs w:val="18"/>
                <w:lang w:eastAsia="en-AU"/>
              </w:rPr>
              <w:fldChar w:fldCharType="separate"/>
            </w:r>
            <w:r>
              <w:rPr>
                <w:rFonts w:ascii="Arial Narrow" w:eastAsia="Times New Roman" w:hAnsi="Arial Narrow" w:cs="Times New Roman"/>
                <w:bCs/>
                <w:noProof/>
                <w:color w:val="000000"/>
                <w:sz w:val="18"/>
                <w:szCs w:val="18"/>
                <w:lang w:eastAsia="en-AU"/>
              </w:rPr>
              <w:t>[23]</w:t>
            </w:r>
            <w:r w:rsidRPr="00C44EE5">
              <w:rPr>
                <w:rFonts w:ascii="Arial Narrow" w:eastAsia="Times New Roman" w:hAnsi="Arial Narrow" w:cs="Times New Roman"/>
                <w:bCs/>
                <w:color w:val="000000"/>
                <w:sz w:val="18"/>
                <w:szCs w:val="18"/>
                <w:lang w:eastAsia="en-AU"/>
              </w:rPr>
              <w:fldChar w:fldCharType="end"/>
            </w:r>
          </w:p>
        </w:tc>
        <w:tc>
          <w:tcPr>
            <w:tcW w:w="540" w:type="pct"/>
            <w:shd w:val="clear" w:color="auto" w:fill="auto"/>
            <w:vAlign w:val="center"/>
          </w:tcPr>
          <w:p w:rsidR="002E01E3" w:rsidRPr="00BE2022" w:rsidRDefault="002E01E3" w:rsidP="002E01E3">
            <w:pPr>
              <w:spacing w:after="0" w:line="240" w:lineRule="auto"/>
              <w:jc w:val="left"/>
              <w:rPr>
                <w:rFonts w:ascii="Arial Narrow" w:eastAsia="Times New Roman" w:hAnsi="Arial Narrow" w:cs="Times New Roman"/>
                <w:color w:val="000000"/>
                <w:sz w:val="18"/>
                <w:szCs w:val="18"/>
                <w:lang w:eastAsia="en-AU"/>
              </w:rPr>
            </w:pPr>
            <w:r w:rsidRPr="00BE2022">
              <w:rPr>
                <w:rFonts w:ascii="Arial Narrow" w:eastAsia="Times New Roman" w:hAnsi="Arial Narrow" w:cs="Times New Roman"/>
                <w:color w:val="000000"/>
                <w:sz w:val="18"/>
                <w:szCs w:val="18"/>
                <w:lang w:val="en-GB" w:eastAsia="en-AU"/>
              </w:rPr>
              <w:t>Reduction of HbA</w:t>
            </w:r>
            <w:r w:rsidRPr="00135F7F">
              <w:rPr>
                <w:rFonts w:ascii="Arial Narrow" w:eastAsia="Times New Roman" w:hAnsi="Arial Narrow" w:cs="Times New Roman"/>
                <w:color w:val="000000"/>
                <w:sz w:val="18"/>
                <w:szCs w:val="18"/>
                <w:vertAlign w:val="subscript"/>
                <w:lang w:val="en-GB" w:eastAsia="en-AU"/>
              </w:rPr>
              <w:t>1c</w:t>
            </w:r>
          </w:p>
        </w:tc>
        <w:tc>
          <w:tcPr>
            <w:tcW w:w="952" w:type="pct"/>
            <w:shd w:val="clear" w:color="auto" w:fill="auto"/>
            <w:vAlign w:val="center"/>
          </w:tcPr>
          <w:p w:rsidR="002E01E3" w:rsidRPr="00BE2022" w:rsidRDefault="002E01E3" w:rsidP="002E01E3">
            <w:pPr>
              <w:spacing w:after="0" w:line="240" w:lineRule="auto"/>
              <w:jc w:val="left"/>
              <w:rPr>
                <w:rFonts w:ascii="Arial Narrow" w:eastAsia="Times New Roman" w:hAnsi="Arial Narrow" w:cs="Times New Roman"/>
                <w:color w:val="000000"/>
                <w:sz w:val="18"/>
                <w:szCs w:val="18"/>
                <w:lang w:eastAsia="en-AU"/>
              </w:rPr>
            </w:pPr>
            <w:r w:rsidRPr="00BE2022">
              <w:rPr>
                <w:rFonts w:ascii="Arial Narrow" w:eastAsia="Times New Roman" w:hAnsi="Arial Narrow" w:cs="Times New Roman"/>
                <w:color w:val="000000"/>
                <w:sz w:val="18"/>
                <w:szCs w:val="18"/>
                <w:lang w:val="en-GB" w:eastAsia="en-AU"/>
              </w:rPr>
              <w:t>Total cholesterol, LDL cholesterol, triglycerides, blood pressure, BMI,  serum creatinine, HDL cholesterol, health behaviours, quality of life, knowledge of diabetes</w:t>
            </w:r>
          </w:p>
        </w:tc>
        <w:tc>
          <w:tcPr>
            <w:tcW w:w="596"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val="en-GB" w:eastAsia="en-AU"/>
              </w:rPr>
              <w:t>3 m</w:t>
            </w:r>
            <w:r w:rsidRPr="00BE2022">
              <w:rPr>
                <w:rFonts w:ascii="Arial Narrow" w:eastAsia="Times New Roman" w:hAnsi="Arial Narrow" w:cs="Times New Roman"/>
                <w:color w:val="000000"/>
                <w:sz w:val="18"/>
                <w:szCs w:val="18"/>
                <w:lang w:val="en-GB" w:eastAsia="en-AU"/>
              </w:rPr>
              <w:t>thly/</w:t>
            </w:r>
            <w:r>
              <w:rPr>
                <w:rFonts w:ascii="Arial Narrow" w:eastAsia="Times New Roman" w:hAnsi="Arial Narrow" w:cs="Times New Roman"/>
                <w:color w:val="000000"/>
                <w:sz w:val="18"/>
                <w:szCs w:val="18"/>
                <w:lang w:val="en-GB" w:eastAsia="en-AU"/>
              </w:rPr>
              <w:t xml:space="preserve"> </w:t>
            </w:r>
            <w:r w:rsidRPr="00BE2022">
              <w:rPr>
                <w:rFonts w:ascii="Arial Narrow" w:eastAsia="Times New Roman" w:hAnsi="Arial Narrow" w:cs="Times New Roman"/>
                <w:color w:val="000000"/>
                <w:sz w:val="18"/>
                <w:szCs w:val="18"/>
                <w:lang w:val="en-GB" w:eastAsia="en-AU"/>
              </w:rPr>
              <w:t>1 hour</w:t>
            </w:r>
          </w:p>
        </w:tc>
        <w:tc>
          <w:tcPr>
            <w:tcW w:w="570"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val="en-GB" w:eastAsia="en-AU"/>
              </w:rPr>
              <w:t>Usual GP care</w:t>
            </w:r>
          </w:p>
        </w:tc>
        <w:tc>
          <w:tcPr>
            <w:tcW w:w="503"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val="en-GB" w:eastAsia="en-AU"/>
              </w:rPr>
              <w:t xml:space="preserve">4 </w:t>
            </w:r>
            <w:proofErr w:type="spellStart"/>
            <w:r>
              <w:rPr>
                <w:rFonts w:ascii="Arial Narrow" w:eastAsia="Times New Roman" w:hAnsi="Arial Narrow" w:cs="Times New Roman"/>
                <w:color w:val="000000"/>
                <w:sz w:val="18"/>
                <w:szCs w:val="18"/>
                <w:lang w:val="en-GB" w:eastAsia="en-AU"/>
              </w:rPr>
              <w:t>y</w:t>
            </w:r>
            <w:r w:rsidRPr="00BE2022">
              <w:rPr>
                <w:rFonts w:ascii="Arial Narrow" w:eastAsia="Times New Roman" w:hAnsi="Arial Narrow" w:cs="Times New Roman"/>
                <w:color w:val="000000"/>
                <w:sz w:val="18"/>
                <w:szCs w:val="18"/>
                <w:lang w:val="en-GB" w:eastAsia="en-AU"/>
              </w:rPr>
              <w:t>rs</w:t>
            </w:r>
            <w:proofErr w:type="spellEnd"/>
          </w:p>
        </w:tc>
        <w:tc>
          <w:tcPr>
            <w:tcW w:w="648"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eastAsia="en-AU"/>
              </w:rPr>
            </w:pPr>
            <w:r w:rsidRPr="00BE2022">
              <w:rPr>
                <w:rFonts w:ascii="Arial Narrow" w:eastAsia="Times New Roman" w:hAnsi="Arial Narrow" w:cs="Times New Roman"/>
                <w:color w:val="000000"/>
                <w:sz w:val="18"/>
                <w:szCs w:val="18"/>
                <w:lang w:val="en-GB" w:eastAsia="en-AU"/>
              </w:rPr>
              <w:t>815 non-insulin-treated patients aged &lt; 80 years diagnosed for at least 1 year</w:t>
            </w:r>
          </w:p>
        </w:tc>
        <w:tc>
          <w:tcPr>
            <w:tcW w:w="663"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eastAsia="en-AU"/>
              </w:rPr>
            </w:pPr>
            <w:r w:rsidRPr="00BE2022">
              <w:rPr>
                <w:rFonts w:ascii="Arial Narrow" w:eastAsia="Times New Roman" w:hAnsi="Arial Narrow" w:cs="Times New Roman"/>
                <w:color w:val="000000"/>
                <w:sz w:val="18"/>
                <w:szCs w:val="18"/>
                <w:lang w:val="en-GB" w:eastAsia="en-AU"/>
              </w:rPr>
              <w:t>13 hospital-based diabetes clinics in Italy</w:t>
            </w:r>
          </w:p>
        </w:tc>
      </w:tr>
      <w:tr w:rsidR="002E01E3" w:rsidRPr="00BE2022">
        <w:trPr>
          <w:trHeight w:val="1141"/>
          <w:tblHeader/>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hAnsi="Arial Narrow"/>
                <w:noProof/>
                <w:sz w:val="18"/>
                <w:szCs w:val="18"/>
              </w:rPr>
            </w:pPr>
            <w:r w:rsidRPr="00C44EE5">
              <w:rPr>
                <w:rFonts w:ascii="Arial Narrow" w:hAnsi="Arial Narrow"/>
                <w:noProof/>
                <w:sz w:val="18"/>
                <w:szCs w:val="18"/>
              </w:rPr>
              <w:lastRenderedPageBreak/>
              <w:t>Clancy (2007)</w:t>
            </w:r>
            <w:r w:rsidRPr="00C44EE5">
              <w:rPr>
                <w:rFonts w:ascii="Arial Narrow" w:hAnsi="Arial Narrow"/>
                <w:noProof/>
                <w:sz w:val="18"/>
                <w:szCs w:val="18"/>
              </w:rPr>
              <w:fldChar w:fldCharType="begin"/>
            </w:r>
            <w:r>
              <w:rPr>
                <w:rFonts w:ascii="Arial Narrow" w:hAnsi="Arial Narrow"/>
                <w:noProof/>
                <w:sz w:val="18"/>
                <w:szCs w:val="18"/>
              </w:rPr>
              <w:instrText xml:space="preserve"> ADDIN EN.CITE &lt;EndNote&gt;&lt;Cite&gt;&lt;Author&gt;Clancy&lt;/Author&gt;&lt;Year&gt;2007&lt;/Year&gt;&lt;RecNum&gt;52&lt;/RecNum&gt;&lt;DisplayText&gt;[43]&lt;/DisplayText&gt;&lt;record&gt;&lt;rec-number&gt;52&lt;/rec-number&gt;&lt;foreign-keys&gt;&lt;key app="EN" db-id="edz5s99awvadpbexfxhvwe0ofp2svdwzsdpf" timestamp="1413243149"&gt;52&lt;/key&gt;&lt;/foreign-keys&gt;&lt;ref-type name="Journal Article"&gt;17&lt;/ref-type&gt;&lt;contributors&gt;&lt;authors&gt;&lt;author&gt;Clancy, Dawn E&lt;/author&gt;&lt;author&gt;Huang, Peng&lt;/author&gt;&lt;author&gt;Okonofua, Eni&lt;/author&gt;&lt;author&gt;Yeager, Derik&lt;/author&gt;&lt;author&gt;Magruder, Kathryn Marley&lt;/author&gt;&lt;/authors&gt;&lt;/contributors&gt;&lt;titles&gt;&lt;title&gt;Group visits: promoting adherence to diabetes guidelines&lt;/title&gt;&lt;secondary-title&gt;Journal of general internal medicine&lt;/secondary-title&gt;&lt;/titles&gt;&lt;periodical&gt;&lt;full-title&gt;Journal of general internal medicine&lt;/full-title&gt;&lt;/periodical&gt;&lt;pages&gt;620-624&lt;/pages&gt;&lt;volume&gt;22&lt;/volume&gt;&lt;number&gt;5&lt;/number&gt;&lt;dates&gt;&lt;year&gt;2007&lt;/year&gt;&lt;/dates&gt;&lt;isbn&gt;0884-8734&lt;/isbn&gt;&lt;urls&gt;&lt;/urls&gt;&lt;/record&gt;&lt;/Cite&gt;&lt;/EndNote&gt;</w:instrText>
            </w:r>
            <w:r w:rsidRPr="00C44EE5">
              <w:rPr>
                <w:rFonts w:ascii="Arial Narrow" w:hAnsi="Arial Narrow"/>
                <w:noProof/>
                <w:sz w:val="18"/>
                <w:szCs w:val="18"/>
              </w:rPr>
              <w:fldChar w:fldCharType="separate"/>
            </w:r>
            <w:r>
              <w:rPr>
                <w:rFonts w:ascii="Arial Narrow" w:hAnsi="Arial Narrow"/>
                <w:noProof/>
                <w:sz w:val="18"/>
                <w:szCs w:val="18"/>
              </w:rPr>
              <w:t>[43]</w:t>
            </w:r>
            <w:r w:rsidRPr="00C44EE5">
              <w:rPr>
                <w:rFonts w:ascii="Arial Narrow" w:hAnsi="Arial Narrow"/>
                <w:noProof/>
                <w:sz w:val="18"/>
                <w:szCs w:val="18"/>
              </w:rPr>
              <w:fldChar w:fldCharType="end"/>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Reduction of HbA</w:t>
            </w:r>
            <w:r w:rsidRPr="0038677D">
              <w:rPr>
                <w:rFonts w:ascii="Arial Narrow" w:eastAsia="Times New Roman" w:hAnsi="Arial Narrow" w:cs="Times New Roman"/>
                <w:color w:val="000000"/>
                <w:sz w:val="18"/>
                <w:szCs w:val="18"/>
                <w:vertAlign w:val="subscript"/>
                <w:lang w:val="en-GB" w:eastAsia="en-AU"/>
              </w:rPr>
              <w:t>1c</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 xml:space="preserve">Blood pressure, lipid profiles, adherence to </w:t>
            </w:r>
            <w:r>
              <w:rPr>
                <w:rFonts w:ascii="Arial Narrow" w:eastAsia="Times New Roman" w:hAnsi="Arial Narrow" w:cs="Times New Roman"/>
                <w:color w:val="000000"/>
                <w:sz w:val="18"/>
                <w:szCs w:val="18"/>
                <w:lang w:val="en-GB" w:eastAsia="en-AU"/>
              </w:rPr>
              <w:t>US</w:t>
            </w:r>
            <w:r w:rsidRPr="00BE2022">
              <w:rPr>
                <w:rFonts w:ascii="Arial Narrow" w:eastAsia="Times New Roman" w:hAnsi="Arial Narrow" w:cs="Times New Roman"/>
                <w:color w:val="000000"/>
                <w:sz w:val="18"/>
                <w:szCs w:val="18"/>
                <w:lang w:val="en-GB" w:eastAsia="en-AU"/>
              </w:rPr>
              <w:t xml:space="preserve"> guidelines</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M</w:t>
            </w:r>
            <w:r w:rsidRPr="00BE2022">
              <w:rPr>
                <w:rFonts w:ascii="Arial Narrow" w:eastAsia="Times New Roman" w:hAnsi="Arial Narrow" w:cs="Times New Roman"/>
                <w:color w:val="000000"/>
                <w:sz w:val="18"/>
                <w:szCs w:val="18"/>
                <w:lang w:val="en-GB" w:eastAsia="en-AU"/>
              </w:rPr>
              <w:t>thly/ 2hrs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Usual GP care</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 xml:space="preserve">12 </w:t>
            </w:r>
            <w:proofErr w:type="spellStart"/>
            <w:r>
              <w:rPr>
                <w:rFonts w:ascii="Arial Narrow" w:eastAsia="Times New Roman" w:hAnsi="Arial Narrow" w:cs="Times New Roman"/>
                <w:color w:val="000000"/>
                <w:sz w:val="18"/>
                <w:szCs w:val="18"/>
                <w:lang w:val="en-GB" w:eastAsia="en-AU"/>
              </w:rPr>
              <w:t>m</w:t>
            </w:r>
            <w:r w:rsidRPr="00BE2022">
              <w:rPr>
                <w:rFonts w:ascii="Arial Narrow" w:eastAsia="Times New Roman" w:hAnsi="Arial Narrow" w:cs="Times New Roman"/>
                <w:color w:val="000000"/>
                <w:sz w:val="18"/>
                <w:szCs w:val="18"/>
                <w:lang w:val="en-GB" w:eastAsia="en-AU"/>
              </w:rPr>
              <w:t>ths</w:t>
            </w:r>
            <w:proofErr w:type="spellEnd"/>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 xml:space="preserve">186 Adult </w:t>
            </w:r>
            <w:r>
              <w:rPr>
                <w:rFonts w:ascii="Arial Narrow" w:eastAsia="Times New Roman" w:hAnsi="Arial Narrow" w:cs="Times New Roman"/>
                <w:color w:val="000000"/>
                <w:sz w:val="18"/>
                <w:szCs w:val="18"/>
                <w:lang w:val="en-GB" w:eastAsia="en-AU"/>
              </w:rPr>
              <w:t xml:space="preserve">patients with </w:t>
            </w:r>
            <w:r w:rsidRPr="00BE2022">
              <w:rPr>
                <w:rFonts w:ascii="Arial Narrow" w:eastAsia="Times New Roman" w:hAnsi="Arial Narrow" w:cs="Times New Roman"/>
                <w:color w:val="000000"/>
                <w:sz w:val="18"/>
                <w:szCs w:val="18"/>
                <w:lang w:val="en-GB" w:eastAsia="en-AU"/>
              </w:rPr>
              <w:t>type 2 diabetes, HbA</w:t>
            </w:r>
            <w:r w:rsidRPr="0038677D">
              <w:rPr>
                <w:rFonts w:ascii="Arial Narrow" w:eastAsia="Times New Roman" w:hAnsi="Arial Narrow" w:cs="Times New Roman"/>
                <w:color w:val="000000"/>
                <w:sz w:val="18"/>
                <w:szCs w:val="18"/>
                <w:vertAlign w:val="subscript"/>
                <w:lang w:val="en-GB" w:eastAsia="en-AU"/>
              </w:rPr>
              <w:t>1c</w:t>
            </w:r>
            <w:r w:rsidRPr="00BE2022">
              <w:rPr>
                <w:rFonts w:ascii="Arial Narrow" w:eastAsia="Times New Roman" w:hAnsi="Arial Narrow" w:cs="Times New Roman"/>
                <w:color w:val="000000"/>
                <w:sz w:val="18"/>
                <w:szCs w:val="18"/>
                <w:lang w:val="en-GB" w:eastAsia="en-AU"/>
              </w:rPr>
              <w:t xml:space="preserve"> &gt; 8.5%</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Adult primary care centre, medical university of South Carolina</w:t>
            </w:r>
          </w:p>
        </w:tc>
      </w:tr>
      <w:tr w:rsidR="002E01E3" w:rsidRPr="00BE2022">
        <w:trPr>
          <w:trHeight w:val="1390"/>
          <w:tblHeader/>
        </w:trPr>
        <w:tc>
          <w:tcPr>
            <w:tcW w:w="527" w:type="pct"/>
            <w:shd w:val="clear" w:color="auto" w:fill="auto"/>
            <w:vAlign w:val="center"/>
          </w:tcPr>
          <w:p w:rsidR="002E01E3" w:rsidRPr="00C44EE5" w:rsidRDefault="002E01E3" w:rsidP="002E01E3">
            <w:pPr>
              <w:spacing w:after="0" w:line="240" w:lineRule="auto"/>
              <w:jc w:val="left"/>
              <w:rPr>
                <w:rFonts w:ascii="Arial Narrow" w:hAnsi="Arial Narrow"/>
                <w:noProof/>
                <w:sz w:val="18"/>
                <w:szCs w:val="18"/>
              </w:rPr>
            </w:pPr>
            <w:r w:rsidRPr="00C44EE5">
              <w:rPr>
                <w:rFonts w:ascii="Arial Narrow" w:hAnsi="Arial Narrow"/>
                <w:noProof/>
                <w:sz w:val="18"/>
                <w:szCs w:val="18"/>
              </w:rPr>
              <w:t xml:space="preserve">Trento </w:t>
            </w:r>
          </w:p>
          <w:p w:rsidR="002E01E3" w:rsidRPr="00C44EE5" w:rsidRDefault="002E01E3" w:rsidP="002E01E3">
            <w:pPr>
              <w:spacing w:after="0" w:line="240" w:lineRule="auto"/>
              <w:jc w:val="left"/>
              <w:rPr>
                <w:rFonts w:ascii="Arial Narrow" w:eastAsia="Times New Roman" w:hAnsi="Arial Narrow" w:cs="Times New Roman"/>
                <w:bCs/>
                <w:color w:val="000000"/>
                <w:sz w:val="18"/>
                <w:szCs w:val="18"/>
                <w:lang w:eastAsia="en-AU"/>
              </w:rPr>
            </w:pPr>
            <w:r w:rsidRPr="00C44EE5">
              <w:rPr>
                <w:rFonts w:ascii="Arial Narrow" w:hAnsi="Arial Narrow"/>
                <w:noProof/>
                <w:sz w:val="18"/>
                <w:szCs w:val="18"/>
              </w:rPr>
              <w:t>(2004)</w:t>
            </w:r>
            <w:r w:rsidRPr="00C44EE5">
              <w:rPr>
                <w:rFonts w:ascii="Arial Narrow" w:eastAsia="Times New Roman" w:hAnsi="Arial Narrow" w:cs="Times New Roman"/>
                <w:bCs/>
                <w:color w:val="000000"/>
                <w:sz w:val="18"/>
                <w:szCs w:val="18"/>
                <w:lang w:val="en-GB" w:eastAsia="en-AU"/>
              </w:rPr>
              <w:fldChar w:fldCharType="begin"/>
            </w:r>
            <w:r>
              <w:rPr>
                <w:rFonts w:ascii="Arial Narrow" w:eastAsia="Times New Roman" w:hAnsi="Arial Narrow" w:cs="Times New Roman"/>
                <w:bCs/>
                <w:color w:val="000000"/>
                <w:sz w:val="18"/>
                <w:szCs w:val="18"/>
                <w:lang w:val="en-GB" w:eastAsia="en-AU"/>
              </w:rPr>
              <w:instrText xml:space="preserve"> ADDIN EN.CITE &lt;EndNote&gt;&lt;Cite&gt;&lt;Author&gt;Trento&lt;/Author&gt;&lt;Year&gt;2004&lt;/Year&gt;&lt;RecNum&gt;50&lt;/RecNum&gt;&lt;DisplayText&gt;[33]&lt;/DisplayText&gt;&lt;record&gt;&lt;rec-number&gt;50&lt;/rec-number&gt;&lt;foreign-keys&gt;&lt;key app="EN" db-id="edz5s99awvadpbexfxhvwe0ofp2svdwzsdpf" timestamp="1413243096"&gt;50&lt;/key&gt;&lt;/foreign-keys&gt;&lt;ref-type name="Journal Article"&gt;17&lt;/ref-type&gt;&lt;contributors&gt;&lt;authors&gt;&lt;author&gt;Trento, Marina&lt;/author&gt;&lt;author&gt;Passera, Pietro&lt;/author&gt;&lt;author&gt;Borgo, Enrica&lt;/author&gt;&lt;author&gt;Tomalino, Marco&lt;/author&gt;&lt;author&gt;Bajardi, Marina&lt;/author&gt;&lt;author&gt;Cavallo, Franco&lt;/author&gt;&lt;author&gt;Porta, Massimo&lt;/author&gt;&lt;/authors&gt;&lt;/contributors&gt;&lt;titles&gt;&lt;title&gt;A 5-year randomized controlled study of learning, problem solving ability, and quality of life modifications in people with type 2 diabetes managed by group care&lt;/title&gt;&lt;secondary-title&gt;Diabetes care&lt;/secondary-title&gt;&lt;/titles&gt;&lt;periodical&gt;&lt;full-title&gt;Diabetes care&lt;/full-title&gt;&lt;/periodical&gt;&lt;pages&gt;670-675&lt;/pages&gt;&lt;volume&gt;27&lt;/volume&gt;&lt;number&gt;3&lt;/number&gt;&lt;dates&gt;&lt;year&gt;2004&lt;/year&gt;&lt;/dates&gt;&lt;isbn&gt;0149-5992&lt;/isbn&gt;&lt;urls&gt;&lt;/urls&gt;&lt;/record&gt;&lt;/Cite&gt;&lt;/EndNote&gt;</w:instrText>
            </w:r>
            <w:r w:rsidRPr="00C44EE5">
              <w:rPr>
                <w:rFonts w:ascii="Arial Narrow" w:eastAsia="Times New Roman" w:hAnsi="Arial Narrow" w:cs="Times New Roman"/>
                <w:bCs/>
                <w:color w:val="000000"/>
                <w:sz w:val="18"/>
                <w:szCs w:val="18"/>
                <w:lang w:val="en-GB" w:eastAsia="en-AU"/>
              </w:rPr>
              <w:fldChar w:fldCharType="separate"/>
            </w:r>
            <w:r>
              <w:rPr>
                <w:rFonts w:ascii="Arial Narrow" w:eastAsia="Times New Roman" w:hAnsi="Arial Narrow" w:cs="Times New Roman"/>
                <w:bCs/>
                <w:noProof/>
                <w:color w:val="000000"/>
                <w:sz w:val="18"/>
                <w:szCs w:val="18"/>
                <w:lang w:val="en-GB" w:eastAsia="en-AU"/>
              </w:rPr>
              <w:t>[33]</w:t>
            </w:r>
            <w:r w:rsidRPr="00C44EE5">
              <w:rPr>
                <w:rFonts w:ascii="Arial Narrow" w:eastAsia="Times New Roman" w:hAnsi="Arial Narrow" w:cs="Times New Roman"/>
                <w:bCs/>
                <w:color w:val="000000"/>
                <w:sz w:val="18"/>
                <w:szCs w:val="18"/>
                <w:lang w:val="en-GB" w:eastAsia="en-AU"/>
              </w:rPr>
              <w:fldChar w:fldCharType="end"/>
            </w:r>
          </w:p>
        </w:tc>
        <w:tc>
          <w:tcPr>
            <w:tcW w:w="540" w:type="pct"/>
            <w:shd w:val="clear" w:color="auto" w:fill="auto"/>
            <w:vAlign w:val="center"/>
          </w:tcPr>
          <w:p w:rsidR="002E01E3" w:rsidRPr="00BE2022" w:rsidRDefault="002E01E3" w:rsidP="002E01E3">
            <w:pPr>
              <w:spacing w:after="0" w:line="240" w:lineRule="auto"/>
              <w:jc w:val="left"/>
              <w:rPr>
                <w:rFonts w:ascii="Arial Narrow" w:eastAsia="Times New Roman" w:hAnsi="Arial Narrow" w:cs="Times New Roman"/>
                <w:color w:val="000000"/>
                <w:sz w:val="18"/>
                <w:szCs w:val="18"/>
                <w:lang w:eastAsia="en-AU"/>
              </w:rPr>
            </w:pPr>
            <w:r w:rsidRPr="00BE2022">
              <w:rPr>
                <w:rFonts w:ascii="Arial Narrow" w:eastAsia="Times New Roman" w:hAnsi="Arial Narrow" w:cs="Times New Roman"/>
                <w:color w:val="000000"/>
                <w:sz w:val="18"/>
                <w:szCs w:val="18"/>
                <w:lang w:val="en-GB" w:eastAsia="en-AU"/>
              </w:rPr>
              <w:t>Reduction of HbA</w:t>
            </w:r>
            <w:r w:rsidRPr="00135F7F">
              <w:rPr>
                <w:rFonts w:ascii="Arial Narrow" w:eastAsia="Times New Roman" w:hAnsi="Arial Narrow" w:cs="Times New Roman"/>
                <w:color w:val="000000"/>
                <w:sz w:val="18"/>
                <w:szCs w:val="18"/>
                <w:vertAlign w:val="subscript"/>
                <w:lang w:val="en-GB" w:eastAsia="en-AU"/>
              </w:rPr>
              <w:t>1c</w:t>
            </w:r>
          </w:p>
        </w:tc>
        <w:tc>
          <w:tcPr>
            <w:tcW w:w="952" w:type="pct"/>
            <w:shd w:val="clear" w:color="auto" w:fill="auto"/>
            <w:vAlign w:val="center"/>
          </w:tcPr>
          <w:p w:rsidR="002E01E3" w:rsidRPr="00BE2022" w:rsidRDefault="002E01E3" w:rsidP="002E01E3">
            <w:pPr>
              <w:spacing w:after="0" w:line="240" w:lineRule="auto"/>
              <w:jc w:val="left"/>
              <w:rPr>
                <w:rFonts w:ascii="Arial Narrow" w:eastAsia="Times New Roman" w:hAnsi="Arial Narrow" w:cs="Times New Roman"/>
                <w:color w:val="000000"/>
                <w:sz w:val="18"/>
                <w:szCs w:val="18"/>
                <w:lang w:eastAsia="en-AU"/>
              </w:rPr>
            </w:pPr>
            <w:r w:rsidRPr="00BE2022">
              <w:rPr>
                <w:rFonts w:ascii="Arial Narrow" w:eastAsia="Times New Roman" w:hAnsi="Arial Narrow" w:cs="Times New Roman"/>
                <w:color w:val="000000"/>
                <w:sz w:val="18"/>
                <w:szCs w:val="18"/>
                <w:lang w:val="en-GB" w:eastAsia="en-AU"/>
              </w:rPr>
              <w:t>Knowledge of diabetes, problem solving ability, quality of life, health problem identification, progression of retinopathy</w:t>
            </w:r>
          </w:p>
        </w:tc>
        <w:tc>
          <w:tcPr>
            <w:tcW w:w="596"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val="en-GB" w:eastAsia="en-AU"/>
              </w:rPr>
              <w:t>3 mthly/~2 h</w:t>
            </w:r>
            <w:r w:rsidRPr="00BE2022">
              <w:rPr>
                <w:rFonts w:ascii="Arial Narrow" w:eastAsia="Times New Roman" w:hAnsi="Arial Narrow" w:cs="Times New Roman"/>
                <w:color w:val="000000"/>
                <w:sz w:val="18"/>
                <w:szCs w:val="18"/>
                <w:lang w:val="en-GB" w:eastAsia="en-AU"/>
              </w:rPr>
              <w:t>rs</w:t>
            </w:r>
          </w:p>
        </w:tc>
        <w:tc>
          <w:tcPr>
            <w:tcW w:w="570"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val="en-GB" w:eastAsia="en-AU"/>
              </w:rPr>
              <w:t>Usual GP care</w:t>
            </w:r>
          </w:p>
        </w:tc>
        <w:tc>
          <w:tcPr>
            <w:tcW w:w="503"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val="en-GB" w:eastAsia="en-AU"/>
              </w:rPr>
              <w:t xml:space="preserve">5 </w:t>
            </w:r>
            <w:proofErr w:type="spellStart"/>
            <w:r>
              <w:rPr>
                <w:rFonts w:ascii="Arial Narrow" w:eastAsia="Times New Roman" w:hAnsi="Arial Narrow" w:cs="Times New Roman"/>
                <w:color w:val="000000"/>
                <w:sz w:val="18"/>
                <w:szCs w:val="18"/>
                <w:lang w:val="en-GB" w:eastAsia="en-AU"/>
              </w:rPr>
              <w:t>y</w:t>
            </w:r>
            <w:r w:rsidRPr="00BE2022">
              <w:rPr>
                <w:rFonts w:ascii="Arial Narrow" w:eastAsia="Times New Roman" w:hAnsi="Arial Narrow" w:cs="Times New Roman"/>
                <w:color w:val="000000"/>
                <w:sz w:val="18"/>
                <w:szCs w:val="18"/>
                <w:lang w:val="en-GB" w:eastAsia="en-AU"/>
              </w:rPr>
              <w:t>rs</w:t>
            </w:r>
            <w:proofErr w:type="spellEnd"/>
          </w:p>
        </w:tc>
        <w:tc>
          <w:tcPr>
            <w:tcW w:w="648"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eastAsia="en-AU"/>
              </w:rPr>
            </w:pPr>
            <w:r w:rsidRPr="00BE2022">
              <w:rPr>
                <w:rFonts w:ascii="Arial Narrow" w:eastAsia="Times New Roman" w:hAnsi="Arial Narrow" w:cs="Times New Roman"/>
                <w:color w:val="000000"/>
                <w:sz w:val="18"/>
                <w:szCs w:val="18"/>
                <w:lang w:val="en-GB" w:eastAsia="en-AU"/>
              </w:rPr>
              <w:t>112</w:t>
            </w:r>
            <w:r>
              <w:rPr>
                <w:rFonts w:ascii="Arial Narrow" w:eastAsia="Times New Roman" w:hAnsi="Arial Narrow" w:cs="Times New Roman"/>
                <w:color w:val="000000"/>
                <w:sz w:val="18"/>
                <w:szCs w:val="18"/>
                <w:lang w:val="en-GB" w:eastAsia="en-AU"/>
              </w:rPr>
              <w:t xml:space="preserve"> patients with diabetes</w:t>
            </w:r>
          </w:p>
        </w:tc>
        <w:tc>
          <w:tcPr>
            <w:tcW w:w="663" w:type="pct"/>
            <w:shd w:val="clear" w:color="auto" w:fill="auto"/>
            <w:vAlign w:val="center"/>
          </w:tcPr>
          <w:p w:rsidR="002E01E3" w:rsidRPr="00BE2022" w:rsidRDefault="002E01E3" w:rsidP="002E01E3">
            <w:pPr>
              <w:spacing w:after="0" w:line="240" w:lineRule="auto"/>
              <w:jc w:val="center"/>
              <w:rPr>
                <w:rFonts w:ascii="Arial Narrow" w:eastAsia="Times New Roman" w:hAnsi="Arial Narrow" w:cs="Times New Roman"/>
                <w:color w:val="000000"/>
                <w:sz w:val="18"/>
                <w:szCs w:val="18"/>
                <w:lang w:eastAsia="en-AU"/>
              </w:rPr>
            </w:pPr>
            <w:r w:rsidRPr="00BE2022">
              <w:rPr>
                <w:rFonts w:ascii="Arial Narrow" w:eastAsia="Times New Roman" w:hAnsi="Arial Narrow" w:cs="Times New Roman"/>
                <w:color w:val="000000"/>
                <w:sz w:val="18"/>
                <w:szCs w:val="18"/>
                <w:lang w:val="en-GB" w:eastAsia="en-AU"/>
              </w:rPr>
              <w:t>Diabetes clinic</w:t>
            </w:r>
          </w:p>
        </w:tc>
      </w:tr>
      <w:tr w:rsidR="002E01E3" w:rsidRPr="00BE2022">
        <w:trPr>
          <w:trHeight w:val="1141"/>
          <w:tblHeader/>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hAnsi="Arial Narrow"/>
                <w:noProof/>
                <w:sz w:val="18"/>
                <w:szCs w:val="18"/>
              </w:rPr>
            </w:pPr>
            <w:r w:rsidRPr="00C44EE5">
              <w:rPr>
                <w:rFonts w:ascii="Arial Narrow" w:hAnsi="Arial Narrow"/>
                <w:noProof/>
                <w:sz w:val="18"/>
                <w:szCs w:val="18"/>
              </w:rPr>
              <w:t>Clancy  (2002)</w:t>
            </w:r>
            <w:r w:rsidRPr="00C44EE5">
              <w:rPr>
                <w:rFonts w:ascii="Arial Narrow" w:hAnsi="Arial Narrow"/>
                <w:noProof/>
                <w:sz w:val="18"/>
                <w:szCs w:val="18"/>
              </w:rPr>
              <w:fldChar w:fldCharType="begin"/>
            </w:r>
            <w:r>
              <w:rPr>
                <w:rFonts w:ascii="Arial Narrow" w:hAnsi="Arial Narrow"/>
                <w:noProof/>
                <w:sz w:val="18"/>
                <w:szCs w:val="18"/>
              </w:rPr>
              <w:instrText xml:space="preserve"> ADDIN EN.CITE &lt;EndNote&gt;&lt;Cite&gt;&lt;Author&gt;Clancy&lt;/Author&gt;&lt;Year&gt;2002&lt;/Year&gt;&lt;RecNum&gt;51&lt;/RecNum&gt;&lt;DisplayText&gt;[30]&lt;/DisplayText&gt;&lt;record&gt;&lt;rec-number&gt;51&lt;/rec-number&gt;&lt;foreign-keys&gt;&lt;key app="EN" db-id="edz5s99awvadpbexfxhvwe0ofp2svdwzsdpf" timestamp="1413243125"&gt;51&lt;/key&gt;&lt;/foreign-keys&gt;&lt;ref-type name="Journal Article"&gt;17&lt;/ref-type&gt;&lt;contributors&gt;&lt;authors&gt;&lt;author&gt;Clancy, Dawn E&lt;/author&gt;&lt;author&gt;Brown, Shirley B&lt;/author&gt;&lt;author&gt;Magruder, Kathryn M&lt;/author&gt;&lt;author&gt;Huang, Peng&lt;/author&gt;&lt;/authors&gt;&lt;/contributors&gt;&lt;titles&gt;&lt;title&gt;Group visits in medically and economically disadvantaged patients with type 2 diabetes and their relationships to clinical outcomes&lt;/title&gt;&lt;secondary-title&gt;Topics in health information management&lt;/secondary-title&gt;&lt;/titles&gt;&lt;periodical&gt;&lt;full-title&gt;Topics in health information management&lt;/full-title&gt;&lt;/periodical&gt;&lt;pages&gt;8-14&lt;/pages&gt;&lt;volume&gt;24&lt;/volume&gt;&lt;number&gt;1&lt;/number&gt;&lt;dates&gt;&lt;year&gt;2002&lt;/year&gt;&lt;/dates&gt;&lt;isbn&gt;1065-0989&lt;/isbn&gt;&lt;urls&gt;&lt;/urls&gt;&lt;/record&gt;&lt;/Cite&gt;&lt;/EndNote&gt;</w:instrText>
            </w:r>
            <w:r w:rsidRPr="00C44EE5">
              <w:rPr>
                <w:rFonts w:ascii="Arial Narrow" w:hAnsi="Arial Narrow"/>
                <w:noProof/>
                <w:sz w:val="18"/>
                <w:szCs w:val="18"/>
              </w:rPr>
              <w:fldChar w:fldCharType="separate"/>
            </w:r>
            <w:r>
              <w:rPr>
                <w:rFonts w:ascii="Arial Narrow" w:hAnsi="Arial Narrow"/>
                <w:noProof/>
                <w:sz w:val="18"/>
                <w:szCs w:val="18"/>
              </w:rPr>
              <w:t>[30]</w:t>
            </w:r>
            <w:r w:rsidRPr="00C44EE5">
              <w:rPr>
                <w:rFonts w:ascii="Arial Narrow" w:hAnsi="Arial Narrow"/>
                <w:noProof/>
                <w:sz w:val="18"/>
                <w:szCs w:val="18"/>
              </w:rPr>
              <w:fldChar w:fldCharType="end"/>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Reduction of HbA</w:t>
            </w:r>
            <w:r w:rsidRPr="0038677D">
              <w:rPr>
                <w:rFonts w:ascii="Arial Narrow" w:eastAsia="Times New Roman" w:hAnsi="Arial Narrow" w:cs="Times New Roman"/>
                <w:color w:val="000000"/>
                <w:sz w:val="18"/>
                <w:szCs w:val="18"/>
                <w:vertAlign w:val="subscript"/>
                <w:lang w:val="en-GB" w:eastAsia="en-AU"/>
              </w:rPr>
              <w:t>1c</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 xml:space="preserve">Lipid profiles, Trust in Physician scale, patient care assessment tool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M</w:t>
            </w:r>
            <w:r w:rsidRPr="00BE2022">
              <w:rPr>
                <w:rFonts w:ascii="Arial Narrow" w:eastAsia="Times New Roman" w:hAnsi="Arial Narrow" w:cs="Times New Roman"/>
                <w:color w:val="000000"/>
                <w:sz w:val="18"/>
                <w:szCs w:val="18"/>
                <w:lang w:val="en-GB" w:eastAsia="en-AU"/>
              </w:rPr>
              <w:t>thly/ 2hrs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Usual GP care</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 xml:space="preserve">6 </w:t>
            </w:r>
            <w:proofErr w:type="spellStart"/>
            <w:r>
              <w:rPr>
                <w:rFonts w:ascii="Arial Narrow" w:eastAsia="Times New Roman" w:hAnsi="Arial Narrow" w:cs="Times New Roman"/>
                <w:color w:val="000000"/>
                <w:sz w:val="18"/>
                <w:szCs w:val="18"/>
                <w:lang w:val="en-GB" w:eastAsia="en-AU"/>
              </w:rPr>
              <w:t>m</w:t>
            </w:r>
            <w:r w:rsidRPr="00BE2022">
              <w:rPr>
                <w:rFonts w:ascii="Arial Narrow" w:eastAsia="Times New Roman" w:hAnsi="Arial Narrow" w:cs="Times New Roman"/>
                <w:color w:val="000000"/>
                <w:sz w:val="18"/>
                <w:szCs w:val="18"/>
                <w:lang w:val="en-GB" w:eastAsia="en-AU"/>
              </w:rPr>
              <w:t>ths</w:t>
            </w:r>
            <w:proofErr w:type="spellEnd"/>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 xml:space="preserve">120 Adult </w:t>
            </w:r>
            <w:r>
              <w:rPr>
                <w:rFonts w:ascii="Arial Narrow" w:eastAsia="Times New Roman" w:hAnsi="Arial Narrow" w:cs="Times New Roman"/>
                <w:color w:val="000000"/>
                <w:sz w:val="18"/>
                <w:szCs w:val="18"/>
                <w:lang w:val="en-GB" w:eastAsia="en-AU"/>
              </w:rPr>
              <w:t xml:space="preserve">patients </w:t>
            </w:r>
            <w:r w:rsidRPr="00BE2022">
              <w:rPr>
                <w:rFonts w:ascii="Arial Narrow" w:eastAsia="Times New Roman" w:hAnsi="Arial Narrow" w:cs="Times New Roman"/>
                <w:color w:val="000000"/>
                <w:sz w:val="18"/>
                <w:szCs w:val="18"/>
                <w:lang w:val="en-GB" w:eastAsia="en-AU"/>
              </w:rPr>
              <w:t>with type 2 diabetes, HbA</w:t>
            </w:r>
            <w:r w:rsidRPr="0038677D">
              <w:rPr>
                <w:rFonts w:ascii="Arial Narrow" w:eastAsia="Times New Roman" w:hAnsi="Arial Narrow" w:cs="Times New Roman"/>
                <w:color w:val="000000"/>
                <w:sz w:val="18"/>
                <w:szCs w:val="18"/>
                <w:vertAlign w:val="subscript"/>
                <w:lang w:val="en-GB" w:eastAsia="en-AU"/>
              </w:rPr>
              <w:t>1c</w:t>
            </w:r>
            <w:r w:rsidRPr="00BE2022">
              <w:rPr>
                <w:rFonts w:ascii="Arial Narrow" w:eastAsia="Times New Roman" w:hAnsi="Arial Narrow" w:cs="Times New Roman"/>
                <w:color w:val="000000"/>
                <w:sz w:val="18"/>
                <w:szCs w:val="18"/>
                <w:lang w:val="en-GB" w:eastAsia="en-AU"/>
              </w:rPr>
              <w:t xml:space="preserve"> &gt; 8.5%</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Adult primary care centre, medical university of South Carolina</w:t>
            </w:r>
          </w:p>
        </w:tc>
      </w:tr>
      <w:tr w:rsidR="002E01E3" w:rsidRPr="00BE2022">
        <w:trPr>
          <w:trHeight w:val="1141"/>
          <w:tblHeader/>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hAnsi="Arial Narrow"/>
                <w:noProof/>
                <w:sz w:val="18"/>
                <w:szCs w:val="18"/>
              </w:rPr>
            </w:pPr>
            <w:r w:rsidRPr="00C44EE5">
              <w:rPr>
                <w:rFonts w:ascii="Arial Narrow" w:hAnsi="Arial Narrow"/>
                <w:noProof/>
                <w:sz w:val="18"/>
                <w:szCs w:val="18"/>
              </w:rPr>
              <w:t>Wagner (2001)</w:t>
            </w:r>
            <w:r w:rsidRPr="00C44EE5">
              <w:rPr>
                <w:rFonts w:ascii="Arial Narrow" w:hAnsi="Arial Narrow"/>
                <w:noProof/>
                <w:sz w:val="18"/>
                <w:szCs w:val="18"/>
              </w:rPr>
              <w:fldChar w:fldCharType="begin"/>
            </w:r>
            <w:r>
              <w:rPr>
                <w:rFonts w:ascii="Arial Narrow" w:hAnsi="Arial Narrow"/>
                <w:noProof/>
                <w:sz w:val="18"/>
                <w:szCs w:val="18"/>
              </w:rPr>
              <w:instrText xml:space="preserve"> ADDIN EN.CITE &lt;EndNote&gt;&lt;Cite&gt;&lt;Author&gt;Wagner&lt;/Author&gt;&lt;Year&gt;2001&lt;/Year&gt;&lt;RecNum&gt;49&lt;/RecNum&gt;&lt;DisplayText&gt;[44]&lt;/DisplayText&gt;&lt;record&gt;&lt;rec-number&gt;49&lt;/rec-number&gt;&lt;foreign-keys&gt;&lt;key app="EN" db-id="edz5s99awvadpbexfxhvwe0ofp2svdwzsdpf" timestamp="1413243060"&gt;49&lt;/key&gt;&lt;/foreign-keys&gt;&lt;ref-type name="Journal Article"&gt;17&lt;/ref-type&gt;&lt;contributors&gt;&lt;authors&gt;&lt;author&gt;Wagner, Edward H&lt;/author&gt;&lt;author&gt;Grothaus, Louis C&lt;/author&gt;&lt;author&gt;Sandhu, Nirmala&lt;/author&gt;&lt;author&gt;Galvin, Mary Sue&lt;/author&gt;&lt;author&gt;McGregor, Mary&lt;/author&gt;&lt;author&gt;Artz, Karen&lt;/author&gt;&lt;author&gt;Coleman, Eric A&lt;/author&gt;&lt;/authors&gt;&lt;/contributors&gt;&lt;titles&gt;&lt;title&gt;Chronic Care Clinics for Diabetes in Primary Care A system-wide randomized trial&lt;/title&gt;&lt;secondary-title&gt;Diabetes care&lt;/secondary-title&gt;&lt;/titles&gt;&lt;periodical&gt;&lt;full-title&gt;Diabetes care&lt;/full-title&gt;&lt;/periodical&gt;&lt;pages&gt;695-700&lt;/pages&gt;&lt;volume&gt;24&lt;/volume&gt;&lt;number&gt;4&lt;/number&gt;&lt;dates&gt;&lt;year&gt;2001&lt;/year&gt;&lt;/dates&gt;&lt;isbn&gt;0149-5992&lt;/isbn&gt;&lt;urls&gt;&lt;/urls&gt;&lt;/record&gt;&lt;/Cite&gt;&lt;/EndNote&gt;</w:instrText>
            </w:r>
            <w:r w:rsidRPr="00C44EE5">
              <w:rPr>
                <w:rFonts w:ascii="Arial Narrow" w:hAnsi="Arial Narrow"/>
                <w:noProof/>
                <w:sz w:val="18"/>
                <w:szCs w:val="18"/>
              </w:rPr>
              <w:fldChar w:fldCharType="separate"/>
            </w:r>
            <w:r>
              <w:rPr>
                <w:rFonts w:ascii="Arial Narrow" w:hAnsi="Arial Narrow"/>
                <w:noProof/>
                <w:sz w:val="18"/>
                <w:szCs w:val="18"/>
              </w:rPr>
              <w:t>[44]</w:t>
            </w:r>
            <w:r w:rsidRPr="00C44EE5">
              <w:rPr>
                <w:rFonts w:ascii="Arial Narrow" w:hAnsi="Arial Narrow"/>
                <w:noProof/>
                <w:sz w:val="18"/>
                <w:szCs w:val="18"/>
              </w:rPr>
              <w:fldChar w:fldCharType="end"/>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Reduction of HbA</w:t>
            </w:r>
            <w:r w:rsidRPr="0038677D">
              <w:rPr>
                <w:rFonts w:ascii="Arial Narrow" w:eastAsia="Times New Roman" w:hAnsi="Arial Narrow" w:cs="Times New Roman"/>
                <w:color w:val="000000"/>
                <w:sz w:val="18"/>
                <w:szCs w:val="18"/>
                <w:vertAlign w:val="subscript"/>
                <w:lang w:val="en-GB" w:eastAsia="en-AU"/>
              </w:rPr>
              <w:t>1c</w:t>
            </w:r>
            <w:r w:rsidRPr="00BE2022">
              <w:rPr>
                <w:rFonts w:ascii="Arial Narrow" w:eastAsia="Times New Roman" w:hAnsi="Arial Narrow" w:cs="Times New Roman"/>
                <w:color w:val="000000"/>
                <w:sz w:val="18"/>
                <w:szCs w:val="18"/>
                <w:lang w:val="en-GB" w:eastAsia="en-AU"/>
              </w:rPr>
              <w:t xml:space="preserve"> </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Specialty and emergency room visits, bed disability days, Short-Form 36 general health</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3 mthly to 6 mthly/~ 2 h</w:t>
            </w:r>
            <w:r w:rsidRPr="00BE2022">
              <w:rPr>
                <w:rFonts w:ascii="Arial Narrow" w:eastAsia="Times New Roman" w:hAnsi="Arial Narrow" w:cs="Times New Roman"/>
                <w:color w:val="000000"/>
                <w:sz w:val="18"/>
                <w:szCs w:val="18"/>
                <w:lang w:val="en-GB" w:eastAsia="en-AU"/>
              </w:rPr>
              <w:t>rs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Usual GP care</w:t>
            </w:r>
            <w:r w:rsidRPr="00BE2022">
              <w:rPr>
                <w:rFonts w:ascii="Arial Narrow" w:eastAsia="Times New Roman" w:hAnsi="Arial Narrow" w:cs="Times New Roman"/>
                <w:color w:val="000000"/>
                <w:sz w:val="18"/>
                <w:szCs w:val="18"/>
                <w:lang w:val="en-GB" w:eastAsia="en-AU"/>
              </w:rPr>
              <w:t xml:space="preserve"> plus group education</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 xml:space="preserve">2 </w:t>
            </w:r>
            <w:proofErr w:type="spellStart"/>
            <w:r>
              <w:rPr>
                <w:rFonts w:ascii="Arial Narrow" w:eastAsia="Times New Roman" w:hAnsi="Arial Narrow" w:cs="Times New Roman"/>
                <w:color w:val="000000"/>
                <w:sz w:val="18"/>
                <w:szCs w:val="18"/>
                <w:lang w:val="en-GB" w:eastAsia="en-AU"/>
              </w:rPr>
              <w:t>y</w:t>
            </w:r>
            <w:r w:rsidRPr="00BE2022">
              <w:rPr>
                <w:rFonts w:ascii="Arial Narrow" w:eastAsia="Times New Roman" w:hAnsi="Arial Narrow" w:cs="Times New Roman"/>
                <w:color w:val="000000"/>
                <w:sz w:val="18"/>
                <w:szCs w:val="18"/>
                <w:lang w:val="en-GB" w:eastAsia="en-AU"/>
              </w:rPr>
              <w:t>rs</w:t>
            </w:r>
            <w:proofErr w:type="spellEnd"/>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 xml:space="preserve">707 </w:t>
            </w:r>
            <w:r>
              <w:rPr>
                <w:rFonts w:ascii="Arial Narrow" w:eastAsia="Times New Roman" w:hAnsi="Arial Narrow" w:cs="Times New Roman"/>
                <w:color w:val="000000"/>
                <w:sz w:val="18"/>
                <w:szCs w:val="18"/>
                <w:lang w:val="en-GB" w:eastAsia="en-AU"/>
              </w:rPr>
              <w:t>patients with diabetes</w:t>
            </w:r>
            <w:r w:rsidRPr="00BE2022">
              <w:rPr>
                <w:rFonts w:ascii="Arial Narrow" w:eastAsia="Times New Roman" w:hAnsi="Arial Narrow" w:cs="Times New Roman"/>
                <w:color w:val="000000"/>
                <w:sz w:val="18"/>
                <w:szCs w:val="18"/>
                <w:lang w:val="en-GB" w:eastAsia="en-AU"/>
              </w:rPr>
              <w:t>, age &gt; 30</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Health management organisation</w:t>
            </w:r>
          </w:p>
        </w:tc>
      </w:tr>
      <w:tr w:rsidR="002E01E3" w:rsidRPr="00BE2022">
        <w:trPr>
          <w:trHeight w:val="1141"/>
          <w:tblHeader/>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hAnsi="Arial Narrow"/>
                <w:noProof/>
                <w:sz w:val="18"/>
                <w:szCs w:val="18"/>
              </w:rPr>
            </w:pPr>
            <w:r w:rsidRPr="00C44EE5">
              <w:rPr>
                <w:rFonts w:ascii="Arial Narrow" w:hAnsi="Arial Narrow"/>
                <w:noProof/>
                <w:sz w:val="18"/>
                <w:szCs w:val="18"/>
              </w:rPr>
              <w:t>Sadur</w:t>
            </w:r>
          </w:p>
          <w:p w:rsidR="002E01E3" w:rsidRPr="00C44EE5" w:rsidRDefault="002E01E3" w:rsidP="002E01E3">
            <w:pPr>
              <w:spacing w:after="0" w:line="240" w:lineRule="auto"/>
              <w:jc w:val="left"/>
              <w:rPr>
                <w:rFonts w:ascii="Arial Narrow" w:hAnsi="Arial Narrow"/>
                <w:noProof/>
                <w:sz w:val="18"/>
                <w:szCs w:val="18"/>
              </w:rPr>
            </w:pPr>
            <w:r w:rsidRPr="00C44EE5">
              <w:rPr>
                <w:rFonts w:ascii="Arial Narrow" w:hAnsi="Arial Narrow"/>
                <w:noProof/>
                <w:sz w:val="18"/>
                <w:szCs w:val="18"/>
              </w:rPr>
              <w:t>(1999)</w:t>
            </w:r>
            <w:r w:rsidRPr="00C44EE5">
              <w:rPr>
                <w:rFonts w:ascii="Arial Narrow" w:hAnsi="Arial Narrow"/>
                <w:noProof/>
                <w:sz w:val="18"/>
                <w:szCs w:val="18"/>
              </w:rPr>
              <w:fldChar w:fldCharType="begin"/>
            </w:r>
            <w:r>
              <w:rPr>
                <w:rFonts w:ascii="Arial Narrow" w:hAnsi="Arial Narrow"/>
                <w:noProof/>
                <w:sz w:val="18"/>
                <w:szCs w:val="18"/>
              </w:rPr>
              <w:instrText xml:space="preserve"> ADDIN EN.CITE &lt;EndNote&gt;&lt;Cite&gt;&lt;Author&gt;Sadur&lt;/Author&gt;&lt;Year&gt;1999&lt;/Year&gt;&lt;RecNum&gt;47&lt;/RecNum&gt;&lt;DisplayText&gt;[32]&lt;/DisplayText&gt;&lt;record&gt;&lt;rec-number&gt;47&lt;/rec-number&gt;&lt;foreign-keys&gt;&lt;key app="EN" db-id="edz5s99awvadpbexfxhvwe0ofp2svdwzsdpf" timestamp="1413242968"&gt;47&lt;/key&gt;&lt;/foreign-keys&gt;&lt;ref-type name="Journal Article"&gt;17&lt;/ref-type&gt;&lt;contributors&gt;&lt;authors&gt;&lt;author&gt;Sadur, CN&lt;/author&gt;&lt;author&gt;Moline, NANCY&lt;/author&gt;&lt;author&gt;Costa, MARY&lt;/author&gt;&lt;author&gt;Michalik, DOROTHEA&lt;/author&gt;&lt;author&gt;Mendlowitz, DEBRA&lt;/author&gt;&lt;author&gt;Roller, SHARON&lt;/author&gt;&lt;author&gt;Watson, RANDY&lt;/author&gt;&lt;author&gt;Swain, BE&lt;/author&gt;&lt;author&gt;Selby, JV&lt;/author&gt;&lt;author&gt;Javorski, W CURTIS&lt;/author&gt;&lt;/authors&gt;&lt;/contributors&gt;&lt;titles&gt;&lt;title&gt;Diabetes management in a health maintenance organization. Efficacy of care management using cluster visits&lt;/title&gt;&lt;secondary-title&gt;Diabetes care&lt;/secondary-title&gt;&lt;/titles&gt;&lt;periodical&gt;&lt;full-title&gt;Diabetes care&lt;/full-title&gt;&lt;/periodical&gt;&lt;pages&gt;2011-2017&lt;/pages&gt;&lt;volume&gt;22&lt;/volume&gt;&lt;number&gt;12&lt;/number&gt;&lt;dates&gt;&lt;year&gt;1999&lt;/year&gt;&lt;/dates&gt;&lt;isbn&gt;0149-5992&lt;/isbn&gt;&lt;urls&gt;&lt;/urls&gt;&lt;/record&gt;&lt;/Cite&gt;&lt;/EndNote&gt;</w:instrText>
            </w:r>
            <w:r w:rsidRPr="00C44EE5">
              <w:rPr>
                <w:rFonts w:ascii="Arial Narrow" w:hAnsi="Arial Narrow"/>
                <w:noProof/>
                <w:sz w:val="18"/>
                <w:szCs w:val="18"/>
              </w:rPr>
              <w:fldChar w:fldCharType="separate"/>
            </w:r>
            <w:r>
              <w:rPr>
                <w:rFonts w:ascii="Arial Narrow" w:hAnsi="Arial Narrow"/>
                <w:noProof/>
                <w:sz w:val="18"/>
                <w:szCs w:val="18"/>
              </w:rPr>
              <w:t>[32]</w:t>
            </w:r>
            <w:r w:rsidRPr="00C44EE5">
              <w:rPr>
                <w:rFonts w:ascii="Arial Narrow" w:hAnsi="Arial Narrow"/>
                <w:noProof/>
                <w:sz w:val="18"/>
                <w:szCs w:val="18"/>
              </w:rPr>
              <w:fldChar w:fldCharType="end"/>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Reduction of HbA</w:t>
            </w:r>
            <w:r w:rsidRPr="0038677D">
              <w:rPr>
                <w:rFonts w:ascii="Arial Narrow" w:eastAsia="Times New Roman" w:hAnsi="Arial Narrow" w:cs="Times New Roman"/>
                <w:color w:val="000000"/>
                <w:sz w:val="18"/>
                <w:szCs w:val="18"/>
                <w:vertAlign w:val="subscript"/>
                <w:lang w:val="en-GB" w:eastAsia="en-AU"/>
              </w:rPr>
              <w:t>1c</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left"/>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 xml:space="preserve">Reduction in hospital admission rates,  self-efficacy, treating hypoglycaemia, managing glucose when ill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Mthly/2 h</w:t>
            </w:r>
            <w:r w:rsidRPr="00BE2022">
              <w:rPr>
                <w:rFonts w:ascii="Arial Narrow" w:eastAsia="Times New Roman" w:hAnsi="Arial Narrow" w:cs="Times New Roman"/>
                <w:color w:val="000000"/>
                <w:sz w:val="18"/>
                <w:szCs w:val="18"/>
                <w:lang w:val="en-GB" w:eastAsia="en-AU"/>
              </w:rPr>
              <w:t>rs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Usual GP care</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Pr>
                <w:rFonts w:ascii="Arial Narrow" w:eastAsia="Times New Roman" w:hAnsi="Arial Narrow" w:cs="Times New Roman"/>
                <w:color w:val="000000"/>
                <w:sz w:val="18"/>
                <w:szCs w:val="18"/>
                <w:lang w:val="en-GB" w:eastAsia="en-AU"/>
              </w:rPr>
              <w:t xml:space="preserve">6 </w:t>
            </w:r>
            <w:proofErr w:type="spellStart"/>
            <w:r>
              <w:rPr>
                <w:rFonts w:ascii="Arial Narrow" w:eastAsia="Times New Roman" w:hAnsi="Arial Narrow" w:cs="Times New Roman"/>
                <w:color w:val="000000"/>
                <w:sz w:val="18"/>
                <w:szCs w:val="18"/>
                <w:lang w:val="en-GB" w:eastAsia="en-AU"/>
              </w:rPr>
              <w:t>m</w:t>
            </w:r>
            <w:r w:rsidRPr="00BE2022">
              <w:rPr>
                <w:rFonts w:ascii="Arial Narrow" w:eastAsia="Times New Roman" w:hAnsi="Arial Narrow" w:cs="Times New Roman"/>
                <w:color w:val="000000"/>
                <w:sz w:val="18"/>
                <w:szCs w:val="18"/>
                <w:lang w:val="en-GB" w:eastAsia="en-AU"/>
              </w:rPr>
              <w:t>ths</w:t>
            </w:r>
            <w:proofErr w:type="spellEnd"/>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 xml:space="preserve">~142-156 </w:t>
            </w:r>
            <w:r>
              <w:rPr>
                <w:rFonts w:ascii="Arial Narrow" w:eastAsia="Times New Roman" w:hAnsi="Arial Narrow" w:cs="Times New Roman"/>
                <w:color w:val="000000"/>
                <w:sz w:val="18"/>
                <w:szCs w:val="18"/>
                <w:lang w:val="en-GB" w:eastAsia="en-AU"/>
              </w:rPr>
              <w:t xml:space="preserve">patients with diabetes </w:t>
            </w:r>
            <w:r w:rsidRPr="00BE2022">
              <w:rPr>
                <w:rFonts w:ascii="Arial Narrow" w:eastAsia="Times New Roman" w:hAnsi="Arial Narrow" w:cs="Times New Roman"/>
                <w:color w:val="000000"/>
                <w:sz w:val="18"/>
                <w:szCs w:val="18"/>
                <w:lang w:val="en-GB" w:eastAsia="en-AU"/>
              </w:rPr>
              <w:t>with HbA</w:t>
            </w:r>
            <w:r w:rsidRPr="0038677D">
              <w:rPr>
                <w:rFonts w:ascii="Arial Narrow" w:eastAsia="Times New Roman" w:hAnsi="Arial Narrow" w:cs="Times New Roman"/>
                <w:color w:val="000000"/>
                <w:sz w:val="18"/>
                <w:szCs w:val="18"/>
                <w:vertAlign w:val="subscript"/>
                <w:lang w:val="en-GB" w:eastAsia="en-AU"/>
              </w:rPr>
              <w:t>1c</w:t>
            </w:r>
            <w:r w:rsidRPr="00BE2022">
              <w:rPr>
                <w:rFonts w:ascii="Arial Narrow" w:eastAsia="Times New Roman" w:hAnsi="Arial Narrow" w:cs="Times New Roman"/>
                <w:color w:val="000000"/>
                <w:sz w:val="18"/>
                <w:szCs w:val="18"/>
                <w:lang w:val="en-GB" w:eastAsia="en-AU"/>
              </w:rPr>
              <w:t xml:space="preserve"> &gt; 8.5%</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2E01E3" w:rsidRPr="00C44EE5" w:rsidRDefault="002E01E3" w:rsidP="002E01E3">
            <w:pPr>
              <w:spacing w:after="0" w:line="240" w:lineRule="auto"/>
              <w:jc w:val="center"/>
              <w:rPr>
                <w:rFonts w:ascii="Arial Narrow" w:eastAsia="Times New Roman" w:hAnsi="Arial Narrow" w:cs="Times New Roman"/>
                <w:color w:val="000000"/>
                <w:sz w:val="18"/>
                <w:szCs w:val="18"/>
                <w:lang w:val="en-GB" w:eastAsia="en-AU"/>
              </w:rPr>
            </w:pPr>
            <w:r w:rsidRPr="00BE2022">
              <w:rPr>
                <w:rFonts w:ascii="Arial Narrow" w:eastAsia="Times New Roman" w:hAnsi="Arial Narrow" w:cs="Times New Roman"/>
                <w:color w:val="000000"/>
                <w:sz w:val="18"/>
                <w:szCs w:val="18"/>
                <w:lang w:val="en-GB" w:eastAsia="en-AU"/>
              </w:rPr>
              <w:t>Health management organisation</w:t>
            </w:r>
          </w:p>
        </w:tc>
      </w:tr>
    </w:tbl>
    <w:p w:rsidR="002E01E3" w:rsidRDefault="002E01E3" w:rsidP="002E01E3">
      <w:pPr>
        <w:spacing w:after="0"/>
        <w:jc w:val="left"/>
        <w:rPr>
          <w:szCs w:val="22"/>
        </w:rPr>
      </w:pPr>
    </w:p>
    <w:p w:rsidR="002E01E3" w:rsidRPr="00811130" w:rsidRDefault="002E01E3" w:rsidP="002E01E3">
      <w:pPr>
        <w:spacing w:after="0"/>
        <w:rPr>
          <w:szCs w:val="22"/>
          <w:lang w:val="en-GB" w:eastAsia="ja-JP"/>
        </w:rPr>
      </w:pPr>
      <w:r w:rsidRPr="00811130">
        <w:rPr>
          <w:szCs w:val="22"/>
          <w:lang w:val="en-GB" w:eastAsia="ja-JP"/>
        </w:rPr>
        <w:t xml:space="preserve">Adverse events </w:t>
      </w:r>
      <w:r>
        <w:rPr>
          <w:szCs w:val="22"/>
          <w:lang w:val="en-GB" w:eastAsia="ja-JP"/>
        </w:rPr>
        <w:t xml:space="preserve">from T2DM </w:t>
      </w:r>
      <w:r w:rsidRPr="00811130">
        <w:rPr>
          <w:szCs w:val="22"/>
          <w:lang w:val="en-GB" w:eastAsia="ja-JP"/>
        </w:rPr>
        <w:t xml:space="preserve">that </w:t>
      </w:r>
      <w:r>
        <w:rPr>
          <w:szCs w:val="22"/>
          <w:lang w:val="en-GB" w:eastAsia="ja-JP"/>
        </w:rPr>
        <w:t>could</w:t>
      </w:r>
      <w:r w:rsidRPr="00811130">
        <w:rPr>
          <w:szCs w:val="22"/>
          <w:lang w:val="en-GB" w:eastAsia="ja-JP"/>
        </w:rPr>
        <w:t xml:space="preserve"> be </w:t>
      </w:r>
      <w:r>
        <w:rPr>
          <w:szCs w:val="22"/>
          <w:lang w:val="en-GB" w:eastAsia="ja-JP"/>
        </w:rPr>
        <w:t>assessed</w:t>
      </w:r>
      <w:r w:rsidRPr="00811130">
        <w:rPr>
          <w:szCs w:val="22"/>
          <w:lang w:val="en-GB" w:eastAsia="ja-JP"/>
        </w:rPr>
        <w:t xml:space="preserve"> are</w:t>
      </w:r>
      <w:r>
        <w:rPr>
          <w:szCs w:val="22"/>
          <w:lang w:val="en-GB" w:eastAsia="ja-JP"/>
        </w:rPr>
        <w:t xml:space="preserve"> </w:t>
      </w:r>
      <w:r>
        <w:rPr>
          <w:szCs w:val="22"/>
          <w:lang w:val="en-GB" w:eastAsia="ja-JP"/>
        </w:rPr>
        <w:fldChar w:fldCharType="begin"/>
      </w:r>
      <w:r>
        <w:rPr>
          <w:szCs w:val="22"/>
          <w:lang w:val="en-GB" w:eastAsia="ja-JP"/>
        </w:rPr>
        <w:instrText xml:space="preserve"> ADDIN EN.CITE &lt;EndNote&gt;&lt;Cite&gt;&lt;Author&gt;Larson&lt;/Author&gt;&lt;Year&gt;1999&lt;/Year&gt;&lt;RecNum&gt;66&lt;/RecNum&gt;&lt;DisplayText&gt;[21]&lt;/DisplayText&gt;&lt;record&gt;&lt;rec-number&gt;66&lt;/rec-number&gt;&lt;foreign-keys&gt;&lt;key app="EN" db-id="edz5s99awvadpbexfxhvwe0ofp2svdwzsdpf" timestamp="1413343843"&gt;66&lt;/key&gt;&lt;/foreign-keys&gt;&lt;ref-type name="Journal Article"&gt;17&lt;/ref-type&gt;&lt;contributors&gt;&lt;authors&gt;&lt;author&gt;Larson, Cecelia&lt;/author&gt;&lt;/authors&gt;&lt;/contributors&gt;&lt;titles&gt;&lt;title&gt;Williams&amp;apos; Textbook of Endocrinology&lt;/title&gt;&lt;secondary-title&gt;The Endocrinologist&lt;/secondary-title&gt;&lt;/titles&gt;&lt;periodical&gt;&lt;full-title&gt;The Endocrinologist&lt;/full-title&gt;&lt;/periodical&gt;&lt;pages&gt;69-70&lt;/pages&gt;&lt;volume&gt;9&lt;/volume&gt;&lt;number&gt;1&lt;/number&gt;&lt;dates&gt;&lt;year&gt;1999&lt;/year&gt;&lt;/dates&gt;&lt;isbn&gt;1051-2144&lt;/isbn&gt;&lt;urls&gt;&lt;/urls&gt;&lt;/record&gt;&lt;/Cite&gt;&lt;/EndNote&gt;</w:instrText>
      </w:r>
      <w:r>
        <w:rPr>
          <w:szCs w:val="22"/>
          <w:lang w:val="en-GB" w:eastAsia="ja-JP"/>
        </w:rPr>
        <w:fldChar w:fldCharType="separate"/>
      </w:r>
      <w:r>
        <w:rPr>
          <w:noProof/>
          <w:szCs w:val="22"/>
          <w:lang w:val="en-GB" w:eastAsia="ja-JP"/>
        </w:rPr>
        <w:t>[21]</w:t>
      </w:r>
      <w:r>
        <w:rPr>
          <w:szCs w:val="22"/>
          <w:lang w:val="en-GB" w:eastAsia="ja-JP"/>
        </w:rPr>
        <w:fldChar w:fldCharType="end"/>
      </w:r>
      <w:r>
        <w:rPr>
          <w:szCs w:val="22"/>
          <w:lang w:val="en-GB" w:eastAsia="ja-JP"/>
        </w:rPr>
        <w:t>:</w:t>
      </w:r>
    </w:p>
    <w:p w:rsidR="002E01E3" w:rsidRDefault="002E01E3" w:rsidP="002E01E3">
      <w:pPr>
        <w:numPr>
          <w:ilvl w:val="0"/>
          <w:numId w:val="8"/>
        </w:numPr>
        <w:spacing w:after="0"/>
        <w:jc w:val="left"/>
        <w:rPr>
          <w:szCs w:val="22"/>
        </w:rPr>
      </w:pPr>
      <w:r>
        <w:rPr>
          <w:szCs w:val="22"/>
        </w:rPr>
        <w:t>Hypoglycaemic events (all, serious, nocturnal)</w:t>
      </w:r>
    </w:p>
    <w:p w:rsidR="002E01E3" w:rsidRDefault="002E01E3" w:rsidP="002E01E3">
      <w:pPr>
        <w:numPr>
          <w:ilvl w:val="0"/>
          <w:numId w:val="8"/>
        </w:numPr>
        <w:spacing w:after="0"/>
        <w:jc w:val="left"/>
        <w:rPr>
          <w:szCs w:val="22"/>
        </w:rPr>
      </w:pPr>
      <w:r>
        <w:rPr>
          <w:szCs w:val="22"/>
        </w:rPr>
        <w:t>Cardiovascular events</w:t>
      </w:r>
    </w:p>
    <w:p w:rsidR="002E01E3" w:rsidRPr="00646DCB" w:rsidRDefault="002E01E3" w:rsidP="002E01E3">
      <w:pPr>
        <w:numPr>
          <w:ilvl w:val="0"/>
          <w:numId w:val="8"/>
        </w:numPr>
        <w:spacing w:after="0"/>
        <w:jc w:val="left"/>
        <w:rPr>
          <w:szCs w:val="22"/>
        </w:rPr>
      </w:pPr>
      <w:r w:rsidRPr="00646DCB">
        <w:rPr>
          <w:szCs w:val="22"/>
        </w:rPr>
        <w:t>Amputations</w:t>
      </w:r>
      <w:r>
        <w:rPr>
          <w:szCs w:val="22"/>
        </w:rPr>
        <w:t>;</w:t>
      </w:r>
    </w:p>
    <w:p w:rsidR="002E01E3" w:rsidRPr="00646DCB" w:rsidRDefault="002E01E3" w:rsidP="002E01E3">
      <w:pPr>
        <w:numPr>
          <w:ilvl w:val="0"/>
          <w:numId w:val="8"/>
        </w:numPr>
        <w:spacing w:after="0"/>
        <w:jc w:val="left"/>
        <w:rPr>
          <w:szCs w:val="22"/>
        </w:rPr>
      </w:pPr>
      <w:r>
        <w:rPr>
          <w:szCs w:val="22"/>
        </w:rPr>
        <w:t>Microvascular events (r</w:t>
      </w:r>
      <w:r w:rsidRPr="00646DCB">
        <w:rPr>
          <w:szCs w:val="22"/>
        </w:rPr>
        <w:t>etinopathy</w:t>
      </w:r>
      <w:r>
        <w:rPr>
          <w:szCs w:val="22"/>
        </w:rPr>
        <w:t>,</w:t>
      </w:r>
      <w:r w:rsidRPr="00646DCB">
        <w:rPr>
          <w:szCs w:val="22"/>
        </w:rPr>
        <w:t xml:space="preserve"> </w:t>
      </w:r>
      <w:r>
        <w:rPr>
          <w:szCs w:val="22"/>
        </w:rPr>
        <w:t>n</w:t>
      </w:r>
      <w:r w:rsidRPr="00646DCB">
        <w:rPr>
          <w:szCs w:val="22"/>
        </w:rPr>
        <w:t>europathy</w:t>
      </w:r>
      <w:r>
        <w:rPr>
          <w:szCs w:val="22"/>
        </w:rPr>
        <w:t>,</w:t>
      </w:r>
      <w:r w:rsidRPr="00646DCB">
        <w:rPr>
          <w:szCs w:val="22"/>
        </w:rPr>
        <w:t xml:space="preserve"> </w:t>
      </w:r>
      <w:r>
        <w:rPr>
          <w:szCs w:val="22"/>
        </w:rPr>
        <w:t>n</w:t>
      </w:r>
      <w:r w:rsidRPr="00646DCB">
        <w:rPr>
          <w:szCs w:val="22"/>
        </w:rPr>
        <w:t>ephropathy rates</w:t>
      </w:r>
      <w:r>
        <w:rPr>
          <w:szCs w:val="22"/>
        </w:rPr>
        <w:t>); and</w:t>
      </w:r>
    </w:p>
    <w:p w:rsidR="002E01E3" w:rsidRPr="00646DCB" w:rsidRDefault="002E01E3" w:rsidP="002E01E3">
      <w:pPr>
        <w:numPr>
          <w:ilvl w:val="0"/>
          <w:numId w:val="8"/>
        </w:numPr>
        <w:spacing w:after="0"/>
        <w:jc w:val="left"/>
        <w:rPr>
          <w:szCs w:val="22"/>
        </w:rPr>
      </w:pPr>
      <w:r w:rsidRPr="00646DCB">
        <w:rPr>
          <w:szCs w:val="22"/>
        </w:rPr>
        <w:t>Mortality rates</w:t>
      </w:r>
      <w:r>
        <w:rPr>
          <w:szCs w:val="22"/>
        </w:rPr>
        <w:t>.</w:t>
      </w:r>
    </w:p>
    <w:p w:rsidR="002E01E3" w:rsidRPr="004E4C4D" w:rsidRDefault="002E01E3" w:rsidP="002E01E3">
      <w:pPr>
        <w:jc w:val="left"/>
        <w:rPr>
          <w:szCs w:val="22"/>
        </w:rPr>
      </w:pPr>
      <w:r>
        <w:rPr>
          <w:szCs w:val="22"/>
        </w:rPr>
        <w:t xml:space="preserve">However, these events may be too rare, or may happen over too long a time horizon, to be properly captured in any prospective RCT. </w:t>
      </w:r>
    </w:p>
    <w:p w:rsidR="002E01E3" w:rsidRPr="007C39E9" w:rsidRDefault="002E01E3" w:rsidP="002E01E3">
      <w:pPr>
        <w:spacing w:after="0"/>
        <w:jc w:val="left"/>
        <w:rPr>
          <w:szCs w:val="22"/>
        </w:rPr>
      </w:pPr>
      <w:r>
        <w:rPr>
          <w:szCs w:val="22"/>
        </w:rPr>
        <w:t>Other indicators relating to patient quality of life which could be considered would be:</w:t>
      </w:r>
    </w:p>
    <w:p w:rsidR="002E01E3" w:rsidRPr="00646DCB" w:rsidRDefault="002E01E3" w:rsidP="002E01E3">
      <w:pPr>
        <w:numPr>
          <w:ilvl w:val="0"/>
          <w:numId w:val="10"/>
        </w:numPr>
        <w:spacing w:after="0"/>
        <w:jc w:val="left"/>
        <w:rPr>
          <w:szCs w:val="22"/>
        </w:rPr>
      </w:pPr>
      <w:r w:rsidRPr="00646DCB">
        <w:rPr>
          <w:szCs w:val="22"/>
        </w:rPr>
        <w:t>Knowledge of diabetes</w:t>
      </w:r>
      <w:r>
        <w:rPr>
          <w:szCs w:val="22"/>
        </w:rPr>
        <w:t>/ health literacy</w:t>
      </w:r>
    </w:p>
    <w:p w:rsidR="002E01E3" w:rsidRPr="00646DCB" w:rsidRDefault="002E01E3" w:rsidP="002E01E3">
      <w:pPr>
        <w:numPr>
          <w:ilvl w:val="0"/>
          <w:numId w:val="10"/>
        </w:numPr>
        <w:spacing w:after="0"/>
        <w:jc w:val="left"/>
        <w:rPr>
          <w:szCs w:val="22"/>
        </w:rPr>
      </w:pPr>
      <w:r w:rsidRPr="00646DCB">
        <w:rPr>
          <w:szCs w:val="22"/>
        </w:rPr>
        <w:t>Quality of life/anxiety score</w:t>
      </w:r>
    </w:p>
    <w:p w:rsidR="002E01E3" w:rsidRPr="00646DCB" w:rsidRDefault="002E01E3" w:rsidP="002E01E3">
      <w:pPr>
        <w:numPr>
          <w:ilvl w:val="0"/>
          <w:numId w:val="10"/>
        </w:numPr>
        <w:spacing w:after="0"/>
        <w:jc w:val="left"/>
        <w:rPr>
          <w:szCs w:val="22"/>
        </w:rPr>
      </w:pPr>
      <w:r>
        <w:rPr>
          <w:szCs w:val="22"/>
        </w:rPr>
        <w:t>‘</w:t>
      </w:r>
      <w:r w:rsidRPr="00646DCB">
        <w:rPr>
          <w:szCs w:val="22"/>
        </w:rPr>
        <w:t>Trust in physician</w:t>
      </w:r>
      <w:r>
        <w:rPr>
          <w:szCs w:val="22"/>
        </w:rPr>
        <w:t>’</w:t>
      </w:r>
      <w:r w:rsidRPr="00646DCB">
        <w:rPr>
          <w:szCs w:val="22"/>
        </w:rPr>
        <w:t xml:space="preserve"> score</w:t>
      </w:r>
    </w:p>
    <w:p w:rsidR="00D633D7" w:rsidRDefault="00D633D7">
      <w:pPr>
        <w:spacing w:after="0" w:line="240" w:lineRule="auto"/>
        <w:jc w:val="left"/>
        <w:rPr>
          <w:rFonts w:cs="Times New Roman"/>
          <w:b/>
          <w:color w:val="215868"/>
          <w:szCs w:val="22"/>
          <w:lang w:val="en-GB" w:eastAsia="ja-JP"/>
        </w:rPr>
      </w:pPr>
      <w:bookmarkStart w:id="55" w:name="_Toc301450604"/>
      <w:bookmarkStart w:id="56" w:name="_Toc410649150"/>
      <w:bookmarkStart w:id="57" w:name="_Toc420499076"/>
      <w:r>
        <w:rPr>
          <w:szCs w:val="22"/>
        </w:rPr>
        <w:br w:type="page"/>
      </w:r>
    </w:p>
    <w:p w:rsidR="002E01E3" w:rsidRPr="008B719A" w:rsidRDefault="002E01E3" w:rsidP="002E01E3">
      <w:pPr>
        <w:pStyle w:val="Heading2"/>
        <w:jc w:val="left"/>
        <w:rPr>
          <w:szCs w:val="22"/>
        </w:rPr>
      </w:pPr>
      <w:r w:rsidRPr="008B719A">
        <w:rPr>
          <w:szCs w:val="22"/>
        </w:rPr>
        <w:lastRenderedPageBreak/>
        <w:t>Safety</w:t>
      </w:r>
      <w:bookmarkEnd w:id="55"/>
      <w:bookmarkEnd w:id="56"/>
      <w:bookmarkEnd w:id="57"/>
    </w:p>
    <w:p w:rsidR="002E01E3" w:rsidRPr="00967AE2" w:rsidRDefault="002E01E3" w:rsidP="002E01E3">
      <w:pPr>
        <w:rPr>
          <w:i/>
          <w:color w:val="FF0000"/>
          <w:szCs w:val="22"/>
        </w:rPr>
      </w:pPr>
      <w:r w:rsidRPr="00E57D14">
        <w:rPr>
          <w:color w:val="000000"/>
          <w:szCs w:val="22"/>
        </w:rPr>
        <w:t>The</w:t>
      </w:r>
      <w:r>
        <w:rPr>
          <w:color w:val="000000"/>
          <w:szCs w:val="22"/>
        </w:rPr>
        <w:t>re is no</w:t>
      </w:r>
      <w:r w:rsidRPr="00E57D14">
        <w:rPr>
          <w:color w:val="000000"/>
          <w:szCs w:val="22"/>
        </w:rPr>
        <w:t xml:space="preserve"> safety concerns associated with the intervention.</w:t>
      </w:r>
      <w:r>
        <w:rPr>
          <w:color w:val="000000"/>
          <w:szCs w:val="22"/>
        </w:rPr>
        <w:t xml:space="preserve"> T</w:t>
      </w:r>
      <w:r w:rsidRPr="00CF715C">
        <w:rPr>
          <w:color w:val="000000"/>
          <w:szCs w:val="22"/>
        </w:rPr>
        <w:t xml:space="preserve">here </w:t>
      </w:r>
      <w:r>
        <w:rPr>
          <w:color w:val="000000"/>
          <w:szCs w:val="22"/>
        </w:rPr>
        <w:t>may be</w:t>
      </w:r>
      <w:r w:rsidRPr="00CF715C">
        <w:rPr>
          <w:color w:val="000000"/>
          <w:szCs w:val="22"/>
        </w:rPr>
        <w:t xml:space="preserve"> a concern with confidentiality</w:t>
      </w:r>
      <w:r>
        <w:rPr>
          <w:color w:val="000000"/>
          <w:szCs w:val="22"/>
        </w:rPr>
        <w:t>, as some people may not feel comfortable discussing their health in front of other patients</w:t>
      </w:r>
      <w:r w:rsidRPr="00CF715C">
        <w:rPr>
          <w:color w:val="000000"/>
          <w:szCs w:val="22"/>
        </w:rPr>
        <w:t>.</w:t>
      </w:r>
      <w:r>
        <w:rPr>
          <w:color w:val="000000"/>
          <w:szCs w:val="22"/>
        </w:rPr>
        <w:t xml:space="preserve"> For this reason, shared medical appointments would be voluntary, and standard GP visits would always be available to those who want them. An additional potential concern could be the possibility for private medical details to be circulated more widely throughout the community by other members of the group.</w:t>
      </w:r>
      <w:r w:rsidRPr="00CF715C">
        <w:rPr>
          <w:color w:val="000000"/>
          <w:szCs w:val="22"/>
        </w:rPr>
        <w:t xml:space="preserve"> </w:t>
      </w:r>
      <w:r>
        <w:rPr>
          <w:color w:val="000000"/>
          <w:szCs w:val="22"/>
        </w:rPr>
        <w:t xml:space="preserve">However, a requirement of a shared medical appointment is that confidentiality agreements are signed before every shared medical appointment. This was not shown to be an issue in the Australian study </w:t>
      </w:r>
      <w:r>
        <w:rPr>
          <w:color w:val="000000"/>
          <w:szCs w:val="22"/>
        </w:rPr>
        <w:fldChar w:fldCharType="begin"/>
      </w:r>
      <w:r>
        <w:rPr>
          <w:color w:val="000000"/>
          <w:szCs w:val="22"/>
        </w:rPr>
        <w:instrText xml:space="preserve"> ADDIN EN.CITE &lt;EndNote&gt;&lt;Cite&gt;&lt;Author&gt;John Stevens&lt;/Author&gt;&lt;Year&gt;2014&lt;/Year&gt;&lt;RecNum&gt;120&lt;/RecNum&gt;&lt;DisplayText&gt;[45]&lt;/DisplayText&gt;&lt;record&gt;&lt;rec-number&gt;120&lt;/rec-number&gt;&lt;foreign-keys&gt;&lt;key app="EN" db-id="edz5s99awvadpbexfxhvwe0ofp2svdwzsdpf" timestamp="1414026480"&gt;120&lt;/key&gt;&lt;/foreign-keys&gt;&lt;ref-type name="Journal Article"&gt;17&lt;/ref-type&gt;&lt;contributors&gt;&lt;authors&gt;&lt;author&gt;John Stevens, John Dixon, Mary-Anne Cole, Andrew Binns, Garry Egger&lt;/author&gt;&lt;/authors&gt;&lt;/contributors&gt;&lt;titles&gt;&lt;title&gt;A User Assessment of the Potential for Shared Medical Appointments in Australia. &lt;/title&gt;&lt;secondary-title&gt;Australian Family Physician (in press)&lt;/secondary-title&gt;&lt;/titles&gt;&lt;periodical&gt;&lt;full-title&gt;Australian Family Physician (in press)&lt;/full-title&gt;&lt;/periodical&gt;&lt;dates&gt;&lt;year&gt;2014&lt;/year&gt;&lt;/dates&gt;&lt;urls&gt;&lt;/urls&gt;&lt;/record&gt;&lt;/Cite&gt;&lt;/EndNote&gt;</w:instrText>
      </w:r>
      <w:r>
        <w:rPr>
          <w:color w:val="000000"/>
          <w:szCs w:val="22"/>
        </w:rPr>
        <w:fldChar w:fldCharType="separate"/>
      </w:r>
      <w:r>
        <w:rPr>
          <w:noProof/>
          <w:color w:val="000000"/>
          <w:szCs w:val="22"/>
        </w:rPr>
        <w:t>[45]</w:t>
      </w:r>
      <w:r>
        <w:rPr>
          <w:color w:val="000000"/>
          <w:szCs w:val="22"/>
        </w:rPr>
        <w:fldChar w:fldCharType="end"/>
      </w:r>
      <w:r>
        <w:rPr>
          <w:color w:val="000000"/>
          <w:szCs w:val="22"/>
        </w:rPr>
        <w:t xml:space="preserve"> or in over 100,000 visits recorded in the US </w:t>
      </w:r>
      <w:r>
        <w:rPr>
          <w:color w:val="000000"/>
          <w:szCs w:val="22"/>
        </w:rPr>
        <w:fldChar w:fldCharType="begin"/>
      </w:r>
      <w:r>
        <w:rPr>
          <w:color w:val="000000"/>
          <w:szCs w:val="22"/>
        </w:rPr>
        <w:instrText xml:space="preserve"> ADDIN EN.CITE &lt;EndNote&gt;&lt;Cite&gt;&lt;Author&gt;Noffsinger&lt;/Author&gt;&lt;Year&gt;2012&lt;/Year&gt;&lt;RecNum&gt;117&lt;/RecNum&gt;&lt;DisplayText&gt;[24]&lt;/DisplayText&gt;&lt;record&gt;&lt;rec-number&gt;117&lt;/rec-number&gt;&lt;foreign-keys&gt;&lt;key app="EN" db-id="edz5s99awvadpbexfxhvwe0ofp2svdwzsdpf" timestamp="1413944637"&gt;117&lt;/key&gt;&lt;/foreign-keys&gt;&lt;ref-type name="Book"&gt;6&lt;/ref-type&gt;&lt;contributors&gt;&lt;authors&gt;&lt;author&gt;Noffsinger, Edward B&lt;/author&gt;&lt;/authors&gt;&lt;/contributors&gt;&lt;titles&gt;&lt;title&gt;The ABCs of Group Visits: An Implementation Manual for Your Practice&lt;/title&gt;&lt;/titles&gt;&lt;dates&gt;&lt;year&gt;2012&lt;/year&gt;&lt;/dates&gt;&lt;publisher&gt;Springer&lt;/publisher&gt;&lt;isbn&gt;1461435250&lt;/isbn&gt;&lt;urls&gt;&lt;/urls&gt;&lt;/record&gt;&lt;/Cite&gt;&lt;/EndNote&gt;</w:instrText>
      </w:r>
      <w:r>
        <w:rPr>
          <w:color w:val="000000"/>
          <w:szCs w:val="22"/>
        </w:rPr>
        <w:fldChar w:fldCharType="separate"/>
      </w:r>
      <w:r>
        <w:rPr>
          <w:noProof/>
          <w:color w:val="000000"/>
          <w:szCs w:val="22"/>
        </w:rPr>
        <w:t>[24]</w:t>
      </w:r>
      <w:r>
        <w:rPr>
          <w:color w:val="000000"/>
          <w:szCs w:val="22"/>
        </w:rPr>
        <w:fldChar w:fldCharType="end"/>
      </w:r>
      <w:r>
        <w:rPr>
          <w:color w:val="000000"/>
          <w:szCs w:val="22"/>
        </w:rPr>
        <w:t>.</w:t>
      </w:r>
    </w:p>
    <w:p w:rsidR="002E01E3" w:rsidRDefault="002E01E3" w:rsidP="002E01E3">
      <w:pPr>
        <w:pStyle w:val="Heading1"/>
        <w:jc w:val="left"/>
      </w:pPr>
      <w:bookmarkStart w:id="58" w:name="_Toc284237246"/>
      <w:bookmarkStart w:id="59" w:name="_Toc284237795"/>
      <w:bookmarkStart w:id="60" w:name="_Toc284238189"/>
      <w:bookmarkStart w:id="61" w:name="_Toc284238319"/>
      <w:bookmarkStart w:id="62" w:name="_Toc284422745"/>
      <w:bookmarkStart w:id="63" w:name="_Toc301450605"/>
      <w:bookmarkStart w:id="64" w:name="_Toc410649151"/>
      <w:bookmarkStart w:id="65" w:name="_Toc420499077"/>
      <w:r>
        <w:t>Summary of PICO to be used for assessment of evidence (systematic review)</w:t>
      </w:r>
      <w:bookmarkEnd w:id="58"/>
      <w:bookmarkEnd w:id="59"/>
      <w:bookmarkEnd w:id="60"/>
      <w:bookmarkEnd w:id="61"/>
      <w:bookmarkEnd w:id="62"/>
      <w:bookmarkEnd w:id="63"/>
      <w:bookmarkEnd w:id="64"/>
      <w:bookmarkEnd w:id="65"/>
      <w:r>
        <w:t xml:space="preserve"> </w:t>
      </w:r>
    </w:p>
    <w:p w:rsidR="002E01E3" w:rsidRPr="008B719A" w:rsidRDefault="002E01E3" w:rsidP="002E01E3">
      <w:pPr>
        <w:spacing w:after="0"/>
        <w:jc w:val="left"/>
        <w:rPr>
          <w:szCs w:val="22"/>
        </w:rPr>
      </w:pPr>
      <w:r>
        <w:rPr>
          <w:szCs w:val="22"/>
        </w:rPr>
        <w:t>Table</w:t>
      </w:r>
      <w:r w:rsidR="00B015E8">
        <w:rPr>
          <w:szCs w:val="22"/>
        </w:rPr>
        <w:t>s</w:t>
      </w:r>
      <w:r>
        <w:rPr>
          <w:szCs w:val="22"/>
        </w:rPr>
        <w:t xml:space="preserve"> 8</w:t>
      </w:r>
      <w:r w:rsidR="00B015E8">
        <w:rPr>
          <w:szCs w:val="22"/>
        </w:rPr>
        <w:t xml:space="preserve"> and 9</w:t>
      </w:r>
      <w:r>
        <w:rPr>
          <w:szCs w:val="22"/>
        </w:rPr>
        <w:t xml:space="preserve"> </w:t>
      </w:r>
      <w:r w:rsidRPr="008B719A">
        <w:rPr>
          <w:szCs w:val="22"/>
        </w:rPr>
        <w:t xml:space="preserve">provide a summary of the PICO used to: </w:t>
      </w:r>
    </w:p>
    <w:p w:rsidR="002E01E3" w:rsidRPr="008B719A" w:rsidRDefault="002E01E3" w:rsidP="002E01E3">
      <w:pPr>
        <w:numPr>
          <w:ilvl w:val="0"/>
          <w:numId w:val="5"/>
        </w:numPr>
        <w:spacing w:after="0"/>
        <w:jc w:val="left"/>
        <w:rPr>
          <w:szCs w:val="22"/>
        </w:rPr>
      </w:pPr>
      <w:r w:rsidRPr="008B719A">
        <w:rPr>
          <w:szCs w:val="22"/>
        </w:rPr>
        <w:t xml:space="preserve">define the question for public funding, </w:t>
      </w:r>
    </w:p>
    <w:p w:rsidR="002E01E3" w:rsidRPr="008B719A" w:rsidRDefault="002E01E3" w:rsidP="002E01E3">
      <w:pPr>
        <w:numPr>
          <w:ilvl w:val="0"/>
          <w:numId w:val="5"/>
        </w:numPr>
        <w:spacing w:after="0"/>
        <w:jc w:val="left"/>
        <w:rPr>
          <w:szCs w:val="22"/>
        </w:rPr>
      </w:pPr>
      <w:r w:rsidRPr="008B719A">
        <w:rPr>
          <w:szCs w:val="22"/>
        </w:rPr>
        <w:t>select the evidence to assess the safety and effectiveness of</w:t>
      </w:r>
      <w:r>
        <w:rPr>
          <w:szCs w:val="22"/>
        </w:rPr>
        <w:t xml:space="preserve"> shared medical appointments for patients with T2DM</w:t>
      </w:r>
      <w:r w:rsidRPr="008B719A">
        <w:rPr>
          <w:szCs w:val="22"/>
        </w:rPr>
        <w:t xml:space="preserve">, and </w:t>
      </w:r>
    </w:p>
    <w:p w:rsidR="002E01E3" w:rsidRPr="00DD0CC2" w:rsidRDefault="002E01E3" w:rsidP="002E01E3">
      <w:pPr>
        <w:numPr>
          <w:ilvl w:val="0"/>
          <w:numId w:val="5"/>
        </w:numPr>
        <w:jc w:val="left"/>
        <w:rPr>
          <w:szCs w:val="22"/>
        </w:rPr>
      </w:pPr>
      <w:proofErr w:type="gramStart"/>
      <w:r w:rsidRPr="008B719A">
        <w:rPr>
          <w:szCs w:val="22"/>
        </w:rPr>
        <w:t>provide</w:t>
      </w:r>
      <w:proofErr w:type="gramEnd"/>
      <w:r w:rsidRPr="008B719A">
        <w:rPr>
          <w:szCs w:val="22"/>
        </w:rPr>
        <w:t xml:space="preserve"> the evidence-based inputs for any decision-analytical modelling to determine the cost-effectiveness of</w:t>
      </w:r>
      <w:r>
        <w:rPr>
          <w:szCs w:val="22"/>
        </w:rPr>
        <w:t xml:space="preserve"> shared medical appointments for patients with T2DM.</w:t>
      </w:r>
    </w:p>
    <w:p w:rsidR="002E01E3" w:rsidRDefault="002E01E3" w:rsidP="002E01E3">
      <w:pPr>
        <w:pStyle w:val="Caption"/>
        <w:spacing w:after="120"/>
        <w:ind w:left="1134" w:hanging="1134"/>
      </w:pPr>
      <w:bookmarkStart w:id="66" w:name="_Ref305072610"/>
      <w:r>
        <w:lastRenderedPageBreak/>
        <w:t xml:space="preserve">Table </w:t>
      </w:r>
      <w:bookmarkEnd w:id="66"/>
      <w:r>
        <w:t xml:space="preserve">8: Summary of PICO </w:t>
      </w:r>
      <w:r w:rsidR="00B015E8">
        <w:t>for T2DM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6"/>
        <w:gridCol w:w="2052"/>
        <w:gridCol w:w="1845"/>
        <w:gridCol w:w="3179"/>
      </w:tblGrid>
      <w:tr w:rsidR="002E01E3" w:rsidRPr="005C633E">
        <w:trPr>
          <w:tblHeader/>
        </w:trPr>
        <w:tc>
          <w:tcPr>
            <w:tcW w:w="1172" w:type="pct"/>
            <w:tcBorders>
              <w:bottom w:val="single" w:sz="4" w:space="0" w:color="auto"/>
            </w:tcBorders>
          </w:tcPr>
          <w:p w:rsidR="002E01E3" w:rsidRPr="005C633E" w:rsidRDefault="002E01E3" w:rsidP="002E01E3">
            <w:pPr>
              <w:keepNext/>
              <w:spacing w:before="40" w:after="0" w:line="240" w:lineRule="auto"/>
              <w:jc w:val="left"/>
              <w:rPr>
                <w:rFonts w:ascii="Arial Narrow" w:hAnsi="Arial Narrow"/>
                <w:b/>
                <w:sz w:val="20"/>
              </w:rPr>
            </w:pPr>
            <w:r w:rsidRPr="005C633E">
              <w:rPr>
                <w:rFonts w:ascii="Arial Narrow" w:hAnsi="Arial Narrow"/>
                <w:b/>
                <w:sz w:val="20"/>
              </w:rPr>
              <w:t>Patients</w:t>
            </w:r>
          </w:p>
        </w:tc>
        <w:tc>
          <w:tcPr>
            <w:tcW w:w="1110" w:type="pct"/>
          </w:tcPr>
          <w:p w:rsidR="002E01E3" w:rsidRPr="005C633E" w:rsidRDefault="002E01E3" w:rsidP="002E01E3">
            <w:pPr>
              <w:keepNext/>
              <w:spacing w:before="40" w:after="0" w:line="240" w:lineRule="auto"/>
              <w:jc w:val="left"/>
              <w:rPr>
                <w:rFonts w:ascii="Arial Narrow" w:hAnsi="Arial Narrow"/>
                <w:b/>
                <w:sz w:val="20"/>
              </w:rPr>
            </w:pPr>
            <w:r w:rsidRPr="005C633E">
              <w:rPr>
                <w:rFonts w:ascii="Arial Narrow" w:hAnsi="Arial Narrow"/>
                <w:b/>
                <w:sz w:val="20"/>
              </w:rPr>
              <w:t>Intervention</w:t>
            </w:r>
          </w:p>
        </w:tc>
        <w:tc>
          <w:tcPr>
            <w:tcW w:w="998" w:type="pct"/>
          </w:tcPr>
          <w:p w:rsidR="002E01E3" w:rsidRPr="005C633E" w:rsidRDefault="002E01E3" w:rsidP="002E01E3">
            <w:pPr>
              <w:keepNext/>
              <w:spacing w:before="40" w:after="0" w:line="240" w:lineRule="auto"/>
              <w:jc w:val="left"/>
              <w:rPr>
                <w:rFonts w:ascii="Arial Narrow" w:hAnsi="Arial Narrow"/>
                <w:b/>
                <w:sz w:val="20"/>
              </w:rPr>
            </w:pPr>
            <w:r w:rsidRPr="005C633E">
              <w:rPr>
                <w:rFonts w:ascii="Arial Narrow" w:hAnsi="Arial Narrow"/>
                <w:b/>
                <w:sz w:val="20"/>
              </w:rPr>
              <w:t>Comparators</w:t>
            </w:r>
          </w:p>
        </w:tc>
        <w:tc>
          <w:tcPr>
            <w:tcW w:w="1720" w:type="pct"/>
          </w:tcPr>
          <w:p w:rsidR="002E01E3" w:rsidRPr="005C633E" w:rsidRDefault="002E01E3" w:rsidP="002E01E3">
            <w:pPr>
              <w:keepNext/>
              <w:spacing w:before="40" w:after="0" w:line="240" w:lineRule="auto"/>
              <w:jc w:val="left"/>
              <w:rPr>
                <w:rFonts w:ascii="Arial Narrow" w:hAnsi="Arial Narrow"/>
                <w:b/>
                <w:sz w:val="20"/>
              </w:rPr>
            </w:pPr>
            <w:r w:rsidRPr="005C633E">
              <w:rPr>
                <w:rFonts w:ascii="Arial Narrow" w:hAnsi="Arial Narrow"/>
                <w:b/>
                <w:sz w:val="20"/>
              </w:rPr>
              <w:t>Outcomes to be assessed</w:t>
            </w:r>
          </w:p>
        </w:tc>
      </w:tr>
      <w:tr w:rsidR="002E01E3" w:rsidRPr="005C633E">
        <w:trPr>
          <w:trHeight w:val="1034"/>
          <w:tblHeader/>
        </w:trPr>
        <w:tc>
          <w:tcPr>
            <w:tcW w:w="1172" w:type="pct"/>
            <w:tcBorders>
              <w:bottom w:val="nil"/>
            </w:tcBorders>
          </w:tcPr>
          <w:p w:rsidR="002E01E3" w:rsidRPr="005C633E" w:rsidRDefault="002E01E3" w:rsidP="002E01E3">
            <w:pPr>
              <w:keepNext/>
              <w:spacing w:before="40" w:after="0" w:line="240" w:lineRule="auto"/>
              <w:jc w:val="left"/>
              <w:rPr>
                <w:rFonts w:ascii="Arial Narrow" w:hAnsi="Arial Narrow"/>
                <w:sz w:val="20"/>
              </w:rPr>
            </w:pPr>
            <w:r w:rsidRPr="005C633E">
              <w:rPr>
                <w:rFonts w:ascii="Arial Narrow" w:hAnsi="Arial Narrow"/>
                <w:sz w:val="20"/>
              </w:rPr>
              <w:t xml:space="preserve">People with </w:t>
            </w:r>
            <w:r w:rsidRPr="00D633D7">
              <w:rPr>
                <w:rFonts w:ascii="Arial Narrow" w:hAnsi="Arial Narrow"/>
                <w:sz w:val="20"/>
              </w:rPr>
              <w:t>T2DM</w:t>
            </w:r>
            <w:r w:rsidRPr="005C633E">
              <w:rPr>
                <w:rFonts w:ascii="Arial Narrow" w:hAnsi="Arial Narrow"/>
                <w:sz w:val="20"/>
              </w:rPr>
              <w:t xml:space="preserve"> defined as HbA</w:t>
            </w:r>
            <w:r w:rsidRPr="005C633E">
              <w:rPr>
                <w:rFonts w:ascii="Arial Narrow" w:hAnsi="Arial Narrow"/>
                <w:sz w:val="20"/>
                <w:vertAlign w:val="subscript"/>
              </w:rPr>
              <w:t>1c</w:t>
            </w:r>
            <w:r w:rsidRPr="005C633E">
              <w:rPr>
                <w:rFonts w:ascii="Arial Narrow" w:hAnsi="Arial Narrow"/>
                <w:sz w:val="20"/>
              </w:rPr>
              <w:t xml:space="preserve"> ≥ 6.5% or 2 hr glucose &gt;11.0 </w:t>
            </w:r>
            <w:proofErr w:type="spellStart"/>
            <w:r w:rsidRPr="005C633E">
              <w:rPr>
                <w:rFonts w:ascii="Arial Narrow" w:hAnsi="Arial Narrow"/>
                <w:sz w:val="20"/>
              </w:rPr>
              <w:t>mmol</w:t>
            </w:r>
            <w:proofErr w:type="spellEnd"/>
            <w:r w:rsidRPr="005C633E">
              <w:rPr>
                <w:rFonts w:ascii="Arial Narrow" w:hAnsi="Arial Narrow"/>
                <w:sz w:val="20"/>
              </w:rPr>
              <w:t xml:space="preserve">/l or fasting glucose &gt;7.0 </w:t>
            </w:r>
            <w:proofErr w:type="spellStart"/>
            <w:r w:rsidRPr="005C633E">
              <w:rPr>
                <w:rFonts w:ascii="Arial Narrow" w:hAnsi="Arial Narrow"/>
                <w:sz w:val="20"/>
              </w:rPr>
              <w:t>mmol</w:t>
            </w:r>
            <w:proofErr w:type="spellEnd"/>
            <w:r w:rsidRPr="005C633E">
              <w:rPr>
                <w:rFonts w:ascii="Arial Narrow" w:hAnsi="Arial Narrow"/>
                <w:sz w:val="20"/>
              </w:rPr>
              <w:t>/l.</w:t>
            </w:r>
          </w:p>
          <w:p w:rsidR="002E01E3" w:rsidRPr="005C633E" w:rsidRDefault="002E01E3" w:rsidP="002E01E3">
            <w:pPr>
              <w:keepNext/>
              <w:spacing w:before="40" w:after="0" w:line="240" w:lineRule="auto"/>
              <w:jc w:val="left"/>
              <w:rPr>
                <w:rFonts w:ascii="Arial Narrow" w:hAnsi="Arial Narrow"/>
                <w:sz w:val="20"/>
              </w:rPr>
            </w:pPr>
          </w:p>
        </w:tc>
        <w:tc>
          <w:tcPr>
            <w:tcW w:w="1110" w:type="pct"/>
            <w:vMerge w:val="restart"/>
          </w:tcPr>
          <w:p w:rsidR="002E01E3" w:rsidRPr="005C633E" w:rsidRDefault="002E01E3" w:rsidP="002E01E3">
            <w:pPr>
              <w:pStyle w:val="TableText"/>
              <w:spacing w:before="40"/>
              <w:rPr>
                <w:rFonts w:ascii="Arial Narrow" w:hAnsi="Arial Narrow"/>
                <w:sz w:val="20"/>
                <w:lang w:val="en-US" w:eastAsia="ja-JP"/>
              </w:rPr>
            </w:pPr>
            <w:r w:rsidRPr="005C633E">
              <w:rPr>
                <w:rFonts w:ascii="Arial Narrow" w:hAnsi="Arial Narrow"/>
                <w:sz w:val="20"/>
                <w:lang w:val="en-AU"/>
              </w:rPr>
              <w:t xml:space="preserve">Shared medical appointments with </w:t>
            </w:r>
            <w:r w:rsidR="0094033C">
              <w:rPr>
                <w:rFonts w:ascii="Arial Narrow" w:hAnsi="Arial Narrow"/>
                <w:sz w:val="20"/>
                <w:lang w:val="en-AU"/>
              </w:rPr>
              <w:t>6</w:t>
            </w:r>
            <w:r w:rsidRPr="005C633E">
              <w:rPr>
                <w:rFonts w:ascii="Arial Narrow" w:hAnsi="Arial Narrow"/>
                <w:sz w:val="20"/>
                <w:lang w:val="en-AU"/>
              </w:rPr>
              <w:t>-12</w:t>
            </w:r>
            <w:r>
              <w:rPr>
                <w:rFonts w:ascii="Arial Narrow" w:hAnsi="Arial Narrow"/>
                <w:sz w:val="20"/>
                <w:lang w:val="en-AU"/>
              </w:rPr>
              <w:t xml:space="preserve"> patients, at a minimum:</w:t>
            </w:r>
            <w:r w:rsidRPr="00596C92">
              <w:rPr>
                <w:rFonts w:ascii="Arial Narrow" w:hAnsi="Arial Narrow"/>
                <w:sz w:val="20"/>
                <w:lang w:val="en-AU"/>
              </w:rPr>
              <w:t xml:space="preserve"> 1 accredited GP, 1 g</w:t>
            </w:r>
            <w:proofErr w:type="spellStart"/>
            <w:r w:rsidRPr="00596C92">
              <w:rPr>
                <w:rFonts w:ascii="Arial Narrow" w:hAnsi="Arial Narrow"/>
                <w:sz w:val="20"/>
                <w:lang w:val="en-US" w:eastAsia="ja-JP"/>
              </w:rPr>
              <w:t>roup</w:t>
            </w:r>
            <w:proofErr w:type="spellEnd"/>
            <w:r w:rsidRPr="00596C92">
              <w:rPr>
                <w:rFonts w:ascii="Arial Narrow" w:hAnsi="Arial Narrow"/>
                <w:sz w:val="20"/>
                <w:lang w:val="en-US" w:eastAsia="ja-JP"/>
              </w:rPr>
              <w:t xml:space="preserve"> Facilitator, 1 documenter who could be the Facilitator</w:t>
            </w:r>
          </w:p>
          <w:p w:rsidR="002E01E3" w:rsidRPr="005C633E" w:rsidRDefault="002E01E3" w:rsidP="002E01E3">
            <w:pPr>
              <w:pStyle w:val="TableText"/>
              <w:spacing w:before="40"/>
              <w:rPr>
                <w:rFonts w:ascii="Arial Narrow" w:hAnsi="Arial Narrow"/>
                <w:sz w:val="20"/>
                <w:lang w:val="en-US" w:eastAsia="ja-JP"/>
              </w:rPr>
            </w:pPr>
            <w:r w:rsidRPr="005C633E">
              <w:rPr>
                <w:rFonts w:ascii="Arial Narrow" w:hAnsi="Arial Narrow"/>
                <w:sz w:val="20"/>
                <w:lang w:val="en-US" w:eastAsia="ja-JP"/>
              </w:rPr>
              <w:t xml:space="preserve"> </w:t>
            </w:r>
          </w:p>
          <w:p w:rsidR="002E01E3" w:rsidRPr="005C633E" w:rsidRDefault="002E01E3" w:rsidP="002E01E3">
            <w:pPr>
              <w:pStyle w:val="TableText"/>
              <w:spacing w:before="40"/>
              <w:rPr>
                <w:rFonts w:ascii="Arial Narrow" w:hAnsi="Arial Narrow"/>
                <w:sz w:val="20"/>
                <w:lang w:val="en-US" w:eastAsia="ja-JP"/>
              </w:rPr>
            </w:pPr>
            <w:r w:rsidRPr="005C633E">
              <w:rPr>
                <w:rFonts w:ascii="Arial Narrow" w:hAnsi="Arial Narrow"/>
                <w:sz w:val="20"/>
                <w:lang w:val="en-US" w:eastAsia="ja-JP"/>
              </w:rPr>
              <w:t>Duration: 90-120 minutes</w:t>
            </w:r>
          </w:p>
          <w:p w:rsidR="002E01E3" w:rsidRPr="005C633E" w:rsidRDefault="002E01E3" w:rsidP="002E01E3">
            <w:pPr>
              <w:pStyle w:val="TableText"/>
              <w:spacing w:before="40"/>
              <w:rPr>
                <w:rFonts w:ascii="Arial Narrow" w:hAnsi="Arial Narrow"/>
                <w:sz w:val="20"/>
                <w:lang w:val="en-US" w:eastAsia="ja-JP"/>
              </w:rPr>
            </w:pPr>
          </w:p>
          <w:p w:rsidR="002E01E3" w:rsidRPr="005C633E" w:rsidRDefault="002E01E3" w:rsidP="002E01E3">
            <w:pPr>
              <w:pStyle w:val="TableText"/>
              <w:spacing w:before="40"/>
              <w:rPr>
                <w:rFonts w:ascii="Arial Narrow" w:hAnsi="Arial Narrow"/>
                <w:sz w:val="20"/>
                <w:lang w:val="en-US" w:eastAsia="ja-JP"/>
              </w:rPr>
            </w:pPr>
            <w:r w:rsidRPr="005C633E">
              <w:rPr>
                <w:rFonts w:ascii="Arial Narrow" w:hAnsi="Arial Narrow"/>
                <w:sz w:val="20"/>
                <w:lang w:val="en-US" w:eastAsia="ja-JP"/>
              </w:rPr>
              <w:t>Location: GP clinic with sufficient space, residential aged-care facility.</w:t>
            </w:r>
          </w:p>
          <w:p w:rsidR="002E01E3" w:rsidRDefault="002E01E3" w:rsidP="002E01E3">
            <w:pPr>
              <w:pStyle w:val="TableText"/>
              <w:spacing w:before="40"/>
              <w:rPr>
                <w:rFonts w:ascii="Arial Narrow" w:hAnsi="Arial Narrow"/>
                <w:sz w:val="20"/>
                <w:lang w:val="en-AU"/>
              </w:rPr>
            </w:pPr>
          </w:p>
          <w:p w:rsidR="00B015E8" w:rsidRPr="005C633E" w:rsidRDefault="00B015E8" w:rsidP="002E01E3">
            <w:pPr>
              <w:pStyle w:val="TableText"/>
              <w:spacing w:before="40"/>
              <w:rPr>
                <w:rFonts w:ascii="Arial Narrow" w:hAnsi="Arial Narrow"/>
                <w:sz w:val="20"/>
                <w:lang w:val="en-AU"/>
              </w:rPr>
            </w:pPr>
            <w:r>
              <w:rPr>
                <w:rFonts w:ascii="Arial Narrow" w:hAnsi="Arial Narrow"/>
                <w:sz w:val="20"/>
                <w:lang w:val="en-AU"/>
              </w:rPr>
              <w:t>Limited to six appointments per patient per 12 months</w:t>
            </w:r>
          </w:p>
        </w:tc>
        <w:tc>
          <w:tcPr>
            <w:tcW w:w="998" w:type="pct"/>
            <w:vMerge w:val="restart"/>
          </w:tcPr>
          <w:p w:rsidR="002E01E3" w:rsidRPr="005C633E" w:rsidRDefault="002E01E3" w:rsidP="002E01E3">
            <w:pPr>
              <w:keepNext/>
              <w:spacing w:before="40" w:after="0" w:line="240" w:lineRule="auto"/>
              <w:jc w:val="left"/>
              <w:rPr>
                <w:rFonts w:ascii="Arial Narrow" w:hAnsi="Arial Narrow"/>
                <w:sz w:val="20"/>
              </w:rPr>
            </w:pPr>
            <w:r w:rsidRPr="005C633E">
              <w:rPr>
                <w:rFonts w:ascii="Arial Narrow" w:hAnsi="Arial Narrow"/>
                <w:sz w:val="20"/>
              </w:rPr>
              <w:t xml:space="preserve">1. Usual care by GP in primary clinical practice. </w:t>
            </w:r>
          </w:p>
          <w:p w:rsidR="002E01E3" w:rsidRPr="005C633E" w:rsidRDefault="002E01E3" w:rsidP="002E01E3">
            <w:pPr>
              <w:keepNext/>
              <w:spacing w:before="40" w:after="0" w:line="240" w:lineRule="auto"/>
              <w:jc w:val="left"/>
              <w:rPr>
                <w:rFonts w:ascii="Arial Narrow" w:hAnsi="Arial Narrow"/>
                <w:sz w:val="20"/>
              </w:rPr>
            </w:pPr>
          </w:p>
          <w:p w:rsidR="002E01E3" w:rsidRPr="005C633E" w:rsidRDefault="002E01E3" w:rsidP="002E01E3">
            <w:pPr>
              <w:keepNext/>
              <w:spacing w:before="40" w:after="0" w:line="240" w:lineRule="auto"/>
              <w:jc w:val="left"/>
              <w:rPr>
                <w:rFonts w:ascii="Arial Narrow" w:hAnsi="Arial Narrow"/>
                <w:sz w:val="20"/>
              </w:rPr>
            </w:pPr>
            <w:r w:rsidRPr="005C633E">
              <w:rPr>
                <w:rFonts w:ascii="Arial Narrow" w:hAnsi="Arial Narrow"/>
                <w:sz w:val="20"/>
              </w:rPr>
              <w:t>2. Group allied health services</w:t>
            </w:r>
          </w:p>
        </w:tc>
        <w:tc>
          <w:tcPr>
            <w:tcW w:w="1720" w:type="pct"/>
            <w:vMerge w:val="restart"/>
          </w:tcPr>
          <w:p w:rsidR="002E01E3" w:rsidRPr="005C633E" w:rsidRDefault="002E01E3" w:rsidP="002E01E3">
            <w:pPr>
              <w:pStyle w:val="TableText0"/>
              <w:spacing w:after="0" w:line="240" w:lineRule="auto"/>
              <w:rPr>
                <w:b/>
                <w:sz w:val="20"/>
                <w:u w:val="single"/>
              </w:rPr>
            </w:pPr>
            <w:r w:rsidRPr="005C633E">
              <w:rPr>
                <w:b/>
                <w:sz w:val="20"/>
                <w:u w:val="single"/>
              </w:rPr>
              <w:t>Effectiveness</w:t>
            </w:r>
          </w:p>
          <w:p w:rsidR="002E01E3" w:rsidRPr="005C633E" w:rsidRDefault="002E01E3" w:rsidP="002E01E3">
            <w:pPr>
              <w:pStyle w:val="TableText0"/>
              <w:spacing w:after="0" w:line="240" w:lineRule="auto"/>
              <w:rPr>
                <w:sz w:val="20"/>
              </w:rPr>
            </w:pPr>
            <w:r w:rsidRPr="005C633E">
              <w:rPr>
                <w:sz w:val="20"/>
                <w:u w:val="single"/>
              </w:rPr>
              <w:t>Surrogate outcomes:</w:t>
            </w:r>
            <w:r w:rsidRPr="005C633E">
              <w:rPr>
                <w:sz w:val="20"/>
              </w:rPr>
              <w:t xml:space="preserve"> </w:t>
            </w:r>
          </w:p>
          <w:p w:rsidR="002E01E3" w:rsidRPr="00596C92" w:rsidRDefault="002E01E3" w:rsidP="002E01E3">
            <w:pPr>
              <w:pStyle w:val="TableText0"/>
              <w:numPr>
                <w:ilvl w:val="0"/>
                <w:numId w:val="18"/>
              </w:numPr>
              <w:spacing w:after="0" w:line="240" w:lineRule="auto"/>
              <w:rPr>
                <w:sz w:val="20"/>
              </w:rPr>
            </w:pPr>
            <w:r w:rsidRPr="00596C92">
              <w:rPr>
                <w:sz w:val="20"/>
              </w:rPr>
              <w:t>Reduction in HbA</w:t>
            </w:r>
            <w:r w:rsidRPr="00596C92">
              <w:rPr>
                <w:sz w:val="20"/>
                <w:vertAlign w:val="subscript"/>
              </w:rPr>
              <w:t>1c</w:t>
            </w:r>
            <w:r w:rsidRPr="00596C92">
              <w:rPr>
                <w:sz w:val="20"/>
              </w:rPr>
              <w:t xml:space="preserve"> </w:t>
            </w:r>
          </w:p>
          <w:p w:rsidR="002E01E3" w:rsidRPr="005C633E" w:rsidRDefault="002E01E3" w:rsidP="002E01E3">
            <w:pPr>
              <w:pStyle w:val="TableText0"/>
              <w:numPr>
                <w:ilvl w:val="0"/>
                <w:numId w:val="18"/>
              </w:numPr>
              <w:spacing w:after="0" w:line="240" w:lineRule="auto"/>
              <w:rPr>
                <w:sz w:val="20"/>
              </w:rPr>
            </w:pPr>
            <w:r w:rsidRPr="005C633E">
              <w:rPr>
                <w:sz w:val="20"/>
              </w:rPr>
              <w:t>Weight loss in overweight or obese patients towards a BMI&lt;25</w:t>
            </w:r>
          </w:p>
          <w:p w:rsidR="002E01E3" w:rsidRPr="005C633E" w:rsidRDefault="002E01E3" w:rsidP="002E01E3">
            <w:pPr>
              <w:pStyle w:val="TableText0"/>
              <w:numPr>
                <w:ilvl w:val="0"/>
                <w:numId w:val="18"/>
              </w:numPr>
              <w:spacing w:before="0" w:after="0" w:line="240" w:lineRule="auto"/>
              <w:rPr>
                <w:sz w:val="20"/>
              </w:rPr>
            </w:pPr>
            <w:r w:rsidRPr="005C633E">
              <w:rPr>
                <w:sz w:val="20"/>
              </w:rPr>
              <w:t xml:space="preserve">Reduction of blood pressure in patients with hypertension towards &lt;130/80 </w:t>
            </w:r>
          </w:p>
          <w:p w:rsidR="002E01E3" w:rsidRPr="005C633E" w:rsidRDefault="002E01E3" w:rsidP="002E01E3">
            <w:pPr>
              <w:pStyle w:val="TableText0"/>
              <w:numPr>
                <w:ilvl w:val="0"/>
                <w:numId w:val="18"/>
              </w:numPr>
              <w:spacing w:before="0" w:after="0" w:line="240" w:lineRule="auto"/>
              <w:rPr>
                <w:sz w:val="20"/>
              </w:rPr>
            </w:pPr>
            <w:r w:rsidRPr="005C633E">
              <w:rPr>
                <w:sz w:val="20"/>
              </w:rPr>
              <w:t xml:space="preserve">LDL cholesterol reduction towards &lt; 2.0 </w:t>
            </w:r>
            <w:proofErr w:type="spellStart"/>
            <w:r w:rsidRPr="005C633E">
              <w:rPr>
                <w:sz w:val="20"/>
              </w:rPr>
              <w:t>mmol</w:t>
            </w:r>
            <w:proofErr w:type="spellEnd"/>
            <w:r w:rsidRPr="005C633E">
              <w:rPr>
                <w:sz w:val="20"/>
              </w:rPr>
              <w:t>/L</w:t>
            </w:r>
          </w:p>
          <w:p w:rsidR="002E01E3" w:rsidRPr="005C633E" w:rsidRDefault="002E01E3" w:rsidP="002E01E3">
            <w:pPr>
              <w:pStyle w:val="TableText0"/>
              <w:numPr>
                <w:ilvl w:val="0"/>
                <w:numId w:val="18"/>
              </w:numPr>
              <w:spacing w:before="0" w:after="0" w:line="240" w:lineRule="auto"/>
              <w:rPr>
                <w:sz w:val="20"/>
              </w:rPr>
            </w:pPr>
            <w:proofErr w:type="spellStart"/>
            <w:r w:rsidRPr="005C633E">
              <w:rPr>
                <w:sz w:val="20"/>
              </w:rPr>
              <w:t>Tg</w:t>
            </w:r>
            <w:proofErr w:type="spellEnd"/>
            <w:r w:rsidRPr="005C633E">
              <w:rPr>
                <w:sz w:val="20"/>
              </w:rPr>
              <w:t xml:space="preserve"> reduction towards &lt;2.0 </w:t>
            </w:r>
            <w:proofErr w:type="spellStart"/>
            <w:r w:rsidRPr="005C633E">
              <w:rPr>
                <w:sz w:val="20"/>
              </w:rPr>
              <w:t>mmol</w:t>
            </w:r>
            <w:proofErr w:type="spellEnd"/>
            <w:r w:rsidRPr="005C633E">
              <w:rPr>
                <w:sz w:val="20"/>
              </w:rPr>
              <w:t>/L</w:t>
            </w:r>
          </w:p>
          <w:p w:rsidR="002E01E3" w:rsidRPr="005C633E" w:rsidRDefault="002E01E3" w:rsidP="002E01E3">
            <w:pPr>
              <w:pStyle w:val="TableText0"/>
              <w:spacing w:after="0" w:line="240" w:lineRule="auto"/>
              <w:rPr>
                <w:i/>
                <w:sz w:val="20"/>
                <w:u w:val="single"/>
              </w:rPr>
            </w:pPr>
            <w:r w:rsidRPr="005C633E">
              <w:rPr>
                <w:i/>
                <w:sz w:val="20"/>
                <w:u w:val="single"/>
              </w:rPr>
              <w:t>Patient-relevant outcomes</w:t>
            </w:r>
          </w:p>
          <w:p w:rsidR="002E01E3" w:rsidRPr="005C633E" w:rsidRDefault="002E01E3" w:rsidP="002E01E3">
            <w:pPr>
              <w:keepNext/>
              <w:numPr>
                <w:ilvl w:val="0"/>
                <w:numId w:val="18"/>
              </w:numPr>
              <w:spacing w:before="40" w:after="0" w:line="240" w:lineRule="auto"/>
              <w:jc w:val="left"/>
              <w:rPr>
                <w:rFonts w:ascii="Arial Narrow" w:hAnsi="Arial Narrow" w:cs="Times New Roman"/>
                <w:sz w:val="20"/>
                <w:lang w:eastAsia="en-US"/>
              </w:rPr>
            </w:pPr>
            <w:r w:rsidRPr="005C633E">
              <w:rPr>
                <w:rFonts w:ascii="Arial Narrow" w:hAnsi="Arial Narrow"/>
                <w:sz w:val="20"/>
                <w:lang w:eastAsia="ja-JP"/>
              </w:rPr>
              <w:t xml:space="preserve">Hyper-/hypoglycaemic events </w:t>
            </w:r>
          </w:p>
          <w:p w:rsidR="002E01E3" w:rsidRPr="005C633E" w:rsidRDefault="002E01E3" w:rsidP="002E01E3">
            <w:pPr>
              <w:keepNext/>
              <w:numPr>
                <w:ilvl w:val="0"/>
                <w:numId w:val="18"/>
              </w:numPr>
              <w:spacing w:before="40" w:after="0" w:line="240" w:lineRule="auto"/>
              <w:jc w:val="left"/>
              <w:rPr>
                <w:rFonts w:ascii="Arial Narrow" w:hAnsi="Arial Narrow" w:cs="Times New Roman"/>
                <w:sz w:val="20"/>
                <w:lang w:eastAsia="en-US"/>
              </w:rPr>
            </w:pPr>
            <w:r w:rsidRPr="005C633E">
              <w:rPr>
                <w:rFonts w:ascii="Arial Narrow" w:hAnsi="Arial Narrow" w:cs="Times New Roman"/>
                <w:sz w:val="20"/>
                <w:lang w:eastAsia="en-US"/>
              </w:rPr>
              <w:t>Mortality</w:t>
            </w:r>
          </w:p>
          <w:p w:rsidR="002E01E3" w:rsidRPr="005C633E" w:rsidRDefault="002E01E3" w:rsidP="002E01E3">
            <w:pPr>
              <w:keepNext/>
              <w:numPr>
                <w:ilvl w:val="0"/>
                <w:numId w:val="18"/>
              </w:numPr>
              <w:spacing w:before="40" w:after="0" w:line="240" w:lineRule="auto"/>
              <w:jc w:val="left"/>
              <w:rPr>
                <w:rFonts w:ascii="Arial Narrow" w:hAnsi="Arial Narrow" w:cs="Times New Roman"/>
                <w:sz w:val="20"/>
                <w:lang w:eastAsia="en-US"/>
              </w:rPr>
            </w:pPr>
            <w:r w:rsidRPr="005C633E">
              <w:rPr>
                <w:rFonts w:ascii="Arial Narrow" w:hAnsi="Arial Narrow" w:cs="Times New Roman"/>
                <w:sz w:val="20"/>
                <w:lang w:eastAsia="en-US"/>
              </w:rPr>
              <w:t>Hospitalisations</w:t>
            </w:r>
          </w:p>
          <w:p w:rsidR="002E01E3" w:rsidRPr="005C633E" w:rsidRDefault="002E01E3" w:rsidP="002E01E3">
            <w:pPr>
              <w:keepNext/>
              <w:numPr>
                <w:ilvl w:val="0"/>
                <w:numId w:val="18"/>
              </w:numPr>
              <w:spacing w:before="40" w:after="0" w:line="240" w:lineRule="auto"/>
              <w:jc w:val="left"/>
              <w:rPr>
                <w:rFonts w:ascii="Arial Narrow" w:hAnsi="Arial Narrow" w:cs="Times New Roman"/>
                <w:sz w:val="20"/>
                <w:lang w:eastAsia="en-US"/>
              </w:rPr>
            </w:pPr>
            <w:r w:rsidRPr="005C633E">
              <w:rPr>
                <w:rFonts w:ascii="Arial Narrow" w:hAnsi="Arial Narrow" w:cs="Times New Roman"/>
                <w:sz w:val="20"/>
                <w:lang w:eastAsia="en-US"/>
              </w:rPr>
              <w:t>Health-related quality of life</w:t>
            </w:r>
          </w:p>
          <w:p w:rsidR="002E01E3" w:rsidRPr="005C633E" w:rsidRDefault="002E01E3" w:rsidP="002E01E3">
            <w:pPr>
              <w:numPr>
                <w:ilvl w:val="0"/>
                <w:numId w:val="18"/>
              </w:numPr>
              <w:spacing w:after="0" w:line="240" w:lineRule="auto"/>
              <w:jc w:val="left"/>
              <w:rPr>
                <w:sz w:val="20"/>
                <w:lang w:val="en-GB" w:eastAsia="ja-JP"/>
              </w:rPr>
            </w:pPr>
            <w:r w:rsidRPr="005C633E">
              <w:rPr>
                <w:rFonts w:ascii="Arial Narrow" w:hAnsi="Arial Narrow" w:cs="Times New Roman"/>
                <w:sz w:val="20"/>
                <w:lang w:eastAsia="en-US"/>
              </w:rPr>
              <w:t>Amputation rates</w:t>
            </w:r>
            <w:r w:rsidRPr="005C633E">
              <w:rPr>
                <w:sz w:val="20"/>
                <w:lang w:val="en-GB" w:eastAsia="ja-JP"/>
              </w:rPr>
              <w:t xml:space="preserve"> </w:t>
            </w:r>
          </w:p>
          <w:p w:rsidR="002E01E3" w:rsidRPr="005C633E" w:rsidRDefault="002E01E3" w:rsidP="002E01E3">
            <w:pPr>
              <w:numPr>
                <w:ilvl w:val="0"/>
                <w:numId w:val="18"/>
              </w:numPr>
              <w:spacing w:after="0" w:line="240" w:lineRule="auto"/>
              <w:jc w:val="left"/>
              <w:rPr>
                <w:rFonts w:ascii="Arial Narrow" w:hAnsi="Arial Narrow"/>
                <w:sz w:val="20"/>
                <w:lang w:val="en-GB" w:eastAsia="ja-JP"/>
              </w:rPr>
            </w:pPr>
            <w:r w:rsidRPr="005C633E">
              <w:rPr>
                <w:rFonts w:ascii="Arial Narrow" w:hAnsi="Arial Narrow"/>
                <w:sz w:val="20"/>
                <w:lang w:val="en-GB" w:eastAsia="ja-JP"/>
              </w:rPr>
              <w:t>Major cardiovascular events</w:t>
            </w:r>
          </w:p>
          <w:p w:rsidR="002E01E3" w:rsidRPr="005C633E" w:rsidRDefault="002E01E3" w:rsidP="002E01E3">
            <w:pPr>
              <w:numPr>
                <w:ilvl w:val="0"/>
                <w:numId w:val="18"/>
              </w:numPr>
              <w:spacing w:after="0" w:line="240" w:lineRule="auto"/>
              <w:jc w:val="left"/>
              <w:rPr>
                <w:rFonts w:ascii="Arial Narrow" w:hAnsi="Arial Narrow"/>
                <w:sz w:val="20"/>
                <w:lang w:val="en-GB" w:eastAsia="ja-JP"/>
              </w:rPr>
            </w:pPr>
            <w:r w:rsidRPr="005C633E">
              <w:rPr>
                <w:rFonts w:ascii="Arial Narrow" w:hAnsi="Arial Narrow"/>
                <w:sz w:val="20"/>
                <w:lang w:val="en-GB" w:eastAsia="ja-JP"/>
              </w:rPr>
              <w:t>Microvascular events (e.g. retinopathy, neuropathy, nephropathy)</w:t>
            </w:r>
          </w:p>
          <w:p w:rsidR="002E01E3" w:rsidRPr="005C633E" w:rsidRDefault="002E01E3" w:rsidP="002E01E3">
            <w:pPr>
              <w:keepNext/>
              <w:numPr>
                <w:ilvl w:val="0"/>
                <w:numId w:val="18"/>
              </w:numPr>
              <w:spacing w:before="40" w:after="0" w:line="240" w:lineRule="auto"/>
              <w:jc w:val="left"/>
              <w:rPr>
                <w:rFonts w:ascii="Arial Narrow" w:hAnsi="Arial Narrow" w:cs="Times New Roman"/>
                <w:sz w:val="20"/>
                <w:lang w:eastAsia="en-US"/>
              </w:rPr>
            </w:pPr>
            <w:r w:rsidRPr="005C633E">
              <w:rPr>
                <w:rFonts w:ascii="Arial Narrow" w:hAnsi="Arial Narrow" w:cs="Times New Roman"/>
                <w:sz w:val="20"/>
                <w:lang w:eastAsia="en-US"/>
              </w:rPr>
              <w:t>Emergency department visits</w:t>
            </w:r>
          </w:p>
          <w:p w:rsidR="002E01E3" w:rsidRPr="005C633E" w:rsidRDefault="002E01E3" w:rsidP="002E01E3">
            <w:pPr>
              <w:keepNext/>
              <w:numPr>
                <w:ilvl w:val="0"/>
                <w:numId w:val="18"/>
              </w:numPr>
              <w:spacing w:before="40" w:after="0" w:line="240" w:lineRule="auto"/>
              <w:jc w:val="left"/>
              <w:rPr>
                <w:rFonts w:ascii="Arial Narrow" w:hAnsi="Arial Narrow" w:cs="Times New Roman"/>
                <w:sz w:val="20"/>
                <w:lang w:eastAsia="en-US"/>
              </w:rPr>
            </w:pPr>
            <w:r w:rsidRPr="005C633E">
              <w:rPr>
                <w:rFonts w:ascii="Arial Narrow" w:hAnsi="Arial Narrow" w:cs="Times New Roman"/>
                <w:sz w:val="20"/>
                <w:lang w:eastAsia="en-US"/>
              </w:rPr>
              <w:t>Medication use</w:t>
            </w:r>
          </w:p>
          <w:p w:rsidR="002E01E3" w:rsidRPr="005C633E" w:rsidRDefault="002E01E3" w:rsidP="002E01E3">
            <w:pPr>
              <w:keepNext/>
              <w:spacing w:before="40" w:after="0" w:line="240" w:lineRule="auto"/>
              <w:jc w:val="left"/>
              <w:rPr>
                <w:rFonts w:ascii="Arial Narrow" w:hAnsi="Arial Narrow"/>
                <w:sz w:val="20"/>
              </w:rPr>
            </w:pPr>
            <w:r w:rsidRPr="005C633E">
              <w:rPr>
                <w:rFonts w:ascii="Arial Narrow" w:hAnsi="Arial Narrow"/>
                <w:b/>
                <w:sz w:val="20"/>
                <w:u w:val="single"/>
              </w:rPr>
              <w:t>Cost-effectiveness</w:t>
            </w:r>
          </w:p>
          <w:p w:rsidR="002E01E3" w:rsidRPr="005C633E" w:rsidRDefault="002E01E3" w:rsidP="002E01E3">
            <w:pPr>
              <w:keepNext/>
              <w:spacing w:before="40" w:after="0" w:line="240" w:lineRule="auto"/>
              <w:jc w:val="left"/>
              <w:rPr>
                <w:rFonts w:ascii="Arial Narrow" w:hAnsi="Arial Narrow" w:cs="Times New Roman"/>
                <w:sz w:val="20"/>
                <w:lang w:val="en-GB" w:eastAsia="en-US"/>
              </w:rPr>
            </w:pPr>
            <w:r w:rsidRPr="005C633E">
              <w:rPr>
                <w:rFonts w:ascii="Arial Narrow" w:hAnsi="Arial Narrow" w:cs="Times New Roman"/>
                <w:sz w:val="20"/>
                <w:lang w:val="en-GB" w:eastAsia="en-US"/>
              </w:rPr>
              <w:t>Cost per QALY gain</w:t>
            </w:r>
          </w:p>
          <w:p w:rsidR="002E01E3" w:rsidRPr="005C633E" w:rsidRDefault="002E01E3" w:rsidP="002E01E3">
            <w:pPr>
              <w:keepNext/>
              <w:spacing w:before="40" w:after="0" w:line="240" w:lineRule="auto"/>
              <w:jc w:val="left"/>
              <w:rPr>
                <w:rFonts w:ascii="Arial Narrow" w:hAnsi="Arial Narrow" w:cs="Times New Roman"/>
                <w:sz w:val="20"/>
                <w:lang w:val="en-GB" w:eastAsia="en-US"/>
              </w:rPr>
            </w:pPr>
            <w:r w:rsidRPr="005C633E">
              <w:rPr>
                <w:rFonts w:ascii="Arial Narrow" w:hAnsi="Arial Narrow" w:cs="Times New Roman"/>
                <w:sz w:val="20"/>
                <w:lang w:val="en-GB" w:eastAsia="en-US"/>
              </w:rPr>
              <w:t>Cost per life year saved</w:t>
            </w:r>
          </w:p>
        </w:tc>
      </w:tr>
      <w:tr w:rsidR="002E01E3" w:rsidRPr="005C633E">
        <w:trPr>
          <w:trHeight w:val="4624"/>
          <w:tblHeader/>
        </w:trPr>
        <w:tc>
          <w:tcPr>
            <w:tcW w:w="1172" w:type="pct"/>
            <w:tcBorders>
              <w:top w:val="nil"/>
            </w:tcBorders>
          </w:tcPr>
          <w:p w:rsidR="002E01E3" w:rsidRPr="005C633E" w:rsidRDefault="002E01E3" w:rsidP="002E01E3">
            <w:pPr>
              <w:keepNext/>
              <w:spacing w:before="40" w:after="0" w:line="240" w:lineRule="auto"/>
              <w:jc w:val="left"/>
              <w:rPr>
                <w:rFonts w:ascii="Arial Narrow" w:hAnsi="Arial Narrow"/>
                <w:sz w:val="20"/>
              </w:rPr>
            </w:pPr>
          </w:p>
          <w:p w:rsidR="002E01E3" w:rsidRPr="005C633E" w:rsidRDefault="002E01E3" w:rsidP="002E01E3">
            <w:pPr>
              <w:keepNext/>
              <w:spacing w:before="40" w:after="0" w:line="240" w:lineRule="auto"/>
              <w:jc w:val="left"/>
              <w:rPr>
                <w:rFonts w:ascii="Arial Narrow" w:hAnsi="Arial Narrow"/>
                <w:sz w:val="20"/>
              </w:rPr>
            </w:pPr>
          </w:p>
        </w:tc>
        <w:tc>
          <w:tcPr>
            <w:tcW w:w="1110" w:type="pct"/>
            <w:vMerge/>
          </w:tcPr>
          <w:p w:rsidR="002E01E3" w:rsidRPr="005C633E" w:rsidRDefault="002E01E3" w:rsidP="002E01E3">
            <w:pPr>
              <w:pStyle w:val="TableText"/>
              <w:spacing w:before="40"/>
              <w:rPr>
                <w:rFonts w:ascii="Arial Narrow" w:hAnsi="Arial Narrow"/>
                <w:sz w:val="20"/>
                <w:lang w:val="en-AU"/>
              </w:rPr>
            </w:pPr>
          </w:p>
        </w:tc>
        <w:tc>
          <w:tcPr>
            <w:tcW w:w="998" w:type="pct"/>
            <w:vMerge/>
          </w:tcPr>
          <w:p w:rsidR="002E01E3" w:rsidRPr="005C633E" w:rsidRDefault="002E01E3" w:rsidP="002E01E3">
            <w:pPr>
              <w:keepNext/>
              <w:spacing w:before="40" w:after="0" w:line="240" w:lineRule="auto"/>
              <w:jc w:val="left"/>
              <w:rPr>
                <w:rFonts w:ascii="Arial Narrow" w:hAnsi="Arial Narrow"/>
                <w:sz w:val="20"/>
              </w:rPr>
            </w:pPr>
          </w:p>
        </w:tc>
        <w:tc>
          <w:tcPr>
            <w:tcW w:w="1720" w:type="pct"/>
            <w:vMerge/>
          </w:tcPr>
          <w:p w:rsidR="002E01E3" w:rsidRPr="005C633E" w:rsidRDefault="002E01E3" w:rsidP="002E01E3">
            <w:pPr>
              <w:keepNext/>
              <w:spacing w:before="40" w:after="0" w:line="240" w:lineRule="auto"/>
              <w:jc w:val="left"/>
              <w:rPr>
                <w:rFonts w:ascii="Arial Narrow" w:hAnsi="Arial Narrow"/>
                <w:b/>
                <w:sz w:val="20"/>
                <w:u w:val="single"/>
              </w:rPr>
            </w:pPr>
          </w:p>
        </w:tc>
      </w:tr>
      <w:tr w:rsidR="002E01E3" w:rsidRPr="005C633E" w:rsidTr="00F12F1C">
        <w:trPr>
          <w:trHeight w:val="991"/>
          <w:tblHeader/>
        </w:trPr>
        <w:tc>
          <w:tcPr>
            <w:tcW w:w="5000" w:type="pct"/>
            <w:gridSpan w:val="4"/>
          </w:tcPr>
          <w:p w:rsidR="002E01E3" w:rsidRPr="005C633E" w:rsidRDefault="002E01E3" w:rsidP="002E01E3">
            <w:pPr>
              <w:keepNext/>
              <w:spacing w:before="40" w:after="0" w:line="240" w:lineRule="auto"/>
              <w:jc w:val="left"/>
              <w:rPr>
                <w:rFonts w:ascii="Arial Narrow" w:hAnsi="Arial Narrow"/>
                <w:b/>
                <w:sz w:val="20"/>
                <w:u w:val="single"/>
              </w:rPr>
            </w:pPr>
            <w:r w:rsidRPr="005C633E">
              <w:rPr>
                <w:rFonts w:ascii="Arial Narrow" w:hAnsi="Arial Narrow"/>
                <w:b/>
                <w:sz w:val="20"/>
                <w:u w:val="single"/>
              </w:rPr>
              <w:t>Questions</w:t>
            </w:r>
          </w:p>
          <w:p w:rsidR="002E01E3" w:rsidRPr="00596C92" w:rsidRDefault="002E01E3" w:rsidP="002E01E3">
            <w:pPr>
              <w:keepNext/>
              <w:numPr>
                <w:ilvl w:val="0"/>
                <w:numId w:val="17"/>
              </w:numPr>
              <w:spacing w:before="40" w:after="0" w:line="240" w:lineRule="auto"/>
              <w:jc w:val="left"/>
              <w:rPr>
                <w:rFonts w:ascii="Arial Narrow" w:hAnsi="Arial Narrow"/>
                <w:sz w:val="20"/>
              </w:rPr>
            </w:pPr>
            <w:r w:rsidRPr="00596C92">
              <w:rPr>
                <w:rFonts w:ascii="Arial Narrow" w:hAnsi="Arial Narrow"/>
                <w:sz w:val="20"/>
              </w:rPr>
              <w:t>In patients with T2DM, how effective are shared medical appointments relative to GP usual care</w:t>
            </w:r>
            <w:r w:rsidR="00C92037">
              <w:rPr>
                <w:rFonts w:ascii="Arial Narrow" w:hAnsi="Arial Narrow"/>
                <w:sz w:val="20"/>
              </w:rPr>
              <w:t xml:space="preserve"> or </w:t>
            </w:r>
            <w:r w:rsidR="00B015E8">
              <w:rPr>
                <w:rFonts w:ascii="Arial Narrow" w:hAnsi="Arial Narrow"/>
                <w:sz w:val="20"/>
              </w:rPr>
              <w:t>group services</w:t>
            </w:r>
            <w:r w:rsidRPr="00596C92">
              <w:rPr>
                <w:rFonts w:ascii="Arial Narrow" w:hAnsi="Arial Narrow"/>
                <w:sz w:val="20"/>
              </w:rPr>
              <w:t>?</w:t>
            </w:r>
          </w:p>
          <w:p w:rsidR="002E01E3" w:rsidRPr="00596C92" w:rsidRDefault="002E01E3" w:rsidP="002E01E3">
            <w:pPr>
              <w:keepNext/>
              <w:numPr>
                <w:ilvl w:val="0"/>
                <w:numId w:val="17"/>
              </w:numPr>
              <w:spacing w:before="40" w:after="0" w:line="240" w:lineRule="auto"/>
              <w:jc w:val="left"/>
              <w:rPr>
                <w:rFonts w:ascii="Arial Narrow" w:hAnsi="Arial Narrow"/>
                <w:sz w:val="20"/>
                <w:u w:val="single"/>
              </w:rPr>
            </w:pPr>
            <w:r w:rsidRPr="00596C92">
              <w:rPr>
                <w:rFonts w:ascii="Arial Narrow" w:hAnsi="Arial Narrow"/>
                <w:sz w:val="20"/>
              </w:rPr>
              <w:t>In patients with T2DM, how cost-effective are shared medical appointments relative to GP usual care</w:t>
            </w:r>
            <w:r w:rsidR="00C92037">
              <w:rPr>
                <w:rFonts w:ascii="Arial Narrow" w:hAnsi="Arial Narrow"/>
                <w:sz w:val="20"/>
              </w:rPr>
              <w:t xml:space="preserve"> or </w:t>
            </w:r>
            <w:r w:rsidR="00B015E8">
              <w:rPr>
                <w:rFonts w:ascii="Arial Narrow" w:hAnsi="Arial Narrow"/>
                <w:sz w:val="20"/>
              </w:rPr>
              <w:t>group services</w:t>
            </w:r>
            <w:r w:rsidRPr="00596C92">
              <w:rPr>
                <w:rFonts w:ascii="Arial Narrow" w:hAnsi="Arial Narrow"/>
                <w:sz w:val="20"/>
              </w:rPr>
              <w:t>?</w:t>
            </w:r>
          </w:p>
          <w:p w:rsidR="002E01E3" w:rsidRPr="00F7662C" w:rsidRDefault="002E01E3" w:rsidP="00F12F1C">
            <w:pPr>
              <w:keepNext/>
              <w:spacing w:before="40" w:after="0" w:line="240" w:lineRule="auto"/>
              <w:jc w:val="left"/>
              <w:rPr>
                <w:rFonts w:ascii="Arial Narrow" w:hAnsi="Arial Narrow"/>
                <w:sz w:val="20"/>
                <w:u w:val="single"/>
              </w:rPr>
            </w:pPr>
          </w:p>
        </w:tc>
      </w:tr>
    </w:tbl>
    <w:p w:rsidR="002E01E3" w:rsidRDefault="002E01E3" w:rsidP="002E01E3">
      <w:pPr>
        <w:pStyle w:val="TableFooter"/>
      </w:pPr>
      <w:r w:rsidRPr="00135F7F">
        <w:t>BP</w:t>
      </w:r>
      <w:r>
        <w:t xml:space="preserve"> = </w:t>
      </w:r>
      <w:r w:rsidRPr="00135F7F">
        <w:t>Blood Pressure, HbA</w:t>
      </w:r>
      <w:r w:rsidRPr="00BE4517">
        <w:rPr>
          <w:vertAlign w:val="subscript"/>
        </w:rPr>
        <w:t>1c</w:t>
      </w:r>
      <w:r>
        <w:rPr>
          <w:vertAlign w:val="subscript"/>
        </w:rPr>
        <w:t xml:space="preserve"> </w:t>
      </w:r>
      <w:r>
        <w:t xml:space="preserve">= </w:t>
      </w:r>
      <w:proofErr w:type="spellStart"/>
      <w:r>
        <w:t>Glycated</w:t>
      </w:r>
      <w:proofErr w:type="spellEnd"/>
      <w:r>
        <w:t xml:space="preserve"> haemoglobin </w:t>
      </w:r>
      <w:proofErr w:type="spellStart"/>
      <w:proofErr w:type="gramStart"/>
      <w:r w:rsidRPr="00135F7F">
        <w:t>Tg</w:t>
      </w:r>
      <w:proofErr w:type="spellEnd"/>
      <w:proofErr w:type="gramEnd"/>
      <w:r>
        <w:t xml:space="preserve"> = </w:t>
      </w:r>
      <w:r w:rsidRPr="00135F7F">
        <w:t>triglycerides,</w:t>
      </w:r>
      <w:r>
        <w:t xml:space="preserve"> HDL-C = High-density lipoprotein, LDL =</w:t>
      </w:r>
      <w:r w:rsidRPr="00135F7F">
        <w:t xml:space="preserve"> Low-density lipoprotein,</w:t>
      </w:r>
      <w:r>
        <w:t xml:space="preserve"> FG =Fasting glucose,</w:t>
      </w:r>
      <w:r w:rsidRPr="00135F7F">
        <w:t xml:space="preserve"> </w:t>
      </w:r>
      <w:r>
        <w:t>QALY =quality-adjusted life years</w:t>
      </w:r>
    </w:p>
    <w:p w:rsidR="00B015E8" w:rsidRPr="00135F7F" w:rsidRDefault="00B015E8" w:rsidP="002E01E3">
      <w:pPr>
        <w:pStyle w:val="TableFooter"/>
      </w:pPr>
    </w:p>
    <w:p w:rsidR="002E01E3" w:rsidRDefault="002E01E3" w:rsidP="002E01E3">
      <w:pPr>
        <w:pStyle w:val="Heading1"/>
      </w:pPr>
      <w:bookmarkStart w:id="67" w:name="_Toc410649152"/>
      <w:bookmarkStart w:id="68" w:name="_Toc420499078"/>
      <w:r>
        <w:t>Clinical Claim</w:t>
      </w:r>
      <w:bookmarkEnd w:id="67"/>
      <w:bookmarkEnd w:id="68"/>
    </w:p>
    <w:p w:rsidR="002E01E3" w:rsidRDefault="002E01E3" w:rsidP="002E01E3">
      <w:pPr>
        <w:rPr>
          <w:szCs w:val="22"/>
        </w:rPr>
      </w:pPr>
      <w:r>
        <w:rPr>
          <w:szCs w:val="22"/>
        </w:rPr>
        <w:t xml:space="preserve">The clinical claims made in the application with respect to the comparative effectiveness and safety </w:t>
      </w:r>
      <w:r w:rsidR="006F02D7">
        <w:rPr>
          <w:szCs w:val="22"/>
        </w:rPr>
        <w:t>is that for persons with T2DM:</w:t>
      </w:r>
    </w:p>
    <w:p w:rsidR="002E01E3" w:rsidRDefault="002E01E3" w:rsidP="002E01E3">
      <w:pPr>
        <w:numPr>
          <w:ilvl w:val="0"/>
          <w:numId w:val="12"/>
        </w:numPr>
        <w:rPr>
          <w:szCs w:val="22"/>
        </w:rPr>
      </w:pPr>
      <w:r>
        <w:rPr>
          <w:szCs w:val="22"/>
        </w:rPr>
        <w:t xml:space="preserve">Shared medical appointments are </w:t>
      </w:r>
      <w:r w:rsidRPr="00CF715C">
        <w:rPr>
          <w:szCs w:val="22"/>
          <w:u w:val="single"/>
        </w:rPr>
        <w:t>superior</w:t>
      </w:r>
      <w:r>
        <w:rPr>
          <w:szCs w:val="22"/>
        </w:rPr>
        <w:t xml:space="preserve"> in terms of comparative efficacy with usual care by GP consult or group allied health sessions;</w:t>
      </w:r>
    </w:p>
    <w:p w:rsidR="002E01E3" w:rsidRDefault="002E01E3" w:rsidP="002E01E3">
      <w:pPr>
        <w:numPr>
          <w:ilvl w:val="0"/>
          <w:numId w:val="12"/>
        </w:numPr>
        <w:rPr>
          <w:szCs w:val="22"/>
        </w:rPr>
      </w:pPr>
      <w:r>
        <w:rPr>
          <w:szCs w:val="22"/>
        </w:rPr>
        <w:t xml:space="preserve">Shared medical appointments are </w:t>
      </w:r>
      <w:r w:rsidRPr="00CF715C">
        <w:rPr>
          <w:szCs w:val="22"/>
          <w:u w:val="single"/>
        </w:rPr>
        <w:t>non-inferior</w:t>
      </w:r>
      <w:r>
        <w:rPr>
          <w:szCs w:val="22"/>
        </w:rPr>
        <w:t xml:space="preserve"> in terms of comparative safety with usual care by GP consult or group allied health sessions.</w:t>
      </w:r>
    </w:p>
    <w:p w:rsidR="002E01E3" w:rsidRDefault="002E01E3" w:rsidP="002E01E3">
      <w:pPr>
        <w:rPr>
          <w:szCs w:val="22"/>
        </w:rPr>
      </w:pPr>
      <w:r>
        <w:rPr>
          <w:szCs w:val="22"/>
        </w:rPr>
        <w:lastRenderedPageBreak/>
        <w:t>On the basis of the clinical claims, the type of economic evaluation expected to be provided in the application will be a cost-utility or cost-effectiveness analysis.</w:t>
      </w:r>
    </w:p>
    <w:p w:rsidR="002E01E3" w:rsidRDefault="002E01E3" w:rsidP="002E01E3">
      <w:pPr>
        <w:pStyle w:val="Caption"/>
      </w:pPr>
      <w:bookmarkStart w:id="69" w:name="_Ref283288109"/>
      <w:r>
        <w:t xml:space="preserve">Table </w:t>
      </w:r>
      <w:bookmarkEnd w:id="69"/>
      <w:r w:rsidR="006F02D7">
        <w:t>9</w:t>
      </w:r>
      <w:r>
        <w:t>:</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64"/>
        <w:gridCol w:w="1078"/>
        <w:gridCol w:w="1562"/>
        <w:gridCol w:w="986"/>
        <w:gridCol w:w="2336"/>
        <w:gridCol w:w="1528"/>
        <w:gridCol w:w="986"/>
      </w:tblGrid>
      <w:tr w:rsidR="002E01E3" w:rsidRPr="00882200">
        <w:tc>
          <w:tcPr>
            <w:tcW w:w="1742" w:type="dxa"/>
            <w:gridSpan w:val="2"/>
            <w:vMerge w:val="restart"/>
          </w:tcPr>
          <w:p w:rsidR="002E01E3" w:rsidRPr="00AA5FBF" w:rsidRDefault="002E01E3" w:rsidP="002E01E3">
            <w:pPr>
              <w:keepNext/>
              <w:tabs>
                <w:tab w:val="left" w:pos="2835"/>
              </w:tabs>
              <w:spacing w:after="0" w:line="240" w:lineRule="auto"/>
              <w:rPr>
                <w:rFonts w:ascii="Arial Narrow" w:hAnsi="Arial Narrow"/>
                <w:lang w:val="en-GB" w:eastAsia="ja-JP"/>
              </w:rPr>
            </w:pPr>
          </w:p>
        </w:tc>
        <w:tc>
          <w:tcPr>
            <w:tcW w:w="7398" w:type="dxa"/>
            <w:gridSpan w:val="5"/>
          </w:tcPr>
          <w:p w:rsidR="002E01E3" w:rsidRPr="00005D10" w:rsidRDefault="002E01E3" w:rsidP="002E01E3">
            <w:pPr>
              <w:keepNext/>
              <w:tabs>
                <w:tab w:val="left" w:pos="2835"/>
              </w:tabs>
              <w:spacing w:after="0" w:line="240" w:lineRule="auto"/>
              <w:jc w:val="center"/>
              <w:rPr>
                <w:rFonts w:ascii="Arial Narrow" w:hAnsi="Arial Narrow"/>
                <w:b/>
                <w:szCs w:val="22"/>
                <w:lang w:val="en-GB" w:eastAsia="ja-JP"/>
              </w:rPr>
            </w:pPr>
            <w:r w:rsidRPr="00005D10">
              <w:rPr>
                <w:rFonts w:ascii="Arial Narrow" w:hAnsi="Arial Narrow"/>
                <w:b/>
                <w:szCs w:val="22"/>
                <w:lang w:val="en-GB" w:eastAsia="ja-JP"/>
              </w:rPr>
              <w:t>Comparative effectiveness versus comparator</w:t>
            </w:r>
          </w:p>
        </w:tc>
      </w:tr>
      <w:tr w:rsidR="002E01E3" w:rsidRPr="00882200">
        <w:tc>
          <w:tcPr>
            <w:tcW w:w="1742" w:type="dxa"/>
            <w:gridSpan w:val="2"/>
            <w:vMerge/>
          </w:tcPr>
          <w:p w:rsidR="002E01E3" w:rsidRPr="00AA5FBF" w:rsidRDefault="002E01E3" w:rsidP="002E01E3">
            <w:pPr>
              <w:keepNext/>
              <w:tabs>
                <w:tab w:val="left" w:pos="2835"/>
              </w:tabs>
              <w:spacing w:after="0" w:line="240" w:lineRule="auto"/>
              <w:rPr>
                <w:rFonts w:ascii="Arial Narrow" w:hAnsi="Arial Narrow"/>
                <w:lang w:val="en-GB" w:eastAsia="ja-JP"/>
              </w:rPr>
            </w:pPr>
          </w:p>
        </w:tc>
        <w:tc>
          <w:tcPr>
            <w:tcW w:w="2548" w:type="dxa"/>
            <w:gridSpan w:val="2"/>
            <w:vAlign w:val="center"/>
          </w:tcPr>
          <w:p w:rsidR="002E01E3" w:rsidRPr="00005D10" w:rsidRDefault="002E01E3" w:rsidP="002E01E3">
            <w:pPr>
              <w:keepNext/>
              <w:tabs>
                <w:tab w:val="left" w:pos="2835"/>
              </w:tabs>
              <w:spacing w:after="0" w:line="240" w:lineRule="auto"/>
              <w:jc w:val="center"/>
              <w:rPr>
                <w:rFonts w:ascii="Arial Narrow" w:hAnsi="Arial Narrow"/>
                <w:szCs w:val="22"/>
                <w:u w:val="single"/>
                <w:lang w:val="en-GB" w:eastAsia="ja-JP"/>
              </w:rPr>
            </w:pPr>
            <w:r w:rsidRPr="00005D10">
              <w:rPr>
                <w:rFonts w:ascii="Arial Narrow" w:hAnsi="Arial Narrow"/>
                <w:szCs w:val="22"/>
                <w:u w:val="single"/>
                <w:lang w:val="en-GB" w:eastAsia="ja-JP"/>
              </w:rPr>
              <w:t>Superior</w:t>
            </w:r>
          </w:p>
        </w:tc>
        <w:tc>
          <w:tcPr>
            <w:tcW w:w="2336" w:type="dxa"/>
            <w:vAlign w:val="center"/>
          </w:tcPr>
          <w:p w:rsidR="002E01E3" w:rsidRPr="00005D10" w:rsidRDefault="002E01E3" w:rsidP="002E01E3">
            <w:pPr>
              <w:keepNext/>
              <w:tabs>
                <w:tab w:val="left" w:pos="2835"/>
              </w:tabs>
              <w:spacing w:after="0" w:line="240" w:lineRule="auto"/>
              <w:jc w:val="center"/>
              <w:rPr>
                <w:rFonts w:ascii="Arial Narrow" w:hAnsi="Arial Narrow"/>
                <w:szCs w:val="22"/>
                <w:u w:val="single"/>
                <w:lang w:val="en-GB" w:eastAsia="ja-JP"/>
              </w:rPr>
            </w:pPr>
            <w:r w:rsidRPr="00005D10">
              <w:rPr>
                <w:rFonts w:ascii="Arial Narrow" w:hAnsi="Arial Narrow"/>
                <w:szCs w:val="22"/>
                <w:u w:val="single"/>
                <w:lang w:val="en-GB" w:eastAsia="ja-JP"/>
              </w:rPr>
              <w:t>Non-inferior</w:t>
            </w:r>
          </w:p>
        </w:tc>
        <w:tc>
          <w:tcPr>
            <w:tcW w:w="2514" w:type="dxa"/>
            <w:gridSpan w:val="2"/>
            <w:vAlign w:val="center"/>
          </w:tcPr>
          <w:p w:rsidR="002E01E3" w:rsidRPr="00005D10" w:rsidRDefault="002E01E3" w:rsidP="002E01E3">
            <w:pPr>
              <w:keepNext/>
              <w:tabs>
                <w:tab w:val="left" w:pos="2835"/>
              </w:tabs>
              <w:spacing w:after="0" w:line="240" w:lineRule="auto"/>
              <w:jc w:val="center"/>
              <w:rPr>
                <w:rFonts w:ascii="Arial Narrow" w:hAnsi="Arial Narrow"/>
                <w:szCs w:val="22"/>
                <w:u w:val="single"/>
                <w:lang w:val="en-GB" w:eastAsia="ja-JP"/>
              </w:rPr>
            </w:pPr>
            <w:r w:rsidRPr="00005D10">
              <w:rPr>
                <w:rFonts w:ascii="Arial Narrow" w:hAnsi="Arial Narrow"/>
                <w:szCs w:val="22"/>
                <w:u w:val="single"/>
                <w:lang w:val="en-GB" w:eastAsia="ja-JP"/>
              </w:rPr>
              <w:t>Inferior</w:t>
            </w:r>
          </w:p>
        </w:tc>
      </w:tr>
      <w:tr w:rsidR="002E01E3" w:rsidRPr="00882200">
        <w:trPr>
          <w:cantSplit/>
          <w:trHeight w:val="20"/>
        </w:trPr>
        <w:tc>
          <w:tcPr>
            <w:tcW w:w="664" w:type="dxa"/>
            <w:vMerge w:val="restart"/>
            <w:textDirection w:val="btLr"/>
            <w:vAlign w:val="center"/>
          </w:tcPr>
          <w:p w:rsidR="002E01E3" w:rsidRPr="00005D10" w:rsidRDefault="002E01E3" w:rsidP="002E01E3">
            <w:pPr>
              <w:keepNext/>
              <w:tabs>
                <w:tab w:val="left" w:pos="2835"/>
              </w:tabs>
              <w:spacing w:after="0" w:line="240" w:lineRule="auto"/>
              <w:ind w:left="113" w:right="113"/>
              <w:jc w:val="center"/>
              <w:rPr>
                <w:rFonts w:ascii="Arial Narrow" w:hAnsi="Arial Narrow"/>
                <w:b/>
                <w:szCs w:val="22"/>
                <w:lang w:val="en-GB" w:eastAsia="ja-JP"/>
              </w:rPr>
            </w:pPr>
            <w:r w:rsidRPr="00005D10">
              <w:rPr>
                <w:rFonts w:ascii="Arial Narrow" w:hAnsi="Arial Narrow"/>
                <w:b/>
                <w:szCs w:val="22"/>
                <w:lang w:val="en-GB" w:eastAsia="ja-JP"/>
              </w:rPr>
              <w:t>Comparative safety versus comparator</w:t>
            </w:r>
          </w:p>
        </w:tc>
        <w:tc>
          <w:tcPr>
            <w:tcW w:w="1078" w:type="dxa"/>
            <w:vMerge w:val="restart"/>
            <w:vAlign w:val="center"/>
          </w:tcPr>
          <w:p w:rsidR="002E01E3" w:rsidRPr="00005D10" w:rsidRDefault="002E01E3" w:rsidP="002E01E3">
            <w:pPr>
              <w:keepNext/>
              <w:tabs>
                <w:tab w:val="left" w:pos="2835"/>
              </w:tabs>
              <w:spacing w:after="0" w:line="240" w:lineRule="auto"/>
              <w:jc w:val="left"/>
              <w:rPr>
                <w:rFonts w:ascii="Arial Narrow" w:hAnsi="Arial Narrow"/>
                <w:szCs w:val="22"/>
                <w:u w:val="single"/>
                <w:lang w:val="en-GB" w:eastAsia="ja-JP"/>
              </w:rPr>
            </w:pPr>
            <w:r w:rsidRPr="00005D10">
              <w:rPr>
                <w:rFonts w:ascii="Arial Narrow" w:hAnsi="Arial Narrow"/>
                <w:szCs w:val="22"/>
                <w:u w:val="single"/>
                <w:lang w:val="en-GB" w:eastAsia="ja-JP"/>
              </w:rPr>
              <w:t>Superior</w:t>
            </w:r>
          </w:p>
        </w:tc>
        <w:tc>
          <w:tcPr>
            <w:tcW w:w="2548" w:type="dxa"/>
            <w:gridSpan w:val="2"/>
            <w:vMerge w:val="restart"/>
            <w:vAlign w:val="center"/>
          </w:tcPr>
          <w:p w:rsidR="002E01E3" w:rsidRPr="00005D10" w:rsidRDefault="002E01E3" w:rsidP="002E01E3">
            <w:pPr>
              <w:keepNext/>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CEA/CUA</w:t>
            </w:r>
          </w:p>
        </w:tc>
        <w:tc>
          <w:tcPr>
            <w:tcW w:w="2336" w:type="dxa"/>
            <w:vMerge w:val="restart"/>
            <w:vAlign w:val="center"/>
          </w:tcPr>
          <w:p w:rsidR="002E01E3" w:rsidRPr="00005D10" w:rsidRDefault="002E01E3" w:rsidP="002E01E3">
            <w:pPr>
              <w:keepNext/>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CEA/CUA</w:t>
            </w:r>
          </w:p>
        </w:tc>
        <w:tc>
          <w:tcPr>
            <w:tcW w:w="1528" w:type="dxa"/>
          </w:tcPr>
          <w:p w:rsidR="002E01E3" w:rsidRPr="00005D10" w:rsidRDefault="002E01E3" w:rsidP="002E01E3">
            <w:pPr>
              <w:keepNext/>
              <w:tabs>
                <w:tab w:val="left" w:pos="2835"/>
              </w:tabs>
              <w:spacing w:after="0" w:line="240" w:lineRule="auto"/>
              <w:rPr>
                <w:rFonts w:ascii="Arial Narrow" w:hAnsi="Arial Narrow"/>
                <w:szCs w:val="22"/>
                <w:u w:val="single"/>
                <w:lang w:val="en-GB" w:eastAsia="ja-JP"/>
              </w:rPr>
            </w:pPr>
            <w:r w:rsidRPr="00005D10">
              <w:rPr>
                <w:rFonts w:ascii="Arial Narrow" w:hAnsi="Arial Narrow"/>
                <w:szCs w:val="22"/>
                <w:u w:val="single"/>
                <w:lang w:val="en-GB" w:eastAsia="ja-JP"/>
              </w:rPr>
              <w:t>Net clinical benefit</w:t>
            </w:r>
          </w:p>
        </w:tc>
        <w:tc>
          <w:tcPr>
            <w:tcW w:w="986" w:type="dxa"/>
            <w:vAlign w:val="center"/>
          </w:tcPr>
          <w:p w:rsidR="002E01E3" w:rsidRPr="00005D10" w:rsidRDefault="002E01E3" w:rsidP="002E01E3">
            <w:pPr>
              <w:keepNext/>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CEA/CUA</w:t>
            </w:r>
          </w:p>
        </w:tc>
      </w:tr>
      <w:tr w:rsidR="002E01E3" w:rsidRPr="00882200">
        <w:trPr>
          <w:cantSplit/>
          <w:trHeight w:val="20"/>
        </w:trPr>
        <w:tc>
          <w:tcPr>
            <w:tcW w:w="664" w:type="dxa"/>
            <w:vMerge/>
          </w:tcPr>
          <w:p w:rsidR="002E01E3" w:rsidRPr="00AA5FBF" w:rsidRDefault="002E01E3" w:rsidP="002E01E3">
            <w:pPr>
              <w:tabs>
                <w:tab w:val="left" w:pos="2835"/>
              </w:tabs>
              <w:spacing w:after="0" w:line="240" w:lineRule="auto"/>
              <w:rPr>
                <w:rFonts w:ascii="Arial Narrow" w:hAnsi="Arial Narrow"/>
                <w:lang w:val="en-GB" w:eastAsia="ja-JP"/>
              </w:rPr>
            </w:pPr>
          </w:p>
        </w:tc>
        <w:tc>
          <w:tcPr>
            <w:tcW w:w="1078" w:type="dxa"/>
            <w:vMerge/>
            <w:vAlign w:val="center"/>
          </w:tcPr>
          <w:p w:rsidR="002E01E3" w:rsidRPr="00AA5FBF" w:rsidRDefault="002E01E3" w:rsidP="002E01E3">
            <w:pPr>
              <w:tabs>
                <w:tab w:val="left" w:pos="2835"/>
              </w:tabs>
              <w:spacing w:after="0" w:line="240" w:lineRule="auto"/>
              <w:jc w:val="left"/>
              <w:rPr>
                <w:rFonts w:ascii="Arial Narrow" w:hAnsi="Arial Narrow"/>
                <w:u w:val="single"/>
                <w:lang w:val="en-GB" w:eastAsia="ja-JP"/>
              </w:rPr>
            </w:pPr>
          </w:p>
        </w:tc>
        <w:tc>
          <w:tcPr>
            <w:tcW w:w="2548" w:type="dxa"/>
            <w:gridSpan w:val="2"/>
            <w:vMerge/>
            <w:vAlign w:val="center"/>
          </w:tcPr>
          <w:p w:rsidR="002E01E3" w:rsidRPr="00AA5FBF" w:rsidRDefault="002E01E3" w:rsidP="002E01E3">
            <w:pPr>
              <w:tabs>
                <w:tab w:val="left" w:pos="2835"/>
              </w:tabs>
              <w:spacing w:after="0" w:line="240" w:lineRule="auto"/>
              <w:jc w:val="center"/>
              <w:rPr>
                <w:rFonts w:ascii="Arial Narrow" w:hAnsi="Arial Narrow"/>
                <w:lang w:val="en-GB" w:eastAsia="ja-JP"/>
              </w:rPr>
            </w:pPr>
          </w:p>
        </w:tc>
        <w:tc>
          <w:tcPr>
            <w:tcW w:w="2336" w:type="dxa"/>
            <w:vMerge/>
            <w:vAlign w:val="center"/>
          </w:tcPr>
          <w:p w:rsidR="002E01E3" w:rsidRPr="00AA5FBF" w:rsidRDefault="002E01E3" w:rsidP="002E01E3">
            <w:pPr>
              <w:tabs>
                <w:tab w:val="left" w:pos="2835"/>
              </w:tabs>
              <w:spacing w:after="0" w:line="240" w:lineRule="auto"/>
              <w:jc w:val="center"/>
              <w:rPr>
                <w:rFonts w:ascii="Arial Narrow" w:hAnsi="Arial Narrow"/>
                <w:lang w:val="en-GB" w:eastAsia="ja-JP"/>
              </w:rPr>
            </w:pPr>
          </w:p>
        </w:tc>
        <w:tc>
          <w:tcPr>
            <w:tcW w:w="1528" w:type="dxa"/>
          </w:tcPr>
          <w:p w:rsidR="002E01E3" w:rsidRPr="00005D10" w:rsidRDefault="002E01E3" w:rsidP="002E01E3">
            <w:pPr>
              <w:tabs>
                <w:tab w:val="left" w:pos="2835"/>
              </w:tabs>
              <w:spacing w:after="0" w:line="240" w:lineRule="auto"/>
              <w:rPr>
                <w:rFonts w:ascii="Arial Narrow" w:hAnsi="Arial Narrow"/>
                <w:szCs w:val="22"/>
                <w:u w:val="single"/>
                <w:lang w:val="en-GB" w:eastAsia="ja-JP"/>
              </w:rPr>
            </w:pPr>
            <w:r w:rsidRPr="00005D10">
              <w:rPr>
                <w:rFonts w:ascii="Arial Narrow" w:hAnsi="Arial Narrow"/>
                <w:szCs w:val="22"/>
                <w:u w:val="single"/>
                <w:lang w:val="en-GB" w:eastAsia="ja-JP"/>
              </w:rPr>
              <w:t>Neutral benefit</w:t>
            </w:r>
          </w:p>
        </w:tc>
        <w:tc>
          <w:tcPr>
            <w:tcW w:w="986" w:type="dxa"/>
            <w:vAlign w:val="center"/>
          </w:tcPr>
          <w:p w:rsidR="002E01E3" w:rsidRPr="00005D10" w:rsidRDefault="002E01E3" w:rsidP="002E01E3">
            <w:pPr>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CEA/CUA*</w:t>
            </w:r>
          </w:p>
        </w:tc>
      </w:tr>
      <w:tr w:rsidR="002E01E3" w:rsidRPr="00882200">
        <w:trPr>
          <w:cantSplit/>
          <w:trHeight w:val="20"/>
        </w:trPr>
        <w:tc>
          <w:tcPr>
            <w:tcW w:w="664" w:type="dxa"/>
            <w:vMerge/>
          </w:tcPr>
          <w:p w:rsidR="002E01E3" w:rsidRPr="00AA5FBF" w:rsidRDefault="002E01E3" w:rsidP="002E01E3">
            <w:pPr>
              <w:tabs>
                <w:tab w:val="left" w:pos="2835"/>
              </w:tabs>
              <w:spacing w:after="0" w:line="240" w:lineRule="auto"/>
              <w:rPr>
                <w:rFonts w:ascii="Arial Narrow" w:hAnsi="Arial Narrow"/>
                <w:lang w:val="en-GB" w:eastAsia="ja-JP"/>
              </w:rPr>
            </w:pPr>
          </w:p>
        </w:tc>
        <w:tc>
          <w:tcPr>
            <w:tcW w:w="1078" w:type="dxa"/>
            <w:vMerge/>
            <w:vAlign w:val="center"/>
          </w:tcPr>
          <w:p w:rsidR="002E01E3" w:rsidRPr="00AA5FBF" w:rsidRDefault="002E01E3" w:rsidP="002E01E3">
            <w:pPr>
              <w:tabs>
                <w:tab w:val="left" w:pos="2835"/>
              </w:tabs>
              <w:spacing w:after="0" w:line="240" w:lineRule="auto"/>
              <w:jc w:val="left"/>
              <w:rPr>
                <w:rFonts w:ascii="Arial Narrow" w:hAnsi="Arial Narrow"/>
                <w:u w:val="single"/>
                <w:lang w:val="en-GB" w:eastAsia="ja-JP"/>
              </w:rPr>
            </w:pPr>
          </w:p>
        </w:tc>
        <w:tc>
          <w:tcPr>
            <w:tcW w:w="2548" w:type="dxa"/>
            <w:gridSpan w:val="2"/>
            <w:vMerge/>
            <w:vAlign w:val="center"/>
          </w:tcPr>
          <w:p w:rsidR="002E01E3" w:rsidRPr="00AA5FBF" w:rsidRDefault="002E01E3" w:rsidP="002E01E3">
            <w:pPr>
              <w:tabs>
                <w:tab w:val="left" w:pos="2835"/>
              </w:tabs>
              <w:spacing w:after="0" w:line="240" w:lineRule="auto"/>
              <w:jc w:val="center"/>
              <w:rPr>
                <w:rFonts w:ascii="Arial Narrow" w:hAnsi="Arial Narrow"/>
                <w:lang w:val="en-GB" w:eastAsia="ja-JP"/>
              </w:rPr>
            </w:pPr>
          </w:p>
        </w:tc>
        <w:tc>
          <w:tcPr>
            <w:tcW w:w="2336" w:type="dxa"/>
            <w:vMerge/>
            <w:vAlign w:val="center"/>
          </w:tcPr>
          <w:p w:rsidR="002E01E3" w:rsidRPr="00AA5FBF" w:rsidRDefault="002E01E3" w:rsidP="002E01E3">
            <w:pPr>
              <w:tabs>
                <w:tab w:val="left" w:pos="2835"/>
              </w:tabs>
              <w:spacing w:after="0" w:line="240" w:lineRule="auto"/>
              <w:jc w:val="center"/>
              <w:rPr>
                <w:rFonts w:ascii="Arial Narrow" w:hAnsi="Arial Narrow"/>
                <w:lang w:val="en-GB" w:eastAsia="ja-JP"/>
              </w:rPr>
            </w:pPr>
          </w:p>
        </w:tc>
        <w:tc>
          <w:tcPr>
            <w:tcW w:w="1528" w:type="dxa"/>
          </w:tcPr>
          <w:p w:rsidR="002E01E3" w:rsidRPr="00005D10" w:rsidRDefault="002E01E3" w:rsidP="002E01E3">
            <w:pPr>
              <w:tabs>
                <w:tab w:val="left" w:pos="2835"/>
              </w:tabs>
              <w:spacing w:after="0" w:line="240" w:lineRule="auto"/>
              <w:rPr>
                <w:rFonts w:ascii="Arial Narrow" w:hAnsi="Arial Narrow"/>
                <w:szCs w:val="22"/>
                <w:u w:val="single"/>
                <w:lang w:val="en-GB" w:eastAsia="ja-JP"/>
              </w:rPr>
            </w:pPr>
            <w:r w:rsidRPr="00005D10">
              <w:rPr>
                <w:rFonts w:ascii="Arial Narrow" w:hAnsi="Arial Narrow"/>
                <w:szCs w:val="22"/>
                <w:u w:val="single"/>
                <w:lang w:val="en-GB" w:eastAsia="ja-JP"/>
              </w:rPr>
              <w:t>Net harms</w:t>
            </w:r>
          </w:p>
        </w:tc>
        <w:tc>
          <w:tcPr>
            <w:tcW w:w="986" w:type="dxa"/>
            <w:vAlign w:val="center"/>
          </w:tcPr>
          <w:p w:rsidR="002E01E3" w:rsidRPr="00005D10" w:rsidRDefault="002E01E3" w:rsidP="002E01E3">
            <w:pPr>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None^</w:t>
            </w:r>
          </w:p>
        </w:tc>
      </w:tr>
      <w:tr w:rsidR="002E01E3" w:rsidRPr="00882200">
        <w:trPr>
          <w:cantSplit/>
          <w:trHeight w:val="750"/>
        </w:trPr>
        <w:tc>
          <w:tcPr>
            <w:tcW w:w="664" w:type="dxa"/>
            <w:vMerge/>
          </w:tcPr>
          <w:p w:rsidR="002E01E3" w:rsidRPr="00AA5FBF" w:rsidRDefault="002E01E3" w:rsidP="002E01E3">
            <w:pPr>
              <w:tabs>
                <w:tab w:val="left" w:pos="2835"/>
              </w:tabs>
              <w:spacing w:after="0" w:line="240" w:lineRule="auto"/>
              <w:rPr>
                <w:rFonts w:ascii="Arial Narrow" w:hAnsi="Arial Narrow"/>
                <w:lang w:val="en-GB" w:eastAsia="ja-JP"/>
              </w:rPr>
            </w:pPr>
          </w:p>
        </w:tc>
        <w:tc>
          <w:tcPr>
            <w:tcW w:w="1078" w:type="dxa"/>
            <w:vAlign w:val="center"/>
          </w:tcPr>
          <w:p w:rsidR="002E01E3" w:rsidRPr="00005D10" w:rsidRDefault="002E01E3" w:rsidP="002E01E3">
            <w:pPr>
              <w:tabs>
                <w:tab w:val="left" w:pos="2835"/>
              </w:tabs>
              <w:spacing w:after="0" w:line="240" w:lineRule="auto"/>
              <w:jc w:val="left"/>
              <w:rPr>
                <w:rFonts w:ascii="Arial Narrow" w:hAnsi="Arial Narrow"/>
                <w:szCs w:val="22"/>
                <w:u w:val="single"/>
                <w:lang w:val="en-GB" w:eastAsia="ja-JP"/>
              </w:rPr>
            </w:pPr>
            <w:r w:rsidRPr="00005D10">
              <w:rPr>
                <w:rFonts w:ascii="Arial Narrow" w:hAnsi="Arial Narrow"/>
                <w:szCs w:val="22"/>
                <w:u w:val="single"/>
                <w:lang w:val="en-GB" w:eastAsia="ja-JP"/>
              </w:rPr>
              <w:t>Non-inferior</w:t>
            </w:r>
          </w:p>
        </w:tc>
        <w:tc>
          <w:tcPr>
            <w:tcW w:w="2548" w:type="dxa"/>
            <w:gridSpan w:val="2"/>
            <w:shd w:val="clear" w:color="auto" w:fill="76923C"/>
            <w:vAlign w:val="center"/>
          </w:tcPr>
          <w:p w:rsidR="002E01E3" w:rsidRPr="00005D10" w:rsidRDefault="002E01E3" w:rsidP="002E01E3">
            <w:pPr>
              <w:tabs>
                <w:tab w:val="left" w:pos="2835"/>
              </w:tabs>
              <w:spacing w:after="0" w:line="240" w:lineRule="auto"/>
              <w:jc w:val="center"/>
              <w:rPr>
                <w:rFonts w:ascii="Arial Narrow" w:hAnsi="Arial Narrow"/>
                <w:szCs w:val="22"/>
                <w:lang w:val="en-GB" w:eastAsia="ja-JP"/>
              </w:rPr>
            </w:pPr>
            <w:r w:rsidRPr="00073409">
              <w:rPr>
                <w:rFonts w:ascii="Arial Narrow" w:hAnsi="Arial Narrow"/>
                <w:szCs w:val="22"/>
                <w:lang w:val="en-GB" w:eastAsia="ja-JP"/>
              </w:rPr>
              <w:t>CEA/CUA</w:t>
            </w:r>
          </w:p>
        </w:tc>
        <w:tc>
          <w:tcPr>
            <w:tcW w:w="2336" w:type="dxa"/>
            <w:vAlign w:val="center"/>
          </w:tcPr>
          <w:p w:rsidR="002E01E3" w:rsidRPr="00005D10" w:rsidRDefault="002E01E3" w:rsidP="002E01E3">
            <w:pPr>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CEA/CUA*</w:t>
            </w:r>
          </w:p>
        </w:tc>
        <w:tc>
          <w:tcPr>
            <w:tcW w:w="2514" w:type="dxa"/>
            <w:gridSpan w:val="2"/>
            <w:vAlign w:val="center"/>
          </w:tcPr>
          <w:p w:rsidR="002E01E3" w:rsidRPr="00005D10" w:rsidRDefault="002E01E3" w:rsidP="002E01E3">
            <w:pPr>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None^</w:t>
            </w:r>
          </w:p>
        </w:tc>
      </w:tr>
      <w:tr w:rsidR="002E01E3" w:rsidRPr="00882200">
        <w:trPr>
          <w:cantSplit/>
          <w:trHeight w:val="20"/>
        </w:trPr>
        <w:tc>
          <w:tcPr>
            <w:tcW w:w="664" w:type="dxa"/>
            <w:vMerge/>
          </w:tcPr>
          <w:p w:rsidR="002E01E3" w:rsidRPr="00AA5FBF" w:rsidRDefault="002E01E3" w:rsidP="002E01E3">
            <w:pPr>
              <w:tabs>
                <w:tab w:val="left" w:pos="2835"/>
              </w:tabs>
              <w:spacing w:after="0" w:line="240" w:lineRule="auto"/>
              <w:rPr>
                <w:rFonts w:ascii="Arial Narrow" w:hAnsi="Arial Narrow"/>
                <w:lang w:val="en-GB" w:eastAsia="ja-JP"/>
              </w:rPr>
            </w:pPr>
          </w:p>
        </w:tc>
        <w:tc>
          <w:tcPr>
            <w:tcW w:w="1078" w:type="dxa"/>
            <w:vMerge w:val="restart"/>
            <w:vAlign w:val="center"/>
          </w:tcPr>
          <w:p w:rsidR="002E01E3" w:rsidRPr="00005D10" w:rsidRDefault="002E01E3" w:rsidP="002E01E3">
            <w:pPr>
              <w:tabs>
                <w:tab w:val="left" w:pos="2835"/>
              </w:tabs>
              <w:spacing w:after="0" w:line="240" w:lineRule="auto"/>
              <w:jc w:val="left"/>
              <w:rPr>
                <w:rFonts w:ascii="Arial Narrow" w:hAnsi="Arial Narrow"/>
                <w:szCs w:val="22"/>
                <w:u w:val="single"/>
                <w:lang w:val="en-GB" w:eastAsia="ja-JP"/>
              </w:rPr>
            </w:pPr>
            <w:r w:rsidRPr="00005D10">
              <w:rPr>
                <w:rFonts w:ascii="Arial Narrow" w:hAnsi="Arial Narrow"/>
                <w:szCs w:val="22"/>
                <w:u w:val="single"/>
                <w:lang w:val="en-GB" w:eastAsia="ja-JP"/>
              </w:rPr>
              <w:t>Inferior</w:t>
            </w:r>
          </w:p>
        </w:tc>
        <w:tc>
          <w:tcPr>
            <w:tcW w:w="1562" w:type="dxa"/>
            <w:vAlign w:val="center"/>
          </w:tcPr>
          <w:p w:rsidR="002E01E3" w:rsidRPr="00005D10" w:rsidRDefault="002E01E3" w:rsidP="002E01E3">
            <w:pPr>
              <w:tabs>
                <w:tab w:val="left" w:pos="2835"/>
              </w:tabs>
              <w:spacing w:after="0" w:line="240" w:lineRule="auto"/>
              <w:jc w:val="left"/>
              <w:rPr>
                <w:rFonts w:ascii="Arial Narrow" w:hAnsi="Arial Narrow"/>
                <w:szCs w:val="22"/>
                <w:u w:val="single"/>
                <w:lang w:val="en-GB" w:eastAsia="ja-JP"/>
              </w:rPr>
            </w:pPr>
            <w:r w:rsidRPr="00005D10">
              <w:rPr>
                <w:rFonts w:ascii="Arial Narrow" w:hAnsi="Arial Narrow"/>
                <w:szCs w:val="22"/>
                <w:u w:val="single"/>
                <w:lang w:val="en-GB" w:eastAsia="ja-JP"/>
              </w:rPr>
              <w:t>Net clinical benefit</w:t>
            </w:r>
          </w:p>
        </w:tc>
        <w:tc>
          <w:tcPr>
            <w:tcW w:w="986" w:type="dxa"/>
            <w:vAlign w:val="center"/>
          </w:tcPr>
          <w:p w:rsidR="002E01E3" w:rsidRPr="00005D10" w:rsidRDefault="002E01E3" w:rsidP="002E01E3">
            <w:pPr>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CEA/CUA</w:t>
            </w:r>
          </w:p>
        </w:tc>
        <w:tc>
          <w:tcPr>
            <w:tcW w:w="2336" w:type="dxa"/>
            <w:vMerge w:val="restart"/>
            <w:vAlign w:val="center"/>
          </w:tcPr>
          <w:p w:rsidR="002E01E3" w:rsidRPr="00005D10" w:rsidRDefault="002E01E3" w:rsidP="002E01E3">
            <w:pPr>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None^</w:t>
            </w:r>
          </w:p>
        </w:tc>
        <w:tc>
          <w:tcPr>
            <w:tcW w:w="2514" w:type="dxa"/>
            <w:gridSpan w:val="2"/>
            <w:vMerge w:val="restart"/>
            <w:vAlign w:val="center"/>
          </w:tcPr>
          <w:p w:rsidR="002E01E3" w:rsidRPr="00005D10" w:rsidRDefault="002E01E3" w:rsidP="002E01E3">
            <w:pPr>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None^</w:t>
            </w:r>
          </w:p>
        </w:tc>
      </w:tr>
      <w:tr w:rsidR="002E01E3" w:rsidRPr="00882200">
        <w:trPr>
          <w:trHeight w:val="20"/>
        </w:trPr>
        <w:tc>
          <w:tcPr>
            <w:tcW w:w="664" w:type="dxa"/>
            <w:vMerge/>
          </w:tcPr>
          <w:p w:rsidR="002E01E3" w:rsidRPr="00AA5FBF" w:rsidRDefault="002E01E3" w:rsidP="002E01E3">
            <w:pPr>
              <w:tabs>
                <w:tab w:val="left" w:pos="2835"/>
              </w:tabs>
              <w:spacing w:after="0" w:line="240" w:lineRule="auto"/>
              <w:rPr>
                <w:rFonts w:ascii="Arial Narrow" w:hAnsi="Arial Narrow"/>
                <w:lang w:val="en-GB" w:eastAsia="ja-JP"/>
              </w:rPr>
            </w:pPr>
          </w:p>
        </w:tc>
        <w:tc>
          <w:tcPr>
            <w:tcW w:w="1078" w:type="dxa"/>
            <w:vMerge/>
          </w:tcPr>
          <w:p w:rsidR="002E01E3" w:rsidRPr="00AA5FBF" w:rsidRDefault="002E01E3" w:rsidP="002E01E3">
            <w:pPr>
              <w:tabs>
                <w:tab w:val="left" w:pos="2835"/>
              </w:tabs>
              <w:spacing w:after="0" w:line="240" w:lineRule="auto"/>
              <w:rPr>
                <w:rFonts w:ascii="Arial Narrow" w:hAnsi="Arial Narrow"/>
                <w:lang w:val="en-GB" w:eastAsia="ja-JP"/>
              </w:rPr>
            </w:pPr>
          </w:p>
        </w:tc>
        <w:tc>
          <w:tcPr>
            <w:tcW w:w="1562" w:type="dxa"/>
            <w:vAlign w:val="center"/>
          </w:tcPr>
          <w:p w:rsidR="002E01E3" w:rsidRPr="00005D10" w:rsidRDefault="002E01E3" w:rsidP="002E01E3">
            <w:pPr>
              <w:tabs>
                <w:tab w:val="left" w:pos="2835"/>
              </w:tabs>
              <w:spacing w:after="0" w:line="240" w:lineRule="auto"/>
              <w:jc w:val="left"/>
              <w:rPr>
                <w:rFonts w:ascii="Arial Narrow" w:hAnsi="Arial Narrow"/>
                <w:szCs w:val="22"/>
                <w:u w:val="single"/>
                <w:lang w:val="en-GB" w:eastAsia="ja-JP"/>
              </w:rPr>
            </w:pPr>
            <w:r w:rsidRPr="00005D10">
              <w:rPr>
                <w:rFonts w:ascii="Arial Narrow" w:hAnsi="Arial Narrow"/>
                <w:szCs w:val="22"/>
                <w:u w:val="single"/>
                <w:lang w:val="en-GB" w:eastAsia="ja-JP"/>
              </w:rPr>
              <w:t>Neutral benefit</w:t>
            </w:r>
          </w:p>
        </w:tc>
        <w:tc>
          <w:tcPr>
            <w:tcW w:w="986" w:type="dxa"/>
            <w:vAlign w:val="center"/>
          </w:tcPr>
          <w:p w:rsidR="002E01E3" w:rsidRPr="00005D10" w:rsidRDefault="002E01E3" w:rsidP="002E01E3">
            <w:pPr>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CEA/CUA*</w:t>
            </w:r>
          </w:p>
        </w:tc>
        <w:tc>
          <w:tcPr>
            <w:tcW w:w="2336" w:type="dxa"/>
            <w:vMerge/>
            <w:vAlign w:val="center"/>
          </w:tcPr>
          <w:p w:rsidR="002E01E3" w:rsidRPr="00AA5FBF" w:rsidRDefault="002E01E3" w:rsidP="002E01E3">
            <w:pPr>
              <w:tabs>
                <w:tab w:val="left" w:pos="2835"/>
              </w:tabs>
              <w:spacing w:after="0" w:line="240" w:lineRule="auto"/>
              <w:jc w:val="center"/>
              <w:rPr>
                <w:rFonts w:ascii="Arial Narrow" w:hAnsi="Arial Narrow"/>
                <w:lang w:val="en-GB" w:eastAsia="ja-JP"/>
              </w:rPr>
            </w:pPr>
          </w:p>
        </w:tc>
        <w:tc>
          <w:tcPr>
            <w:tcW w:w="2514" w:type="dxa"/>
            <w:gridSpan w:val="2"/>
            <w:vMerge/>
          </w:tcPr>
          <w:p w:rsidR="002E01E3" w:rsidRPr="00AA5FBF" w:rsidRDefault="002E01E3" w:rsidP="002E01E3">
            <w:pPr>
              <w:tabs>
                <w:tab w:val="left" w:pos="2835"/>
              </w:tabs>
              <w:spacing w:after="0" w:line="240" w:lineRule="auto"/>
              <w:rPr>
                <w:rFonts w:ascii="Arial Narrow" w:hAnsi="Arial Narrow"/>
                <w:lang w:val="en-GB" w:eastAsia="ja-JP"/>
              </w:rPr>
            </w:pPr>
          </w:p>
        </w:tc>
      </w:tr>
      <w:tr w:rsidR="002E01E3" w:rsidRPr="00882200">
        <w:trPr>
          <w:trHeight w:val="20"/>
        </w:trPr>
        <w:tc>
          <w:tcPr>
            <w:tcW w:w="664" w:type="dxa"/>
            <w:vMerge/>
          </w:tcPr>
          <w:p w:rsidR="002E01E3" w:rsidRPr="00AA5FBF" w:rsidRDefault="002E01E3" w:rsidP="002E01E3">
            <w:pPr>
              <w:tabs>
                <w:tab w:val="left" w:pos="2835"/>
              </w:tabs>
              <w:spacing w:after="0" w:line="240" w:lineRule="auto"/>
              <w:rPr>
                <w:rFonts w:ascii="Arial Narrow" w:hAnsi="Arial Narrow"/>
                <w:lang w:val="en-GB" w:eastAsia="ja-JP"/>
              </w:rPr>
            </w:pPr>
          </w:p>
        </w:tc>
        <w:tc>
          <w:tcPr>
            <w:tcW w:w="1078" w:type="dxa"/>
            <w:vMerge/>
          </w:tcPr>
          <w:p w:rsidR="002E01E3" w:rsidRPr="00AA5FBF" w:rsidRDefault="002E01E3" w:rsidP="002E01E3">
            <w:pPr>
              <w:tabs>
                <w:tab w:val="left" w:pos="2835"/>
              </w:tabs>
              <w:spacing w:after="0" w:line="240" w:lineRule="auto"/>
              <w:rPr>
                <w:rFonts w:ascii="Arial Narrow" w:hAnsi="Arial Narrow"/>
                <w:lang w:val="en-GB" w:eastAsia="ja-JP"/>
              </w:rPr>
            </w:pPr>
          </w:p>
        </w:tc>
        <w:tc>
          <w:tcPr>
            <w:tcW w:w="1562" w:type="dxa"/>
            <w:vAlign w:val="center"/>
          </w:tcPr>
          <w:p w:rsidR="002E01E3" w:rsidRPr="00005D10" w:rsidRDefault="002E01E3" w:rsidP="002E01E3">
            <w:pPr>
              <w:tabs>
                <w:tab w:val="left" w:pos="2835"/>
              </w:tabs>
              <w:spacing w:after="0" w:line="240" w:lineRule="auto"/>
              <w:jc w:val="left"/>
              <w:rPr>
                <w:rFonts w:ascii="Arial Narrow" w:hAnsi="Arial Narrow"/>
                <w:szCs w:val="22"/>
                <w:u w:val="single"/>
                <w:lang w:val="en-GB" w:eastAsia="ja-JP"/>
              </w:rPr>
            </w:pPr>
            <w:r w:rsidRPr="00005D10">
              <w:rPr>
                <w:rFonts w:ascii="Arial Narrow" w:hAnsi="Arial Narrow"/>
                <w:szCs w:val="22"/>
                <w:u w:val="single"/>
                <w:lang w:val="en-GB" w:eastAsia="ja-JP"/>
              </w:rPr>
              <w:t>Net harms</w:t>
            </w:r>
          </w:p>
        </w:tc>
        <w:tc>
          <w:tcPr>
            <w:tcW w:w="986" w:type="dxa"/>
            <w:vAlign w:val="center"/>
          </w:tcPr>
          <w:p w:rsidR="002E01E3" w:rsidRPr="00005D10" w:rsidRDefault="002E01E3" w:rsidP="002E01E3">
            <w:pPr>
              <w:tabs>
                <w:tab w:val="left" w:pos="2835"/>
              </w:tabs>
              <w:spacing w:after="0" w:line="240" w:lineRule="auto"/>
              <w:jc w:val="center"/>
              <w:rPr>
                <w:rFonts w:ascii="Arial Narrow" w:hAnsi="Arial Narrow"/>
                <w:szCs w:val="22"/>
                <w:lang w:val="en-GB" w:eastAsia="ja-JP"/>
              </w:rPr>
            </w:pPr>
            <w:r w:rsidRPr="00005D10">
              <w:rPr>
                <w:rFonts w:ascii="Arial Narrow" w:hAnsi="Arial Narrow"/>
                <w:szCs w:val="22"/>
                <w:lang w:val="en-GB" w:eastAsia="ja-JP"/>
              </w:rPr>
              <w:t>None^</w:t>
            </w:r>
          </w:p>
        </w:tc>
        <w:tc>
          <w:tcPr>
            <w:tcW w:w="2336" w:type="dxa"/>
            <w:vMerge/>
            <w:vAlign w:val="center"/>
          </w:tcPr>
          <w:p w:rsidR="002E01E3" w:rsidRPr="00AA5FBF" w:rsidRDefault="002E01E3" w:rsidP="002E01E3">
            <w:pPr>
              <w:tabs>
                <w:tab w:val="left" w:pos="2835"/>
              </w:tabs>
              <w:spacing w:after="0" w:line="240" w:lineRule="auto"/>
              <w:jc w:val="center"/>
              <w:rPr>
                <w:rFonts w:ascii="Arial Narrow" w:hAnsi="Arial Narrow"/>
                <w:lang w:val="en-GB" w:eastAsia="ja-JP"/>
              </w:rPr>
            </w:pPr>
          </w:p>
        </w:tc>
        <w:tc>
          <w:tcPr>
            <w:tcW w:w="2514" w:type="dxa"/>
            <w:gridSpan w:val="2"/>
            <w:vMerge/>
          </w:tcPr>
          <w:p w:rsidR="002E01E3" w:rsidRPr="00AA5FBF" w:rsidRDefault="002E01E3" w:rsidP="002E01E3">
            <w:pPr>
              <w:tabs>
                <w:tab w:val="left" w:pos="2835"/>
              </w:tabs>
              <w:spacing w:after="0" w:line="240" w:lineRule="auto"/>
              <w:rPr>
                <w:rFonts w:ascii="Arial Narrow" w:hAnsi="Arial Narrow"/>
                <w:lang w:val="en-GB" w:eastAsia="ja-JP"/>
              </w:rPr>
            </w:pPr>
          </w:p>
        </w:tc>
      </w:tr>
    </w:tbl>
    <w:p w:rsidR="002E01E3" w:rsidRPr="000857A1" w:rsidRDefault="002E01E3" w:rsidP="002E01E3">
      <w:pPr>
        <w:rPr>
          <w:sz w:val="18"/>
          <w:szCs w:val="18"/>
        </w:rPr>
      </w:pPr>
      <w:r w:rsidRPr="000857A1">
        <w:rPr>
          <w:sz w:val="18"/>
          <w:szCs w:val="18"/>
        </w:rPr>
        <w:t>CEA = cost-effectiveness analysis; CUA = cost-utility analysis</w:t>
      </w:r>
    </w:p>
    <w:p w:rsidR="002E01E3" w:rsidRPr="00A34E9C" w:rsidRDefault="002E01E3" w:rsidP="002E01E3">
      <w:pPr>
        <w:pStyle w:val="Heading1"/>
      </w:pPr>
      <w:bookmarkStart w:id="70" w:name="_Toc410649153"/>
      <w:bookmarkStart w:id="71" w:name="_Toc420499079"/>
      <w:r w:rsidRPr="00A34E9C">
        <w:t>Outcomes and health care resources affected</w:t>
      </w:r>
      <w:r>
        <w:t xml:space="preserve"> by introduction of proposed intervention</w:t>
      </w:r>
      <w:bookmarkEnd w:id="70"/>
      <w:bookmarkEnd w:id="71"/>
    </w:p>
    <w:p w:rsidR="002E01E3" w:rsidRPr="008B719A" w:rsidRDefault="002E01E3" w:rsidP="002E01E3">
      <w:pPr>
        <w:pStyle w:val="Heading2"/>
        <w:rPr>
          <w:szCs w:val="22"/>
        </w:rPr>
      </w:pPr>
      <w:bookmarkStart w:id="72" w:name="_Toc410649154"/>
      <w:bookmarkStart w:id="73" w:name="_Toc420499080"/>
      <w:r w:rsidRPr="008B719A">
        <w:rPr>
          <w:szCs w:val="22"/>
        </w:rPr>
        <w:t>Outcomes</w:t>
      </w:r>
      <w:r>
        <w:rPr>
          <w:szCs w:val="22"/>
        </w:rPr>
        <w:t xml:space="preserve"> for economic evaluation</w:t>
      </w:r>
      <w:bookmarkEnd w:id="72"/>
      <w:bookmarkEnd w:id="73"/>
    </w:p>
    <w:p w:rsidR="002E01E3" w:rsidRDefault="002E01E3" w:rsidP="002E01E3">
      <w:pPr>
        <w:rPr>
          <w:szCs w:val="22"/>
        </w:rPr>
      </w:pPr>
      <w:r>
        <w:rPr>
          <w:szCs w:val="22"/>
        </w:rPr>
        <w:t xml:space="preserve">A literature review revealed few full economic evaluations of shared medical appointment in T2DM compared with usual doctor visits, but several costing studies exist. However, the search identified an economic analysis of shared medical appointments for other chronic illnesses, for instance one study assessed shared medical appointments for dermatology patient counselling </w:t>
      </w:r>
      <w:r>
        <w:rPr>
          <w:szCs w:val="22"/>
        </w:rPr>
        <w:fldChar w:fldCharType="begin"/>
      </w:r>
      <w:r>
        <w:rPr>
          <w:szCs w:val="22"/>
        </w:rPr>
        <w:instrText xml:space="preserve"> ADDIN EN.CITE &lt;EndNote&gt;&lt;Cite&gt;&lt;Author&gt;Resneck&lt;/Author&gt;&lt;Year&gt;2010&lt;/Year&gt;&lt;RecNum&gt;72&lt;/RecNum&gt;&lt;DisplayText&gt;[46]&lt;/DisplayText&gt;&lt;record&gt;&lt;rec-number&gt;72&lt;/rec-number&gt;&lt;foreign-keys&gt;&lt;key app="EN" db-id="edz5s99awvadpbexfxhvwe0ofp2svdwzsdpf" timestamp="1413417345"&gt;72&lt;/key&gt;&lt;/foreign-keys&gt;&lt;ref-type name="Journal Article"&gt;17&lt;/ref-type&gt;&lt;contributors&gt;&lt;authors&gt;&lt;author&gt;Resneck, Jack S&lt;/author&gt;&lt;author&gt;VanBeek, Marta&lt;/author&gt;&lt;/authors&gt;&lt;/contributors&gt;&lt;titles&gt;&lt;title&gt;Shared medical appointments: will changes in health care delivery and financing promote increased use of nonphysician clinicians in dermatology patient counseling?&lt;/title&gt;&lt;secondary-title&gt;Archives of dermatology&lt;/secondary-title&gt;&lt;/titles&gt;&lt;periodical&gt;&lt;full-title&gt;Archives of dermatology&lt;/full-title&gt;&lt;/periodical&gt;&lt;pages&gt;434-436&lt;/pages&gt;&lt;volume&gt;146&lt;/volume&gt;&lt;number&gt;4&lt;/number&gt;&lt;dates&gt;&lt;year&gt;2010&lt;/year&gt;&lt;/dates&gt;&lt;isbn&gt;0003-987X&lt;/isbn&gt;&lt;urls&gt;&lt;/urls&gt;&lt;/record&gt;&lt;/Cite&gt;&lt;/EndNote&gt;</w:instrText>
      </w:r>
      <w:r>
        <w:rPr>
          <w:szCs w:val="22"/>
        </w:rPr>
        <w:fldChar w:fldCharType="separate"/>
      </w:r>
      <w:r>
        <w:rPr>
          <w:noProof/>
          <w:szCs w:val="22"/>
        </w:rPr>
        <w:t>[46]</w:t>
      </w:r>
      <w:r>
        <w:rPr>
          <w:szCs w:val="22"/>
        </w:rPr>
        <w:fldChar w:fldCharType="end"/>
      </w:r>
      <w:r>
        <w:rPr>
          <w:szCs w:val="22"/>
        </w:rPr>
        <w:t xml:space="preserve">. </w:t>
      </w:r>
    </w:p>
    <w:p w:rsidR="002E01E3" w:rsidRPr="00C4541A" w:rsidRDefault="002E01E3" w:rsidP="002E01E3">
      <w:pPr>
        <w:rPr>
          <w:szCs w:val="22"/>
        </w:rPr>
      </w:pPr>
      <w:r>
        <w:rPr>
          <w:szCs w:val="22"/>
        </w:rPr>
        <w:t>Aligning with the clinical evidence, the comparative clinical performance of shared medical appointments versus GP usual care should be measured principally using HbA</w:t>
      </w:r>
      <w:r w:rsidRPr="00135F7F">
        <w:rPr>
          <w:szCs w:val="22"/>
          <w:vertAlign w:val="subscript"/>
        </w:rPr>
        <w:t>1c</w:t>
      </w:r>
      <w:r>
        <w:rPr>
          <w:szCs w:val="22"/>
        </w:rPr>
        <w:t xml:space="preserve"> levels. Groups of HbA</w:t>
      </w:r>
      <w:r w:rsidRPr="00135F7F">
        <w:rPr>
          <w:szCs w:val="22"/>
          <w:vertAlign w:val="subscript"/>
        </w:rPr>
        <w:t>1c</w:t>
      </w:r>
      <w:r>
        <w:rPr>
          <w:szCs w:val="22"/>
        </w:rPr>
        <w:t xml:space="preserve"> levels could then be linked to health utility values with the purpose of estimating quality-adjusted life years (QALYs). This has previously been performed and published in at least one Australian cost-utility analysis for patients with existing T2DM (but not for a shared medical appointment) </w:t>
      </w:r>
      <w:r>
        <w:rPr>
          <w:szCs w:val="22"/>
        </w:rPr>
        <w:fldChar w:fldCharType="begin"/>
      </w:r>
      <w:r>
        <w:rPr>
          <w:szCs w:val="22"/>
        </w:rPr>
        <w:instrText xml:space="preserve"> ADDIN EN.CITE &lt;EndNote&gt;&lt;Cite&gt;&lt;Author&gt;Gordon&lt;/Author&gt;&lt;Year&gt;2014&lt;/Year&gt;&lt;RecNum&gt;62&lt;/RecNum&gt;&lt;DisplayText&gt;[47]&lt;/DisplayText&gt;&lt;record&gt;&lt;rec-number&gt;62&lt;/rec-number&gt;&lt;foreign-keys&gt;&lt;key app="EN" db-id="edz5s99awvadpbexfxhvwe0ofp2svdwzsdpf" timestamp="1413253397"&gt;62&lt;/key&gt;&lt;/foreign-keys&gt;&lt;ref-type name="Journal Article"&gt;17&lt;/ref-type&gt;&lt;contributors&gt;&lt;authors&gt;&lt;author&gt;Gordon, LG&lt;/author&gt;&lt;author&gt;Bird, D&lt;/author&gt;&lt;author&gt;Oldenburg, B&lt;/author&gt;&lt;author&gt;Friedman, RH&lt;/author&gt;&lt;author&gt;Russell, AW&lt;/author&gt;&lt;author&gt;Scuffham, PA&lt;/author&gt;&lt;/authors&gt;&lt;/contributors&gt;&lt;titles&gt;&lt;title&gt;A cost-effectiveness analysis of a telephone-linked care intervention for individuals with Type 2 diabetes&lt;/title&gt;&lt;secondary-title&gt;Diabetes research and clinical practice&lt;/secondary-title&gt;&lt;/titles&gt;&lt;periodical&gt;&lt;full-title&gt;Diabetes research and clinical practice&lt;/full-title&gt;&lt;/periodical&gt;&lt;pages&gt;103-111&lt;/pages&gt;&lt;volume&gt;104&lt;/volume&gt;&lt;number&gt;1&lt;/number&gt;&lt;dates&gt;&lt;year&gt;2014&lt;/year&gt;&lt;/dates&gt;&lt;isbn&gt;0168-8227&lt;/isbn&gt;&lt;urls&gt;&lt;/urls&gt;&lt;/record&gt;&lt;/Cite&gt;&lt;/EndNote&gt;</w:instrText>
      </w:r>
      <w:r>
        <w:rPr>
          <w:szCs w:val="22"/>
        </w:rPr>
        <w:fldChar w:fldCharType="separate"/>
      </w:r>
      <w:r>
        <w:rPr>
          <w:noProof/>
          <w:szCs w:val="22"/>
        </w:rPr>
        <w:t>[47]</w:t>
      </w:r>
      <w:r>
        <w:rPr>
          <w:szCs w:val="22"/>
        </w:rPr>
        <w:fldChar w:fldCharType="end"/>
      </w:r>
      <w:r>
        <w:rPr>
          <w:szCs w:val="22"/>
        </w:rPr>
        <w:t xml:space="preserve">. Therefore the main outcome for the economic evaluation is incremental cost per QALY gained. </w:t>
      </w:r>
    </w:p>
    <w:p w:rsidR="002E01E3" w:rsidRPr="008B719A" w:rsidRDefault="002E01E3" w:rsidP="002E01E3">
      <w:pPr>
        <w:pStyle w:val="Heading2"/>
        <w:rPr>
          <w:szCs w:val="22"/>
        </w:rPr>
      </w:pPr>
      <w:bookmarkStart w:id="74" w:name="_Toc410649155"/>
      <w:bookmarkStart w:id="75" w:name="_Toc420499081"/>
      <w:r w:rsidRPr="008B719A">
        <w:rPr>
          <w:szCs w:val="22"/>
        </w:rPr>
        <w:lastRenderedPageBreak/>
        <w:t>Health care resources</w:t>
      </w:r>
      <w:bookmarkEnd w:id="74"/>
      <w:bookmarkEnd w:id="75"/>
    </w:p>
    <w:p w:rsidR="002E01E3" w:rsidRDefault="002E01E3" w:rsidP="002E01E3">
      <w:pPr>
        <w:rPr>
          <w:szCs w:val="22"/>
          <w:lang w:val="en-GB" w:eastAsia="ja-JP"/>
        </w:rPr>
      </w:pPr>
      <w:r>
        <w:rPr>
          <w:szCs w:val="22"/>
          <w:lang w:val="en-GB" w:eastAsia="ja-JP"/>
        </w:rPr>
        <w:t xml:space="preserve">Table </w:t>
      </w:r>
      <w:r w:rsidR="004D5266">
        <w:rPr>
          <w:szCs w:val="22"/>
          <w:lang w:val="en-GB" w:eastAsia="ja-JP"/>
        </w:rPr>
        <w:t xml:space="preserve">11 </w:t>
      </w:r>
      <w:r>
        <w:rPr>
          <w:szCs w:val="22"/>
          <w:lang w:val="en-GB" w:eastAsia="ja-JP"/>
        </w:rPr>
        <w:t>provides a list of the healthcare resources whose utilisation will be considered in the assessment of shared medical appointments.</w:t>
      </w:r>
    </w:p>
    <w:p w:rsidR="002E01E3" w:rsidRPr="00A34E9C" w:rsidRDefault="002E01E3" w:rsidP="002E01E3">
      <w:pPr>
        <w:pStyle w:val="Caption"/>
      </w:pPr>
      <w:bookmarkStart w:id="76" w:name="_Ref283143211"/>
      <w:bookmarkStart w:id="77" w:name="_Ref283143206"/>
      <w:r w:rsidRPr="00A34E9C">
        <w:t xml:space="preserve">Table </w:t>
      </w:r>
      <w:bookmarkEnd w:id="76"/>
      <w:r w:rsidR="004D5266">
        <w:t>11</w:t>
      </w:r>
      <w:r w:rsidRPr="00A34E9C">
        <w:t>:</w:t>
      </w:r>
      <w:r w:rsidRPr="00A34E9C">
        <w:tab/>
      </w:r>
      <w:r>
        <w:t>List</w:t>
      </w:r>
      <w:r w:rsidRPr="00A34E9C">
        <w:t xml:space="preserve"> of resources to be considered in the economic analysis</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39"/>
        <w:gridCol w:w="1150"/>
        <w:gridCol w:w="850"/>
        <w:gridCol w:w="1003"/>
        <w:gridCol w:w="1042"/>
        <w:gridCol w:w="667"/>
        <w:gridCol w:w="665"/>
        <w:gridCol w:w="643"/>
        <w:gridCol w:w="663"/>
        <w:gridCol w:w="603"/>
        <w:gridCol w:w="657"/>
      </w:tblGrid>
      <w:tr w:rsidR="002E01E3" w:rsidRPr="00F12F1C">
        <w:trPr>
          <w:tblHeader/>
        </w:trPr>
        <w:tc>
          <w:tcPr>
            <w:tcW w:w="0" w:type="auto"/>
            <w:vMerge w:val="restart"/>
          </w:tcPr>
          <w:p w:rsidR="002E01E3" w:rsidRPr="00F12F1C" w:rsidRDefault="002E01E3" w:rsidP="002E01E3">
            <w:pPr>
              <w:keepNext/>
              <w:spacing w:after="0" w:line="240" w:lineRule="auto"/>
              <w:rPr>
                <w:rFonts w:ascii="Arial Narrow" w:hAnsi="Arial Narrow"/>
                <w:b/>
                <w:sz w:val="20"/>
              </w:rPr>
            </w:pPr>
          </w:p>
        </w:tc>
        <w:tc>
          <w:tcPr>
            <w:tcW w:w="0" w:type="auto"/>
            <w:vMerge w:val="restart"/>
            <w:shd w:val="clear" w:color="auto" w:fill="E5B8B7"/>
            <w:vAlign w:val="center"/>
          </w:tcPr>
          <w:p w:rsidR="002E01E3" w:rsidRPr="00F12F1C" w:rsidRDefault="002E01E3" w:rsidP="002E01E3">
            <w:pPr>
              <w:keepNext/>
              <w:spacing w:after="0" w:line="240" w:lineRule="auto"/>
              <w:jc w:val="center"/>
              <w:rPr>
                <w:rFonts w:ascii="Arial Narrow" w:hAnsi="Arial Narrow"/>
                <w:b/>
                <w:sz w:val="20"/>
              </w:rPr>
            </w:pPr>
            <w:r w:rsidRPr="00F12F1C">
              <w:rPr>
                <w:rFonts w:ascii="Arial Narrow" w:hAnsi="Arial Narrow"/>
                <w:b/>
                <w:sz w:val="20"/>
              </w:rPr>
              <w:t>Provider of resource</w:t>
            </w:r>
          </w:p>
        </w:tc>
        <w:tc>
          <w:tcPr>
            <w:tcW w:w="0" w:type="auto"/>
            <w:vMerge w:val="restart"/>
            <w:shd w:val="clear" w:color="auto" w:fill="E5B8B7"/>
            <w:vAlign w:val="center"/>
          </w:tcPr>
          <w:p w:rsidR="002E01E3" w:rsidRPr="00F12F1C" w:rsidRDefault="002E01E3" w:rsidP="002E01E3">
            <w:pPr>
              <w:keepNext/>
              <w:spacing w:after="0" w:line="240" w:lineRule="auto"/>
              <w:jc w:val="center"/>
              <w:rPr>
                <w:rFonts w:ascii="Arial Narrow" w:hAnsi="Arial Narrow"/>
                <w:b/>
                <w:sz w:val="20"/>
              </w:rPr>
            </w:pPr>
            <w:r w:rsidRPr="00F12F1C">
              <w:rPr>
                <w:rFonts w:ascii="Arial Narrow" w:hAnsi="Arial Narrow"/>
                <w:b/>
                <w:sz w:val="20"/>
              </w:rPr>
              <w:t>Setting in which resource is provided</w:t>
            </w:r>
          </w:p>
        </w:tc>
        <w:tc>
          <w:tcPr>
            <w:tcW w:w="0" w:type="auto"/>
            <w:vMerge w:val="restart"/>
            <w:shd w:val="clear" w:color="auto" w:fill="D6E3BC"/>
            <w:vAlign w:val="center"/>
          </w:tcPr>
          <w:p w:rsidR="002E01E3" w:rsidRPr="00F12F1C" w:rsidRDefault="002E01E3" w:rsidP="002E01E3">
            <w:pPr>
              <w:keepNext/>
              <w:spacing w:after="0" w:line="240" w:lineRule="auto"/>
              <w:jc w:val="center"/>
              <w:rPr>
                <w:rFonts w:ascii="Arial Narrow" w:hAnsi="Arial Narrow"/>
                <w:b/>
                <w:sz w:val="20"/>
              </w:rPr>
            </w:pPr>
            <w:r w:rsidRPr="00F12F1C">
              <w:rPr>
                <w:rFonts w:ascii="Arial Narrow" w:hAnsi="Arial Narrow"/>
                <w:b/>
                <w:sz w:val="20"/>
              </w:rPr>
              <w:t>Proportion of patients receiving resource</w:t>
            </w:r>
          </w:p>
        </w:tc>
        <w:tc>
          <w:tcPr>
            <w:tcW w:w="0" w:type="auto"/>
            <w:vMerge w:val="restart"/>
            <w:shd w:val="clear" w:color="auto" w:fill="D6E3BC"/>
            <w:vAlign w:val="center"/>
          </w:tcPr>
          <w:p w:rsidR="002E01E3" w:rsidRPr="00F12F1C" w:rsidRDefault="002E01E3" w:rsidP="002E01E3">
            <w:pPr>
              <w:keepNext/>
              <w:spacing w:after="0" w:line="240" w:lineRule="auto"/>
              <w:jc w:val="center"/>
              <w:rPr>
                <w:rFonts w:ascii="Arial Narrow" w:hAnsi="Arial Narrow"/>
                <w:b/>
                <w:sz w:val="20"/>
              </w:rPr>
            </w:pPr>
            <w:r w:rsidRPr="00F12F1C">
              <w:rPr>
                <w:rFonts w:ascii="Arial Narrow" w:hAnsi="Arial Narrow"/>
                <w:b/>
                <w:sz w:val="20"/>
              </w:rPr>
              <w:t>Number of units of resource per relevant time horizon per patient receiving resource</w:t>
            </w:r>
          </w:p>
        </w:tc>
        <w:tc>
          <w:tcPr>
            <w:tcW w:w="0" w:type="auto"/>
            <w:gridSpan w:val="6"/>
            <w:shd w:val="clear" w:color="auto" w:fill="FBD4B4"/>
          </w:tcPr>
          <w:p w:rsidR="002E01E3" w:rsidRPr="00F12F1C" w:rsidRDefault="002E01E3" w:rsidP="002E01E3">
            <w:pPr>
              <w:keepNext/>
              <w:spacing w:after="0" w:line="240" w:lineRule="auto"/>
              <w:jc w:val="center"/>
              <w:rPr>
                <w:rFonts w:ascii="Arial Narrow" w:hAnsi="Arial Narrow"/>
                <w:b/>
                <w:sz w:val="20"/>
              </w:rPr>
            </w:pPr>
            <w:r w:rsidRPr="00F12F1C">
              <w:rPr>
                <w:rFonts w:ascii="Arial Narrow" w:hAnsi="Arial Narrow"/>
                <w:b/>
                <w:sz w:val="20"/>
              </w:rPr>
              <w:t>Disaggregated unit cost</w:t>
            </w:r>
          </w:p>
        </w:tc>
      </w:tr>
      <w:tr w:rsidR="002E01E3" w:rsidRPr="00F12F1C">
        <w:trPr>
          <w:tblHeader/>
        </w:trPr>
        <w:tc>
          <w:tcPr>
            <w:tcW w:w="0" w:type="auto"/>
            <w:vMerge/>
          </w:tcPr>
          <w:p w:rsidR="002E01E3" w:rsidRPr="00F12F1C" w:rsidRDefault="002E01E3" w:rsidP="002E01E3">
            <w:pPr>
              <w:keepNext/>
              <w:spacing w:after="0" w:line="240" w:lineRule="auto"/>
              <w:rPr>
                <w:rFonts w:ascii="Arial Narrow" w:hAnsi="Arial Narrow"/>
                <w:sz w:val="20"/>
              </w:rPr>
            </w:pPr>
          </w:p>
        </w:tc>
        <w:tc>
          <w:tcPr>
            <w:tcW w:w="0" w:type="auto"/>
            <w:vMerge/>
            <w:shd w:val="clear" w:color="auto" w:fill="E5B8B7"/>
          </w:tcPr>
          <w:p w:rsidR="002E01E3" w:rsidRPr="00F12F1C" w:rsidRDefault="002E01E3" w:rsidP="002E01E3">
            <w:pPr>
              <w:keepNext/>
              <w:spacing w:after="0" w:line="240" w:lineRule="auto"/>
              <w:jc w:val="center"/>
              <w:rPr>
                <w:rFonts w:ascii="Arial Narrow" w:hAnsi="Arial Narrow"/>
                <w:sz w:val="20"/>
              </w:rPr>
            </w:pPr>
          </w:p>
        </w:tc>
        <w:tc>
          <w:tcPr>
            <w:tcW w:w="0" w:type="auto"/>
            <w:vMerge/>
            <w:shd w:val="clear" w:color="auto" w:fill="E5B8B7"/>
          </w:tcPr>
          <w:p w:rsidR="002E01E3" w:rsidRPr="00F12F1C" w:rsidRDefault="002E01E3" w:rsidP="002E01E3">
            <w:pPr>
              <w:keepNext/>
              <w:spacing w:after="0" w:line="240" w:lineRule="auto"/>
              <w:jc w:val="center"/>
              <w:rPr>
                <w:rFonts w:ascii="Arial Narrow" w:hAnsi="Arial Narrow"/>
                <w:sz w:val="20"/>
              </w:rPr>
            </w:pPr>
          </w:p>
        </w:tc>
        <w:tc>
          <w:tcPr>
            <w:tcW w:w="0" w:type="auto"/>
            <w:vMerge/>
            <w:shd w:val="clear" w:color="auto" w:fill="D6E3BC"/>
          </w:tcPr>
          <w:p w:rsidR="002E01E3" w:rsidRPr="00F12F1C" w:rsidRDefault="002E01E3" w:rsidP="002E01E3">
            <w:pPr>
              <w:keepNext/>
              <w:spacing w:after="0" w:line="240" w:lineRule="auto"/>
              <w:jc w:val="center"/>
              <w:rPr>
                <w:rFonts w:ascii="Arial Narrow" w:hAnsi="Arial Narrow"/>
                <w:sz w:val="20"/>
              </w:rPr>
            </w:pPr>
          </w:p>
        </w:tc>
        <w:tc>
          <w:tcPr>
            <w:tcW w:w="0" w:type="auto"/>
            <w:vMerge/>
            <w:shd w:val="clear" w:color="auto" w:fill="D6E3BC"/>
          </w:tcPr>
          <w:p w:rsidR="002E01E3" w:rsidRPr="00F12F1C" w:rsidRDefault="002E01E3" w:rsidP="002E01E3">
            <w:pPr>
              <w:keepNext/>
              <w:spacing w:after="0" w:line="240" w:lineRule="auto"/>
              <w:jc w:val="center"/>
              <w:rPr>
                <w:rFonts w:ascii="Arial Narrow" w:hAnsi="Arial Narrow"/>
                <w:sz w:val="20"/>
              </w:rPr>
            </w:pPr>
          </w:p>
        </w:tc>
        <w:tc>
          <w:tcPr>
            <w:tcW w:w="0" w:type="auto"/>
            <w:shd w:val="clear" w:color="auto" w:fill="FBD4B4"/>
            <w:vAlign w:val="center"/>
          </w:tcPr>
          <w:p w:rsidR="002E01E3" w:rsidRPr="00F12F1C" w:rsidRDefault="002E01E3" w:rsidP="002E01E3">
            <w:pPr>
              <w:keepNext/>
              <w:spacing w:after="0" w:line="240" w:lineRule="auto"/>
              <w:jc w:val="center"/>
              <w:rPr>
                <w:rFonts w:ascii="Arial Narrow" w:hAnsi="Arial Narrow"/>
                <w:b/>
                <w:sz w:val="20"/>
              </w:rPr>
            </w:pPr>
            <w:r w:rsidRPr="00F12F1C">
              <w:rPr>
                <w:rFonts w:ascii="Arial Narrow" w:hAnsi="Arial Narrow"/>
                <w:b/>
                <w:sz w:val="20"/>
              </w:rPr>
              <w:t>MBS</w:t>
            </w:r>
          </w:p>
        </w:tc>
        <w:tc>
          <w:tcPr>
            <w:tcW w:w="0" w:type="auto"/>
            <w:shd w:val="clear" w:color="auto" w:fill="FBD4B4"/>
            <w:vAlign w:val="center"/>
          </w:tcPr>
          <w:p w:rsidR="002E01E3" w:rsidRPr="00F12F1C" w:rsidRDefault="002E01E3" w:rsidP="002E01E3">
            <w:pPr>
              <w:keepNext/>
              <w:spacing w:after="0" w:line="240" w:lineRule="auto"/>
              <w:jc w:val="center"/>
              <w:rPr>
                <w:rFonts w:ascii="Arial Narrow" w:hAnsi="Arial Narrow"/>
                <w:b/>
                <w:sz w:val="20"/>
              </w:rPr>
            </w:pPr>
            <w:r w:rsidRPr="00F12F1C">
              <w:rPr>
                <w:rFonts w:ascii="Arial Narrow" w:hAnsi="Arial Narrow"/>
                <w:b/>
                <w:sz w:val="20"/>
              </w:rPr>
              <w:t>Safety nets*</w:t>
            </w:r>
          </w:p>
        </w:tc>
        <w:tc>
          <w:tcPr>
            <w:tcW w:w="0" w:type="auto"/>
            <w:shd w:val="clear" w:color="auto" w:fill="FBD4B4"/>
            <w:vAlign w:val="center"/>
          </w:tcPr>
          <w:p w:rsidR="002E01E3" w:rsidRPr="00F12F1C" w:rsidRDefault="002E01E3" w:rsidP="002E01E3">
            <w:pPr>
              <w:keepNext/>
              <w:spacing w:after="0" w:line="240" w:lineRule="auto"/>
              <w:jc w:val="center"/>
              <w:rPr>
                <w:rFonts w:ascii="Arial Narrow" w:hAnsi="Arial Narrow"/>
                <w:b/>
                <w:sz w:val="20"/>
              </w:rPr>
            </w:pPr>
            <w:r w:rsidRPr="00F12F1C">
              <w:rPr>
                <w:rFonts w:ascii="Arial Narrow" w:hAnsi="Arial Narrow"/>
                <w:b/>
                <w:sz w:val="20"/>
              </w:rPr>
              <w:t xml:space="preserve">Other </w:t>
            </w:r>
            <w:proofErr w:type="spellStart"/>
            <w:r w:rsidRPr="00F12F1C">
              <w:rPr>
                <w:rFonts w:ascii="Arial Narrow" w:hAnsi="Arial Narrow"/>
                <w:b/>
                <w:sz w:val="20"/>
              </w:rPr>
              <w:t>govt</w:t>
            </w:r>
            <w:proofErr w:type="spellEnd"/>
            <w:r w:rsidRPr="00F12F1C">
              <w:rPr>
                <w:rFonts w:ascii="Arial Narrow" w:hAnsi="Arial Narrow"/>
                <w:b/>
                <w:sz w:val="20"/>
              </w:rPr>
              <w:t xml:space="preserve"> budget</w:t>
            </w:r>
          </w:p>
        </w:tc>
        <w:tc>
          <w:tcPr>
            <w:tcW w:w="0" w:type="auto"/>
            <w:shd w:val="clear" w:color="auto" w:fill="FBD4B4"/>
            <w:vAlign w:val="center"/>
          </w:tcPr>
          <w:p w:rsidR="002E01E3" w:rsidRPr="00F12F1C" w:rsidRDefault="002E01E3" w:rsidP="002E01E3">
            <w:pPr>
              <w:keepNext/>
              <w:spacing w:after="0" w:line="240" w:lineRule="auto"/>
              <w:jc w:val="center"/>
              <w:rPr>
                <w:rFonts w:ascii="Arial Narrow" w:hAnsi="Arial Narrow"/>
                <w:b/>
                <w:sz w:val="20"/>
              </w:rPr>
            </w:pPr>
            <w:r w:rsidRPr="00F12F1C">
              <w:rPr>
                <w:rFonts w:ascii="Arial Narrow" w:hAnsi="Arial Narrow"/>
                <w:b/>
                <w:sz w:val="20"/>
              </w:rPr>
              <w:t>Private health insurer</w:t>
            </w:r>
          </w:p>
        </w:tc>
        <w:tc>
          <w:tcPr>
            <w:tcW w:w="0" w:type="auto"/>
            <w:shd w:val="clear" w:color="auto" w:fill="FBD4B4"/>
            <w:vAlign w:val="center"/>
          </w:tcPr>
          <w:p w:rsidR="002E01E3" w:rsidRPr="00F12F1C" w:rsidRDefault="002E01E3" w:rsidP="002E01E3">
            <w:pPr>
              <w:keepNext/>
              <w:spacing w:after="0" w:line="240" w:lineRule="auto"/>
              <w:jc w:val="center"/>
              <w:rPr>
                <w:rFonts w:ascii="Arial Narrow" w:hAnsi="Arial Narrow"/>
                <w:b/>
                <w:sz w:val="20"/>
              </w:rPr>
            </w:pPr>
            <w:r w:rsidRPr="00F12F1C">
              <w:rPr>
                <w:rFonts w:ascii="Arial Narrow" w:hAnsi="Arial Narrow"/>
                <w:b/>
                <w:sz w:val="20"/>
              </w:rPr>
              <w:t>Patient</w:t>
            </w:r>
          </w:p>
        </w:tc>
        <w:tc>
          <w:tcPr>
            <w:tcW w:w="0" w:type="auto"/>
            <w:shd w:val="clear" w:color="auto" w:fill="FBD4B4"/>
            <w:vAlign w:val="center"/>
          </w:tcPr>
          <w:p w:rsidR="002E01E3" w:rsidRPr="00F12F1C" w:rsidRDefault="002E01E3" w:rsidP="002E01E3">
            <w:pPr>
              <w:keepNext/>
              <w:spacing w:after="0" w:line="240" w:lineRule="auto"/>
              <w:jc w:val="center"/>
              <w:rPr>
                <w:rFonts w:ascii="Arial Narrow" w:hAnsi="Arial Narrow"/>
                <w:b/>
                <w:sz w:val="20"/>
              </w:rPr>
            </w:pPr>
            <w:r w:rsidRPr="00F12F1C">
              <w:rPr>
                <w:rFonts w:ascii="Arial Narrow" w:hAnsi="Arial Narrow"/>
                <w:b/>
                <w:sz w:val="20"/>
              </w:rPr>
              <w:t>Total cost</w:t>
            </w:r>
          </w:p>
        </w:tc>
      </w:tr>
      <w:tr w:rsidR="002E01E3" w:rsidRPr="00F12F1C">
        <w:tc>
          <w:tcPr>
            <w:tcW w:w="0" w:type="auto"/>
            <w:gridSpan w:val="11"/>
            <w:vAlign w:val="center"/>
          </w:tcPr>
          <w:p w:rsidR="002E01E3" w:rsidRPr="00F12F1C" w:rsidRDefault="002E01E3" w:rsidP="002E01E3">
            <w:pPr>
              <w:spacing w:after="0" w:line="240" w:lineRule="auto"/>
              <w:jc w:val="left"/>
              <w:rPr>
                <w:rFonts w:ascii="Arial Narrow" w:hAnsi="Arial Narrow"/>
                <w:sz w:val="20"/>
                <w:u w:val="single"/>
              </w:rPr>
            </w:pPr>
            <w:r w:rsidRPr="00F12F1C">
              <w:rPr>
                <w:rFonts w:ascii="Arial Narrow" w:hAnsi="Arial Narrow"/>
                <w:sz w:val="20"/>
                <w:u w:val="single"/>
              </w:rPr>
              <w:t xml:space="preserve">Resources provided to identify eligible population </w:t>
            </w:r>
          </w:p>
        </w:tc>
      </w:tr>
      <w:tr w:rsidR="002E01E3" w:rsidRPr="00F12F1C">
        <w:tc>
          <w:tcPr>
            <w:tcW w:w="0" w:type="auto"/>
          </w:tcPr>
          <w:p w:rsidR="002E01E3" w:rsidRPr="00F12F1C" w:rsidRDefault="002E01E3" w:rsidP="002E01E3">
            <w:pPr>
              <w:spacing w:after="0" w:line="240" w:lineRule="auto"/>
              <w:jc w:val="left"/>
              <w:rPr>
                <w:rFonts w:ascii="Arial Narrow" w:hAnsi="Arial Narrow"/>
                <w:sz w:val="20"/>
              </w:rPr>
            </w:pPr>
            <w:r w:rsidRPr="00F12F1C">
              <w:rPr>
                <w:rFonts w:ascii="Arial Narrow" w:hAnsi="Arial Narrow"/>
                <w:sz w:val="20"/>
              </w:rPr>
              <w:t>Brief Health assessment (MBS item # 701)</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 clinic</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$59.35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$178.05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$0.00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$59.35</w:t>
            </w:r>
          </w:p>
        </w:tc>
      </w:tr>
      <w:tr w:rsidR="002E01E3" w:rsidRPr="00F12F1C">
        <w:tc>
          <w:tcPr>
            <w:tcW w:w="0" w:type="auto"/>
          </w:tcPr>
          <w:p w:rsidR="002E01E3" w:rsidRPr="00F12F1C" w:rsidRDefault="002E01E3" w:rsidP="002E01E3">
            <w:pPr>
              <w:spacing w:after="0" w:line="240" w:lineRule="auto"/>
              <w:jc w:val="left"/>
              <w:rPr>
                <w:rFonts w:ascii="Arial Narrow" w:hAnsi="Arial Narrow"/>
                <w:sz w:val="20"/>
              </w:rPr>
            </w:pPr>
            <w:r w:rsidRPr="00F12F1C">
              <w:rPr>
                <w:rFonts w:ascii="Arial Narrow" w:hAnsi="Arial Narrow"/>
                <w:sz w:val="20"/>
              </w:rPr>
              <w:t>Standard Health assessment</w:t>
            </w:r>
            <w:r w:rsidRPr="00F12F1C">
              <w:rPr>
                <w:rFonts w:ascii="Arial Narrow" w:hAnsi="Arial Narrow"/>
                <w:sz w:val="20"/>
              </w:rPr>
              <w:br/>
              <w:t>(MBS item # 703)</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 clinic</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$137.90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$413.70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$0.00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$137.90</w:t>
            </w:r>
          </w:p>
        </w:tc>
      </w:tr>
      <w:tr w:rsidR="002E01E3" w:rsidRPr="00F12F1C">
        <w:tc>
          <w:tcPr>
            <w:tcW w:w="0" w:type="auto"/>
          </w:tcPr>
          <w:p w:rsidR="002E01E3" w:rsidRPr="00F12F1C" w:rsidRDefault="002E01E3" w:rsidP="002E01E3">
            <w:pPr>
              <w:spacing w:after="0" w:line="240" w:lineRule="auto"/>
              <w:jc w:val="left"/>
              <w:rPr>
                <w:rFonts w:ascii="Arial Narrow" w:hAnsi="Arial Narrow"/>
                <w:sz w:val="20"/>
              </w:rPr>
            </w:pPr>
            <w:r w:rsidRPr="00F12F1C">
              <w:rPr>
                <w:rFonts w:ascii="Arial Narrow" w:hAnsi="Arial Narrow"/>
                <w:sz w:val="20"/>
              </w:rPr>
              <w:t>Long Health assessment (MBS item # 705)</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 clinic</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$190.30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$500.00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$0.00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$190.30</w:t>
            </w:r>
          </w:p>
        </w:tc>
      </w:tr>
      <w:tr w:rsidR="002E01E3" w:rsidRPr="00F12F1C">
        <w:tc>
          <w:tcPr>
            <w:tcW w:w="0" w:type="auto"/>
          </w:tcPr>
          <w:p w:rsidR="002E01E3" w:rsidRPr="00F12F1C" w:rsidRDefault="002E01E3" w:rsidP="002E01E3">
            <w:pPr>
              <w:spacing w:after="0" w:line="240" w:lineRule="auto"/>
              <w:jc w:val="left"/>
              <w:rPr>
                <w:rFonts w:ascii="Arial Narrow" w:hAnsi="Arial Narrow"/>
                <w:sz w:val="20"/>
              </w:rPr>
            </w:pPr>
            <w:r w:rsidRPr="00F12F1C">
              <w:rPr>
                <w:rFonts w:ascii="Arial Narrow" w:hAnsi="Arial Narrow"/>
                <w:sz w:val="20"/>
              </w:rPr>
              <w:t>Prolonged Health assessment (MBS item # 707)</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 clinic</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$268.80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$500.00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$0.00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$268.80</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HbA</w:t>
            </w:r>
            <w:r w:rsidRPr="00F12F1C">
              <w:rPr>
                <w:rFonts w:ascii="Arial Narrow" w:hAnsi="Arial Narrow"/>
                <w:sz w:val="20"/>
                <w:vertAlign w:val="subscript"/>
              </w:rPr>
              <w:t>1c</w:t>
            </w:r>
            <w:r w:rsidRPr="00F12F1C">
              <w:rPr>
                <w:rFonts w:ascii="Arial Narrow" w:hAnsi="Arial Narrow"/>
                <w:sz w:val="20"/>
              </w:rPr>
              <w:t xml:space="preserve"> test </w:t>
            </w:r>
          </w:p>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(MBS item #66841)</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Pathologist</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$12.60 (75%)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N.A.</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$4.20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$16.80</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Fasting plasma glucose test</w:t>
            </w:r>
          </w:p>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(MBS item # 66500)</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$7.30 (75%)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$2.40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$9.70</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Oral glucose tolerance test</w:t>
            </w:r>
          </w:p>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(MBS item # 66542)</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 xml:space="preserve">$14.25 (75%) </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$4.70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$18.95</w:t>
            </w:r>
          </w:p>
        </w:tc>
      </w:tr>
      <w:tr w:rsidR="002E01E3" w:rsidRPr="00F12F1C">
        <w:tc>
          <w:tcPr>
            <w:tcW w:w="0" w:type="auto"/>
            <w:gridSpan w:val="11"/>
            <w:vAlign w:val="center"/>
          </w:tcPr>
          <w:p w:rsidR="002E01E3" w:rsidRPr="00F12F1C" w:rsidRDefault="002E01E3" w:rsidP="002E01E3">
            <w:pPr>
              <w:spacing w:after="0" w:line="240" w:lineRule="auto"/>
              <w:jc w:val="left"/>
              <w:rPr>
                <w:rFonts w:ascii="Arial Narrow" w:hAnsi="Arial Narrow"/>
                <w:sz w:val="20"/>
                <w:u w:val="single"/>
              </w:rPr>
            </w:pPr>
            <w:r w:rsidRPr="00F12F1C">
              <w:rPr>
                <w:rFonts w:ascii="Arial Narrow" w:hAnsi="Arial Narrow"/>
                <w:sz w:val="20"/>
                <w:u w:val="single"/>
              </w:rPr>
              <w:t>Resources provided to deliver proposed intervention</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Shared Medical appointment</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 group Facilitator, at least 1 practice nurse, Documenter</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Clinic, or aged-care facility</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left"/>
              <w:rPr>
                <w:rFonts w:ascii="Arial Narrow" w:hAnsi="Arial Narrow"/>
                <w:sz w:val="20"/>
              </w:rPr>
            </w:pPr>
            <w:r w:rsidRPr="00F12F1C">
              <w:rPr>
                <w:rFonts w:ascii="Arial Narrow" w:hAnsi="Arial Narrow"/>
                <w:sz w:val="20"/>
              </w:rPr>
              <w:t>$47.30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$0.00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$47.30</w:t>
            </w:r>
          </w:p>
        </w:tc>
      </w:tr>
      <w:tr w:rsidR="002E01E3" w:rsidRPr="00F12F1C">
        <w:tc>
          <w:tcPr>
            <w:tcW w:w="0" w:type="auto"/>
            <w:gridSpan w:val="11"/>
            <w:vAlign w:val="center"/>
          </w:tcPr>
          <w:p w:rsidR="002E01E3" w:rsidRPr="00F12F1C" w:rsidRDefault="002E01E3" w:rsidP="002E01E3">
            <w:pPr>
              <w:spacing w:after="0" w:line="240" w:lineRule="auto"/>
              <w:jc w:val="left"/>
              <w:rPr>
                <w:rFonts w:ascii="Arial Narrow" w:hAnsi="Arial Narrow"/>
                <w:sz w:val="20"/>
                <w:u w:val="single"/>
              </w:rPr>
            </w:pPr>
            <w:r w:rsidRPr="00F12F1C">
              <w:rPr>
                <w:rFonts w:ascii="Arial Narrow" w:hAnsi="Arial Narrow"/>
                <w:sz w:val="20"/>
                <w:u w:val="single"/>
              </w:rPr>
              <w:t>Resources provided in association with proposed intervention</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GP management plan (MBS item # 721)</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 clinic</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100%</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w:t>
            </w:r>
          </w:p>
        </w:tc>
        <w:tc>
          <w:tcPr>
            <w:tcW w:w="0" w:type="auto"/>
            <w:shd w:val="clear" w:color="auto" w:fill="FBD4B4"/>
          </w:tcPr>
          <w:p w:rsidR="002E01E3" w:rsidRPr="00F12F1C" w:rsidRDefault="002E01E3" w:rsidP="002E01E3">
            <w:pPr>
              <w:spacing w:after="0" w:line="240" w:lineRule="auto"/>
              <w:jc w:val="left"/>
              <w:rPr>
                <w:rFonts w:ascii="Arial Narrow" w:hAnsi="Arial Narrow"/>
                <w:sz w:val="20"/>
              </w:rPr>
            </w:pPr>
            <w:r w:rsidRPr="00F12F1C">
              <w:rPr>
                <w:rFonts w:ascii="Arial Narrow" w:hAnsi="Arial Narrow"/>
                <w:sz w:val="20"/>
              </w:rPr>
              <w:t>$108.20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$432.75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$36.05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$144.25</w:t>
            </w:r>
          </w:p>
        </w:tc>
      </w:tr>
      <w:tr w:rsidR="002E01E3" w:rsidRPr="00F12F1C">
        <w:tc>
          <w:tcPr>
            <w:tcW w:w="0" w:type="auto"/>
            <w:gridSpan w:val="11"/>
            <w:vAlign w:val="center"/>
          </w:tcPr>
          <w:p w:rsidR="002E01E3" w:rsidRPr="00F12F1C" w:rsidRDefault="002E01E3" w:rsidP="002E01E3">
            <w:pPr>
              <w:spacing w:after="0" w:line="240" w:lineRule="auto"/>
              <w:jc w:val="left"/>
              <w:rPr>
                <w:rFonts w:ascii="Arial Narrow" w:hAnsi="Arial Narrow"/>
                <w:sz w:val="20"/>
                <w:u w:val="single"/>
              </w:rPr>
            </w:pPr>
            <w:r w:rsidRPr="00F12F1C">
              <w:rPr>
                <w:rFonts w:ascii="Arial Narrow" w:hAnsi="Arial Narrow"/>
                <w:sz w:val="20"/>
                <w:u w:val="single"/>
              </w:rPr>
              <w:lastRenderedPageBreak/>
              <w:t>Resources provided to deliver comparator</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Standard GP visit (&lt;20 mins)</w:t>
            </w:r>
          </w:p>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(MBS item # 23)</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 clinic</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$37.05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$111.15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$0.00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$37.05</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Extended GP visit (20-40 mins)</w:t>
            </w:r>
          </w:p>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(MBS item # 36)</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 clinic</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$71.70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$215.10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$0.00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$71.70</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Extended GP visit (&gt;40 mins)</w:t>
            </w:r>
          </w:p>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(MBS item # 44)</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 clinic</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$105.55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$316.65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$0.00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$105.55</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Monitoring person with a chronic disease care plan.</w:t>
            </w:r>
          </w:p>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(MBS item # 10997)</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Practice nurse, or Aboriginal and Torres Strait Islander health practitioner</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GP clinic</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$12.00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$36.00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$0.00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$12.00</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Group allied health MBS item 81100</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Diabetes educator</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$67.90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$239.55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$11.95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$79.85</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Group allied health MBS item 81105</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Diabetes educator</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$16.95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$59.70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$2.95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$19.90</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Group allied health MBS item 81110</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Exercise physiologist</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$67.90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$239.55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$11.95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$79.85</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Group allied health MBS item 81115</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Exercise physiologist</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$16.95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$59.70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$2.95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$19.90</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Group allied health MBS item 81120</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proofErr w:type="spellStart"/>
            <w:r w:rsidRPr="00F12F1C">
              <w:rPr>
                <w:rFonts w:ascii="Arial Narrow" w:hAnsi="Arial Narrow"/>
                <w:sz w:val="20"/>
              </w:rPr>
              <w:t>Dietitian</w:t>
            </w:r>
            <w:proofErr w:type="spellEnd"/>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$67.90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$239.55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$11.95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$79.85</w:t>
            </w:r>
          </w:p>
        </w:tc>
      </w:tr>
      <w:tr w:rsidR="002E01E3" w:rsidRPr="00F12F1C">
        <w:tc>
          <w:tcPr>
            <w:tcW w:w="0" w:type="auto"/>
          </w:tcPr>
          <w:p w:rsidR="002E01E3" w:rsidRPr="00F12F1C" w:rsidRDefault="002E01E3" w:rsidP="002E01E3">
            <w:pPr>
              <w:spacing w:after="0" w:line="240" w:lineRule="auto"/>
              <w:contextualSpacing/>
              <w:jc w:val="left"/>
              <w:rPr>
                <w:rFonts w:ascii="Arial Narrow" w:hAnsi="Arial Narrow"/>
                <w:sz w:val="20"/>
              </w:rPr>
            </w:pPr>
            <w:r w:rsidRPr="00F12F1C">
              <w:rPr>
                <w:rFonts w:ascii="Arial Narrow" w:hAnsi="Arial Narrow"/>
                <w:sz w:val="20"/>
              </w:rPr>
              <w:t>Group allied health MBS item 81125</w:t>
            </w:r>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proofErr w:type="spellStart"/>
            <w:r w:rsidRPr="00F12F1C">
              <w:rPr>
                <w:rFonts w:ascii="Arial Narrow" w:hAnsi="Arial Narrow"/>
                <w:sz w:val="20"/>
              </w:rPr>
              <w:t>Dietitian</w:t>
            </w:r>
            <w:proofErr w:type="spellEnd"/>
          </w:p>
        </w:tc>
        <w:tc>
          <w:tcPr>
            <w:tcW w:w="0" w:type="auto"/>
            <w:shd w:val="clear" w:color="auto" w:fill="E5B8B7"/>
          </w:tcPr>
          <w:p w:rsidR="002E01E3" w:rsidRPr="00F12F1C" w:rsidRDefault="002E01E3" w:rsidP="002E01E3">
            <w:pPr>
              <w:spacing w:after="0" w:line="240" w:lineRule="auto"/>
              <w:jc w:val="center"/>
              <w:rPr>
                <w:rFonts w:ascii="Arial Narrow" w:hAnsi="Arial Narrow"/>
                <w:sz w:val="20"/>
              </w:rPr>
            </w:pP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D6E3BC"/>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x</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$16.95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$59.70</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$2.95</w:t>
            </w:r>
          </w:p>
        </w:tc>
        <w:tc>
          <w:tcPr>
            <w:tcW w:w="0" w:type="auto"/>
            <w:shd w:val="clear" w:color="auto" w:fill="FBD4B4"/>
          </w:tcPr>
          <w:p w:rsidR="002E01E3" w:rsidRPr="00F12F1C" w:rsidRDefault="002E01E3" w:rsidP="002E01E3">
            <w:pPr>
              <w:spacing w:after="0" w:line="240" w:lineRule="auto"/>
              <w:jc w:val="center"/>
              <w:rPr>
                <w:rFonts w:ascii="Arial Narrow" w:hAnsi="Arial Narrow"/>
                <w:sz w:val="20"/>
              </w:rPr>
            </w:pPr>
            <w:r w:rsidRPr="00F12F1C">
              <w:rPr>
                <w:rFonts w:ascii="Arial Narrow" w:hAnsi="Arial Narrow"/>
                <w:sz w:val="20"/>
              </w:rPr>
              <w:t>$19.90</w:t>
            </w:r>
          </w:p>
        </w:tc>
      </w:tr>
    </w:tbl>
    <w:p w:rsidR="002E01E3" w:rsidRPr="00005D10" w:rsidRDefault="002E01E3" w:rsidP="002E01E3">
      <w:pPr>
        <w:rPr>
          <w:rFonts w:ascii="Arial Narrow" w:hAnsi="Arial Narrow" w:cs="Arial"/>
          <w:szCs w:val="22"/>
        </w:rPr>
      </w:pPr>
      <w:r w:rsidRPr="00005D10">
        <w:rPr>
          <w:rFonts w:ascii="Arial Narrow" w:hAnsi="Arial Narrow" w:cs="Arial"/>
          <w:szCs w:val="22"/>
        </w:rPr>
        <w:t>* Include costs relating to both the standard and extended safety net.</w:t>
      </w:r>
    </w:p>
    <w:p w:rsidR="002E01E3" w:rsidRDefault="002E01E3" w:rsidP="002E01E3">
      <w:pPr>
        <w:pStyle w:val="Heading1"/>
      </w:pPr>
      <w:bookmarkStart w:id="78" w:name="_Toc410649156"/>
      <w:bookmarkStart w:id="79" w:name="_Toc420499082"/>
      <w:r>
        <w:lastRenderedPageBreak/>
        <w:t>Proposed structure of economic evaluation (decision-analytic)</w:t>
      </w:r>
      <w:bookmarkEnd w:id="78"/>
      <w:bookmarkEnd w:id="79"/>
    </w:p>
    <w:p w:rsidR="002E01E3" w:rsidRDefault="002E01E3" w:rsidP="002E01E3">
      <w:pPr>
        <w:rPr>
          <w:szCs w:val="22"/>
        </w:rPr>
      </w:pPr>
      <w:r>
        <w:rPr>
          <w:szCs w:val="22"/>
        </w:rPr>
        <w:t>In order to evaluate this proposal, an economic evaluation will be conducted, combining evidence on both clinical and healthcare resource data. Since T2DM is a chronic, non-communicable disease, a lifetime health state transition (Markov) model would be appropriate. The model will compare the health and economic outcomes of a strategy of shared medical appointments versus usual GP care in patients with T2DM.</w:t>
      </w:r>
    </w:p>
    <w:p w:rsidR="002E01E3" w:rsidRDefault="002E01E3" w:rsidP="002E01E3">
      <w:pPr>
        <w:rPr>
          <w:szCs w:val="22"/>
        </w:rPr>
      </w:pPr>
      <w:r>
        <w:rPr>
          <w:szCs w:val="22"/>
        </w:rPr>
        <w:t xml:space="preserve">The model will closely mirror the management algorithm proposed for the shared medical appointment and it will be based on the best available evidence to populate the necessary cost, clinical and utility values. The methodology will be guided by current good practice guidelines for state-transition modelling </w:t>
      </w:r>
      <w:r>
        <w:rPr>
          <w:szCs w:val="22"/>
        </w:rPr>
        <w:fldChar w:fldCharType="begin"/>
      </w:r>
      <w:r>
        <w:rPr>
          <w:szCs w:val="22"/>
        </w:rPr>
        <w:instrText xml:space="preserve"> ADDIN EN.CITE &lt;EndNote&gt;&lt;Cite&gt;&lt;Author&gt;Jaime Caro&lt;/Author&gt;&lt;Year&gt;2014&lt;/Year&gt;&lt;RecNum&gt;111&lt;/RecNum&gt;&lt;DisplayText&gt;[48, 49]&lt;/DisplayText&gt;&lt;record&gt;&lt;rec-number&gt;111&lt;/rec-number&gt;&lt;foreign-keys&gt;&lt;key app="EN" db-id="edz5s99awvadpbexfxhvwe0ofp2svdwzsdpf" timestamp="1413870669"&gt;111&lt;/key&gt;&lt;/foreign-keys&gt;&lt;ref-type name="Journal Article"&gt;17&lt;/ref-type&gt;&lt;contributors&gt;&lt;authors&gt;&lt;author&gt;Jaime Caro, J&lt;/author&gt;&lt;author&gt;Eddy, David M&lt;/author&gt;&lt;author&gt;Kan, Hong&lt;/author&gt;&lt;author&gt;Kaltz, Cheryl&lt;/author&gt;&lt;author&gt;Patel, Bimal&lt;/author&gt;&lt;author&gt;Eldessouki, Randa&lt;/author&gt;&lt;author&gt;Briggs, Andrew H&lt;/author&gt;&lt;/authors&gt;&lt;/contributors&gt;&lt;titles&gt;&lt;title&gt;Questionnaire to Assess Relevance and Credibility of Modeling Studies for Informing Health Care Decision Making: An ISPOR-AMCP-NPC Good Practice Task Force Report&lt;/title&gt;&lt;secondary-title&gt;Value in Health&lt;/secondary-title&gt;&lt;/titles&gt;&lt;periodical&gt;&lt;full-title&gt;Value in Health&lt;/full-title&gt;&lt;/periodical&gt;&lt;pages&gt;174-182&lt;/pages&gt;&lt;volume&gt;17&lt;/volume&gt;&lt;number&gt;2&lt;/number&gt;&lt;dates&gt;&lt;year&gt;2014&lt;/year&gt;&lt;/dates&gt;&lt;isbn&gt;1098-3015&lt;/isbn&gt;&lt;urls&gt;&lt;/urls&gt;&lt;/record&gt;&lt;/Cite&gt;&lt;Cite&gt;&lt;Author&gt;Siebert&lt;/Author&gt;&lt;Year&gt;2012&lt;/Year&gt;&lt;RecNum&gt;110&lt;/RecNum&gt;&lt;record&gt;&lt;rec-number&gt;110&lt;/rec-number&gt;&lt;foreign-keys&gt;&lt;key app="EN" db-id="edz5s99awvadpbexfxhvwe0ofp2svdwzsdpf" timestamp="1413870523"&gt;110&lt;/key&gt;&lt;/foreign-keys&gt;&lt;ref-type name="Journal Article"&gt;17&lt;/ref-type&gt;&lt;contributors&gt;&lt;authors&gt;&lt;author&gt;Siebert, Uwe&lt;/author&gt;&lt;author&gt;Alagoz, Oguzhan&lt;/author&gt;&lt;author&gt;Bayoumi, Ahmed M&lt;/author&gt;&lt;author&gt;Jahn, Beate&lt;/author&gt;&lt;author&gt;Owens, Douglas K&lt;/author&gt;&lt;author&gt;Cohen, David J&lt;/author&gt;&lt;author&gt;Kuntz, Karen M&lt;/author&gt;&lt;/authors&gt;&lt;/contributors&gt;&lt;titles&gt;&lt;title&gt;State-transition modeling: a report of the ISPOR-SMDM modeling good research practices task force-3&lt;/title&gt;&lt;secondary-title&gt;Value in Health&lt;/secondary-title&gt;&lt;/titles&gt;&lt;periodical&gt;&lt;full-title&gt;Value in Health&lt;/full-title&gt;&lt;/periodical&gt;&lt;pages&gt;812-820&lt;/pages&gt;&lt;volume&gt;15&lt;/volume&gt;&lt;number&gt;6&lt;/number&gt;&lt;dates&gt;&lt;year&gt;2012&lt;/year&gt;&lt;/dates&gt;&lt;isbn&gt;1098-3015&lt;/isbn&gt;&lt;urls&gt;&lt;/urls&gt;&lt;/record&gt;&lt;/Cite&gt;&lt;/EndNote&gt;</w:instrText>
      </w:r>
      <w:r>
        <w:rPr>
          <w:szCs w:val="22"/>
        </w:rPr>
        <w:fldChar w:fldCharType="separate"/>
      </w:r>
      <w:r>
        <w:rPr>
          <w:noProof/>
          <w:szCs w:val="22"/>
        </w:rPr>
        <w:t>[48, 49]</w:t>
      </w:r>
      <w:r>
        <w:rPr>
          <w:szCs w:val="22"/>
        </w:rPr>
        <w:fldChar w:fldCharType="end"/>
      </w:r>
      <w:r>
        <w:rPr>
          <w:szCs w:val="22"/>
        </w:rPr>
        <w:t>.</w:t>
      </w:r>
    </w:p>
    <w:p w:rsidR="002E01E3" w:rsidRPr="000D0944" w:rsidRDefault="002E01E3" w:rsidP="002E01E3">
      <w:pPr>
        <w:rPr>
          <w:szCs w:val="22"/>
        </w:rPr>
      </w:pPr>
      <w:r>
        <w:rPr>
          <w:szCs w:val="22"/>
        </w:rPr>
        <w:t>The model will link the evidence for shared medical appointments and it is expected that shared medical appointments will lead to improved patient health behaviours through improved clinical care and self-management of HbA</w:t>
      </w:r>
      <w:r w:rsidRPr="00135F7F">
        <w:rPr>
          <w:szCs w:val="22"/>
          <w:vertAlign w:val="subscript"/>
        </w:rPr>
        <w:t>1c</w:t>
      </w:r>
      <w:r>
        <w:rPr>
          <w:szCs w:val="22"/>
        </w:rPr>
        <w:t xml:space="preserve"> levels. In turn this will lead to lower HbA</w:t>
      </w:r>
      <w:r w:rsidRPr="00135F7F">
        <w:rPr>
          <w:szCs w:val="22"/>
          <w:vertAlign w:val="subscript"/>
        </w:rPr>
        <w:t>1c</w:t>
      </w:r>
      <w:r>
        <w:rPr>
          <w:szCs w:val="22"/>
        </w:rPr>
        <w:t xml:space="preserve"> levels, improved health outcomes, quality of life and the accompanying costs.</w:t>
      </w:r>
    </w:p>
    <w:p w:rsidR="002E01E3" w:rsidRDefault="002E01E3" w:rsidP="002E01E3">
      <w:pPr>
        <w:rPr>
          <w:szCs w:val="22"/>
        </w:rPr>
      </w:pPr>
      <w:r>
        <w:rPr>
          <w:szCs w:val="22"/>
        </w:rPr>
        <w:t>A Markov model consists of a cohort of patients, initially beginning in a health state typified by patients with T2DM. In discrete time steps, patients move into different health states with fixed transition probabilities or remain in the same health state. Each health state would correspond to a different level of disease (or groups of HbA</w:t>
      </w:r>
      <w:r w:rsidRPr="00135F7F">
        <w:rPr>
          <w:szCs w:val="22"/>
          <w:vertAlign w:val="subscript"/>
        </w:rPr>
        <w:t>1c</w:t>
      </w:r>
      <w:r>
        <w:rPr>
          <w:szCs w:val="22"/>
          <w:vertAlign w:val="superscript"/>
        </w:rPr>
        <w:t xml:space="preserve"> </w:t>
      </w:r>
      <w:r>
        <w:rPr>
          <w:szCs w:val="22"/>
        </w:rPr>
        <w:t xml:space="preserve">levels), with associated risks, costs, and utilities. This approach was used previously in Australia for another intervention for people with established T2DM </w:t>
      </w:r>
      <w:r>
        <w:rPr>
          <w:szCs w:val="22"/>
        </w:rPr>
        <w:fldChar w:fldCharType="begin"/>
      </w:r>
      <w:r>
        <w:rPr>
          <w:szCs w:val="22"/>
        </w:rPr>
        <w:instrText xml:space="preserve"> ADDIN EN.CITE &lt;EndNote&gt;&lt;Cite&gt;&lt;Author&gt;Gordon&lt;/Author&gt;&lt;Year&gt;2014&lt;/Year&gt;&lt;RecNum&gt;62&lt;/RecNum&gt;&lt;DisplayText&gt;[47]&lt;/DisplayText&gt;&lt;record&gt;&lt;rec-number&gt;62&lt;/rec-number&gt;&lt;foreign-keys&gt;&lt;key app="EN" db-id="edz5s99awvadpbexfxhvwe0ofp2svdwzsdpf" timestamp="1413253397"&gt;62&lt;/key&gt;&lt;/foreign-keys&gt;&lt;ref-type name="Journal Article"&gt;17&lt;/ref-type&gt;&lt;contributors&gt;&lt;authors&gt;&lt;author&gt;Gordon, LG&lt;/author&gt;&lt;author&gt;Bird, D&lt;/author&gt;&lt;author&gt;Oldenburg, B&lt;/author&gt;&lt;author&gt;Friedman, RH&lt;/author&gt;&lt;author&gt;Russell, AW&lt;/author&gt;&lt;author&gt;Scuffham, PA&lt;/author&gt;&lt;/authors&gt;&lt;/contributors&gt;&lt;titles&gt;&lt;title&gt;A cost-effectiveness analysis of a telephone-linked care intervention for individuals with Type 2 diabetes&lt;/title&gt;&lt;secondary-title&gt;Diabetes research and clinical practice&lt;/secondary-title&gt;&lt;/titles&gt;&lt;periodical&gt;&lt;full-title&gt;Diabetes research and clinical practice&lt;/full-title&gt;&lt;/periodical&gt;&lt;pages&gt;103-111&lt;/pages&gt;&lt;volume&gt;104&lt;/volume&gt;&lt;number&gt;1&lt;/number&gt;&lt;dates&gt;&lt;year&gt;2014&lt;/year&gt;&lt;/dates&gt;&lt;isbn&gt;0168-8227&lt;/isbn&gt;&lt;urls&gt;&lt;/urls&gt;&lt;/record&gt;&lt;/Cite&gt;&lt;/EndNote&gt;</w:instrText>
      </w:r>
      <w:r>
        <w:rPr>
          <w:szCs w:val="22"/>
        </w:rPr>
        <w:fldChar w:fldCharType="separate"/>
      </w:r>
      <w:r>
        <w:rPr>
          <w:noProof/>
          <w:szCs w:val="22"/>
        </w:rPr>
        <w:t>[47]</w:t>
      </w:r>
      <w:r>
        <w:rPr>
          <w:szCs w:val="22"/>
        </w:rPr>
        <w:fldChar w:fldCharType="end"/>
      </w:r>
      <w:r>
        <w:rPr>
          <w:szCs w:val="22"/>
        </w:rPr>
        <w:t>. The clinical evidence will be used to provide transition probabilities between health states, which will populate the economic model along with estimates of other economically relevant variables.</w:t>
      </w:r>
    </w:p>
    <w:p w:rsidR="002E01E3" w:rsidRDefault="002E01E3" w:rsidP="002E01E3">
      <w:pPr>
        <w:pStyle w:val="Heading2"/>
      </w:pPr>
      <w:bookmarkStart w:id="80" w:name="_Toc410649157"/>
      <w:bookmarkStart w:id="81" w:name="_Toc420499083"/>
      <w:r>
        <w:t>Data estimates</w:t>
      </w:r>
      <w:bookmarkEnd w:id="80"/>
      <w:bookmarkEnd w:id="81"/>
    </w:p>
    <w:p w:rsidR="002E01E3" w:rsidRDefault="002E01E3" w:rsidP="002E01E3">
      <w:pPr>
        <w:rPr>
          <w:szCs w:val="22"/>
        </w:rPr>
      </w:pPr>
      <w:r>
        <w:rPr>
          <w:szCs w:val="22"/>
        </w:rPr>
        <w:t xml:space="preserve">There are a number of Australian sources available for utilities, costs, probabilities, and mortality. The risk of mortality will be extracted from Australian estimates of all-cause mortality for individuals with various levels of hyperglycaemia </w:t>
      </w:r>
      <w:r>
        <w:rPr>
          <w:szCs w:val="22"/>
        </w:rPr>
        <w:fldChar w:fldCharType="begin"/>
      </w:r>
      <w:r>
        <w:rPr>
          <w:szCs w:val="22"/>
        </w:rPr>
        <w:instrText xml:space="preserve"> ADDIN EN.CITE &lt;EndNote&gt;&lt;Cite&gt;&lt;Author&gt;Barr&lt;/Author&gt;&lt;Year&gt;2007&lt;/Year&gt;&lt;RecNum&gt;112&lt;/RecNum&gt;&lt;DisplayText&gt;[50]&lt;/DisplayText&gt;&lt;record&gt;&lt;rec-number&gt;112&lt;/rec-number&gt;&lt;foreign-keys&gt;&lt;key app="EN" db-id="edz5s99awvadpbexfxhvwe0ofp2svdwzsdpf" timestamp="1413930731"&gt;112&lt;/key&gt;&lt;/foreign-keys&gt;&lt;ref-type name="Journal Article"&gt;17&lt;/ref-type&gt;&lt;contributors&gt;&lt;authors&gt;&lt;author&gt;Barr, Elizabeth LM&lt;/author&gt;&lt;author&gt;Zimmet, Paul Z&lt;/author&gt;&lt;author&gt;Welborn, Timothy A&lt;/author&gt;&lt;author&gt;Jolley, Damien&lt;/author&gt;&lt;author&gt;Magliano, Dianna J&lt;/author&gt;&lt;author&gt;Dunstan, David W&lt;/author&gt;&lt;author&gt;Cameron, Adrian J&lt;/author&gt;&lt;author&gt;Dwyer, Terry&lt;/author&gt;&lt;author&gt;Taylor, Hugh R&lt;/author&gt;&lt;author&gt;Tonkin, Andrew M&lt;/author&gt;&lt;/authors&gt;&lt;/contributors&gt;&lt;titles&gt;&lt;title&gt;Risk of cardiovascular and all-cause mortality in individuals with diabetes mellitus, impaired fasting glucose, and impaired glucose tolerance The Australian Diabetes, Obesity, and Lifestyle Study (AusDiab)&lt;/title&gt;&lt;secondary-title&gt;Circulation&lt;/secondary-title&gt;&lt;/titles&gt;&lt;periodical&gt;&lt;full-title&gt;Circulation&lt;/full-title&gt;&lt;/periodical&gt;&lt;pages&gt;151-157&lt;/pages&gt;&lt;volume&gt;116&lt;/volume&gt;&lt;number&gt;2&lt;/number&gt;&lt;dates&gt;&lt;year&gt;2007&lt;/year&gt;&lt;/dates&gt;&lt;isbn&gt;0009-7322&lt;/isbn&gt;&lt;urls&gt;&lt;/urls&gt;&lt;/record&gt;&lt;/Cite&gt;&lt;/EndNote&gt;</w:instrText>
      </w:r>
      <w:r>
        <w:rPr>
          <w:szCs w:val="22"/>
        </w:rPr>
        <w:fldChar w:fldCharType="separate"/>
      </w:r>
      <w:r>
        <w:rPr>
          <w:noProof/>
          <w:szCs w:val="22"/>
        </w:rPr>
        <w:t>[50]</w:t>
      </w:r>
      <w:r>
        <w:rPr>
          <w:szCs w:val="22"/>
        </w:rPr>
        <w:fldChar w:fldCharType="end"/>
      </w:r>
      <w:r>
        <w:rPr>
          <w:szCs w:val="22"/>
        </w:rPr>
        <w:t>. In every health state, there is an age-dependent risk of mortality. This could be measured as a ‘relative risk,’ as reported in the Australian ‘</w:t>
      </w:r>
      <w:proofErr w:type="spellStart"/>
      <w:r>
        <w:rPr>
          <w:szCs w:val="22"/>
        </w:rPr>
        <w:t>AusDiab</w:t>
      </w:r>
      <w:proofErr w:type="spellEnd"/>
      <w:r>
        <w:rPr>
          <w:szCs w:val="22"/>
        </w:rPr>
        <w:t xml:space="preserve">’ study </w:t>
      </w:r>
      <w:r>
        <w:rPr>
          <w:szCs w:val="22"/>
        </w:rPr>
        <w:fldChar w:fldCharType="begin"/>
      </w:r>
      <w:r>
        <w:rPr>
          <w:szCs w:val="22"/>
        </w:rPr>
        <w:instrText xml:space="preserve"> ADDIN EN.CITE &lt;EndNote&gt;&lt;Cite&gt;&lt;Author&gt;Health&lt;/Author&gt;&lt;Year&gt;2006&lt;/Year&gt;&lt;RecNum&gt;65&lt;/RecNum&gt;&lt;DisplayText&gt;[7]&lt;/DisplayText&gt;&lt;record&gt;&lt;rec-number&gt;65&lt;/rec-number&gt;&lt;foreign-keys&gt;&lt;key app="EN" db-id="edz5s99awvadpbexfxhvwe0ofp2svdwzsdpf" timestamp="1413343754"&gt;65&lt;/key&gt;&lt;/foreign-keys&gt;&lt;ref-type name="Book"&gt;6&lt;/ref-type&gt;&lt;contributors&gt;&lt;authors&gt;&lt;author&gt;National Health&lt;/author&gt;&lt;author&gt;Medical Research Council&lt;/author&gt;&lt;author&gt;Barr, ELM&lt;/author&gt;&lt;/authors&gt;&lt;/contributors&gt;&lt;titles&gt;&lt;title&gt;AusDiab 2005: the Australian Diabetes, Obesity and Lifestyle Study: tracking the accelerating epidemic: its causes and outcomes&lt;/title&gt;&lt;/titles&gt;&lt;dates&gt;&lt;year&gt;2006&lt;/year&gt;&lt;/dates&gt;&lt;publisher&gt;International Diabetes Institute&lt;/publisher&gt;&lt;isbn&gt;0646459392&lt;/isbn&gt;&lt;urls&gt;&lt;/urls&gt;&lt;/record&gt;&lt;/Cite&gt;&lt;/EndNote&gt;</w:instrText>
      </w:r>
      <w:r>
        <w:rPr>
          <w:szCs w:val="22"/>
        </w:rPr>
        <w:fldChar w:fldCharType="separate"/>
      </w:r>
      <w:r>
        <w:rPr>
          <w:noProof/>
          <w:szCs w:val="22"/>
        </w:rPr>
        <w:t>[7]</w:t>
      </w:r>
      <w:r>
        <w:rPr>
          <w:szCs w:val="22"/>
        </w:rPr>
        <w:fldChar w:fldCharType="end"/>
      </w:r>
      <w:r>
        <w:rPr>
          <w:szCs w:val="22"/>
        </w:rPr>
        <w:t>. Therefore, Australian data is available on excess mortality in people with elevated HbA</w:t>
      </w:r>
      <w:r w:rsidRPr="00135F7F">
        <w:rPr>
          <w:szCs w:val="22"/>
          <w:vertAlign w:val="subscript"/>
        </w:rPr>
        <w:t>1c</w:t>
      </w:r>
      <w:r>
        <w:rPr>
          <w:szCs w:val="22"/>
        </w:rPr>
        <w:t xml:space="preserve"> levels over a 7-year follow up. In addition to </w:t>
      </w:r>
      <w:r>
        <w:rPr>
          <w:szCs w:val="22"/>
        </w:rPr>
        <w:lastRenderedPageBreak/>
        <w:t xml:space="preserve">mortality, the risk of non-fatal adverse events for patients with various levels of glucose control is also reported </w:t>
      </w:r>
      <w:r>
        <w:rPr>
          <w:szCs w:val="22"/>
        </w:rPr>
        <w:fldChar w:fldCharType="begin">
          <w:fldData xml:space="preserve">PEVuZE5vdGU+PENpdGU+PEF1dGhvcj5CYXJyPC9BdXRob3I+PFllYXI+MjAwOTwvWWVhcj48UmVj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</w:fldData>
        </w:fldChar>
      </w:r>
      <w:r>
        <w:rPr>
          <w:szCs w:val="22"/>
        </w:rPr>
        <w:instrText xml:space="preserve"> ADDIN EN.CITE </w:instrText>
      </w:r>
      <w:r>
        <w:rPr>
          <w:szCs w:val="22"/>
        </w:rPr>
        <w:fldChar w:fldCharType="begin">
          <w:fldData xml:space="preserve">PEVuZE5vdGU+PENpdGU+PEF1dGhvcj5CYXJyPC9BdXRob3I+PFllYXI+MjAwOTwvWWVhcj48UmVj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</w:fldData>
        </w:fldChar>
      </w:r>
      <w:r>
        <w:rPr>
          <w:szCs w:val="22"/>
        </w:rPr>
        <w:instrText xml:space="preserve"> ADDIN EN.CITE.DATA </w:instrText>
      </w:r>
      <w:r>
        <w:rPr>
          <w:szCs w:val="22"/>
        </w:rPr>
      </w:r>
      <w:r>
        <w:rPr>
          <w:szCs w:val="22"/>
        </w:rPr>
        <w:fldChar w:fldCharType="end"/>
      </w:r>
      <w:r>
        <w:rPr>
          <w:szCs w:val="22"/>
        </w:rPr>
      </w:r>
      <w:r>
        <w:rPr>
          <w:szCs w:val="22"/>
        </w:rPr>
        <w:fldChar w:fldCharType="separate"/>
      </w:r>
      <w:r>
        <w:rPr>
          <w:noProof/>
          <w:szCs w:val="22"/>
        </w:rPr>
        <w:t>[51]</w:t>
      </w:r>
      <w:r>
        <w:rPr>
          <w:szCs w:val="22"/>
        </w:rPr>
        <w:fldChar w:fldCharType="end"/>
      </w:r>
      <w:r>
        <w:rPr>
          <w:szCs w:val="22"/>
        </w:rPr>
        <w:t xml:space="preserve">, as well as overseas studies </w:t>
      </w:r>
      <w:r>
        <w:rPr>
          <w:szCs w:val="22"/>
        </w:rPr>
        <w:fldChar w:fldCharType="begin">
          <w:fldData xml:space="preserve">PEVuZE5vdGU+PENpdGU+PEF1dGhvcj5TdHJhdHRvbjwvQXV0aG9yPjxZZWFyPjIwMDA8L1llYXI+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</w:fldData>
        </w:fldChar>
      </w:r>
      <w:r>
        <w:rPr>
          <w:szCs w:val="22"/>
        </w:rPr>
        <w:instrText xml:space="preserve"> ADDIN EN.CITE </w:instrText>
      </w:r>
      <w:r>
        <w:rPr>
          <w:szCs w:val="22"/>
        </w:rPr>
        <w:fldChar w:fldCharType="begin">
          <w:fldData xml:space="preserve">PEVuZE5vdGU+PENpdGU+PEF1dGhvcj5TdHJhdHRvbjwvQXV0aG9yPjxZZWFyPjIwMDA8L1llYXI+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</w:fldData>
        </w:fldChar>
      </w:r>
      <w:r>
        <w:rPr>
          <w:szCs w:val="22"/>
        </w:rPr>
        <w:instrText xml:space="preserve"> ADDIN EN.CITE.DATA </w:instrText>
      </w:r>
      <w:r>
        <w:rPr>
          <w:szCs w:val="22"/>
        </w:rPr>
      </w:r>
      <w:r>
        <w:rPr>
          <w:szCs w:val="22"/>
        </w:rPr>
        <w:fldChar w:fldCharType="end"/>
      </w:r>
      <w:r>
        <w:rPr>
          <w:szCs w:val="22"/>
        </w:rPr>
      </w:r>
      <w:r>
        <w:rPr>
          <w:szCs w:val="22"/>
        </w:rPr>
        <w:fldChar w:fldCharType="separate"/>
      </w:r>
      <w:r>
        <w:rPr>
          <w:noProof/>
          <w:szCs w:val="22"/>
        </w:rPr>
        <w:t>[35]</w:t>
      </w:r>
      <w:r>
        <w:rPr>
          <w:szCs w:val="22"/>
        </w:rPr>
        <w:fldChar w:fldCharType="end"/>
      </w:r>
      <w:r>
        <w:rPr>
          <w:szCs w:val="22"/>
        </w:rPr>
        <w:t>. The risk of various other adverse health outcomes could be predicted in a similar way. These could include hypo- or hyperglycaemic events, retinopathy, neuropathy, nephropathy and amputations.</w:t>
      </w:r>
    </w:p>
    <w:p w:rsidR="002E01E3" w:rsidRDefault="002E01E3" w:rsidP="002E01E3">
      <w:pPr>
        <w:rPr>
          <w:szCs w:val="22"/>
        </w:rPr>
      </w:pPr>
      <w:r>
        <w:rPr>
          <w:szCs w:val="22"/>
        </w:rPr>
        <w:t>The costs of medical resources used will be derived from national price schedules</w:t>
      </w:r>
      <w:r>
        <w:rPr>
          <w:rStyle w:val="CommentReference"/>
          <w:rFonts w:ascii="Times New Roman" w:hAnsi="Times New Roman"/>
        </w:rPr>
        <w:t xml:space="preserve"> </w:t>
      </w:r>
      <w:r>
        <w:rPr>
          <w:szCs w:val="22"/>
        </w:rPr>
        <w:fldChar w:fldCharType="begin">
          <w:fldData xml:space="preserve">PEVuZE5vdGU+PENpdGUgRXhjbHVkZVllYXI9IjEiPjxBdXRob3I+RGVwYXJ0bWVudCBvZiBIZWFs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</w:fldData>
        </w:fldChar>
      </w:r>
      <w:r>
        <w:rPr>
          <w:szCs w:val="22"/>
        </w:rPr>
        <w:instrText xml:space="preserve"> ADDIN EN.CITE </w:instrText>
      </w:r>
      <w:r>
        <w:rPr>
          <w:szCs w:val="22"/>
        </w:rPr>
        <w:fldChar w:fldCharType="begin">
          <w:fldData xml:space="preserve">PEVuZE5vdGU+PENpdGUgRXhjbHVkZVllYXI9IjEiPjxBdXRob3I+RGVwYXJ0bWVudCBvZiBIZWFs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</w:fldData>
        </w:fldChar>
      </w:r>
      <w:r>
        <w:rPr>
          <w:szCs w:val="22"/>
        </w:rPr>
        <w:instrText xml:space="preserve"> ADDIN EN.CITE.DATA </w:instrText>
      </w:r>
      <w:r>
        <w:rPr>
          <w:szCs w:val="22"/>
        </w:rPr>
      </w:r>
      <w:r>
        <w:rPr>
          <w:szCs w:val="22"/>
        </w:rPr>
        <w:fldChar w:fldCharType="end"/>
      </w:r>
      <w:r>
        <w:rPr>
          <w:szCs w:val="22"/>
        </w:rPr>
      </w:r>
      <w:r>
        <w:rPr>
          <w:szCs w:val="22"/>
        </w:rPr>
        <w:fldChar w:fldCharType="separate"/>
      </w:r>
      <w:r>
        <w:rPr>
          <w:noProof/>
          <w:szCs w:val="22"/>
        </w:rPr>
        <w:t>[52-54]</w:t>
      </w:r>
      <w:r>
        <w:rPr>
          <w:szCs w:val="22"/>
        </w:rPr>
        <w:fldChar w:fldCharType="end"/>
      </w:r>
      <w:r>
        <w:rPr>
          <w:szCs w:val="22"/>
        </w:rPr>
        <w:t xml:space="preserve">. Where possible, the economic evaluation will use Australian studies </w:t>
      </w:r>
      <w:r>
        <w:rPr>
          <w:szCs w:val="22"/>
        </w:rPr>
        <w:fldChar w:fldCharType="begin"/>
      </w:r>
      <w:r>
        <w:rPr>
          <w:szCs w:val="22"/>
        </w:rPr>
        <w:instrText xml:space="preserve"> ADDIN EN.CITE &lt;EndNote&gt;&lt;Cite&gt;&lt;Author&gt;Lee&lt;/Author&gt;&lt;Year&gt;2013&lt;/Year&gt;&lt;RecNum&gt;101&lt;/RecNum&gt;&lt;DisplayText&gt;[55]&lt;/DisplayText&gt;&lt;record&gt;&lt;rec-number&gt;101&lt;/rec-number&gt;&lt;foreign-keys&gt;&lt;key app="EN" db-id="edz5s99awvadpbexfxhvwe0ofp2svdwzsdpf" timestamp="1413868312"&gt;101&lt;/key&gt;&lt;/foreign-keys&gt;&lt;ref-type name="Journal Article"&gt;17&lt;/ref-type&gt;&lt;contributors&gt;&lt;authors&gt;&lt;author&gt;Lee, C. M.&lt;/author&gt;&lt;author&gt;Colagiuri, R.&lt;/author&gt;&lt;author&gt;Magliano, D. J.&lt;/author&gt;&lt;author&gt;Cameron, A. J.&lt;/author&gt;&lt;author&gt;Shaw, J.&lt;/author&gt;&lt;author&gt;Zimmet, P.&lt;/author&gt;&lt;author&gt;Colagiuri, S.&lt;/author&gt;&lt;/authors&gt;&lt;/contributors&gt;&lt;auth-address&gt;The Boden Institute of Obesity, Nutrition, Exercise &amp;amp; Eating Disorders, University of Sydney, Sydney, Australia. Electronic address: crystal.lee@sydney.edu.au.&lt;/auth-address&gt;&lt;titles&gt;&lt;title&gt;The cost of diabetes in adults in Australia&lt;/title&gt;&lt;secondary-title&gt;Diabetes Res Clin Pract&lt;/secondary-title&gt;&lt;/titles&gt;&lt;periodical&gt;&lt;full-title&gt;Diabetes Res Clin Pract&lt;/full-title&gt;&lt;/periodical&gt;&lt;edition&gt;2013/01/10&lt;/edition&gt;&lt;dates&gt;&lt;year&gt;2013&lt;/year&gt;&lt;pub-dates&gt;&lt;date&gt;Jan 5&lt;/date&gt;&lt;/pub-dates&gt;&lt;/dates&gt;&lt;isbn&gt;1872-8227 (Electronic)&amp;#xD;0168-8227 (Linking)&lt;/isbn&gt;&lt;accession-num&gt;23298663&lt;/accession-num&gt;&lt;urls&gt;&lt;/urls&gt;&lt;electronic-resource-num&gt;S0168-8227(12)00500-1 [pii]&amp;#xD;10.1016/j.diabres.2012.12.002 [doi]&lt;/electronic-resource-num&gt;&lt;remote-database-provider&gt;Nlm&lt;/remote-database-provider&gt;&lt;language&gt;Eng&lt;/language&gt;&lt;/record&gt;&lt;/Cite&gt;&lt;/EndNote&gt;</w:instrText>
      </w:r>
      <w:r>
        <w:rPr>
          <w:szCs w:val="22"/>
        </w:rPr>
        <w:fldChar w:fldCharType="separate"/>
      </w:r>
      <w:r>
        <w:rPr>
          <w:noProof/>
          <w:szCs w:val="22"/>
        </w:rPr>
        <w:t>[55]</w:t>
      </w:r>
      <w:r>
        <w:rPr>
          <w:szCs w:val="22"/>
        </w:rPr>
        <w:fldChar w:fldCharType="end"/>
      </w:r>
      <w:r>
        <w:rPr>
          <w:szCs w:val="22"/>
        </w:rPr>
        <w:t xml:space="preserve">, which quantify the total cost (including direct healthcare costs, direct non-healthcare costs, and government subsidies) associated with </w:t>
      </w:r>
      <w:r w:rsidR="006F02D7">
        <w:rPr>
          <w:szCs w:val="22"/>
        </w:rPr>
        <w:t>T2DM</w:t>
      </w:r>
      <w:r>
        <w:rPr>
          <w:szCs w:val="22"/>
        </w:rPr>
        <w:t xml:space="preserve">.  </w:t>
      </w:r>
    </w:p>
    <w:p w:rsidR="002E01E3" w:rsidRDefault="002E01E3" w:rsidP="002E01E3">
      <w:pPr>
        <w:rPr>
          <w:szCs w:val="22"/>
        </w:rPr>
      </w:pPr>
      <w:r>
        <w:rPr>
          <w:szCs w:val="22"/>
        </w:rPr>
        <w:t>The clinical data may suggest that shared medical appointments produce more vigilant monitoring, an earlier diagnosis of emerging problems and lower overall rates of these more severe health outcomes. This could be captured in the economic model by a reduced risk of these adverse outcomes for each health state in the treatment arm versus the control arm. The impact of removing this effect should then be tested in a sensitivity analysis. Comprehensive sensitivity analyses will be undertaken to address the uncertainty of the data estimates.</w:t>
      </w:r>
    </w:p>
    <w:p w:rsidR="002E01E3" w:rsidRDefault="002E01E3" w:rsidP="002E01E3">
      <w:pPr>
        <w:rPr>
          <w:szCs w:val="22"/>
        </w:rPr>
      </w:pPr>
      <w:r>
        <w:rPr>
          <w:szCs w:val="22"/>
        </w:rPr>
        <w:t>The figure below provides a possible Markov structure that could be a starting point from which to undertake the cost-utility analysis.</w:t>
      </w:r>
    </w:p>
    <w:p w:rsidR="002E01E3" w:rsidRDefault="002E01E3" w:rsidP="002E01E3">
      <w:pPr>
        <w:rPr>
          <w:szCs w:val="22"/>
        </w:rPr>
      </w:pPr>
    </w:p>
    <w:p w:rsidR="002E01E3" w:rsidRDefault="002E01E3" w:rsidP="002E01E3">
      <w:pPr>
        <w:pStyle w:val="Caption"/>
      </w:pPr>
      <w:r>
        <w:lastRenderedPageBreak/>
        <w:t xml:space="preserve">Figure 3: Possible structure of a Markov model to address the economic evaluation of shared medical appointments </w:t>
      </w:r>
    </w:p>
    <w:p w:rsidR="002E01E3" w:rsidRDefault="00626BF0" w:rsidP="002E01E3">
      <w:pPr>
        <w:pStyle w:val="BodyText1"/>
      </w:pPr>
      <w:r>
        <w:rPr>
          <w:lang w:eastAsia="en-AU"/>
        </w:rPr>
        <w:drawing>
          <wp:inline distT="0" distB="0" distL="0" distR="0" wp14:anchorId="3218A813" wp14:editId="76F4A35C">
            <wp:extent cx="6408420" cy="4469765"/>
            <wp:effectExtent l="0" t="0" r="0" b="6985"/>
            <wp:docPr id="3" name="Picture 1" title="Figure 3: Possible structure of a Markov model to address the economic evaluation of shared medical appoint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8420" cy="4469765"/>
                    </a:xfrm>
                    <a:prstGeom prst="rect">
                      <a:avLst/>
                    </a:prstGeom>
                    <a:noFill/>
                    <a:ln>
                      <a:noFill/>
                    </a:ln>
                  </pic:spPr>
                </pic:pic>
              </a:graphicData>
            </a:graphic>
          </wp:inline>
        </w:drawing>
      </w:r>
      <w:r w:rsidR="002E01E3">
        <w:t xml:space="preserve"> </w:t>
      </w:r>
    </w:p>
    <w:p w:rsidR="002E01E3" w:rsidRDefault="002E01E3" w:rsidP="002E01E3">
      <w:pPr>
        <w:pStyle w:val="BodyText1"/>
      </w:pPr>
      <w:r>
        <w:rPr>
          <w:sz w:val="20"/>
          <w:szCs w:val="20"/>
        </w:rPr>
        <w:t>SMA</w:t>
      </w:r>
      <w:r w:rsidRPr="0078281B">
        <w:rPr>
          <w:sz w:val="20"/>
          <w:szCs w:val="20"/>
        </w:rPr>
        <w:t>=shared medical appointments, T2DM = Type 2 diabetes mellitus</w:t>
      </w:r>
      <w:r w:rsidRPr="0078281B">
        <w:rPr>
          <w:sz w:val="20"/>
          <w:szCs w:val="20"/>
        </w:rPr>
        <w:br w:type="page"/>
      </w:r>
      <w:r w:rsidRPr="00B37D07">
        <w:rPr>
          <w:rStyle w:val="Heading1Char"/>
        </w:rPr>
        <w:lastRenderedPageBreak/>
        <w:t>Appendix</w:t>
      </w:r>
    </w:p>
    <w:p w:rsidR="002E01E3" w:rsidRDefault="002E01E3" w:rsidP="002E01E3">
      <w:r>
        <w:t>Figure A1 presents the current algorithm for T2DM screening and diagnosis.</w:t>
      </w:r>
    </w:p>
    <w:p w:rsidR="002E01E3" w:rsidRDefault="002E01E3" w:rsidP="002E01E3">
      <w:pPr>
        <w:pStyle w:val="Caption"/>
      </w:pPr>
      <w:r>
        <w:t>Figure A1: T2DM: Screening and diagnosis algorithm</w:t>
      </w:r>
    </w:p>
    <w:p w:rsidR="002E01E3" w:rsidRDefault="00626BF0" w:rsidP="002E01E3">
      <w:r>
        <w:rPr>
          <w:noProof/>
          <w:lang w:eastAsia="en-AU"/>
        </w:rPr>
        <w:drawing>
          <wp:inline distT="0" distB="0" distL="0" distR="0" wp14:anchorId="222C050C" wp14:editId="0DCA6452">
            <wp:extent cx="5727700" cy="6452235"/>
            <wp:effectExtent l="0" t="0" r="6350" b="5715"/>
            <wp:docPr id="4" name="Picture 4" descr="figure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1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6452235"/>
                    </a:xfrm>
                    <a:prstGeom prst="rect">
                      <a:avLst/>
                    </a:prstGeom>
                    <a:noFill/>
                    <a:ln>
                      <a:noFill/>
                    </a:ln>
                  </pic:spPr>
                </pic:pic>
              </a:graphicData>
            </a:graphic>
          </wp:inline>
        </w:drawing>
      </w:r>
    </w:p>
    <w:p w:rsidR="002E01E3" w:rsidRDefault="002E01E3" w:rsidP="002E01E3">
      <w:pPr>
        <w:rPr>
          <w:rFonts w:ascii="Arial Narrow" w:hAnsi="Arial Narrow"/>
        </w:rPr>
      </w:pPr>
      <w:r w:rsidRPr="0050029C">
        <w:rPr>
          <w:rFonts w:ascii="Arial Narrow" w:hAnsi="Arial Narrow"/>
        </w:rPr>
        <w:t>Source: General practice management of type 2 diabetes, Diabetes Australia 2014-2015</w:t>
      </w:r>
    </w:p>
    <w:p w:rsidR="002E01E3" w:rsidRDefault="002E01E3" w:rsidP="002E01E3">
      <w:r>
        <w:t>Table A1 presents the population specific thresholds for elevated waist circumference.</w:t>
      </w:r>
    </w:p>
    <w:p w:rsidR="002E01E3" w:rsidRDefault="002E01E3" w:rsidP="002E01E3">
      <w:pPr>
        <w:pStyle w:val="Heading1"/>
      </w:pPr>
      <w:bookmarkStart w:id="82" w:name="_Toc410649158"/>
      <w:bookmarkStart w:id="83" w:name="_Toc420499084"/>
      <w:r>
        <w:lastRenderedPageBreak/>
        <w:t>References</w:t>
      </w:r>
      <w:bookmarkEnd w:id="82"/>
      <w:bookmarkEnd w:id="83"/>
    </w:p>
    <w:p w:rsidR="002E01E3" w:rsidRPr="009835ED" w:rsidRDefault="002E01E3" w:rsidP="002E01E3">
      <w:pPr>
        <w:pStyle w:val="EndNoteBibliography"/>
        <w:spacing w:after="0"/>
        <w:ind w:left="720" w:hanging="720"/>
      </w:pPr>
      <w:r>
        <w:fldChar w:fldCharType="begin"/>
      </w:r>
      <w:r>
        <w:instrText xml:space="preserve"> ADDIN EN.REFLIST </w:instrText>
      </w:r>
      <w:r>
        <w:fldChar w:fldCharType="separate"/>
      </w:r>
      <w:r w:rsidRPr="009835ED">
        <w:t>1.</w:t>
      </w:r>
      <w:r w:rsidRPr="009835ED">
        <w:tab/>
        <w:t xml:space="preserve">Edelman, D., et al., </w:t>
      </w:r>
      <w:r w:rsidRPr="009835ED">
        <w:rPr>
          <w:i/>
        </w:rPr>
        <w:t>Shared Medical Appointments for Patients with Diabetes Mellitus: A Systematic Review.</w:t>
      </w:r>
      <w:r w:rsidRPr="009835ED">
        <w:t xml:space="preserve"> J Gen Intern Med, 2014.</w:t>
      </w:r>
    </w:p>
    <w:p w:rsidR="002E01E3" w:rsidRPr="009835ED" w:rsidRDefault="002E01E3" w:rsidP="002E01E3">
      <w:pPr>
        <w:pStyle w:val="EndNoteBibliography"/>
        <w:spacing w:after="0"/>
        <w:ind w:left="720" w:hanging="720"/>
      </w:pPr>
      <w:r w:rsidRPr="009835ED">
        <w:t>2.</w:t>
      </w:r>
      <w:r w:rsidRPr="009835ED">
        <w:tab/>
        <w:t xml:space="preserve">Stevens, J., et al., </w:t>
      </w:r>
      <w:r w:rsidRPr="009835ED">
        <w:rPr>
          <w:i/>
        </w:rPr>
        <w:t>A user assessment of the potential for shared medical appointments in Australia.</w:t>
      </w:r>
      <w:r w:rsidRPr="009835ED">
        <w:t xml:space="preserve"> Australian Family Physician 2014. </w:t>
      </w:r>
      <w:r w:rsidRPr="009835ED">
        <w:rPr>
          <w:b/>
        </w:rPr>
        <w:t>43</w:t>
      </w:r>
      <w:r w:rsidRPr="009835ED">
        <w:t>(11): p. 804-807.</w:t>
      </w:r>
    </w:p>
    <w:p w:rsidR="002E01E3" w:rsidRPr="009835ED" w:rsidRDefault="002E01E3" w:rsidP="002E01E3">
      <w:pPr>
        <w:pStyle w:val="EndNoteBibliography"/>
        <w:spacing w:after="0"/>
        <w:ind w:left="720" w:hanging="720"/>
      </w:pPr>
      <w:r w:rsidRPr="009835ED">
        <w:t>3.</w:t>
      </w:r>
      <w:r w:rsidRPr="009835ED">
        <w:tab/>
        <w:t xml:space="preserve">Egger, G., et al., </w:t>
      </w:r>
      <w:r w:rsidRPr="009835ED">
        <w:rPr>
          <w:i/>
        </w:rPr>
        <w:t>Patient and Provider Satisfaction with Shared medical appointments.</w:t>
      </w:r>
      <w:r w:rsidRPr="009835ED">
        <w:t xml:space="preserve"> Australian family physician, 2015. </w:t>
      </w:r>
      <w:r w:rsidRPr="009835ED">
        <w:rPr>
          <w:b/>
        </w:rPr>
        <w:t>(in press)</w:t>
      </w:r>
      <w:r w:rsidRPr="009835ED">
        <w:t>.</w:t>
      </w:r>
    </w:p>
    <w:p w:rsidR="002E01E3" w:rsidRPr="009835ED" w:rsidRDefault="002E01E3" w:rsidP="002E01E3">
      <w:pPr>
        <w:pStyle w:val="EndNoteBibliography"/>
        <w:spacing w:after="0"/>
        <w:ind w:left="720" w:hanging="720"/>
      </w:pPr>
      <w:r w:rsidRPr="009835ED">
        <w:t>4.</w:t>
      </w:r>
      <w:r w:rsidRPr="009835ED">
        <w:tab/>
        <w:t xml:space="preserve">Egger, G., et al., </w:t>
      </w:r>
      <w:r w:rsidRPr="009835ED">
        <w:rPr>
          <w:i/>
        </w:rPr>
        <w:t>Shared medical appointments-An adjunct for chronic disease management in Australia?</w:t>
      </w:r>
      <w:r w:rsidRPr="009835ED">
        <w:t xml:space="preserve"> Australian family physician, 2014. </w:t>
      </w:r>
      <w:r w:rsidRPr="009835ED">
        <w:rPr>
          <w:b/>
        </w:rPr>
        <w:t>43</w:t>
      </w:r>
      <w:r w:rsidRPr="009835ED">
        <w:t>(3): p. 151-154.</w:t>
      </w:r>
    </w:p>
    <w:p w:rsidR="002E01E3" w:rsidRPr="009835ED" w:rsidRDefault="002E01E3" w:rsidP="002E01E3">
      <w:pPr>
        <w:pStyle w:val="EndNoteBibliography"/>
        <w:spacing w:after="0"/>
        <w:ind w:left="720" w:hanging="720"/>
      </w:pPr>
      <w:r w:rsidRPr="009835ED">
        <w:t>5.</w:t>
      </w:r>
      <w:r w:rsidRPr="009835ED">
        <w:tab/>
        <w:t xml:space="preserve">S.K., T., et al., </w:t>
      </w:r>
      <w:r w:rsidRPr="009835ED">
        <w:rPr>
          <w:i/>
        </w:rPr>
        <w:t>The Australian Diabetes, Obesity and Lifestyle Study.</w:t>
      </w:r>
      <w:r w:rsidRPr="009835ED">
        <w:t xml:space="preserve"> 2013, Baker IDI Heart and Diabetes Insitute Melbourne.</w:t>
      </w:r>
    </w:p>
    <w:p w:rsidR="002E01E3" w:rsidRPr="009835ED" w:rsidRDefault="002E01E3" w:rsidP="002E01E3">
      <w:pPr>
        <w:pStyle w:val="EndNoteBibliography"/>
        <w:spacing w:after="0"/>
        <w:ind w:left="720" w:hanging="720"/>
      </w:pPr>
      <w:r w:rsidRPr="009835ED">
        <w:t>6.</w:t>
      </w:r>
      <w:r w:rsidRPr="009835ED">
        <w:tab/>
        <w:t xml:space="preserve">Hu, F.B., </w:t>
      </w:r>
      <w:r w:rsidRPr="009835ED">
        <w:rPr>
          <w:i/>
        </w:rPr>
        <w:t>Globalization of diabetes: the role of diet, lifestyle, and genes.</w:t>
      </w:r>
      <w:r w:rsidRPr="009835ED">
        <w:t xml:space="preserve"> Diabetes Care, 2011. </w:t>
      </w:r>
      <w:r w:rsidRPr="009835ED">
        <w:rPr>
          <w:b/>
        </w:rPr>
        <w:t>34</w:t>
      </w:r>
      <w:r w:rsidRPr="009835ED">
        <w:t>(6): p. 1249-57.</w:t>
      </w:r>
    </w:p>
    <w:p w:rsidR="002E01E3" w:rsidRPr="009835ED" w:rsidRDefault="002E01E3" w:rsidP="002E01E3">
      <w:pPr>
        <w:pStyle w:val="EndNoteBibliography"/>
        <w:spacing w:after="0"/>
        <w:ind w:left="720" w:hanging="720"/>
      </w:pPr>
      <w:r w:rsidRPr="009835ED">
        <w:t>7.</w:t>
      </w:r>
      <w:r w:rsidRPr="009835ED">
        <w:tab/>
        <w:t xml:space="preserve">Health, N., M.R. Council, and E. Barr, </w:t>
      </w:r>
      <w:r w:rsidRPr="009835ED">
        <w:rPr>
          <w:i/>
        </w:rPr>
        <w:t>AusDiab 2005: the Australian Diabetes, Obesity and Lifestyle Study: tracking the accelerating epidemic: its causes and outcomes</w:t>
      </w:r>
      <w:r w:rsidRPr="009835ED">
        <w:t>. 2006: International Diabetes Institute.</w:t>
      </w:r>
    </w:p>
    <w:p w:rsidR="002E01E3" w:rsidRPr="009835ED" w:rsidRDefault="002E01E3" w:rsidP="002E01E3">
      <w:pPr>
        <w:pStyle w:val="EndNoteBibliography"/>
        <w:spacing w:after="0"/>
        <w:ind w:left="720" w:hanging="720"/>
      </w:pPr>
      <w:r w:rsidRPr="009835ED">
        <w:t>8.</w:t>
      </w:r>
      <w:r w:rsidRPr="009835ED">
        <w:tab/>
        <w:t xml:space="preserve">Crystal Man Ying Lee, R.C., Dianna J. Magliano, Adrian J. Cameron, Jonathan Shaw, Paul Zimmet, Stephen Colagiuria, </w:t>
      </w:r>
      <w:r w:rsidRPr="009835ED">
        <w:rPr>
          <w:i/>
        </w:rPr>
        <w:t>The cost of diabetes in adults in Australia.</w:t>
      </w:r>
      <w:r w:rsidRPr="009835ED">
        <w:t xml:space="preserve"> Diabetes Research and Clinical Practice, 2012. </w:t>
      </w:r>
      <w:r w:rsidRPr="009835ED">
        <w:rPr>
          <w:b/>
        </w:rPr>
        <w:t>99</w:t>
      </w:r>
      <w:r w:rsidRPr="009835ED">
        <w:t>(3): p. 385-390.</w:t>
      </w:r>
    </w:p>
    <w:p w:rsidR="002E01E3" w:rsidRPr="009835ED" w:rsidRDefault="002E01E3" w:rsidP="002E01E3">
      <w:pPr>
        <w:pStyle w:val="EndNoteBibliography"/>
        <w:spacing w:after="0"/>
        <w:ind w:left="720" w:hanging="720"/>
      </w:pPr>
      <w:r w:rsidRPr="009835ED">
        <w:t>9.</w:t>
      </w:r>
      <w:r w:rsidRPr="009835ED">
        <w:tab/>
        <w:t xml:space="preserve">Shaw, J., </w:t>
      </w:r>
      <w:r w:rsidRPr="009835ED">
        <w:rPr>
          <w:i/>
        </w:rPr>
        <w:t>Diabetes: the silent pandemic and its impact on Australia</w:t>
      </w:r>
      <w:r w:rsidRPr="009835ED">
        <w:t>. 2012: Baker IDI Heart &amp; Diabetes Institute.</w:t>
      </w:r>
    </w:p>
    <w:p w:rsidR="002E01E3" w:rsidRPr="009835ED" w:rsidRDefault="002E01E3" w:rsidP="002E01E3">
      <w:pPr>
        <w:pStyle w:val="EndNoteBibliography"/>
        <w:spacing w:after="0"/>
        <w:ind w:left="720" w:hanging="720"/>
      </w:pPr>
      <w:r w:rsidRPr="009835ED">
        <w:t>10.</w:t>
      </w:r>
      <w:r w:rsidRPr="009835ED">
        <w:tab/>
        <w:t>O’Brien K, T.A.O.S.,</w:t>
      </w:r>
      <w:r w:rsidRPr="009835ED">
        <w:rPr>
          <w:i/>
        </w:rPr>
        <w:t xml:space="preserve"> Diabetes hospitalisations in Australia, 2003–04. .</w:t>
      </w:r>
      <w:r w:rsidRPr="009835ED">
        <w:t xml:space="preserve"> AIHW, 2006. </w:t>
      </w:r>
      <w:r w:rsidRPr="009835ED">
        <w:rPr>
          <w:b/>
        </w:rPr>
        <w:t>Bulletin no. 47. Cat. no. 84</w:t>
      </w:r>
      <w:r w:rsidRPr="009835ED">
        <w:t>.</w:t>
      </w:r>
    </w:p>
    <w:p w:rsidR="002E01E3" w:rsidRPr="009835ED" w:rsidRDefault="002E01E3" w:rsidP="002E01E3">
      <w:pPr>
        <w:pStyle w:val="EndNoteBibliography"/>
        <w:spacing w:after="0"/>
        <w:ind w:left="720" w:hanging="720"/>
      </w:pPr>
      <w:r w:rsidRPr="009835ED">
        <w:t>11.</w:t>
      </w:r>
      <w:r w:rsidRPr="009835ED">
        <w:tab/>
        <w:t xml:space="preserve">PBS, </w:t>
      </w:r>
      <w:r w:rsidRPr="009835ED">
        <w:rPr>
          <w:i/>
        </w:rPr>
        <w:t>PBS Expenditure and Prescriptions.</w:t>
      </w:r>
      <w:r w:rsidRPr="009835ED">
        <w:t xml:space="preserve"> Australian Government Department of Health, 2012.</w:t>
      </w:r>
    </w:p>
    <w:p w:rsidR="002E01E3" w:rsidRPr="009835ED" w:rsidRDefault="002E01E3" w:rsidP="002E01E3">
      <w:pPr>
        <w:pStyle w:val="EndNoteBibliography"/>
        <w:spacing w:after="0"/>
        <w:ind w:left="720" w:hanging="720"/>
      </w:pPr>
      <w:r w:rsidRPr="009835ED">
        <w:t>12.</w:t>
      </w:r>
      <w:r w:rsidRPr="009835ED">
        <w:tab/>
      </w:r>
      <w:r w:rsidRPr="009835ED">
        <w:rPr>
          <w:i/>
        </w:rPr>
        <w:t>Cardiovascular disease, diabetes and chronic kidney disease—Australian facts: Mortality.</w:t>
      </w:r>
      <w:r w:rsidRPr="009835ED">
        <w:t>, A.I.o.H.a. Welfare, Editor. 2014: Canberra: AIHW.</w:t>
      </w:r>
    </w:p>
    <w:p w:rsidR="002E01E3" w:rsidRPr="009835ED" w:rsidRDefault="002E01E3" w:rsidP="002E01E3">
      <w:pPr>
        <w:pStyle w:val="EndNoteBibliography"/>
        <w:spacing w:after="0"/>
        <w:ind w:left="720" w:hanging="720"/>
      </w:pPr>
      <w:r w:rsidRPr="009835ED">
        <w:t>13.</w:t>
      </w:r>
      <w:r w:rsidRPr="009835ED">
        <w:tab/>
        <w:t xml:space="preserve">Australian Bureau of Statistics. </w:t>
      </w:r>
      <w:r w:rsidRPr="009835ED">
        <w:rPr>
          <w:i/>
        </w:rPr>
        <w:t>Causes of Death Australia (3303.0)</w:t>
      </w:r>
      <w:r w:rsidRPr="009835ED">
        <w:t xml:space="preserve">. 2013  2 August 2013]; Available from: </w:t>
      </w:r>
      <w:hyperlink r:id="rId13" w:history="1">
        <w:r w:rsidR="00C44367">
          <w:rPr>
            <w:rStyle w:val="Hyperlink"/>
            <w:rFonts w:cs="Tahoma"/>
          </w:rPr>
          <w:t>Australian Bureau of Statistics. Causes of Death Australia (3303.0)</w:t>
        </w:r>
      </w:hyperlink>
      <w:r w:rsidRPr="009835ED">
        <w:t>.</w:t>
      </w:r>
    </w:p>
    <w:p w:rsidR="002E01E3" w:rsidRPr="009835ED" w:rsidRDefault="002E01E3" w:rsidP="002E01E3">
      <w:pPr>
        <w:pStyle w:val="EndNoteBibliography"/>
        <w:spacing w:after="0"/>
        <w:ind w:left="720" w:hanging="720"/>
      </w:pPr>
      <w:r w:rsidRPr="009835ED">
        <w:t>14.</w:t>
      </w:r>
      <w:r w:rsidRPr="009835ED">
        <w:tab/>
        <w:t xml:space="preserve">International Diabetes Federation-European Region, et al., </w:t>
      </w:r>
      <w:r w:rsidRPr="009835ED">
        <w:rPr>
          <w:i/>
        </w:rPr>
        <w:t>Diabetes - The Policy Puzzle (3rd Edition)</w:t>
      </w:r>
      <w:r w:rsidRPr="009835ED">
        <w:t>. 2011, IDF Europe: Europe.</w:t>
      </w:r>
    </w:p>
    <w:p w:rsidR="002E01E3" w:rsidRPr="009835ED" w:rsidRDefault="002E01E3" w:rsidP="002E01E3">
      <w:pPr>
        <w:pStyle w:val="EndNoteBibliography"/>
        <w:spacing w:after="0"/>
        <w:ind w:left="720" w:hanging="720"/>
      </w:pPr>
      <w:r w:rsidRPr="009835ED">
        <w:t>15.</w:t>
      </w:r>
      <w:r w:rsidRPr="009835ED">
        <w:tab/>
        <w:t xml:space="preserve">Australian Institute of Health and Welfare, </w:t>
      </w:r>
      <w:r w:rsidRPr="009835ED">
        <w:rPr>
          <w:i/>
        </w:rPr>
        <w:t>Australia's health 2014. Australia’s health series no. 14. Cat. no. AUS 178.</w:t>
      </w:r>
      <w:r w:rsidRPr="009835ED">
        <w:t>, AIHW, Editor. 2014, AIHW: Canberra.</w:t>
      </w:r>
    </w:p>
    <w:p w:rsidR="002E01E3" w:rsidRPr="009835ED" w:rsidRDefault="002E01E3" w:rsidP="002E01E3">
      <w:pPr>
        <w:pStyle w:val="EndNoteBibliography"/>
        <w:spacing w:after="0"/>
        <w:ind w:left="720" w:hanging="720"/>
      </w:pPr>
      <w:r w:rsidRPr="009835ED">
        <w:t>16.</w:t>
      </w:r>
      <w:r w:rsidRPr="009835ED">
        <w:tab/>
        <w:t xml:space="preserve">World Health Organization. </w:t>
      </w:r>
      <w:r w:rsidRPr="009835ED">
        <w:rPr>
          <w:i/>
        </w:rPr>
        <w:t>Diabetes (Fact sheet No. 312)</w:t>
      </w:r>
      <w:r w:rsidRPr="009835ED">
        <w:t xml:space="preserve">. 2013  12 November 2013]; Available from: </w:t>
      </w:r>
      <w:hyperlink r:id="rId14" w:history="1">
        <w:r w:rsidR="00C44367">
          <w:rPr>
            <w:rStyle w:val="Hyperlink"/>
            <w:rFonts w:cs="Tahoma"/>
          </w:rPr>
          <w:t>World Health Organization. Diabetes (Fact sheet No. 312)</w:t>
        </w:r>
      </w:hyperlink>
      <w:r w:rsidRPr="009835ED">
        <w:t>.</w:t>
      </w:r>
    </w:p>
    <w:p w:rsidR="002E01E3" w:rsidRPr="009835ED" w:rsidRDefault="002E01E3" w:rsidP="002E01E3">
      <w:pPr>
        <w:pStyle w:val="EndNoteBibliography"/>
        <w:spacing w:after="0"/>
        <w:ind w:left="720" w:hanging="720"/>
      </w:pPr>
      <w:r w:rsidRPr="009835ED">
        <w:t>17.</w:t>
      </w:r>
      <w:r w:rsidRPr="009835ED">
        <w:tab/>
        <w:t xml:space="preserve">Australia, D., </w:t>
      </w:r>
      <w:r w:rsidRPr="009835ED">
        <w:rPr>
          <w:i/>
        </w:rPr>
        <w:t>General practice management of type 2 diabetes</w:t>
      </w:r>
      <w:r w:rsidRPr="009835ED">
        <w:t>. 2014, The Royal Australian College of General Practitioners: Australia. p. 200.</w:t>
      </w:r>
    </w:p>
    <w:p w:rsidR="002E01E3" w:rsidRPr="009835ED" w:rsidRDefault="002E01E3" w:rsidP="002E01E3">
      <w:pPr>
        <w:pStyle w:val="EndNoteBibliography"/>
        <w:spacing w:after="0"/>
        <w:ind w:left="720" w:hanging="720"/>
      </w:pPr>
      <w:r w:rsidRPr="009835ED">
        <w:t>18.</w:t>
      </w:r>
      <w:r w:rsidRPr="009835ED">
        <w:tab/>
        <w:t xml:space="preserve">Nathan, D.M., et al., </w:t>
      </w:r>
      <w:r w:rsidRPr="009835ED">
        <w:rPr>
          <w:i/>
        </w:rPr>
        <w:t>Impaired fasting glucose and impaired glucose tolerance implications for care.</w:t>
      </w:r>
      <w:r w:rsidRPr="009835ED">
        <w:t xml:space="preserve"> Diabetes care, 2007. </w:t>
      </w:r>
      <w:r w:rsidRPr="009835ED">
        <w:rPr>
          <w:b/>
        </w:rPr>
        <w:t>30</w:t>
      </w:r>
      <w:r w:rsidRPr="009835ED">
        <w:t>(3): p. 753-759.</w:t>
      </w:r>
    </w:p>
    <w:p w:rsidR="002E01E3" w:rsidRPr="009835ED" w:rsidRDefault="002E01E3" w:rsidP="002E01E3">
      <w:pPr>
        <w:pStyle w:val="EndNoteBibliography"/>
        <w:spacing w:after="0"/>
        <w:ind w:left="720" w:hanging="720"/>
      </w:pPr>
      <w:r w:rsidRPr="009835ED">
        <w:t>19.</w:t>
      </w:r>
      <w:r w:rsidRPr="009835ED">
        <w:tab/>
        <w:t xml:space="preserve">Holman, R.R., et al., </w:t>
      </w:r>
      <w:r w:rsidRPr="009835ED">
        <w:rPr>
          <w:i/>
        </w:rPr>
        <w:t>10-year follow-up of intensive glucose control in type 2 diabetes.</w:t>
      </w:r>
      <w:r w:rsidRPr="009835ED">
        <w:t xml:space="preserve"> New England Journal of Medicine, 2008. </w:t>
      </w:r>
      <w:r w:rsidRPr="009835ED">
        <w:rPr>
          <w:b/>
        </w:rPr>
        <w:t>359</w:t>
      </w:r>
      <w:r w:rsidRPr="009835ED">
        <w:t>(15): p. 1577-1589.</w:t>
      </w:r>
    </w:p>
    <w:p w:rsidR="002E01E3" w:rsidRPr="009835ED" w:rsidRDefault="002E01E3" w:rsidP="002E01E3">
      <w:pPr>
        <w:pStyle w:val="EndNoteBibliography"/>
        <w:spacing w:after="0"/>
        <w:ind w:left="720" w:hanging="720"/>
      </w:pPr>
      <w:r w:rsidRPr="009835ED">
        <w:t>20.</w:t>
      </w:r>
      <w:r w:rsidRPr="009835ED">
        <w:tab/>
        <w:t xml:space="preserve">Colagiuri, S., et al., </w:t>
      </w:r>
      <w:r w:rsidRPr="009835ED">
        <w:rPr>
          <w:i/>
        </w:rPr>
        <w:t>National evidence based guideline for case detection and diagnosis of type 2 diabetes.</w:t>
      </w:r>
      <w:r w:rsidRPr="009835ED">
        <w:t xml:space="preserve"> Diabetes Australia and the NHMRC, Editor, 2009.</w:t>
      </w:r>
    </w:p>
    <w:p w:rsidR="002E01E3" w:rsidRPr="009835ED" w:rsidRDefault="002E01E3" w:rsidP="002E01E3">
      <w:pPr>
        <w:pStyle w:val="EndNoteBibliography"/>
        <w:spacing w:after="0"/>
        <w:ind w:left="720" w:hanging="720"/>
      </w:pPr>
      <w:r w:rsidRPr="009835ED">
        <w:t>21.</w:t>
      </w:r>
      <w:r w:rsidRPr="009835ED">
        <w:tab/>
        <w:t xml:space="preserve">Larson, C., </w:t>
      </w:r>
      <w:r w:rsidRPr="009835ED">
        <w:rPr>
          <w:i/>
        </w:rPr>
        <w:t>Williams' Textbook of Endocrinology.</w:t>
      </w:r>
      <w:r w:rsidRPr="009835ED">
        <w:t xml:space="preserve"> The Endocrinologist, 1999. </w:t>
      </w:r>
      <w:r w:rsidRPr="009835ED">
        <w:rPr>
          <w:b/>
        </w:rPr>
        <w:t>9</w:t>
      </w:r>
      <w:r w:rsidRPr="009835ED">
        <w:t>(1): p. 69-70.</w:t>
      </w:r>
    </w:p>
    <w:p w:rsidR="002E01E3" w:rsidRPr="009835ED" w:rsidRDefault="002E01E3" w:rsidP="002E01E3">
      <w:pPr>
        <w:pStyle w:val="EndNoteBibliography"/>
        <w:spacing w:after="0"/>
        <w:ind w:left="720" w:hanging="720"/>
      </w:pPr>
      <w:r w:rsidRPr="009835ED">
        <w:t>22.</w:t>
      </w:r>
      <w:r w:rsidRPr="009835ED">
        <w:tab/>
        <w:t xml:space="preserve">Cramer JA, B.A., Muszbek N, Keskinaslan A, Khan ZM, </w:t>
      </w:r>
      <w:r w:rsidRPr="009835ED">
        <w:rPr>
          <w:i/>
        </w:rPr>
        <w:t>The significance of compliance and persistence in the treatment of diabetes, hypertension and dyslipidaemia: a review. .</w:t>
      </w:r>
      <w:r w:rsidRPr="009835ED">
        <w:t xml:space="preserve"> Int J Clin Pract, 2008. </w:t>
      </w:r>
      <w:r w:rsidRPr="009835ED">
        <w:rPr>
          <w:b/>
        </w:rPr>
        <w:t>62</w:t>
      </w:r>
      <w:r w:rsidRPr="009835ED">
        <w:t>: p. 76-87.</w:t>
      </w:r>
    </w:p>
    <w:p w:rsidR="002E01E3" w:rsidRPr="009835ED" w:rsidRDefault="002E01E3" w:rsidP="002E01E3">
      <w:pPr>
        <w:pStyle w:val="EndNoteBibliography"/>
        <w:spacing w:after="0"/>
        <w:ind w:left="720" w:hanging="720"/>
      </w:pPr>
      <w:r w:rsidRPr="009835ED">
        <w:t>23.</w:t>
      </w:r>
      <w:r w:rsidRPr="009835ED">
        <w:tab/>
        <w:t xml:space="preserve">Trento, M., et al., </w:t>
      </w:r>
      <w:r w:rsidRPr="009835ED">
        <w:rPr>
          <w:i/>
        </w:rPr>
        <w:t>Rethink Organization to iMprove Education and Outcomes (ROMEO) A multicenter randomized trial of lifestyle intervention by group care to manage type 2 diabetes.</w:t>
      </w:r>
      <w:r w:rsidRPr="009835ED">
        <w:t xml:space="preserve"> Diabetes care, 2010. </w:t>
      </w:r>
      <w:r w:rsidRPr="009835ED">
        <w:rPr>
          <w:b/>
        </w:rPr>
        <w:t>33</w:t>
      </w:r>
      <w:r w:rsidRPr="009835ED">
        <w:t>(4): p. 745-747.</w:t>
      </w:r>
    </w:p>
    <w:p w:rsidR="002E01E3" w:rsidRPr="009835ED" w:rsidRDefault="002E01E3" w:rsidP="002E01E3">
      <w:pPr>
        <w:pStyle w:val="EndNoteBibliography"/>
        <w:spacing w:after="0"/>
        <w:ind w:left="720" w:hanging="720"/>
      </w:pPr>
      <w:r w:rsidRPr="009835ED">
        <w:t>24.</w:t>
      </w:r>
      <w:r w:rsidRPr="009835ED">
        <w:tab/>
        <w:t xml:space="preserve">Noffsinger, E.B., </w:t>
      </w:r>
      <w:r w:rsidRPr="009835ED">
        <w:rPr>
          <w:i/>
        </w:rPr>
        <w:t>The ABCs of Group Visits: An Implementation Manual for Your Practice</w:t>
      </w:r>
      <w:r w:rsidRPr="009835ED">
        <w:t>. 2012: Springer.</w:t>
      </w:r>
    </w:p>
    <w:p w:rsidR="002E01E3" w:rsidRPr="009835ED" w:rsidRDefault="002E01E3" w:rsidP="002E01E3">
      <w:pPr>
        <w:pStyle w:val="EndNoteBibliography"/>
        <w:spacing w:after="0"/>
        <w:ind w:left="720" w:hanging="720"/>
      </w:pPr>
      <w:r w:rsidRPr="009835ED">
        <w:t>25.</w:t>
      </w:r>
      <w:r w:rsidRPr="009835ED">
        <w:tab/>
        <w:t xml:space="preserve">NDSS, N.D.S.S., </w:t>
      </w:r>
      <w:r w:rsidRPr="009835ED">
        <w:rPr>
          <w:i/>
        </w:rPr>
        <w:t>Type 2 diabetes data snapshots</w:t>
      </w:r>
      <w:r w:rsidRPr="009835ED">
        <w:t>, D. Australia, Editor. 2014.</w:t>
      </w:r>
    </w:p>
    <w:p w:rsidR="002E01E3" w:rsidRPr="009835ED" w:rsidRDefault="002E01E3" w:rsidP="002E01E3">
      <w:pPr>
        <w:pStyle w:val="EndNoteBibliography"/>
        <w:spacing w:after="0"/>
        <w:ind w:left="720" w:hanging="720"/>
      </w:pPr>
      <w:r w:rsidRPr="009835ED">
        <w:lastRenderedPageBreak/>
        <w:t>26.</w:t>
      </w:r>
      <w:r w:rsidRPr="009835ED">
        <w:tab/>
        <w:t xml:space="preserve">Dunstan, D.W., et al., </w:t>
      </w:r>
      <w:r w:rsidRPr="009835ED">
        <w:rPr>
          <w:i/>
        </w:rPr>
        <w:t>The Rising Prevalence of Diabetes and Impaired Glucose Tolerance The Australian Diabetes, Obesity and Lifestyle Study.</w:t>
      </w:r>
      <w:r w:rsidRPr="009835ED">
        <w:t xml:space="preserve"> Diabetes care, 2002. </w:t>
      </w:r>
      <w:r w:rsidRPr="009835ED">
        <w:rPr>
          <w:b/>
        </w:rPr>
        <w:t>25</w:t>
      </w:r>
      <w:r w:rsidRPr="009835ED">
        <w:t>(5): p. 829-834.</w:t>
      </w:r>
    </w:p>
    <w:p w:rsidR="002E01E3" w:rsidRPr="009835ED" w:rsidRDefault="002E01E3" w:rsidP="002E01E3">
      <w:pPr>
        <w:pStyle w:val="EndNoteBibliography"/>
        <w:spacing w:after="0"/>
        <w:ind w:left="720" w:hanging="720"/>
      </w:pPr>
      <w:r w:rsidRPr="009835ED">
        <w:t>27.</w:t>
      </w:r>
      <w:r w:rsidRPr="009835ED">
        <w:tab/>
        <w:t xml:space="preserve">William C. Knowler, E.B.-C., Sarah E. Fowler, </w:t>
      </w:r>
      <w:r w:rsidRPr="009835ED">
        <w:rPr>
          <w:i/>
        </w:rPr>
        <w:t>Reduction in the incidence of type 2 diabetes with lifestyle intervention or metformin.</w:t>
      </w:r>
      <w:r w:rsidRPr="009835ED">
        <w:t xml:space="preserve"> The New England journal of medicine, 2002. </w:t>
      </w:r>
      <w:r w:rsidRPr="009835ED">
        <w:rPr>
          <w:b/>
        </w:rPr>
        <w:t>346</w:t>
      </w:r>
      <w:r w:rsidRPr="009835ED">
        <w:t>(6): p. 393.</w:t>
      </w:r>
    </w:p>
    <w:p w:rsidR="002E01E3" w:rsidRPr="009835ED" w:rsidRDefault="002E01E3" w:rsidP="002E01E3">
      <w:pPr>
        <w:pStyle w:val="EndNoteBibliography"/>
        <w:spacing w:after="0"/>
        <w:ind w:left="720" w:hanging="720"/>
      </w:pPr>
      <w:r w:rsidRPr="009835ED">
        <w:t>28.</w:t>
      </w:r>
      <w:r w:rsidRPr="009835ED">
        <w:tab/>
        <w:t xml:space="preserve">Steinsbekk, A., et al., </w:t>
      </w:r>
      <w:r w:rsidRPr="009835ED">
        <w:rPr>
          <w:i/>
        </w:rPr>
        <w:t>Group based diabetes self-management education compared to routine treatment for people with type 2 diabetes mellitus. A systematic review with meta-analysis.</w:t>
      </w:r>
      <w:r w:rsidRPr="009835ED">
        <w:t xml:space="preserve"> BMC health services research, 2012. </w:t>
      </w:r>
      <w:r w:rsidRPr="009835ED">
        <w:rPr>
          <w:b/>
        </w:rPr>
        <w:t>12</w:t>
      </w:r>
      <w:r w:rsidRPr="009835ED">
        <w:t>(1): p. 213.</w:t>
      </w:r>
    </w:p>
    <w:p w:rsidR="002E01E3" w:rsidRPr="009835ED" w:rsidRDefault="002E01E3" w:rsidP="002E01E3">
      <w:pPr>
        <w:pStyle w:val="EndNoteBibliography"/>
        <w:spacing w:after="0"/>
        <w:ind w:left="720" w:hanging="720"/>
      </w:pPr>
      <w:r w:rsidRPr="009835ED">
        <w:t>29.</w:t>
      </w:r>
      <w:r w:rsidRPr="009835ED">
        <w:tab/>
        <w:t xml:space="preserve">Ridge, T., </w:t>
      </w:r>
      <w:r w:rsidRPr="009835ED">
        <w:rPr>
          <w:i/>
        </w:rPr>
        <w:t>Shared medical appointments in diabetes care: a literature review.</w:t>
      </w:r>
      <w:r w:rsidRPr="009835ED">
        <w:t xml:space="preserve"> Diabetes Spectrum, 2012. </w:t>
      </w:r>
      <w:r w:rsidRPr="009835ED">
        <w:rPr>
          <w:b/>
        </w:rPr>
        <w:t>25</w:t>
      </w:r>
      <w:r w:rsidRPr="009835ED">
        <w:t>(2): p. 72-75.</w:t>
      </w:r>
    </w:p>
    <w:p w:rsidR="002E01E3" w:rsidRPr="009835ED" w:rsidRDefault="002E01E3" w:rsidP="002E01E3">
      <w:pPr>
        <w:pStyle w:val="EndNoteBibliography"/>
        <w:spacing w:after="0"/>
        <w:ind w:left="720" w:hanging="720"/>
      </w:pPr>
      <w:r w:rsidRPr="009835ED">
        <w:t>30.</w:t>
      </w:r>
      <w:r w:rsidRPr="009835ED">
        <w:tab/>
        <w:t xml:space="preserve">Clancy, D.E., et al., </w:t>
      </w:r>
      <w:r w:rsidRPr="009835ED">
        <w:rPr>
          <w:i/>
        </w:rPr>
        <w:t>Group visits in medically and economically disadvantaged patients with type 2 diabetes and their relationships to clinical outcomes.</w:t>
      </w:r>
      <w:r w:rsidRPr="009835ED">
        <w:t xml:space="preserve"> Topics in health information management, 2002. </w:t>
      </w:r>
      <w:r w:rsidRPr="009835ED">
        <w:rPr>
          <w:b/>
        </w:rPr>
        <w:t>24</w:t>
      </w:r>
      <w:r w:rsidRPr="009835ED">
        <w:t>(1): p. 8-14.</w:t>
      </w:r>
    </w:p>
    <w:p w:rsidR="002E01E3" w:rsidRPr="009835ED" w:rsidRDefault="002E01E3" w:rsidP="002E01E3">
      <w:pPr>
        <w:pStyle w:val="EndNoteBibliography"/>
        <w:spacing w:after="0"/>
        <w:ind w:left="720" w:hanging="720"/>
      </w:pPr>
      <w:r w:rsidRPr="009835ED">
        <w:t>31.</w:t>
      </w:r>
      <w:r w:rsidRPr="009835ED">
        <w:tab/>
        <w:t xml:space="preserve">Clancy, D.E., et al., </w:t>
      </w:r>
      <w:r w:rsidRPr="009835ED">
        <w:rPr>
          <w:i/>
        </w:rPr>
        <w:t>Do diabetes group visits lead to lower medical care charges?</w:t>
      </w:r>
      <w:r w:rsidRPr="009835ED">
        <w:t xml:space="preserve"> American Journal of Managed Care, 2008. </w:t>
      </w:r>
      <w:r w:rsidRPr="009835ED">
        <w:rPr>
          <w:b/>
        </w:rPr>
        <w:t>14</w:t>
      </w:r>
      <w:r w:rsidRPr="009835ED">
        <w:t>(1): p. 39.</w:t>
      </w:r>
    </w:p>
    <w:p w:rsidR="002E01E3" w:rsidRPr="009835ED" w:rsidRDefault="002E01E3" w:rsidP="002E01E3">
      <w:pPr>
        <w:pStyle w:val="EndNoteBibliography"/>
        <w:spacing w:after="0"/>
        <w:ind w:left="720" w:hanging="720"/>
      </w:pPr>
      <w:r w:rsidRPr="009835ED">
        <w:t>32.</w:t>
      </w:r>
      <w:r w:rsidRPr="009835ED">
        <w:tab/>
        <w:t xml:space="preserve">Sadur, C., et al., </w:t>
      </w:r>
      <w:r w:rsidRPr="009835ED">
        <w:rPr>
          <w:i/>
        </w:rPr>
        <w:t>Diabetes management in a health maintenance organization. Efficacy of care management using cluster visits.</w:t>
      </w:r>
      <w:r w:rsidRPr="009835ED">
        <w:t xml:space="preserve"> Diabetes care, 1999. </w:t>
      </w:r>
      <w:r w:rsidRPr="009835ED">
        <w:rPr>
          <w:b/>
        </w:rPr>
        <w:t>22</w:t>
      </w:r>
      <w:r w:rsidRPr="009835ED">
        <w:t>(12): p. 2011-2017.</w:t>
      </w:r>
    </w:p>
    <w:p w:rsidR="002E01E3" w:rsidRPr="009835ED" w:rsidRDefault="002E01E3" w:rsidP="002E01E3">
      <w:pPr>
        <w:pStyle w:val="EndNoteBibliography"/>
        <w:spacing w:after="0"/>
        <w:ind w:left="720" w:hanging="720"/>
      </w:pPr>
      <w:r w:rsidRPr="009835ED">
        <w:t>33.</w:t>
      </w:r>
      <w:r w:rsidRPr="009835ED">
        <w:tab/>
        <w:t xml:space="preserve">Trento, M., et al., </w:t>
      </w:r>
      <w:r w:rsidRPr="009835ED">
        <w:rPr>
          <w:i/>
        </w:rPr>
        <w:t>A 5-year randomized controlled study of learning, problem solving ability, and quality of life modifications in people with type 2 diabetes managed by group care.</w:t>
      </w:r>
      <w:r w:rsidRPr="009835ED">
        <w:t xml:space="preserve"> Diabetes care, 2004. </w:t>
      </w:r>
      <w:r w:rsidRPr="009835ED">
        <w:rPr>
          <w:b/>
        </w:rPr>
        <w:t>27</w:t>
      </w:r>
      <w:r w:rsidRPr="009835ED">
        <w:t>(3): p. 670-675.</w:t>
      </w:r>
    </w:p>
    <w:p w:rsidR="002E01E3" w:rsidRPr="009835ED" w:rsidRDefault="002E01E3" w:rsidP="002E01E3">
      <w:pPr>
        <w:pStyle w:val="EndNoteBibliography"/>
        <w:spacing w:after="0"/>
        <w:ind w:left="720" w:hanging="720"/>
      </w:pPr>
      <w:r w:rsidRPr="009835ED">
        <w:t>34.</w:t>
      </w:r>
      <w:r w:rsidRPr="009835ED">
        <w:tab/>
        <w:t xml:space="preserve">PBS, </w:t>
      </w:r>
      <w:r w:rsidRPr="009835ED">
        <w:rPr>
          <w:i/>
        </w:rPr>
        <w:t>Public Summary Document for Vildagliptin, tablet, 50 mg, Galvus® - March 2010</w:t>
      </w:r>
      <w:r w:rsidRPr="009835ED">
        <w:t>, A.G.d.o. health, Editor. 2010.</w:t>
      </w:r>
    </w:p>
    <w:p w:rsidR="002E01E3" w:rsidRPr="009835ED" w:rsidRDefault="002E01E3" w:rsidP="002E01E3">
      <w:pPr>
        <w:pStyle w:val="EndNoteBibliography"/>
        <w:spacing w:after="0"/>
        <w:ind w:left="720" w:hanging="720"/>
      </w:pPr>
      <w:r w:rsidRPr="009835ED">
        <w:t>35.</w:t>
      </w:r>
      <w:r w:rsidRPr="009835ED">
        <w:tab/>
        <w:t xml:space="preserve">Stratton, I.M., et al., </w:t>
      </w:r>
      <w:r w:rsidRPr="009835ED">
        <w:rPr>
          <w:i/>
        </w:rPr>
        <w:t>Association of glycaemia with macrovascular and microvascular complications of type 2 diabetes (UKPDS 35): prospective observational study.</w:t>
      </w:r>
      <w:r w:rsidRPr="009835ED">
        <w:t xml:space="preserve"> BMJ, 2000. </w:t>
      </w:r>
      <w:r w:rsidRPr="009835ED">
        <w:rPr>
          <w:b/>
        </w:rPr>
        <w:t>321</w:t>
      </w:r>
      <w:r w:rsidRPr="009835ED">
        <w:t>(7258): p. 405-12.</w:t>
      </w:r>
    </w:p>
    <w:p w:rsidR="002E01E3" w:rsidRPr="009835ED" w:rsidRDefault="002E01E3" w:rsidP="002E01E3">
      <w:pPr>
        <w:pStyle w:val="EndNoteBibliography"/>
        <w:spacing w:after="0"/>
        <w:ind w:left="720" w:hanging="720"/>
      </w:pPr>
      <w:r w:rsidRPr="009835ED">
        <w:t>36.</w:t>
      </w:r>
      <w:r w:rsidRPr="009835ED">
        <w:tab/>
        <w:t xml:space="preserve">Wing, R.R., et al., </w:t>
      </w:r>
      <w:r w:rsidRPr="009835ED">
        <w:rPr>
          <w:i/>
        </w:rPr>
        <w:t>Benefits of modest weight loss in improving cardiovascular risk factors in overweight and obese individuals with type 2 diabetes.</w:t>
      </w:r>
      <w:r w:rsidRPr="009835ED">
        <w:t xml:space="preserve"> Diabetes care, 2011. </w:t>
      </w:r>
      <w:r w:rsidRPr="009835ED">
        <w:rPr>
          <w:b/>
        </w:rPr>
        <w:t>34</w:t>
      </w:r>
      <w:r w:rsidRPr="009835ED">
        <w:t>(7): p. 1481-1486.</w:t>
      </w:r>
    </w:p>
    <w:p w:rsidR="002E01E3" w:rsidRPr="009835ED" w:rsidRDefault="002E01E3" w:rsidP="002E01E3">
      <w:pPr>
        <w:pStyle w:val="EndNoteBibliography"/>
        <w:spacing w:after="0"/>
        <w:ind w:left="720" w:hanging="720"/>
      </w:pPr>
      <w:r w:rsidRPr="009835ED">
        <w:t>37.</w:t>
      </w:r>
      <w:r w:rsidRPr="009835ED">
        <w:tab/>
        <w:t xml:space="preserve">Association, A.D., </w:t>
      </w:r>
      <w:r w:rsidRPr="009835ED">
        <w:rPr>
          <w:i/>
        </w:rPr>
        <w:t>Standards of medical care in diabetes—2013.</w:t>
      </w:r>
      <w:r w:rsidRPr="009835ED">
        <w:t xml:space="preserve"> Diabetes care, 2013. </w:t>
      </w:r>
      <w:r w:rsidRPr="009835ED">
        <w:rPr>
          <w:b/>
        </w:rPr>
        <w:t>36</w:t>
      </w:r>
      <w:r w:rsidRPr="009835ED">
        <w:t>(Suppl 1): p. S11.</w:t>
      </w:r>
    </w:p>
    <w:p w:rsidR="002E01E3" w:rsidRPr="009835ED" w:rsidRDefault="002E01E3" w:rsidP="002E01E3">
      <w:pPr>
        <w:pStyle w:val="EndNoteBibliography"/>
        <w:spacing w:after="0"/>
        <w:ind w:left="720" w:hanging="720"/>
      </w:pPr>
      <w:r w:rsidRPr="009835ED">
        <w:t>38.</w:t>
      </w:r>
      <w:r w:rsidRPr="009835ED">
        <w:tab/>
        <w:t xml:space="preserve">Nesto, R.W., </w:t>
      </w:r>
      <w:r w:rsidRPr="009835ED">
        <w:rPr>
          <w:i/>
        </w:rPr>
        <w:t>LDL Cholesterol Lowering in Type 2 Diabetes: What Is the Optimum Approach?</w:t>
      </w:r>
      <w:r w:rsidRPr="009835ED">
        <w:t xml:space="preserve"> Clinical Diabetes, 2008. </w:t>
      </w:r>
      <w:r w:rsidRPr="009835ED">
        <w:rPr>
          <w:b/>
        </w:rPr>
        <w:t>26</w:t>
      </w:r>
      <w:r w:rsidRPr="009835ED">
        <w:t>(1): p. 8-13.</w:t>
      </w:r>
    </w:p>
    <w:p w:rsidR="002E01E3" w:rsidRPr="009835ED" w:rsidRDefault="002E01E3" w:rsidP="002E01E3">
      <w:pPr>
        <w:pStyle w:val="EndNoteBibliography"/>
        <w:spacing w:after="0"/>
        <w:ind w:left="720" w:hanging="720"/>
      </w:pPr>
      <w:r w:rsidRPr="009835ED">
        <w:t>39.</w:t>
      </w:r>
      <w:r w:rsidRPr="009835ED">
        <w:tab/>
        <w:t xml:space="preserve">Miller, M., et al., </w:t>
      </w:r>
      <w:r w:rsidRPr="009835ED">
        <w:rPr>
          <w:i/>
        </w:rPr>
        <w:t>Triglycerides and cardiovascular disease a scientific statement from the American Heart Association.</w:t>
      </w:r>
      <w:r w:rsidRPr="009835ED">
        <w:t xml:space="preserve"> Circulation, 2011. </w:t>
      </w:r>
      <w:r w:rsidRPr="009835ED">
        <w:rPr>
          <w:b/>
        </w:rPr>
        <w:t>123</w:t>
      </w:r>
      <w:r w:rsidRPr="009835ED">
        <w:t>(20): p. 2292-2333.</w:t>
      </w:r>
    </w:p>
    <w:p w:rsidR="002E01E3" w:rsidRPr="009835ED" w:rsidRDefault="002E01E3" w:rsidP="002E01E3">
      <w:pPr>
        <w:pStyle w:val="EndNoteBibliography"/>
        <w:spacing w:after="0"/>
        <w:ind w:left="720" w:hanging="720"/>
      </w:pPr>
      <w:r w:rsidRPr="009835ED">
        <w:t>40.</w:t>
      </w:r>
      <w:r w:rsidRPr="009835ED">
        <w:tab/>
        <w:t xml:space="preserve">Housden, L., S.T. Wong, and M. Dawes, </w:t>
      </w:r>
      <w:r w:rsidRPr="009835ED">
        <w:rPr>
          <w:i/>
        </w:rPr>
        <w:t>Effectiveness of group medical visits for improving diabetes care: a systematic review and meta-analysis.</w:t>
      </w:r>
      <w:r w:rsidRPr="009835ED">
        <w:t xml:space="preserve"> Canadian Medical Association Journal, 2013: p. cmaj. 130053.</w:t>
      </w:r>
    </w:p>
    <w:p w:rsidR="002E01E3" w:rsidRPr="009835ED" w:rsidRDefault="002E01E3" w:rsidP="002E01E3">
      <w:pPr>
        <w:pStyle w:val="EndNoteBibliography"/>
        <w:spacing w:after="0"/>
        <w:ind w:left="720" w:hanging="720"/>
      </w:pPr>
      <w:r w:rsidRPr="009835ED">
        <w:t>41.</w:t>
      </w:r>
      <w:r w:rsidRPr="009835ED">
        <w:tab/>
        <w:t xml:space="preserve">Rygg, L.Ø., et al., </w:t>
      </w:r>
      <w:r w:rsidRPr="009835ED">
        <w:rPr>
          <w:i/>
        </w:rPr>
        <w:t>Efficacy of ongoing group based diabetes self-management education for patients with type 2 diabetes mellitus. A randomised controlled trial.</w:t>
      </w:r>
      <w:r w:rsidRPr="009835ED">
        <w:t xml:space="preserve"> Patient education and counseling, 2012. </w:t>
      </w:r>
      <w:r w:rsidRPr="009835ED">
        <w:rPr>
          <w:b/>
        </w:rPr>
        <w:t>86</w:t>
      </w:r>
      <w:r w:rsidRPr="009835ED">
        <w:t>(1): p. 98-105.</w:t>
      </w:r>
    </w:p>
    <w:p w:rsidR="002E01E3" w:rsidRPr="009835ED" w:rsidRDefault="002E01E3" w:rsidP="002E01E3">
      <w:pPr>
        <w:pStyle w:val="EndNoteBibliography"/>
        <w:spacing w:after="0"/>
        <w:ind w:left="720" w:hanging="720"/>
      </w:pPr>
      <w:r w:rsidRPr="009835ED">
        <w:t>42.</w:t>
      </w:r>
      <w:r w:rsidRPr="009835ED">
        <w:tab/>
        <w:t xml:space="preserve">Naik, A.D., et al., </w:t>
      </w:r>
      <w:r w:rsidRPr="009835ED">
        <w:rPr>
          <w:i/>
        </w:rPr>
        <w:t>Comparative effectiveness of goal setting in diabetes mellitus group clinics: randomized clinical trial.</w:t>
      </w:r>
      <w:r w:rsidRPr="009835ED">
        <w:t xml:space="preserve"> Archives of internal medicine, 2011. </w:t>
      </w:r>
      <w:r w:rsidRPr="009835ED">
        <w:rPr>
          <w:b/>
        </w:rPr>
        <w:t>171</w:t>
      </w:r>
      <w:r w:rsidRPr="009835ED">
        <w:t>(5): p. 453-459.</w:t>
      </w:r>
    </w:p>
    <w:p w:rsidR="002E01E3" w:rsidRPr="009835ED" w:rsidRDefault="002E01E3" w:rsidP="002E01E3">
      <w:pPr>
        <w:pStyle w:val="EndNoteBibliography"/>
        <w:spacing w:after="0"/>
        <w:ind w:left="720" w:hanging="720"/>
      </w:pPr>
      <w:r w:rsidRPr="009835ED">
        <w:t>43.</w:t>
      </w:r>
      <w:r w:rsidRPr="009835ED">
        <w:tab/>
        <w:t xml:space="preserve">Clancy, D.E., et al., </w:t>
      </w:r>
      <w:r w:rsidRPr="009835ED">
        <w:rPr>
          <w:i/>
        </w:rPr>
        <w:t>Group visits: promoting adherence to diabetes guidelines.</w:t>
      </w:r>
      <w:r w:rsidRPr="009835ED">
        <w:t xml:space="preserve"> Journal of general internal medicine, 2007. </w:t>
      </w:r>
      <w:r w:rsidRPr="009835ED">
        <w:rPr>
          <w:b/>
        </w:rPr>
        <w:t>22</w:t>
      </w:r>
      <w:r w:rsidRPr="009835ED">
        <w:t>(5): p. 620-624.</w:t>
      </w:r>
    </w:p>
    <w:p w:rsidR="002E01E3" w:rsidRPr="009835ED" w:rsidRDefault="002E01E3" w:rsidP="002E01E3">
      <w:pPr>
        <w:pStyle w:val="EndNoteBibliography"/>
        <w:spacing w:after="0"/>
        <w:ind w:left="720" w:hanging="720"/>
      </w:pPr>
      <w:r w:rsidRPr="009835ED">
        <w:t>44.</w:t>
      </w:r>
      <w:r w:rsidRPr="009835ED">
        <w:tab/>
        <w:t xml:space="preserve">Wagner, E.H., et al., </w:t>
      </w:r>
      <w:r w:rsidRPr="009835ED">
        <w:rPr>
          <w:i/>
        </w:rPr>
        <w:t>Chronic Care Clinics for Diabetes in Primary Care A system-wide randomized trial.</w:t>
      </w:r>
      <w:r w:rsidRPr="009835ED">
        <w:t xml:space="preserve"> Diabetes care, 2001. </w:t>
      </w:r>
      <w:r w:rsidRPr="009835ED">
        <w:rPr>
          <w:b/>
        </w:rPr>
        <w:t>24</w:t>
      </w:r>
      <w:r w:rsidRPr="009835ED">
        <w:t>(4): p. 695-700.</w:t>
      </w:r>
    </w:p>
    <w:p w:rsidR="002E01E3" w:rsidRPr="009835ED" w:rsidRDefault="002E01E3" w:rsidP="002E01E3">
      <w:pPr>
        <w:pStyle w:val="EndNoteBibliography"/>
        <w:spacing w:after="0"/>
        <w:ind w:left="720" w:hanging="720"/>
      </w:pPr>
      <w:r w:rsidRPr="009835ED">
        <w:t>45.</w:t>
      </w:r>
      <w:r w:rsidRPr="009835ED">
        <w:tab/>
        <w:t xml:space="preserve">John Stevens, J.D., Mary-Anne Cole, Andrew Binns, Garry Egger, </w:t>
      </w:r>
      <w:r w:rsidRPr="009835ED">
        <w:rPr>
          <w:i/>
        </w:rPr>
        <w:t>A User Assessment of the Potential for Shared Medical Appointments in Australia. .</w:t>
      </w:r>
      <w:r w:rsidRPr="009835ED">
        <w:t xml:space="preserve"> Australian Family Physician (in press), 2014.</w:t>
      </w:r>
    </w:p>
    <w:p w:rsidR="002E01E3" w:rsidRPr="009835ED" w:rsidRDefault="002E01E3" w:rsidP="002E01E3">
      <w:pPr>
        <w:pStyle w:val="EndNoteBibliography"/>
        <w:spacing w:after="0"/>
        <w:ind w:left="720" w:hanging="720"/>
      </w:pPr>
      <w:r w:rsidRPr="009835ED">
        <w:t>46.</w:t>
      </w:r>
      <w:r w:rsidRPr="009835ED">
        <w:tab/>
        <w:t xml:space="preserve">Resneck, J.S. and M. VanBeek, </w:t>
      </w:r>
      <w:r w:rsidRPr="009835ED">
        <w:rPr>
          <w:i/>
        </w:rPr>
        <w:t>Shared medical appointments: will changes in health care delivery and financing promote increased use of nonphysician clinicians in dermatology patient counseling?</w:t>
      </w:r>
      <w:r w:rsidRPr="009835ED">
        <w:t xml:space="preserve"> Archives of dermatology, 2010. </w:t>
      </w:r>
      <w:r w:rsidRPr="009835ED">
        <w:rPr>
          <w:b/>
        </w:rPr>
        <w:t>146</w:t>
      </w:r>
      <w:r w:rsidRPr="009835ED">
        <w:t>(4): p. 434-436.</w:t>
      </w:r>
    </w:p>
    <w:p w:rsidR="002E01E3" w:rsidRPr="009835ED" w:rsidRDefault="002E01E3" w:rsidP="002E01E3">
      <w:pPr>
        <w:pStyle w:val="EndNoteBibliography"/>
        <w:spacing w:after="0"/>
        <w:ind w:left="720" w:hanging="720"/>
      </w:pPr>
      <w:r w:rsidRPr="009835ED">
        <w:t>47.</w:t>
      </w:r>
      <w:r w:rsidRPr="009835ED">
        <w:tab/>
        <w:t xml:space="preserve">Gordon, L., et al., </w:t>
      </w:r>
      <w:r w:rsidRPr="009835ED">
        <w:rPr>
          <w:i/>
        </w:rPr>
        <w:t>A cost-effectiveness analysis of a telephone-linked care intervention for individuals with Type 2 diabetes.</w:t>
      </w:r>
      <w:r w:rsidRPr="009835ED">
        <w:t xml:space="preserve"> Diabetes research and clinical practice, 2014. </w:t>
      </w:r>
      <w:r w:rsidRPr="009835ED">
        <w:rPr>
          <w:b/>
        </w:rPr>
        <w:t>104</w:t>
      </w:r>
      <w:r w:rsidRPr="009835ED">
        <w:t>(1): p. 103-111.</w:t>
      </w:r>
    </w:p>
    <w:p w:rsidR="002E01E3" w:rsidRPr="009835ED" w:rsidRDefault="002E01E3" w:rsidP="002E01E3">
      <w:pPr>
        <w:pStyle w:val="EndNoteBibliography"/>
        <w:spacing w:after="0"/>
        <w:ind w:left="720" w:hanging="720"/>
      </w:pPr>
      <w:r w:rsidRPr="009835ED">
        <w:lastRenderedPageBreak/>
        <w:t>48.</w:t>
      </w:r>
      <w:r w:rsidRPr="009835ED">
        <w:tab/>
        <w:t xml:space="preserve">Jaime Caro, J., et al., </w:t>
      </w:r>
      <w:r w:rsidRPr="009835ED">
        <w:rPr>
          <w:i/>
        </w:rPr>
        <w:t>Questionnaire to Assess Relevance and Credibility of Modeling Studies for Informing Health Care Decision Making: An ISPOR-AMCP-NPC Good Practice Task Force Report.</w:t>
      </w:r>
      <w:r w:rsidRPr="009835ED">
        <w:t xml:space="preserve"> Value in Health, 2014. </w:t>
      </w:r>
      <w:r w:rsidRPr="009835ED">
        <w:rPr>
          <w:b/>
        </w:rPr>
        <w:t>17</w:t>
      </w:r>
      <w:r w:rsidRPr="009835ED">
        <w:t>(2): p. 174-182.</w:t>
      </w:r>
    </w:p>
    <w:p w:rsidR="002E01E3" w:rsidRPr="009835ED" w:rsidRDefault="002E01E3" w:rsidP="002E01E3">
      <w:pPr>
        <w:pStyle w:val="EndNoteBibliography"/>
        <w:spacing w:after="0"/>
        <w:ind w:left="720" w:hanging="720"/>
      </w:pPr>
      <w:r w:rsidRPr="009835ED">
        <w:t>49.</w:t>
      </w:r>
      <w:r w:rsidRPr="009835ED">
        <w:tab/>
        <w:t xml:space="preserve">Siebert, U., et al., </w:t>
      </w:r>
      <w:r w:rsidRPr="009835ED">
        <w:rPr>
          <w:i/>
        </w:rPr>
        <w:t>State-transition modeling: a report of the ISPOR-SMDM modeling good research practices task force-3.</w:t>
      </w:r>
      <w:r w:rsidRPr="009835ED">
        <w:t xml:space="preserve"> Value in Health, 2012. </w:t>
      </w:r>
      <w:r w:rsidRPr="009835ED">
        <w:rPr>
          <w:b/>
        </w:rPr>
        <w:t>15</w:t>
      </w:r>
      <w:r w:rsidRPr="009835ED">
        <w:t>(6): p. 812-820.</w:t>
      </w:r>
    </w:p>
    <w:p w:rsidR="002E01E3" w:rsidRPr="009835ED" w:rsidRDefault="002E01E3" w:rsidP="002E01E3">
      <w:pPr>
        <w:pStyle w:val="EndNoteBibliography"/>
        <w:spacing w:after="0"/>
        <w:ind w:left="720" w:hanging="720"/>
      </w:pPr>
      <w:r w:rsidRPr="009835ED">
        <w:t>50.</w:t>
      </w:r>
      <w:r w:rsidRPr="009835ED">
        <w:tab/>
        <w:t xml:space="preserve">Barr, E.L., et al., </w:t>
      </w:r>
      <w:r w:rsidRPr="009835ED">
        <w:rPr>
          <w:i/>
        </w:rPr>
        <w:t>Risk of cardiovascular and all-cause mortality in individuals with diabetes mellitus, impaired fasting glucose, and impaired glucose tolerance The Australian Diabetes, Obesity, and Lifestyle Study (AusDiab).</w:t>
      </w:r>
      <w:r w:rsidRPr="009835ED">
        <w:t xml:space="preserve"> Circulation, 2007. </w:t>
      </w:r>
      <w:r w:rsidRPr="009835ED">
        <w:rPr>
          <w:b/>
        </w:rPr>
        <w:t>116</w:t>
      </w:r>
      <w:r w:rsidRPr="009835ED">
        <w:t>(2): p. 151-157.</w:t>
      </w:r>
    </w:p>
    <w:p w:rsidR="002E01E3" w:rsidRPr="009835ED" w:rsidRDefault="002E01E3" w:rsidP="002E01E3">
      <w:pPr>
        <w:pStyle w:val="EndNoteBibliography"/>
        <w:spacing w:after="0"/>
        <w:ind w:left="720" w:hanging="720"/>
      </w:pPr>
      <w:r w:rsidRPr="009835ED">
        <w:t>51.</w:t>
      </w:r>
      <w:r w:rsidRPr="009835ED">
        <w:tab/>
        <w:t xml:space="preserve">Barr, E.L., et al., </w:t>
      </w:r>
      <w:r w:rsidRPr="009835ED">
        <w:rPr>
          <w:i/>
        </w:rPr>
        <w:t>Continuous relationships between non-diabetic hyperglycaemia and both cardiovascular disease and all-cause mortality: the Australian Diabetes, Obesity, and Lifestyle (AusDiab) study.</w:t>
      </w:r>
      <w:r w:rsidRPr="009835ED">
        <w:t xml:space="preserve"> Diabetologia, 2009. </w:t>
      </w:r>
      <w:r w:rsidRPr="009835ED">
        <w:rPr>
          <w:b/>
        </w:rPr>
        <w:t>52</w:t>
      </w:r>
      <w:r w:rsidRPr="009835ED">
        <w:t>(3): p. 415-24.</w:t>
      </w:r>
    </w:p>
    <w:p w:rsidR="002E01E3" w:rsidRPr="009835ED" w:rsidRDefault="002E01E3" w:rsidP="002E01E3">
      <w:pPr>
        <w:pStyle w:val="EndNoteBibliography"/>
        <w:spacing w:after="0"/>
        <w:ind w:left="720" w:hanging="720"/>
      </w:pPr>
      <w:r w:rsidRPr="009835ED">
        <w:t>52.</w:t>
      </w:r>
      <w:r w:rsidRPr="009835ED">
        <w:tab/>
        <w:t xml:space="preserve">Department of Health and Ageing. </w:t>
      </w:r>
      <w:r w:rsidRPr="009835ED">
        <w:rPr>
          <w:i/>
        </w:rPr>
        <w:t>MBS Onl</w:t>
      </w:r>
      <w:r w:rsidR="00C44367">
        <w:rPr>
          <w:i/>
        </w:rPr>
        <w:t>ine, Medicare Benefits Schedule</w:t>
      </w:r>
      <w:r w:rsidRPr="009835ED">
        <w:t xml:space="preserve"> Available from: </w:t>
      </w:r>
      <w:hyperlink r:id="rId15" w:history="1">
        <w:r w:rsidR="00C44367">
          <w:rPr>
            <w:rStyle w:val="Hyperlink"/>
            <w:rFonts w:cs="Tahoma"/>
          </w:rPr>
          <w:t xml:space="preserve">Department of Health and Ageing. MBS Online, Medicare Benefits Schedule </w:t>
        </w:r>
      </w:hyperlink>
      <w:r w:rsidRPr="009835ED">
        <w:t>.</w:t>
      </w:r>
    </w:p>
    <w:p w:rsidR="002E01E3" w:rsidRPr="009835ED" w:rsidRDefault="002E01E3" w:rsidP="002E01E3">
      <w:pPr>
        <w:pStyle w:val="EndNoteBibliography"/>
        <w:spacing w:after="0"/>
        <w:ind w:left="720" w:hanging="720"/>
      </w:pPr>
      <w:r w:rsidRPr="009835ED">
        <w:t>53.</w:t>
      </w:r>
      <w:r w:rsidRPr="009835ED">
        <w:tab/>
        <w:t xml:space="preserve">Department of Health and Ageing. </w:t>
      </w:r>
      <w:r w:rsidRPr="009835ED">
        <w:rPr>
          <w:i/>
        </w:rPr>
        <w:t xml:space="preserve">Pharmaceutical Benefits Scheme (PBS) Online Schedule </w:t>
      </w:r>
      <w:r w:rsidR="00C44367">
        <w:t>[cited 2011 22/12];</w:t>
      </w:r>
      <w:r w:rsidRPr="009835ED">
        <w:t xml:space="preserve"> Available from: </w:t>
      </w:r>
      <w:hyperlink r:id="rId16" w:history="1">
        <w:r w:rsidR="00C44367">
          <w:rPr>
            <w:rStyle w:val="Hyperlink"/>
            <w:rFonts w:cs="Tahoma"/>
          </w:rPr>
          <w:t>Department of Health and Ageing. Pharmaceutical Benefits Scheme (PBS) Online Schedule</w:t>
        </w:r>
      </w:hyperlink>
      <w:r w:rsidRPr="009835ED">
        <w:t>.</w:t>
      </w:r>
    </w:p>
    <w:p w:rsidR="002E01E3" w:rsidRPr="009835ED" w:rsidRDefault="002E01E3" w:rsidP="002E01E3">
      <w:pPr>
        <w:pStyle w:val="EndNoteBibliography"/>
        <w:spacing w:after="0"/>
        <w:ind w:left="720" w:hanging="720"/>
      </w:pPr>
      <w:r w:rsidRPr="009835ED">
        <w:t>54.</w:t>
      </w:r>
      <w:r w:rsidRPr="009835ED">
        <w:tab/>
        <w:t xml:space="preserve">Department of Veteran Affairs. </w:t>
      </w:r>
      <w:r w:rsidRPr="009835ED">
        <w:rPr>
          <w:i/>
        </w:rPr>
        <w:t xml:space="preserve">Allied Health Schedule of Fees </w:t>
      </w:r>
      <w:r w:rsidRPr="009835ED">
        <w:t xml:space="preserve">2011; Available from: </w:t>
      </w:r>
      <w:hyperlink r:id="rId17" w:history="1">
        <w:r w:rsidR="006450F2">
          <w:rPr>
            <w:rStyle w:val="Hyperlink"/>
          </w:rPr>
          <w:t>Department of Veteran Affairs. Allied Health Schedule of Fees 2011</w:t>
        </w:r>
      </w:hyperlink>
      <w:r w:rsidRPr="009835ED">
        <w:t>.</w:t>
      </w:r>
    </w:p>
    <w:p w:rsidR="002E01E3" w:rsidRPr="009835ED" w:rsidRDefault="002E01E3" w:rsidP="002E01E3">
      <w:pPr>
        <w:pStyle w:val="EndNoteBibliography"/>
        <w:ind w:left="720" w:hanging="720"/>
      </w:pPr>
      <w:r w:rsidRPr="009835ED">
        <w:t>55.</w:t>
      </w:r>
      <w:r w:rsidRPr="009835ED">
        <w:tab/>
        <w:t xml:space="preserve">Lee, C.M., et al., </w:t>
      </w:r>
      <w:r w:rsidRPr="009835ED">
        <w:rPr>
          <w:i/>
        </w:rPr>
        <w:t>The cost of diabetes in adults in Australia.</w:t>
      </w:r>
      <w:r w:rsidRPr="009835ED">
        <w:t xml:space="preserve"> Diabetes Res Clin Pract, 2013.</w:t>
      </w:r>
    </w:p>
    <w:p w:rsidR="002E01E3" w:rsidRPr="00A34E9C" w:rsidRDefault="002E01E3" w:rsidP="002E01E3">
      <w:r>
        <w:fldChar w:fldCharType="end"/>
      </w:r>
    </w:p>
    <w:sectPr w:rsidR="002E01E3" w:rsidRPr="00A34E9C" w:rsidSect="002E01E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16" w:rsidRDefault="00191916" w:rsidP="002E01E3">
      <w:r>
        <w:separator/>
      </w:r>
    </w:p>
  </w:endnote>
  <w:endnote w:type="continuationSeparator" w:id="0">
    <w:p w:rsidR="00191916" w:rsidRDefault="00191916" w:rsidP="002E01E3">
      <w:r>
        <w:continuationSeparator/>
      </w:r>
    </w:p>
  </w:endnote>
  <w:endnote w:type="continuationNotice" w:id="1">
    <w:p w:rsidR="00191916" w:rsidRDefault="00191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Std-L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B4" w:rsidRDefault="00BA6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E3" w:rsidRDefault="002E01E3">
    <w:pPr>
      <w:pStyle w:val="Footer"/>
      <w:jc w:val="right"/>
    </w:pPr>
    <w:r>
      <w:fldChar w:fldCharType="begin"/>
    </w:r>
    <w:r>
      <w:instrText xml:space="preserve"> PAGE   \* MERGEFORMAT </w:instrText>
    </w:r>
    <w:r>
      <w:fldChar w:fldCharType="separate"/>
    </w:r>
    <w:r w:rsidR="00B17A53">
      <w:rPr>
        <w:noProof/>
      </w:rPr>
      <w:t>17</w:t>
    </w:r>
    <w:r>
      <w:rPr>
        <w:noProof/>
      </w:rPr>
      <w:fldChar w:fldCharType="end"/>
    </w:r>
  </w:p>
  <w:p w:rsidR="002E01E3" w:rsidRDefault="002E0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B4" w:rsidRDefault="00BA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16" w:rsidRDefault="00191916" w:rsidP="002E01E3">
      <w:r>
        <w:separator/>
      </w:r>
    </w:p>
  </w:footnote>
  <w:footnote w:type="continuationSeparator" w:id="0">
    <w:p w:rsidR="00191916" w:rsidRDefault="00191916" w:rsidP="002E01E3">
      <w:r>
        <w:continuationSeparator/>
      </w:r>
    </w:p>
  </w:footnote>
  <w:footnote w:type="continuationNotice" w:id="1">
    <w:p w:rsidR="00191916" w:rsidRDefault="001919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B4" w:rsidRDefault="00AD6E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86079"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B4" w:rsidRDefault="00AD6E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86080" o:spid="_x0000_s2054"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B4" w:rsidRDefault="00AD6E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86078"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DB6"/>
    <w:multiLevelType w:val="hybridMultilevel"/>
    <w:tmpl w:val="19A40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2C1431"/>
    <w:multiLevelType w:val="hybridMultilevel"/>
    <w:tmpl w:val="8BB4D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E11C40"/>
    <w:multiLevelType w:val="hybridMultilevel"/>
    <w:tmpl w:val="F2D2F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231DB6"/>
    <w:multiLevelType w:val="hybridMultilevel"/>
    <w:tmpl w:val="FB78B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8461B"/>
    <w:multiLevelType w:val="hybridMultilevel"/>
    <w:tmpl w:val="65166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B23CD8"/>
    <w:multiLevelType w:val="hybridMultilevel"/>
    <w:tmpl w:val="D1BE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54AB2"/>
    <w:multiLevelType w:val="hybridMultilevel"/>
    <w:tmpl w:val="9E1C3D5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Wingdings"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Wingdings"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Wingdings" w:hint="default"/>
      </w:rPr>
    </w:lvl>
    <w:lvl w:ilvl="8" w:tplc="0C090005" w:tentative="1">
      <w:start w:val="1"/>
      <w:numFmt w:val="bullet"/>
      <w:lvlText w:val=""/>
      <w:lvlJc w:val="left"/>
      <w:pPr>
        <w:ind w:left="6580" w:hanging="360"/>
      </w:pPr>
      <w:rPr>
        <w:rFonts w:ascii="Wingdings" w:hAnsi="Wingdings" w:hint="default"/>
      </w:rPr>
    </w:lvl>
  </w:abstractNum>
  <w:abstractNum w:abstractNumId="7">
    <w:nsid w:val="1BF70E9A"/>
    <w:multiLevelType w:val="hybridMultilevel"/>
    <w:tmpl w:val="D92284DE"/>
    <w:lvl w:ilvl="0" w:tplc="8F98283E">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9">
    <w:nsid w:val="24603A93"/>
    <w:multiLevelType w:val="hybridMultilevel"/>
    <w:tmpl w:val="B11CF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14C68E8"/>
    <w:multiLevelType w:val="hybridMultilevel"/>
    <w:tmpl w:val="96F60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7363A9"/>
    <w:multiLevelType w:val="hybridMultilevel"/>
    <w:tmpl w:val="578ACD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7334B3D"/>
    <w:multiLevelType w:val="hybridMultilevel"/>
    <w:tmpl w:val="49ACB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8070B4"/>
    <w:multiLevelType w:val="hybridMultilevel"/>
    <w:tmpl w:val="F4002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06584B"/>
    <w:multiLevelType w:val="hybridMultilevel"/>
    <w:tmpl w:val="1C404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8F62CF"/>
    <w:multiLevelType w:val="hybridMultilevel"/>
    <w:tmpl w:val="D2A0C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1724C2"/>
    <w:multiLevelType w:val="hybridMultilevel"/>
    <w:tmpl w:val="A1D26B3E"/>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Wingdings"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Wingdings"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Wingdings" w:hint="default"/>
      </w:rPr>
    </w:lvl>
    <w:lvl w:ilvl="8" w:tplc="0C090005" w:tentative="1">
      <w:start w:val="1"/>
      <w:numFmt w:val="bullet"/>
      <w:lvlText w:val=""/>
      <w:lvlJc w:val="left"/>
      <w:pPr>
        <w:ind w:left="6630" w:hanging="360"/>
      </w:pPr>
      <w:rPr>
        <w:rFonts w:ascii="Wingdings" w:hAnsi="Wingdings" w:hint="default"/>
      </w:rPr>
    </w:lvl>
  </w:abstractNum>
  <w:abstractNum w:abstractNumId="18">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9">
    <w:nsid w:val="5DDD39DE"/>
    <w:multiLevelType w:val="hybridMultilevel"/>
    <w:tmpl w:val="0776BB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F3073E6"/>
    <w:multiLevelType w:val="hybridMultilevel"/>
    <w:tmpl w:val="3806C9AE"/>
    <w:lvl w:ilvl="0" w:tplc="A7641308">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243004A"/>
    <w:multiLevelType w:val="hybridMultilevel"/>
    <w:tmpl w:val="6B1A4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3D494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33221E9"/>
    <w:multiLevelType w:val="hybridMultilevel"/>
    <w:tmpl w:val="B4A81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5">
    <w:nsid w:val="7DC83E23"/>
    <w:multiLevelType w:val="hybridMultilevel"/>
    <w:tmpl w:val="7A742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E0E44B6"/>
    <w:multiLevelType w:val="hybridMultilevel"/>
    <w:tmpl w:val="731A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4"/>
  </w:num>
  <w:num w:numId="4">
    <w:abstractNumId w:val="18"/>
  </w:num>
  <w:num w:numId="5">
    <w:abstractNumId w:val="20"/>
  </w:num>
  <w:num w:numId="6">
    <w:abstractNumId w:val="17"/>
  </w:num>
  <w:num w:numId="7">
    <w:abstractNumId w:val="12"/>
  </w:num>
  <w:num w:numId="8">
    <w:abstractNumId w:val="1"/>
  </w:num>
  <w:num w:numId="9">
    <w:abstractNumId w:val="13"/>
  </w:num>
  <w:num w:numId="10">
    <w:abstractNumId w:val="2"/>
  </w:num>
  <w:num w:numId="11">
    <w:abstractNumId w:val="22"/>
  </w:num>
  <w:num w:numId="12">
    <w:abstractNumId w:val="15"/>
  </w:num>
  <w:num w:numId="13">
    <w:abstractNumId w:val="0"/>
  </w:num>
  <w:num w:numId="14">
    <w:abstractNumId w:val="6"/>
  </w:num>
  <w:num w:numId="15">
    <w:abstractNumId w:val="25"/>
  </w:num>
  <w:num w:numId="16">
    <w:abstractNumId w:val="4"/>
  </w:num>
  <w:num w:numId="17">
    <w:abstractNumId w:val="11"/>
  </w:num>
  <w:num w:numId="18">
    <w:abstractNumId w:val="9"/>
  </w:num>
  <w:num w:numId="19">
    <w:abstractNumId w:val="21"/>
  </w:num>
  <w:num w:numId="20">
    <w:abstractNumId w:val="26"/>
  </w:num>
  <w:num w:numId="21">
    <w:abstractNumId w:val="5"/>
  </w:num>
  <w:num w:numId="22">
    <w:abstractNumId w:val="23"/>
  </w:num>
  <w:num w:numId="23">
    <w:abstractNumId w:val="7"/>
  </w:num>
  <w:num w:numId="24">
    <w:abstractNumId w:val="10"/>
  </w:num>
  <w:num w:numId="25">
    <w:abstractNumId w:val="16"/>
  </w:num>
  <w:num w:numId="26">
    <w:abstractNumId w:val="3"/>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edz5s99awvadpbexfxhvwe0ofp2svdwzsdpf&quot;&gt;Diabetes&lt;record-ids&gt;&lt;item&gt;6&lt;/item&gt;&lt;item&gt;21&lt;/item&gt;&lt;item&gt;26&lt;/item&gt;&lt;item&gt;29&lt;/item&gt;&lt;item&gt;30&lt;/item&gt;&lt;item&gt;31&lt;/item&gt;&lt;item&gt;41&lt;/item&gt;&lt;item&gt;42&lt;/item&gt;&lt;item&gt;43&lt;/item&gt;&lt;item&gt;47&lt;/item&gt;&lt;item&gt;49&lt;/item&gt;&lt;item&gt;50&lt;/item&gt;&lt;item&gt;51&lt;/item&gt;&lt;item&gt;52&lt;/item&gt;&lt;item&gt;62&lt;/item&gt;&lt;item&gt;63&lt;/item&gt;&lt;item&gt;64&lt;/item&gt;&lt;item&gt;65&lt;/item&gt;&lt;item&gt;66&lt;/item&gt;&lt;item&gt;67&lt;/item&gt;&lt;item&gt;68&lt;/item&gt;&lt;item&gt;69&lt;/item&gt;&lt;item&gt;72&lt;/item&gt;&lt;item&gt;74&lt;/item&gt;&lt;item&gt;75&lt;/item&gt;&lt;item&gt;76&lt;/item&gt;&lt;item&gt;77&lt;/item&gt;&lt;item&gt;79&lt;/item&gt;&lt;item&gt;80&lt;/item&gt;&lt;item&gt;82&lt;/item&gt;&lt;item&gt;83&lt;/item&gt;&lt;item&gt;84&lt;/item&gt;&lt;item&gt;86&lt;/item&gt;&lt;item&gt;87&lt;/item&gt;&lt;item&gt;101&lt;/item&gt;&lt;item&gt;109&lt;/item&gt;&lt;item&gt;110&lt;/item&gt;&lt;item&gt;111&lt;/item&gt;&lt;item&gt;112&lt;/item&gt;&lt;item&gt;114&lt;/item&gt;&lt;item&gt;117&lt;/item&gt;&lt;item&gt;119&lt;/item&gt;&lt;item&gt;121&lt;/item&gt;&lt;item&gt;123&lt;/item&gt;&lt;item&gt;124&lt;/item&gt;&lt;item&gt;125&lt;/item&gt;&lt;/record-ids&gt;&lt;/item&gt;&lt;/Libraries&gt;"/>
  </w:docVars>
  <w:rsids>
    <w:rsidRoot w:val="00B4562F"/>
    <w:rsid w:val="00050E4D"/>
    <w:rsid w:val="00064844"/>
    <w:rsid w:val="000E4336"/>
    <w:rsid w:val="00112884"/>
    <w:rsid w:val="00191916"/>
    <w:rsid w:val="001E1D56"/>
    <w:rsid w:val="002353EB"/>
    <w:rsid w:val="002451DA"/>
    <w:rsid w:val="002B1DDC"/>
    <w:rsid w:val="002B55A0"/>
    <w:rsid w:val="002E01E3"/>
    <w:rsid w:val="002E1411"/>
    <w:rsid w:val="002E238C"/>
    <w:rsid w:val="00331E91"/>
    <w:rsid w:val="00394D80"/>
    <w:rsid w:val="003A0CC4"/>
    <w:rsid w:val="003E3A26"/>
    <w:rsid w:val="004122DB"/>
    <w:rsid w:val="004341B0"/>
    <w:rsid w:val="00443B7B"/>
    <w:rsid w:val="004447F9"/>
    <w:rsid w:val="00465054"/>
    <w:rsid w:val="004B1CF6"/>
    <w:rsid w:val="004D3DAC"/>
    <w:rsid w:val="004D5266"/>
    <w:rsid w:val="004F39A1"/>
    <w:rsid w:val="00502656"/>
    <w:rsid w:val="00543203"/>
    <w:rsid w:val="00550294"/>
    <w:rsid w:val="00584C0A"/>
    <w:rsid w:val="005C6CBB"/>
    <w:rsid w:val="00626BF0"/>
    <w:rsid w:val="00634EBF"/>
    <w:rsid w:val="006450F2"/>
    <w:rsid w:val="0068213A"/>
    <w:rsid w:val="006C6158"/>
    <w:rsid w:val="006F02D7"/>
    <w:rsid w:val="0073615A"/>
    <w:rsid w:val="0074242F"/>
    <w:rsid w:val="007A254E"/>
    <w:rsid w:val="007D48B2"/>
    <w:rsid w:val="008454AE"/>
    <w:rsid w:val="008455A4"/>
    <w:rsid w:val="00885B8D"/>
    <w:rsid w:val="00916BC0"/>
    <w:rsid w:val="0094033C"/>
    <w:rsid w:val="00961D39"/>
    <w:rsid w:val="00A2751B"/>
    <w:rsid w:val="00A950C8"/>
    <w:rsid w:val="00AB384A"/>
    <w:rsid w:val="00AD6E76"/>
    <w:rsid w:val="00B015E8"/>
    <w:rsid w:val="00B17A53"/>
    <w:rsid w:val="00B4562F"/>
    <w:rsid w:val="00B77E82"/>
    <w:rsid w:val="00BA62B4"/>
    <w:rsid w:val="00BC0E5A"/>
    <w:rsid w:val="00BE4F97"/>
    <w:rsid w:val="00C018DE"/>
    <w:rsid w:val="00C44367"/>
    <w:rsid w:val="00C92037"/>
    <w:rsid w:val="00CC0BEE"/>
    <w:rsid w:val="00CD6F3B"/>
    <w:rsid w:val="00D50406"/>
    <w:rsid w:val="00D633D7"/>
    <w:rsid w:val="00D95F43"/>
    <w:rsid w:val="00DF694A"/>
    <w:rsid w:val="00E32D00"/>
    <w:rsid w:val="00E54561"/>
    <w:rsid w:val="00EB2A91"/>
    <w:rsid w:val="00EC32D1"/>
    <w:rsid w:val="00ED1BD8"/>
    <w:rsid w:val="00ED63E8"/>
    <w:rsid w:val="00F12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99"/>
    <w:lsdException w:name="toc 4" w:uiPriority="99"/>
    <w:lsdException w:name="toc 5" w:uiPriority="99"/>
    <w:lsdException w:name="toc 6" w:uiPriority="9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qFormat="1"/>
    <w:lsdException w:name="page number" w:uiPriority="99"/>
    <w:lsdException w:name="Title" w:uiPriority="99"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No Spacing" w:qFormat="1"/>
    <w:lsdException w:name="List Paragraph" w:uiPriority="34" w:qFormat="1"/>
    <w:lsdException w:name="Quote" w:qFormat="1"/>
    <w:lsdException w:name="Intense Quote" w:qFormat="1"/>
    <w:lsdException w:name="Medium Grid 3 Accent 1" w:uiPriority="60"/>
    <w:lsdException w:name="Dark List Accent 1" w:uiPriority="61"/>
    <w:lsdException w:name="Colorful Grid Accent 1" w:qFormat="1"/>
    <w:lsdException w:name="Colorful Grid Accent 3" w:uiPriority="60"/>
    <w:lsdException w:name="Colorful Grid Accent 4" w:uiPriority="60"/>
    <w:lsdException w:name="Colorful Grid Accent 5" w:uiPriority="60"/>
    <w:lsdException w:name="Colorful Grid Accent 6" w:uiPriority="60"/>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2B6A"/>
    <w:pPr>
      <w:spacing w:after="240" w:line="360" w:lineRule="auto"/>
      <w:jc w:val="both"/>
    </w:pPr>
    <w:rPr>
      <w:rFonts w:ascii="Tahoma" w:eastAsia="SimSun" w:hAnsi="Tahoma" w:cs="Tahoma"/>
      <w:sz w:val="22"/>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lang w:val="x-none"/>
    </w:rPr>
  </w:style>
  <w:style w:type="paragraph" w:styleId="Heading2">
    <w:name w:val="heading 2"/>
    <w:basedOn w:val="Normal"/>
    <w:next w:val="Normal"/>
    <w:link w:val="Heading2Char"/>
    <w:uiPriority w:val="99"/>
    <w:qFormat/>
    <w:rsid w:val="00507F1F"/>
    <w:pPr>
      <w:keepNext/>
      <w:spacing w:before="240" w:after="160"/>
      <w:outlineLvl w:val="1"/>
    </w:pPr>
    <w:rPr>
      <w:rFonts w:cs="Times New Roman"/>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sz w:val="20"/>
      <w:lang w:val="x-none"/>
    </w:rPr>
  </w:style>
  <w:style w:type="paragraph" w:styleId="Heading4">
    <w:name w:val="heading 4"/>
    <w:basedOn w:val="Normal"/>
    <w:next w:val="Normal"/>
    <w:link w:val="Heading4Char"/>
    <w:uiPriority w:val="99"/>
    <w:qFormat/>
    <w:rsid w:val="00ED7A91"/>
    <w:pPr>
      <w:keepNext/>
      <w:numPr>
        <w:ilvl w:val="3"/>
        <w:numId w:val="1"/>
      </w:numPr>
      <w:outlineLvl w:val="3"/>
    </w:pPr>
    <w:rPr>
      <w:rFonts w:cs="Times New Roman"/>
      <w:sz w:val="20"/>
      <w:u w:val="single"/>
      <w:lang w:val="x-non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cs="Times New Roman"/>
      <w:b/>
      <w:i/>
      <w:sz w:val="20"/>
      <w:lang w:val="x-none"/>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cs="Times New Roman"/>
      <w:b/>
      <w:sz w:val="28"/>
      <w:lang w:val="x-none"/>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sz w:val="20"/>
      <w:lang w:val="x-none"/>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cs="Times New Roman"/>
      <w:sz w:val="48"/>
      <w:lang w:val="x-none"/>
    </w:rPr>
  </w:style>
  <w:style w:type="paragraph" w:styleId="Heading9">
    <w:name w:val="heading 9"/>
    <w:basedOn w:val="Normal"/>
    <w:next w:val="Normal"/>
    <w:link w:val="Heading9Char"/>
    <w:uiPriority w:val="99"/>
    <w:qFormat/>
    <w:rsid w:val="00ED7A91"/>
    <w:pPr>
      <w:keepNext/>
      <w:numPr>
        <w:ilvl w:val="8"/>
        <w:numId w:val="1"/>
      </w:numPr>
      <w:outlineLvl w:val="8"/>
    </w:pPr>
    <w:rPr>
      <w:rFonts w:cs="Times New Roman"/>
      <w:i/>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507F1F"/>
    <w:rPr>
      <w:rFonts w:ascii="Tahoma" w:eastAsia="SimSun" w:hAnsi="Tahoma"/>
      <w:b/>
      <w:color w:val="215868"/>
      <w:sz w:val="22"/>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u w:val="single"/>
      <w:lang w:val="x-none" w:eastAsia="zh-CN"/>
    </w:rPr>
  </w:style>
  <w:style w:type="character" w:customStyle="1" w:styleId="Heading5Char">
    <w:name w:val="Heading 5 Char"/>
    <w:link w:val="Heading5"/>
    <w:uiPriority w:val="99"/>
    <w:locked/>
    <w:rsid w:val="00ED7A91"/>
    <w:rPr>
      <w:rFonts w:ascii="Tahoma" w:eastAsia="SimSun" w:hAnsi="Tahoma"/>
      <w:b/>
      <w:i/>
      <w:lang w:val="x-none" w:eastAsia="zh-CN"/>
    </w:rPr>
  </w:style>
  <w:style w:type="character" w:customStyle="1" w:styleId="Heading6Char">
    <w:name w:val="Heading 6 Char"/>
    <w:link w:val="Heading6"/>
    <w:uiPriority w:val="99"/>
    <w:locked/>
    <w:rsid w:val="00ED7A91"/>
    <w:rPr>
      <w:rFonts w:ascii="Tahoma" w:eastAsia="SimSun" w:hAnsi="Tahoma"/>
      <w:b/>
      <w:sz w:val="28"/>
      <w:lang w:val="x-none"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sz w:val="48"/>
      <w:lang w:val="x-none" w:eastAsia="zh-CN"/>
    </w:rPr>
  </w:style>
  <w:style w:type="character" w:customStyle="1" w:styleId="Heading9Char">
    <w:name w:val="Heading 9 Char"/>
    <w:link w:val="Heading9"/>
    <w:uiPriority w:val="99"/>
    <w:locked/>
    <w:rsid w:val="00ED7A91"/>
    <w:rPr>
      <w:rFonts w:ascii="Tahoma" w:eastAsia="SimSun" w:hAnsi="Tahoma"/>
      <w:i/>
      <w:lang w:val="x-none"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lang w:val="x-none"/>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aliases w:val="Table Title"/>
    <w:uiPriority w:val="99"/>
    <w:qFormat/>
    <w:rsid w:val="00ED7A91"/>
    <w:rPr>
      <w:rFonts w:cs="Times New Roman"/>
      <w:sz w:val="16"/>
      <w:szCs w:val="16"/>
    </w:rPr>
  </w:style>
  <w:style w:type="paragraph" w:styleId="CommentText">
    <w:name w:val="annotation text"/>
    <w:basedOn w:val="Normal"/>
    <w:link w:val="CommentTextChar"/>
    <w:uiPriority w:val="99"/>
    <w:rsid w:val="00ED7A91"/>
    <w:rPr>
      <w:rFonts w:ascii="Times New Roman" w:hAnsi="Times New Roman" w:cs="Times New Roman"/>
      <w:sz w:val="20"/>
      <w:lang w:val="x-none"/>
    </w:rPr>
  </w:style>
  <w:style w:type="character" w:customStyle="1" w:styleId="CommentTextChar">
    <w:name w:val="Comment Text Char"/>
    <w:link w:val="CommentText"/>
    <w:uiPriority w:val="99"/>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sz w:val="20"/>
      <w:lang w:val="x-none"/>
    </w:r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sz w:val="20"/>
      <w:lang w:val="x-none" w:eastAsia="x-none"/>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sz w:val="20"/>
      <w:u w:val="single"/>
      <w:lang w:val="x-non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lang w:val="x-none"/>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customStyle="1" w:styleId="TOCHeading1">
    <w:name w:val="TOC Heading1"/>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customStyle="1" w:styleId="ColorfulList-Accent11">
    <w:name w:val="Colorful List - Accent 11"/>
    <w:basedOn w:val="Normal"/>
    <w:uiPriority w:val="34"/>
    <w:qFormat/>
    <w:rsid w:val="00B4562F"/>
    <w:pPr>
      <w:ind w:left="720"/>
      <w:contextualSpacing/>
    </w:pPr>
  </w:style>
  <w:style w:type="paragraph" w:customStyle="1" w:styleId="MediumGrid21">
    <w:name w:val="Medium Grid 21"/>
    <w:link w:val="MediumGrid2Char"/>
    <w:uiPriority w:val="99"/>
    <w:qFormat/>
    <w:rsid w:val="00A32E13"/>
    <w:rPr>
      <w:rFonts w:eastAsia="Times New Roman"/>
      <w:sz w:val="22"/>
      <w:szCs w:val="22"/>
      <w:lang w:val="en-US" w:eastAsia="en-US"/>
    </w:rPr>
  </w:style>
  <w:style w:type="character" w:customStyle="1" w:styleId="MediumGrid2Char">
    <w:name w:val="Medium Grid 2 Char"/>
    <w:link w:val="MediumGrid21"/>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styleId="NormalWeb">
    <w:name w:val="Normal (Web)"/>
    <w:basedOn w:val="Normal"/>
    <w:uiPriority w:val="99"/>
    <w:unhideWhenUsed/>
    <w:rsid w:val="0033512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apple-converted-space">
    <w:name w:val="apple-converted-space"/>
    <w:rsid w:val="00477DE5"/>
  </w:style>
  <w:style w:type="paragraph" w:customStyle="1" w:styleId="ColorfulShading-Accent11">
    <w:name w:val="Colorful Shading - Accent 11"/>
    <w:hidden/>
    <w:uiPriority w:val="99"/>
    <w:semiHidden/>
    <w:rsid w:val="003E6F03"/>
    <w:rPr>
      <w:rFonts w:ascii="Tahoma" w:eastAsia="SimSun" w:hAnsi="Tahoma" w:cs="Tahoma"/>
      <w:lang w:eastAsia="zh-CN"/>
    </w:rPr>
  </w:style>
  <w:style w:type="table" w:styleId="MediumGrid3-Accent1">
    <w:name w:val="Medium Grid 3 Accent 1"/>
    <w:basedOn w:val="TableNormal"/>
    <w:uiPriority w:val="60"/>
    <w:rsid w:val="005566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5566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Grid-Accent3">
    <w:name w:val="Colorful Grid Accent 3"/>
    <w:basedOn w:val="TableNormal"/>
    <w:uiPriority w:val="60"/>
    <w:rsid w:val="005566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Grid-Accent4">
    <w:name w:val="Colorful Grid Accent 4"/>
    <w:basedOn w:val="TableNormal"/>
    <w:uiPriority w:val="60"/>
    <w:rsid w:val="005566C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Grid-Accent5">
    <w:name w:val="Colorful Grid Accent 5"/>
    <w:basedOn w:val="TableNormal"/>
    <w:uiPriority w:val="60"/>
    <w:rsid w:val="005566C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olorfulGrid-Accent6">
    <w:name w:val="Colorful Grid Accent 6"/>
    <w:basedOn w:val="TableNormal"/>
    <w:uiPriority w:val="60"/>
    <w:rsid w:val="005566C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BookTitle1">
    <w:name w:val="Book Title1"/>
    <w:basedOn w:val="TableNormal"/>
    <w:uiPriority w:val="60"/>
    <w:qFormat/>
    <w:rsid w:val="005566C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DarkList-Accent1">
    <w:name w:val="Dark List Accent 1"/>
    <w:basedOn w:val="TableNormal"/>
    <w:uiPriority w:val="61"/>
    <w:rsid w:val="005566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dNoteBibliographyTitle">
    <w:name w:val="EndNote Bibliography Title"/>
    <w:basedOn w:val="Normal"/>
    <w:link w:val="EndNoteBibliographyTitleChar"/>
    <w:rsid w:val="007F1180"/>
    <w:pPr>
      <w:spacing w:after="0"/>
      <w:jc w:val="center"/>
    </w:pPr>
    <w:rPr>
      <w:rFonts w:cs="Times New Roman"/>
      <w:noProof/>
      <w:sz w:val="20"/>
      <w:lang w:val="x-none"/>
    </w:rPr>
  </w:style>
  <w:style w:type="character" w:customStyle="1" w:styleId="EndNoteBibliographyTitleChar">
    <w:name w:val="EndNote Bibliography Title Char"/>
    <w:link w:val="EndNoteBibliographyTitle"/>
    <w:rsid w:val="007F1180"/>
    <w:rPr>
      <w:rFonts w:ascii="Tahoma" w:eastAsia="SimSun" w:hAnsi="Tahoma" w:cs="Tahoma"/>
      <w:noProof/>
      <w:lang w:val="x-none" w:eastAsia="zh-CN"/>
    </w:rPr>
  </w:style>
  <w:style w:type="paragraph" w:customStyle="1" w:styleId="EndNoteBibliography">
    <w:name w:val="EndNote Bibliography"/>
    <w:basedOn w:val="Normal"/>
    <w:link w:val="EndNoteBibliographyChar"/>
    <w:rsid w:val="007F1180"/>
    <w:pPr>
      <w:spacing w:line="240" w:lineRule="auto"/>
    </w:pPr>
    <w:rPr>
      <w:rFonts w:cs="Times New Roman"/>
      <w:noProof/>
      <w:sz w:val="20"/>
      <w:lang w:val="x-none"/>
    </w:rPr>
  </w:style>
  <w:style w:type="character" w:customStyle="1" w:styleId="EndNoteBibliographyChar">
    <w:name w:val="EndNote Bibliography Char"/>
    <w:link w:val="EndNoteBibliography"/>
    <w:rsid w:val="007F1180"/>
    <w:rPr>
      <w:rFonts w:ascii="Tahoma" w:eastAsia="SimSun" w:hAnsi="Tahoma" w:cs="Tahoma"/>
      <w:noProof/>
      <w:lang w:val="x-none" w:eastAsia="zh-CN"/>
    </w:rPr>
  </w:style>
  <w:style w:type="paragraph" w:customStyle="1" w:styleId="TableHeading">
    <w:name w:val="TableHeading"/>
    <w:basedOn w:val="TableText"/>
    <w:link w:val="TableHeadingChar"/>
    <w:qFormat/>
    <w:rsid w:val="00C44B9F"/>
    <w:pPr>
      <w:spacing w:before="40" w:after="120"/>
      <w:ind w:left="57" w:right="57"/>
      <w:contextualSpacing/>
      <w:jc w:val="both"/>
    </w:pPr>
    <w:rPr>
      <w:rFonts w:ascii="Arial Narrow" w:hAnsi="Arial Narrow"/>
      <w:b/>
      <w:sz w:val="20"/>
      <w:lang w:val="en-GB" w:eastAsia="ja-JP"/>
    </w:rPr>
  </w:style>
  <w:style w:type="character" w:customStyle="1" w:styleId="TableHeadingChar">
    <w:name w:val="TableHeading Char"/>
    <w:link w:val="TableHeading"/>
    <w:rsid w:val="00C44B9F"/>
    <w:rPr>
      <w:rFonts w:ascii="Arial Narrow" w:eastAsia="Times New Roman" w:hAnsi="Arial Narrow" w:cs="Tahoma"/>
      <w:b/>
      <w:lang w:val="en-GB" w:eastAsia="ja-JP"/>
    </w:rPr>
  </w:style>
  <w:style w:type="paragraph" w:customStyle="1" w:styleId="Tabletext1">
    <w:name w:val="Table text"/>
    <w:basedOn w:val="Normal"/>
    <w:link w:val="TabletextChar1"/>
    <w:qFormat/>
    <w:rsid w:val="00C44B9F"/>
    <w:pPr>
      <w:keepNext/>
      <w:spacing w:before="40" w:after="40" w:line="240" w:lineRule="auto"/>
      <w:ind w:left="57" w:right="57"/>
    </w:pPr>
    <w:rPr>
      <w:rFonts w:ascii="Arial Narrow" w:eastAsia="Times New Roman" w:hAnsi="Arial Narrow" w:cs="Times New Roman"/>
      <w:sz w:val="20"/>
      <w:szCs w:val="22"/>
      <w:lang w:val="en-GB" w:eastAsia="en-US"/>
    </w:rPr>
  </w:style>
  <w:style w:type="character" w:customStyle="1" w:styleId="TabletextChar1">
    <w:name w:val="Table text Char"/>
    <w:link w:val="Tabletext1"/>
    <w:rsid w:val="00C44B9F"/>
    <w:rPr>
      <w:rFonts w:ascii="Arial Narrow" w:eastAsia="Times New Roman" w:hAnsi="Arial Narrow" w:cs="Tahoma"/>
      <w:szCs w:val="22"/>
      <w:lang w:val="en-GB" w:eastAsia="en-US"/>
    </w:rPr>
  </w:style>
  <w:style w:type="paragraph" w:customStyle="1" w:styleId="TableFooter">
    <w:name w:val="Table Footer"/>
    <w:basedOn w:val="Normal"/>
    <w:qFormat/>
    <w:rsid w:val="00135F7F"/>
    <w:pPr>
      <w:widowControl w:val="0"/>
      <w:spacing w:after="0" w:line="240" w:lineRule="auto"/>
    </w:pPr>
    <w:rPr>
      <w:rFonts w:ascii="Arial Narrow" w:eastAsia="Times New Roman" w:hAnsi="Arial Narrow" w:cs="Arial"/>
      <w:snapToGrid w:val="0"/>
      <w:sz w:val="18"/>
      <w:lang w:eastAsia="en-US"/>
    </w:rPr>
  </w:style>
  <w:style w:type="paragraph" w:customStyle="1" w:styleId="BodyText1">
    <w:name w:val="Body Text1"/>
    <w:basedOn w:val="Normal"/>
    <w:uiPriority w:val="1"/>
    <w:qFormat/>
    <w:rsid w:val="00F8305B"/>
    <w:pPr>
      <w:spacing w:after="120" w:line="276" w:lineRule="auto"/>
      <w:jc w:val="left"/>
    </w:pPr>
    <w:rPr>
      <w:rFonts w:ascii="Cambria" w:eastAsia="Times New Roman" w:hAnsi="Cambria" w:cs="Calibri"/>
      <w:noProof/>
      <w:sz w:val="24"/>
      <w:szCs w:val="24"/>
      <w:lang w:eastAsia="en-US"/>
    </w:rPr>
  </w:style>
  <w:style w:type="paragraph" w:customStyle="1" w:styleId="MediumGrid1-Accent21">
    <w:name w:val="Medium Grid 1 - Accent 21"/>
    <w:aliases w:val="Footnote"/>
    <w:basedOn w:val="Normal"/>
    <w:link w:val="MediumGrid1-Accent2Char"/>
    <w:uiPriority w:val="34"/>
    <w:qFormat/>
    <w:rsid w:val="00F8305B"/>
    <w:pPr>
      <w:spacing w:after="120" w:line="276" w:lineRule="auto"/>
      <w:ind w:left="720"/>
      <w:contextualSpacing/>
      <w:jc w:val="left"/>
    </w:pPr>
    <w:rPr>
      <w:rFonts w:ascii="Cambria" w:eastAsia="Times New Roman" w:hAnsi="Cambria" w:cs="Times New Roman"/>
      <w:noProof/>
      <w:sz w:val="24"/>
      <w:szCs w:val="24"/>
      <w:lang w:eastAsia="en-US"/>
    </w:rPr>
  </w:style>
  <w:style w:type="character" w:customStyle="1" w:styleId="MediumGrid1-Accent2Char">
    <w:name w:val="Medium Grid 1 - Accent 2 Char"/>
    <w:aliases w:val="Footnote Char"/>
    <w:link w:val="MediumGrid1-Accent21"/>
    <w:uiPriority w:val="34"/>
    <w:rsid w:val="00F8305B"/>
    <w:rPr>
      <w:rFonts w:ascii="Cambria" w:eastAsia="Times New Roman" w:hAnsi="Cambria" w:cs="Calibri"/>
      <w:noProof/>
      <w:sz w:val="24"/>
      <w:szCs w:val="24"/>
      <w:lang w:val="en-AU" w:eastAsia="en-US"/>
    </w:rPr>
  </w:style>
  <w:style w:type="paragraph" w:customStyle="1" w:styleId="MediumList2-Accent21">
    <w:name w:val="Medium List 2 - Accent 21"/>
    <w:hidden/>
    <w:rsid w:val="001D7437"/>
    <w:rPr>
      <w:rFonts w:ascii="Tahoma" w:eastAsia="SimSun" w:hAnsi="Tahoma" w:cs="Tahoma"/>
      <w:lang w:eastAsia="zh-CN"/>
    </w:rPr>
  </w:style>
  <w:style w:type="table" w:styleId="ColorfulGrid-Accent1">
    <w:name w:val="Colorful Grid Accent 1"/>
    <w:basedOn w:val="TableNormal"/>
    <w:qFormat/>
    <w:rsid w:val="00960BD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Shading1-Accent3">
    <w:name w:val="Medium Shading 1 Accent 3"/>
    <w:basedOn w:val="TableNormal"/>
    <w:rsid w:val="00960BD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EA07C9"/>
    <w:rPr>
      <w:b/>
      <w:bCs/>
    </w:rPr>
  </w:style>
  <w:style w:type="character" w:customStyle="1" w:styleId="highlight">
    <w:name w:val="highlight"/>
    <w:rsid w:val="00EA07C9"/>
  </w:style>
  <w:style w:type="paragraph" w:styleId="Revision">
    <w:name w:val="Revision"/>
    <w:hidden/>
    <w:rsid w:val="00E54561"/>
    <w:rPr>
      <w:rFonts w:ascii="Tahoma" w:eastAsia="SimSun" w:hAnsi="Tahoma" w:cs="Tahoma"/>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99"/>
    <w:lsdException w:name="toc 4" w:uiPriority="99"/>
    <w:lsdException w:name="toc 5" w:uiPriority="99"/>
    <w:lsdException w:name="toc 6" w:uiPriority="9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qFormat="1"/>
    <w:lsdException w:name="page number" w:uiPriority="99"/>
    <w:lsdException w:name="Title" w:uiPriority="99"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No Spacing" w:qFormat="1"/>
    <w:lsdException w:name="List Paragraph" w:uiPriority="34" w:qFormat="1"/>
    <w:lsdException w:name="Quote" w:qFormat="1"/>
    <w:lsdException w:name="Intense Quote" w:qFormat="1"/>
    <w:lsdException w:name="Medium Grid 3 Accent 1" w:uiPriority="60"/>
    <w:lsdException w:name="Dark List Accent 1" w:uiPriority="61"/>
    <w:lsdException w:name="Colorful Grid Accent 1" w:qFormat="1"/>
    <w:lsdException w:name="Colorful Grid Accent 3" w:uiPriority="60"/>
    <w:lsdException w:name="Colorful Grid Accent 4" w:uiPriority="60"/>
    <w:lsdException w:name="Colorful Grid Accent 5" w:uiPriority="60"/>
    <w:lsdException w:name="Colorful Grid Accent 6" w:uiPriority="60"/>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2B6A"/>
    <w:pPr>
      <w:spacing w:after="240" w:line="360" w:lineRule="auto"/>
      <w:jc w:val="both"/>
    </w:pPr>
    <w:rPr>
      <w:rFonts w:ascii="Tahoma" w:eastAsia="SimSun" w:hAnsi="Tahoma" w:cs="Tahoma"/>
      <w:sz w:val="22"/>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lang w:val="x-none"/>
    </w:rPr>
  </w:style>
  <w:style w:type="paragraph" w:styleId="Heading2">
    <w:name w:val="heading 2"/>
    <w:basedOn w:val="Normal"/>
    <w:next w:val="Normal"/>
    <w:link w:val="Heading2Char"/>
    <w:uiPriority w:val="99"/>
    <w:qFormat/>
    <w:rsid w:val="00507F1F"/>
    <w:pPr>
      <w:keepNext/>
      <w:spacing w:before="240" w:after="160"/>
      <w:outlineLvl w:val="1"/>
    </w:pPr>
    <w:rPr>
      <w:rFonts w:cs="Times New Roman"/>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sz w:val="20"/>
      <w:lang w:val="x-none"/>
    </w:rPr>
  </w:style>
  <w:style w:type="paragraph" w:styleId="Heading4">
    <w:name w:val="heading 4"/>
    <w:basedOn w:val="Normal"/>
    <w:next w:val="Normal"/>
    <w:link w:val="Heading4Char"/>
    <w:uiPriority w:val="99"/>
    <w:qFormat/>
    <w:rsid w:val="00ED7A91"/>
    <w:pPr>
      <w:keepNext/>
      <w:numPr>
        <w:ilvl w:val="3"/>
        <w:numId w:val="1"/>
      </w:numPr>
      <w:outlineLvl w:val="3"/>
    </w:pPr>
    <w:rPr>
      <w:rFonts w:cs="Times New Roman"/>
      <w:sz w:val="20"/>
      <w:u w:val="single"/>
      <w:lang w:val="x-non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cs="Times New Roman"/>
      <w:b/>
      <w:i/>
      <w:sz w:val="20"/>
      <w:lang w:val="x-none"/>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cs="Times New Roman"/>
      <w:b/>
      <w:sz w:val="28"/>
      <w:lang w:val="x-none"/>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sz w:val="20"/>
      <w:lang w:val="x-none"/>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cs="Times New Roman"/>
      <w:sz w:val="48"/>
      <w:lang w:val="x-none"/>
    </w:rPr>
  </w:style>
  <w:style w:type="paragraph" w:styleId="Heading9">
    <w:name w:val="heading 9"/>
    <w:basedOn w:val="Normal"/>
    <w:next w:val="Normal"/>
    <w:link w:val="Heading9Char"/>
    <w:uiPriority w:val="99"/>
    <w:qFormat/>
    <w:rsid w:val="00ED7A91"/>
    <w:pPr>
      <w:keepNext/>
      <w:numPr>
        <w:ilvl w:val="8"/>
        <w:numId w:val="1"/>
      </w:numPr>
      <w:outlineLvl w:val="8"/>
    </w:pPr>
    <w:rPr>
      <w:rFonts w:cs="Times New Roman"/>
      <w:i/>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507F1F"/>
    <w:rPr>
      <w:rFonts w:ascii="Tahoma" w:eastAsia="SimSun" w:hAnsi="Tahoma"/>
      <w:b/>
      <w:color w:val="215868"/>
      <w:sz w:val="22"/>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u w:val="single"/>
      <w:lang w:val="x-none" w:eastAsia="zh-CN"/>
    </w:rPr>
  </w:style>
  <w:style w:type="character" w:customStyle="1" w:styleId="Heading5Char">
    <w:name w:val="Heading 5 Char"/>
    <w:link w:val="Heading5"/>
    <w:uiPriority w:val="99"/>
    <w:locked/>
    <w:rsid w:val="00ED7A91"/>
    <w:rPr>
      <w:rFonts w:ascii="Tahoma" w:eastAsia="SimSun" w:hAnsi="Tahoma"/>
      <w:b/>
      <w:i/>
      <w:lang w:val="x-none" w:eastAsia="zh-CN"/>
    </w:rPr>
  </w:style>
  <w:style w:type="character" w:customStyle="1" w:styleId="Heading6Char">
    <w:name w:val="Heading 6 Char"/>
    <w:link w:val="Heading6"/>
    <w:uiPriority w:val="99"/>
    <w:locked/>
    <w:rsid w:val="00ED7A91"/>
    <w:rPr>
      <w:rFonts w:ascii="Tahoma" w:eastAsia="SimSun" w:hAnsi="Tahoma"/>
      <w:b/>
      <w:sz w:val="28"/>
      <w:lang w:val="x-none"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sz w:val="48"/>
      <w:lang w:val="x-none" w:eastAsia="zh-CN"/>
    </w:rPr>
  </w:style>
  <w:style w:type="character" w:customStyle="1" w:styleId="Heading9Char">
    <w:name w:val="Heading 9 Char"/>
    <w:link w:val="Heading9"/>
    <w:uiPriority w:val="99"/>
    <w:locked/>
    <w:rsid w:val="00ED7A91"/>
    <w:rPr>
      <w:rFonts w:ascii="Tahoma" w:eastAsia="SimSun" w:hAnsi="Tahoma"/>
      <w:i/>
      <w:lang w:val="x-none"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lang w:val="x-none"/>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aliases w:val="Table Title"/>
    <w:uiPriority w:val="99"/>
    <w:qFormat/>
    <w:rsid w:val="00ED7A91"/>
    <w:rPr>
      <w:rFonts w:cs="Times New Roman"/>
      <w:sz w:val="16"/>
      <w:szCs w:val="16"/>
    </w:rPr>
  </w:style>
  <w:style w:type="paragraph" w:styleId="CommentText">
    <w:name w:val="annotation text"/>
    <w:basedOn w:val="Normal"/>
    <w:link w:val="CommentTextChar"/>
    <w:uiPriority w:val="99"/>
    <w:rsid w:val="00ED7A91"/>
    <w:rPr>
      <w:rFonts w:ascii="Times New Roman" w:hAnsi="Times New Roman" w:cs="Times New Roman"/>
      <w:sz w:val="20"/>
      <w:lang w:val="x-none"/>
    </w:rPr>
  </w:style>
  <w:style w:type="character" w:customStyle="1" w:styleId="CommentTextChar">
    <w:name w:val="Comment Text Char"/>
    <w:link w:val="CommentText"/>
    <w:uiPriority w:val="99"/>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sz w:val="20"/>
      <w:lang w:val="x-none"/>
    </w:r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sz w:val="20"/>
      <w:lang w:val="x-none" w:eastAsia="x-none"/>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sz w:val="20"/>
      <w:u w:val="single"/>
      <w:lang w:val="x-non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lang w:val="x-none"/>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customStyle="1" w:styleId="TOCHeading1">
    <w:name w:val="TOC Heading1"/>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customStyle="1" w:styleId="ColorfulList-Accent11">
    <w:name w:val="Colorful List - Accent 11"/>
    <w:basedOn w:val="Normal"/>
    <w:uiPriority w:val="34"/>
    <w:qFormat/>
    <w:rsid w:val="00B4562F"/>
    <w:pPr>
      <w:ind w:left="720"/>
      <w:contextualSpacing/>
    </w:pPr>
  </w:style>
  <w:style w:type="paragraph" w:customStyle="1" w:styleId="MediumGrid21">
    <w:name w:val="Medium Grid 21"/>
    <w:link w:val="MediumGrid2Char"/>
    <w:uiPriority w:val="99"/>
    <w:qFormat/>
    <w:rsid w:val="00A32E13"/>
    <w:rPr>
      <w:rFonts w:eastAsia="Times New Roman"/>
      <w:sz w:val="22"/>
      <w:szCs w:val="22"/>
      <w:lang w:val="en-US" w:eastAsia="en-US"/>
    </w:rPr>
  </w:style>
  <w:style w:type="character" w:customStyle="1" w:styleId="MediumGrid2Char">
    <w:name w:val="Medium Grid 2 Char"/>
    <w:link w:val="MediumGrid21"/>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styleId="NormalWeb">
    <w:name w:val="Normal (Web)"/>
    <w:basedOn w:val="Normal"/>
    <w:uiPriority w:val="99"/>
    <w:unhideWhenUsed/>
    <w:rsid w:val="0033512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apple-converted-space">
    <w:name w:val="apple-converted-space"/>
    <w:rsid w:val="00477DE5"/>
  </w:style>
  <w:style w:type="paragraph" w:customStyle="1" w:styleId="ColorfulShading-Accent11">
    <w:name w:val="Colorful Shading - Accent 11"/>
    <w:hidden/>
    <w:uiPriority w:val="99"/>
    <w:semiHidden/>
    <w:rsid w:val="003E6F03"/>
    <w:rPr>
      <w:rFonts w:ascii="Tahoma" w:eastAsia="SimSun" w:hAnsi="Tahoma" w:cs="Tahoma"/>
      <w:lang w:eastAsia="zh-CN"/>
    </w:rPr>
  </w:style>
  <w:style w:type="table" w:styleId="MediumGrid3-Accent1">
    <w:name w:val="Medium Grid 3 Accent 1"/>
    <w:basedOn w:val="TableNormal"/>
    <w:uiPriority w:val="60"/>
    <w:rsid w:val="005566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5566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Grid-Accent3">
    <w:name w:val="Colorful Grid Accent 3"/>
    <w:basedOn w:val="TableNormal"/>
    <w:uiPriority w:val="60"/>
    <w:rsid w:val="005566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Grid-Accent4">
    <w:name w:val="Colorful Grid Accent 4"/>
    <w:basedOn w:val="TableNormal"/>
    <w:uiPriority w:val="60"/>
    <w:rsid w:val="005566C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Grid-Accent5">
    <w:name w:val="Colorful Grid Accent 5"/>
    <w:basedOn w:val="TableNormal"/>
    <w:uiPriority w:val="60"/>
    <w:rsid w:val="005566C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olorfulGrid-Accent6">
    <w:name w:val="Colorful Grid Accent 6"/>
    <w:basedOn w:val="TableNormal"/>
    <w:uiPriority w:val="60"/>
    <w:rsid w:val="005566C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BookTitle1">
    <w:name w:val="Book Title1"/>
    <w:basedOn w:val="TableNormal"/>
    <w:uiPriority w:val="60"/>
    <w:qFormat/>
    <w:rsid w:val="005566C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DarkList-Accent1">
    <w:name w:val="Dark List Accent 1"/>
    <w:basedOn w:val="TableNormal"/>
    <w:uiPriority w:val="61"/>
    <w:rsid w:val="005566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dNoteBibliographyTitle">
    <w:name w:val="EndNote Bibliography Title"/>
    <w:basedOn w:val="Normal"/>
    <w:link w:val="EndNoteBibliographyTitleChar"/>
    <w:rsid w:val="007F1180"/>
    <w:pPr>
      <w:spacing w:after="0"/>
      <w:jc w:val="center"/>
    </w:pPr>
    <w:rPr>
      <w:rFonts w:cs="Times New Roman"/>
      <w:noProof/>
      <w:sz w:val="20"/>
      <w:lang w:val="x-none"/>
    </w:rPr>
  </w:style>
  <w:style w:type="character" w:customStyle="1" w:styleId="EndNoteBibliographyTitleChar">
    <w:name w:val="EndNote Bibliography Title Char"/>
    <w:link w:val="EndNoteBibliographyTitle"/>
    <w:rsid w:val="007F1180"/>
    <w:rPr>
      <w:rFonts w:ascii="Tahoma" w:eastAsia="SimSun" w:hAnsi="Tahoma" w:cs="Tahoma"/>
      <w:noProof/>
      <w:lang w:val="x-none" w:eastAsia="zh-CN"/>
    </w:rPr>
  </w:style>
  <w:style w:type="paragraph" w:customStyle="1" w:styleId="EndNoteBibliography">
    <w:name w:val="EndNote Bibliography"/>
    <w:basedOn w:val="Normal"/>
    <w:link w:val="EndNoteBibliographyChar"/>
    <w:rsid w:val="007F1180"/>
    <w:pPr>
      <w:spacing w:line="240" w:lineRule="auto"/>
    </w:pPr>
    <w:rPr>
      <w:rFonts w:cs="Times New Roman"/>
      <w:noProof/>
      <w:sz w:val="20"/>
      <w:lang w:val="x-none"/>
    </w:rPr>
  </w:style>
  <w:style w:type="character" w:customStyle="1" w:styleId="EndNoteBibliographyChar">
    <w:name w:val="EndNote Bibliography Char"/>
    <w:link w:val="EndNoteBibliography"/>
    <w:rsid w:val="007F1180"/>
    <w:rPr>
      <w:rFonts w:ascii="Tahoma" w:eastAsia="SimSun" w:hAnsi="Tahoma" w:cs="Tahoma"/>
      <w:noProof/>
      <w:lang w:val="x-none" w:eastAsia="zh-CN"/>
    </w:rPr>
  </w:style>
  <w:style w:type="paragraph" w:customStyle="1" w:styleId="TableHeading">
    <w:name w:val="TableHeading"/>
    <w:basedOn w:val="TableText"/>
    <w:link w:val="TableHeadingChar"/>
    <w:qFormat/>
    <w:rsid w:val="00C44B9F"/>
    <w:pPr>
      <w:spacing w:before="40" w:after="120"/>
      <w:ind w:left="57" w:right="57"/>
      <w:contextualSpacing/>
      <w:jc w:val="both"/>
    </w:pPr>
    <w:rPr>
      <w:rFonts w:ascii="Arial Narrow" w:hAnsi="Arial Narrow"/>
      <w:b/>
      <w:sz w:val="20"/>
      <w:lang w:val="en-GB" w:eastAsia="ja-JP"/>
    </w:rPr>
  </w:style>
  <w:style w:type="character" w:customStyle="1" w:styleId="TableHeadingChar">
    <w:name w:val="TableHeading Char"/>
    <w:link w:val="TableHeading"/>
    <w:rsid w:val="00C44B9F"/>
    <w:rPr>
      <w:rFonts w:ascii="Arial Narrow" w:eastAsia="Times New Roman" w:hAnsi="Arial Narrow" w:cs="Tahoma"/>
      <w:b/>
      <w:lang w:val="en-GB" w:eastAsia="ja-JP"/>
    </w:rPr>
  </w:style>
  <w:style w:type="paragraph" w:customStyle="1" w:styleId="Tabletext1">
    <w:name w:val="Table text"/>
    <w:basedOn w:val="Normal"/>
    <w:link w:val="TabletextChar1"/>
    <w:qFormat/>
    <w:rsid w:val="00C44B9F"/>
    <w:pPr>
      <w:keepNext/>
      <w:spacing w:before="40" w:after="40" w:line="240" w:lineRule="auto"/>
      <w:ind w:left="57" w:right="57"/>
    </w:pPr>
    <w:rPr>
      <w:rFonts w:ascii="Arial Narrow" w:eastAsia="Times New Roman" w:hAnsi="Arial Narrow" w:cs="Times New Roman"/>
      <w:sz w:val="20"/>
      <w:szCs w:val="22"/>
      <w:lang w:val="en-GB" w:eastAsia="en-US"/>
    </w:rPr>
  </w:style>
  <w:style w:type="character" w:customStyle="1" w:styleId="TabletextChar1">
    <w:name w:val="Table text Char"/>
    <w:link w:val="Tabletext1"/>
    <w:rsid w:val="00C44B9F"/>
    <w:rPr>
      <w:rFonts w:ascii="Arial Narrow" w:eastAsia="Times New Roman" w:hAnsi="Arial Narrow" w:cs="Tahoma"/>
      <w:szCs w:val="22"/>
      <w:lang w:val="en-GB" w:eastAsia="en-US"/>
    </w:rPr>
  </w:style>
  <w:style w:type="paragraph" w:customStyle="1" w:styleId="TableFooter">
    <w:name w:val="Table Footer"/>
    <w:basedOn w:val="Normal"/>
    <w:qFormat/>
    <w:rsid w:val="00135F7F"/>
    <w:pPr>
      <w:widowControl w:val="0"/>
      <w:spacing w:after="0" w:line="240" w:lineRule="auto"/>
    </w:pPr>
    <w:rPr>
      <w:rFonts w:ascii="Arial Narrow" w:eastAsia="Times New Roman" w:hAnsi="Arial Narrow" w:cs="Arial"/>
      <w:snapToGrid w:val="0"/>
      <w:sz w:val="18"/>
      <w:lang w:eastAsia="en-US"/>
    </w:rPr>
  </w:style>
  <w:style w:type="paragraph" w:customStyle="1" w:styleId="BodyText1">
    <w:name w:val="Body Text1"/>
    <w:basedOn w:val="Normal"/>
    <w:uiPriority w:val="1"/>
    <w:qFormat/>
    <w:rsid w:val="00F8305B"/>
    <w:pPr>
      <w:spacing w:after="120" w:line="276" w:lineRule="auto"/>
      <w:jc w:val="left"/>
    </w:pPr>
    <w:rPr>
      <w:rFonts w:ascii="Cambria" w:eastAsia="Times New Roman" w:hAnsi="Cambria" w:cs="Calibri"/>
      <w:noProof/>
      <w:sz w:val="24"/>
      <w:szCs w:val="24"/>
      <w:lang w:eastAsia="en-US"/>
    </w:rPr>
  </w:style>
  <w:style w:type="paragraph" w:customStyle="1" w:styleId="MediumGrid1-Accent21">
    <w:name w:val="Medium Grid 1 - Accent 21"/>
    <w:aliases w:val="Footnote"/>
    <w:basedOn w:val="Normal"/>
    <w:link w:val="MediumGrid1-Accent2Char"/>
    <w:uiPriority w:val="34"/>
    <w:qFormat/>
    <w:rsid w:val="00F8305B"/>
    <w:pPr>
      <w:spacing w:after="120" w:line="276" w:lineRule="auto"/>
      <w:ind w:left="720"/>
      <w:contextualSpacing/>
      <w:jc w:val="left"/>
    </w:pPr>
    <w:rPr>
      <w:rFonts w:ascii="Cambria" w:eastAsia="Times New Roman" w:hAnsi="Cambria" w:cs="Times New Roman"/>
      <w:noProof/>
      <w:sz w:val="24"/>
      <w:szCs w:val="24"/>
      <w:lang w:eastAsia="en-US"/>
    </w:rPr>
  </w:style>
  <w:style w:type="character" w:customStyle="1" w:styleId="MediumGrid1-Accent2Char">
    <w:name w:val="Medium Grid 1 - Accent 2 Char"/>
    <w:aliases w:val="Footnote Char"/>
    <w:link w:val="MediumGrid1-Accent21"/>
    <w:uiPriority w:val="34"/>
    <w:rsid w:val="00F8305B"/>
    <w:rPr>
      <w:rFonts w:ascii="Cambria" w:eastAsia="Times New Roman" w:hAnsi="Cambria" w:cs="Calibri"/>
      <w:noProof/>
      <w:sz w:val="24"/>
      <w:szCs w:val="24"/>
      <w:lang w:val="en-AU" w:eastAsia="en-US"/>
    </w:rPr>
  </w:style>
  <w:style w:type="paragraph" w:customStyle="1" w:styleId="MediumList2-Accent21">
    <w:name w:val="Medium List 2 - Accent 21"/>
    <w:hidden/>
    <w:rsid w:val="001D7437"/>
    <w:rPr>
      <w:rFonts w:ascii="Tahoma" w:eastAsia="SimSun" w:hAnsi="Tahoma" w:cs="Tahoma"/>
      <w:lang w:eastAsia="zh-CN"/>
    </w:rPr>
  </w:style>
  <w:style w:type="table" w:styleId="ColorfulGrid-Accent1">
    <w:name w:val="Colorful Grid Accent 1"/>
    <w:basedOn w:val="TableNormal"/>
    <w:qFormat/>
    <w:rsid w:val="00960BD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Shading1-Accent3">
    <w:name w:val="Medium Shading 1 Accent 3"/>
    <w:basedOn w:val="TableNormal"/>
    <w:rsid w:val="00960BD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EA07C9"/>
    <w:rPr>
      <w:b/>
      <w:bCs/>
    </w:rPr>
  </w:style>
  <w:style w:type="character" w:customStyle="1" w:styleId="highlight">
    <w:name w:val="highlight"/>
    <w:rsid w:val="00EA07C9"/>
  </w:style>
  <w:style w:type="paragraph" w:styleId="Revision">
    <w:name w:val="Revision"/>
    <w:hidden/>
    <w:rsid w:val="00E54561"/>
    <w:rPr>
      <w:rFonts w:ascii="Tahoma" w:eastAsia="SimSun" w:hAnsi="Tahoma" w:cs="Tahoma"/>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359">
      <w:bodyDiv w:val="1"/>
      <w:marLeft w:val="0"/>
      <w:marRight w:val="0"/>
      <w:marTop w:val="0"/>
      <w:marBottom w:val="0"/>
      <w:divBdr>
        <w:top w:val="none" w:sz="0" w:space="0" w:color="auto"/>
        <w:left w:val="none" w:sz="0" w:space="0" w:color="auto"/>
        <w:bottom w:val="none" w:sz="0" w:space="0" w:color="auto"/>
        <w:right w:val="none" w:sz="0" w:space="0" w:color="auto"/>
      </w:divBdr>
    </w:div>
    <w:div w:id="165436491">
      <w:bodyDiv w:val="1"/>
      <w:marLeft w:val="0"/>
      <w:marRight w:val="0"/>
      <w:marTop w:val="0"/>
      <w:marBottom w:val="0"/>
      <w:divBdr>
        <w:top w:val="none" w:sz="0" w:space="0" w:color="auto"/>
        <w:left w:val="none" w:sz="0" w:space="0" w:color="auto"/>
        <w:bottom w:val="none" w:sz="0" w:space="0" w:color="auto"/>
        <w:right w:val="none" w:sz="0" w:space="0" w:color="auto"/>
      </w:divBdr>
    </w:div>
    <w:div w:id="237374698">
      <w:bodyDiv w:val="1"/>
      <w:marLeft w:val="0"/>
      <w:marRight w:val="0"/>
      <w:marTop w:val="0"/>
      <w:marBottom w:val="0"/>
      <w:divBdr>
        <w:top w:val="none" w:sz="0" w:space="0" w:color="auto"/>
        <w:left w:val="none" w:sz="0" w:space="0" w:color="auto"/>
        <w:bottom w:val="none" w:sz="0" w:space="0" w:color="auto"/>
        <w:right w:val="none" w:sz="0" w:space="0" w:color="auto"/>
      </w:divBdr>
    </w:div>
    <w:div w:id="250747493">
      <w:bodyDiv w:val="1"/>
      <w:marLeft w:val="0"/>
      <w:marRight w:val="0"/>
      <w:marTop w:val="0"/>
      <w:marBottom w:val="0"/>
      <w:divBdr>
        <w:top w:val="none" w:sz="0" w:space="0" w:color="auto"/>
        <w:left w:val="none" w:sz="0" w:space="0" w:color="auto"/>
        <w:bottom w:val="none" w:sz="0" w:space="0" w:color="auto"/>
        <w:right w:val="none" w:sz="0" w:space="0" w:color="auto"/>
      </w:divBdr>
    </w:div>
    <w:div w:id="742222269">
      <w:bodyDiv w:val="1"/>
      <w:marLeft w:val="0"/>
      <w:marRight w:val="0"/>
      <w:marTop w:val="0"/>
      <w:marBottom w:val="0"/>
      <w:divBdr>
        <w:top w:val="none" w:sz="0" w:space="0" w:color="auto"/>
        <w:left w:val="none" w:sz="0" w:space="0" w:color="auto"/>
        <w:bottom w:val="none" w:sz="0" w:space="0" w:color="auto"/>
        <w:right w:val="none" w:sz="0" w:space="0" w:color="auto"/>
      </w:divBdr>
    </w:div>
    <w:div w:id="822086458">
      <w:bodyDiv w:val="1"/>
      <w:marLeft w:val="0"/>
      <w:marRight w:val="0"/>
      <w:marTop w:val="0"/>
      <w:marBottom w:val="0"/>
      <w:divBdr>
        <w:top w:val="none" w:sz="0" w:space="0" w:color="auto"/>
        <w:left w:val="none" w:sz="0" w:space="0" w:color="auto"/>
        <w:bottom w:val="none" w:sz="0" w:space="0" w:color="auto"/>
        <w:right w:val="none" w:sz="0" w:space="0" w:color="auto"/>
      </w:divBdr>
    </w:div>
    <w:div w:id="871723294">
      <w:bodyDiv w:val="1"/>
      <w:marLeft w:val="0"/>
      <w:marRight w:val="0"/>
      <w:marTop w:val="0"/>
      <w:marBottom w:val="0"/>
      <w:divBdr>
        <w:top w:val="none" w:sz="0" w:space="0" w:color="auto"/>
        <w:left w:val="none" w:sz="0" w:space="0" w:color="auto"/>
        <w:bottom w:val="none" w:sz="0" w:space="0" w:color="auto"/>
        <w:right w:val="none" w:sz="0" w:space="0" w:color="auto"/>
      </w:divBdr>
    </w:div>
    <w:div w:id="922031583">
      <w:bodyDiv w:val="1"/>
      <w:marLeft w:val="0"/>
      <w:marRight w:val="0"/>
      <w:marTop w:val="0"/>
      <w:marBottom w:val="0"/>
      <w:divBdr>
        <w:top w:val="none" w:sz="0" w:space="0" w:color="auto"/>
        <w:left w:val="none" w:sz="0" w:space="0" w:color="auto"/>
        <w:bottom w:val="none" w:sz="0" w:space="0" w:color="auto"/>
        <w:right w:val="none" w:sz="0" w:space="0" w:color="auto"/>
      </w:divBdr>
    </w:div>
    <w:div w:id="942567512">
      <w:bodyDiv w:val="1"/>
      <w:marLeft w:val="0"/>
      <w:marRight w:val="0"/>
      <w:marTop w:val="0"/>
      <w:marBottom w:val="0"/>
      <w:divBdr>
        <w:top w:val="none" w:sz="0" w:space="0" w:color="auto"/>
        <w:left w:val="none" w:sz="0" w:space="0" w:color="auto"/>
        <w:bottom w:val="none" w:sz="0" w:space="0" w:color="auto"/>
        <w:right w:val="none" w:sz="0" w:space="0" w:color="auto"/>
      </w:divBdr>
    </w:div>
    <w:div w:id="954098149">
      <w:bodyDiv w:val="1"/>
      <w:marLeft w:val="0"/>
      <w:marRight w:val="0"/>
      <w:marTop w:val="0"/>
      <w:marBottom w:val="0"/>
      <w:divBdr>
        <w:top w:val="none" w:sz="0" w:space="0" w:color="auto"/>
        <w:left w:val="none" w:sz="0" w:space="0" w:color="auto"/>
        <w:bottom w:val="none" w:sz="0" w:space="0" w:color="auto"/>
        <w:right w:val="none" w:sz="0" w:space="0" w:color="auto"/>
      </w:divBdr>
    </w:div>
    <w:div w:id="958145678">
      <w:bodyDiv w:val="1"/>
      <w:marLeft w:val="0"/>
      <w:marRight w:val="0"/>
      <w:marTop w:val="0"/>
      <w:marBottom w:val="0"/>
      <w:divBdr>
        <w:top w:val="none" w:sz="0" w:space="0" w:color="auto"/>
        <w:left w:val="none" w:sz="0" w:space="0" w:color="auto"/>
        <w:bottom w:val="none" w:sz="0" w:space="0" w:color="auto"/>
        <w:right w:val="none" w:sz="0" w:space="0" w:color="auto"/>
      </w:divBdr>
    </w:div>
    <w:div w:id="1013646346">
      <w:bodyDiv w:val="1"/>
      <w:marLeft w:val="0"/>
      <w:marRight w:val="0"/>
      <w:marTop w:val="0"/>
      <w:marBottom w:val="0"/>
      <w:divBdr>
        <w:top w:val="none" w:sz="0" w:space="0" w:color="auto"/>
        <w:left w:val="none" w:sz="0" w:space="0" w:color="auto"/>
        <w:bottom w:val="none" w:sz="0" w:space="0" w:color="auto"/>
        <w:right w:val="none" w:sz="0" w:space="0" w:color="auto"/>
      </w:divBdr>
      <w:divsChild>
        <w:div w:id="134958172">
          <w:marLeft w:val="0"/>
          <w:marRight w:val="0"/>
          <w:marTop w:val="150"/>
          <w:marBottom w:val="150"/>
          <w:divBdr>
            <w:top w:val="none" w:sz="0" w:space="0" w:color="auto"/>
            <w:left w:val="none" w:sz="0" w:space="0" w:color="auto"/>
            <w:bottom w:val="none" w:sz="0" w:space="0" w:color="auto"/>
            <w:right w:val="none" w:sz="0" w:space="0" w:color="auto"/>
          </w:divBdr>
        </w:div>
      </w:divsChild>
    </w:div>
    <w:div w:id="1025055189">
      <w:bodyDiv w:val="1"/>
      <w:marLeft w:val="0"/>
      <w:marRight w:val="0"/>
      <w:marTop w:val="0"/>
      <w:marBottom w:val="0"/>
      <w:divBdr>
        <w:top w:val="none" w:sz="0" w:space="0" w:color="auto"/>
        <w:left w:val="none" w:sz="0" w:space="0" w:color="auto"/>
        <w:bottom w:val="none" w:sz="0" w:space="0" w:color="auto"/>
        <w:right w:val="none" w:sz="0" w:space="0" w:color="auto"/>
      </w:divBdr>
    </w:div>
    <w:div w:id="1108235643">
      <w:bodyDiv w:val="1"/>
      <w:marLeft w:val="0"/>
      <w:marRight w:val="0"/>
      <w:marTop w:val="0"/>
      <w:marBottom w:val="0"/>
      <w:divBdr>
        <w:top w:val="none" w:sz="0" w:space="0" w:color="auto"/>
        <w:left w:val="none" w:sz="0" w:space="0" w:color="auto"/>
        <w:bottom w:val="none" w:sz="0" w:space="0" w:color="auto"/>
        <w:right w:val="none" w:sz="0" w:space="0" w:color="auto"/>
      </w:divBdr>
    </w:div>
    <w:div w:id="1169641656">
      <w:bodyDiv w:val="1"/>
      <w:marLeft w:val="0"/>
      <w:marRight w:val="0"/>
      <w:marTop w:val="0"/>
      <w:marBottom w:val="0"/>
      <w:divBdr>
        <w:top w:val="none" w:sz="0" w:space="0" w:color="auto"/>
        <w:left w:val="none" w:sz="0" w:space="0" w:color="auto"/>
        <w:bottom w:val="none" w:sz="0" w:space="0" w:color="auto"/>
        <w:right w:val="none" w:sz="0" w:space="0" w:color="auto"/>
      </w:divBdr>
    </w:div>
    <w:div w:id="1182822173">
      <w:bodyDiv w:val="1"/>
      <w:marLeft w:val="0"/>
      <w:marRight w:val="0"/>
      <w:marTop w:val="0"/>
      <w:marBottom w:val="0"/>
      <w:divBdr>
        <w:top w:val="none" w:sz="0" w:space="0" w:color="auto"/>
        <w:left w:val="none" w:sz="0" w:space="0" w:color="auto"/>
        <w:bottom w:val="none" w:sz="0" w:space="0" w:color="auto"/>
        <w:right w:val="none" w:sz="0" w:space="0" w:color="auto"/>
      </w:divBdr>
    </w:div>
    <w:div w:id="1585020869">
      <w:bodyDiv w:val="1"/>
      <w:marLeft w:val="0"/>
      <w:marRight w:val="0"/>
      <w:marTop w:val="0"/>
      <w:marBottom w:val="0"/>
      <w:divBdr>
        <w:top w:val="none" w:sz="0" w:space="0" w:color="auto"/>
        <w:left w:val="none" w:sz="0" w:space="0" w:color="auto"/>
        <w:bottom w:val="none" w:sz="0" w:space="0" w:color="auto"/>
        <w:right w:val="none" w:sz="0" w:space="0" w:color="auto"/>
      </w:divBdr>
    </w:div>
    <w:div w:id="1696493075">
      <w:bodyDiv w:val="1"/>
      <w:marLeft w:val="0"/>
      <w:marRight w:val="0"/>
      <w:marTop w:val="0"/>
      <w:marBottom w:val="0"/>
      <w:divBdr>
        <w:top w:val="none" w:sz="0" w:space="0" w:color="auto"/>
        <w:left w:val="none" w:sz="0" w:space="0" w:color="auto"/>
        <w:bottom w:val="none" w:sz="0" w:space="0" w:color="auto"/>
        <w:right w:val="none" w:sz="0" w:space="0" w:color="auto"/>
      </w:divBdr>
    </w:div>
    <w:div w:id="1710953313">
      <w:bodyDiv w:val="1"/>
      <w:marLeft w:val="0"/>
      <w:marRight w:val="0"/>
      <w:marTop w:val="0"/>
      <w:marBottom w:val="0"/>
      <w:divBdr>
        <w:top w:val="none" w:sz="0" w:space="0" w:color="auto"/>
        <w:left w:val="none" w:sz="0" w:space="0" w:color="auto"/>
        <w:bottom w:val="none" w:sz="0" w:space="0" w:color="auto"/>
        <w:right w:val="none" w:sz="0" w:space="0" w:color="auto"/>
      </w:divBdr>
    </w:div>
    <w:div w:id="1752309377">
      <w:bodyDiv w:val="1"/>
      <w:marLeft w:val="0"/>
      <w:marRight w:val="0"/>
      <w:marTop w:val="0"/>
      <w:marBottom w:val="0"/>
      <w:divBdr>
        <w:top w:val="none" w:sz="0" w:space="0" w:color="auto"/>
        <w:left w:val="none" w:sz="0" w:space="0" w:color="auto"/>
        <w:bottom w:val="none" w:sz="0" w:space="0" w:color="auto"/>
        <w:right w:val="none" w:sz="0" w:space="0" w:color="auto"/>
      </w:divBdr>
    </w:div>
    <w:div w:id="1850169675">
      <w:bodyDiv w:val="1"/>
      <w:marLeft w:val="0"/>
      <w:marRight w:val="0"/>
      <w:marTop w:val="0"/>
      <w:marBottom w:val="0"/>
      <w:divBdr>
        <w:top w:val="none" w:sz="0" w:space="0" w:color="auto"/>
        <w:left w:val="none" w:sz="0" w:space="0" w:color="auto"/>
        <w:bottom w:val="none" w:sz="0" w:space="0" w:color="auto"/>
        <w:right w:val="none" w:sz="0" w:space="0" w:color="auto"/>
      </w:divBdr>
    </w:div>
    <w:div w:id="1851483574">
      <w:bodyDiv w:val="1"/>
      <w:marLeft w:val="0"/>
      <w:marRight w:val="0"/>
      <w:marTop w:val="0"/>
      <w:marBottom w:val="0"/>
      <w:divBdr>
        <w:top w:val="none" w:sz="0" w:space="0" w:color="auto"/>
        <w:left w:val="none" w:sz="0" w:space="0" w:color="auto"/>
        <w:bottom w:val="none" w:sz="0" w:space="0" w:color="auto"/>
        <w:right w:val="none" w:sz="0" w:space="0" w:color="auto"/>
      </w:divBdr>
    </w:div>
    <w:div w:id="1949653139">
      <w:bodyDiv w:val="1"/>
      <w:marLeft w:val="0"/>
      <w:marRight w:val="0"/>
      <w:marTop w:val="0"/>
      <w:marBottom w:val="0"/>
      <w:divBdr>
        <w:top w:val="none" w:sz="0" w:space="0" w:color="auto"/>
        <w:left w:val="none" w:sz="0" w:space="0" w:color="auto"/>
        <w:bottom w:val="none" w:sz="0" w:space="0" w:color="auto"/>
        <w:right w:val="none" w:sz="0" w:space="0" w:color="auto"/>
      </w:divBdr>
    </w:div>
    <w:div w:id="2004358037">
      <w:bodyDiv w:val="1"/>
      <w:marLeft w:val="0"/>
      <w:marRight w:val="0"/>
      <w:marTop w:val="0"/>
      <w:marBottom w:val="0"/>
      <w:divBdr>
        <w:top w:val="none" w:sz="0" w:space="0" w:color="auto"/>
        <w:left w:val="none" w:sz="0" w:space="0" w:color="auto"/>
        <w:bottom w:val="none" w:sz="0" w:space="0" w:color="auto"/>
        <w:right w:val="none" w:sz="0" w:space="0" w:color="auto"/>
      </w:divBdr>
    </w:div>
    <w:div w:id="2011712774">
      <w:bodyDiv w:val="1"/>
      <w:marLeft w:val="0"/>
      <w:marRight w:val="0"/>
      <w:marTop w:val="0"/>
      <w:marBottom w:val="0"/>
      <w:divBdr>
        <w:top w:val="none" w:sz="0" w:space="0" w:color="auto"/>
        <w:left w:val="none" w:sz="0" w:space="0" w:color="auto"/>
        <w:bottom w:val="none" w:sz="0" w:space="0" w:color="auto"/>
        <w:right w:val="none" w:sz="0" w:space="0" w:color="auto"/>
      </w:divBdr>
    </w:div>
    <w:div w:id="2019506195">
      <w:bodyDiv w:val="1"/>
      <w:marLeft w:val="0"/>
      <w:marRight w:val="0"/>
      <w:marTop w:val="0"/>
      <w:marBottom w:val="0"/>
      <w:divBdr>
        <w:top w:val="none" w:sz="0" w:space="0" w:color="auto"/>
        <w:left w:val="none" w:sz="0" w:space="0" w:color="auto"/>
        <w:bottom w:val="none" w:sz="0" w:space="0" w:color="auto"/>
        <w:right w:val="none" w:sz="0" w:space="0" w:color="auto"/>
      </w:divBdr>
    </w:div>
    <w:div w:id="20234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s.gov.au/ausstats/abs@.nsf/Lookup/3303.0Chapter4201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dva.gov.au/providers/fee-schedules/dental-and-allied-health-fee-schedul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bs.gov.au/pbs/hom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9.health.gov.au/mbs/search.cfm" TargetMode="External"/><Relationship Id="rId23" Type="http://schemas.openxmlformats.org/officeDocument/2006/relationships/footer" Target="footer3.xml"/><Relationship Id="rId10" Type="http://schemas.openxmlformats.org/officeDocument/2006/relationships/hyperlink" Target="https://www.medicareaustralia.gov.au/statistics/mbs_ite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ho.int/mediacentre/factsheets/fs312/en/index.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39</Pages>
  <Words>19616</Words>
  <Characters>111814</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131168</CharactersWithSpaces>
  <SharedDoc>false</SharedDoc>
  <HLinks>
    <vt:vector size="258" baseType="variant">
      <vt:variant>
        <vt:i4>6619186</vt:i4>
      </vt:variant>
      <vt:variant>
        <vt:i4>461</vt:i4>
      </vt:variant>
      <vt:variant>
        <vt:i4>0</vt:i4>
      </vt:variant>
      <vt:variant>
        <vt:i4>5</vt:i4>
      </vt:variant>
      <vt:variant>
        <vt:lpwstr>http://www.dva.gov.au/service_providers/Fee_schedules/Pages/index.aspx</vt:lpwstr>
      </vt:variant>
      <vt:variant>
        <vt:lpwstr/>
      </vt:variant>
      <vt:variant>
        <vt:i4>6619186</vt:i4>
      </vt:variant>
      <vt:variant>
        <vt:i4>458</vt:i4>
      </vt:variant>
      <vt:variant>
        <vt:i4>0</vt:i4>
      </vt:variant>
      <vt:variant>
        <vt:i4>5</vt:i4>
      </vt:variant>
      <vt:variant>
        <vt:lpwstr>http://www.dva.gov.au/service_providers/Fee_schedules/Pages/index.aspx]</vt:lpwstr>
      </vt:variant>
      <vt:variant>
        <vt:lpwstr/>
      </vt:variant>
      <vt:variant>
        <vt:i4>3145774</vt:i4>
      </vt:variant>
      <vt:variant>
        <vt:i4>455</vt:i4>
      </vt:variant>
      <vt:variant>
        <vt:i4>0</vt:i4>
      </vt:variant>
      <vt:variant>
        <vt:i4>5</vt:i4>
      </vt:variant>
      <vt:variant>
        <vt:lpwstr>http://www.pbs.gov.au/pbs/home</vt:lpwstr>
      </vt:variant>
      <vt:variant>
        <vt:lpwstr/>
      </vt:variant>
      <vt:variant>
        <vt:i4>3145774</vt:i4>
      </vt:variant>
      <vt:variant>
        <vt:i4>452</vt:i4>
      </vt:variant>
      <vt:variant>
        <vt:i4>0</vt:i4>
      </vt:variant>
      <vt:variant>
        <vt:i4>5</vt:i4>
      </vt:variant>
      <vt:variant>
        <vt:lpwstr>http://www.pbs.gov.au/pbs/home]</vt:lpwstr>
      </vt:variant>
      <vt:variant>
        <vt:lpwstr/>
      </vt:variant>
      <vt:variant>
        <vt:i4>458759</vt:i4>
      </vt:variant>
      <vt:variant>
        <vt:i4>449</vt:i4>
      </vt:variant>
      <vt:variant>
        <vt:i4>0</vt:i4>
      </vt:variant>
      <vt:variant>
        <vt:i4>5</vt:i4>
      </vt:variant>
      <vt:variant>
        <vt:lpwstr>http://www9.health.gov.au/mbs/search.cfm</vt:lpwstr>
      </vt:variant>
      <vt:variant>
        <vt:lpwstr/>
      </vt:variant>
      <vt:variant>
        <vt:i4>458759</vt:i4>
      </vt:variant>
      <vt:variant>
        <vt:i4>446</vt:i4>
      </vt:variant>
      <vt:variant>
        <vt:i4>0</vt:i4>
      </vt:variant>
      <vt:variant>
        <vt:i4>5</vt:i4>
      </vt:variant>
      <vt:variant>
        <vt:lpwstr>http://www9.health.gov.au/mbs/search.cfm]</vt:lpwstr>
      </vt:variant>
      <vt:variant>
        <vt:lpwstr/>
      </vt:variant>
      <vt:variant>
        <vt:i4>589852</vt:i4>
      </vt:variant>
      <vt:variant>
        <vt:i4>443</vt:i4>
      </vt:variant>
      <vt:variant>
        <vt:i4>0</vt:i4>
      </vt:variant>
      <vt:variant>
        <vt:i4>5</vt:i4>
      </vt:variant>
      <vt:variant>
        <vt:lpwstr>http://www.who.int/mediacentre/factsheets/fs312/en/index.html</vt:lpwstr>
      </vt:variant>
      <vt:variant>
        <vt:lpwstr/>
      </vt:variant>
      <vt:variant>
        <vt:i4>4980783</vt:i4>
      </vt:variant>
      <vt:variant>
        <vt:i4>440</vt:i4>
      </vt:variant>
      <vt:variant>
        <vt:i4>0</vt:i4>
      </vt:variant>
      <vt:variant>
        <vt:i4>5</vt:i4>
      </vt:variant>
      <vt:variant>
        <vt:lpwstr>http://www.abs.gov.au/ausstats/abs@.nsf/Lookup/3303.0Chapter42011</vt:lpwstr>
      </vt:variant>
      <vt:variant>
        <vt:lpwstr/>
      </vt:variant>
      <vt:variant>
        <vt:i4>6225978</vt:i4>
      </vt:variant>
      <vt:variant>
        <vt:i4>318</vt:i4>
      </vt:variant>
      <vt:variant>
        <vt:i4>0</vt:i4>
      </vt:variant>
      <vt:variant>
        <vt:i4>5</vt:i4>
      </vt:variant>
      <vt:variant>
        <vt:lpwstr>https://www.medicareaustralia.gov.au/statistics/mbs_item.shtml</vt:lpwstr>
      </vt:variant>
      <vt:variant>
        <vt:lpwstr/>
      </vt:variant>
      <vt:variant>
        <vt:i4>1835057</vt:i4>
      </vt:variant>
      <vt:variant>
        <vt:i4>200</vt:i4>
      </vt:variant>
      <vt:variant>
        <vt:i4>0</vt:i4>
      </vt:variant>
      <vt:variant>
        <vt:i4>5</vt:i4>
      </vt:variant>
      <vt:variant>
        <vt:lpwstr/>
      </vt:variant>
      <vt:variant>
        <vt:lpwstr>_Toc410649158</vt:lpwstr>
      </vt:variant>
      <vt:variant>
        <vt:i4>1835057</vt:i4>
      </vt:variant>
      <vt:variant>
        <vt:i4>194</vt:i4>
      </vt:variant>
      <vt:variant>
        <vt:i4>0</vt:i4>
      </vt:variant>
      <vt:variant>
        <vt:i4>5</vt:i4>
      </vt:variant>
      <vt:variant>
        <vt:lpwstr/>
      </vt:variant>
      <vt:variant>
        <vt:lpwstr>_Toc410649157</vt:lpwstr>
      </vt:variant>
      <vt:variant>
        <vt:i4>1835057</vt:i4>
      </vt:variant>
      <vt:variant>
        <vt:i4>188</vt:i4>
      </vt:variant>
      <vt:variant>
        <vt:i4>0</vt:i4>
      </vt:variant>
      <vt:variant>
        <vt:i4>5</vt:i4>
      </vt:variant>
      <vt:variant>
        <vt:lpwstr/>
      </vt:variant>
      <vt:variant>
        <vt:lpwstr>_Toc410649156</vt:lpwstr>
      </vt:variant>
      <vt:variant>
        <vt:i4>1835057</vt:i4>
      </vt:variant>
      <vt:variant>
        <vt:i4>182</vt:i4>
      </vt:variant>
      <vt:variant>
        <vt:i4>0</vt:i4>
      </vt:variant>
      <vt:variant>
        <vt:i4>5</vt:i4>
      </vt:variant>
      <vt:variant>
        <vt:lpwstr/>
      </vt:variant>
      <vt:variant>
        <vt:lpwstr>_Toc410649155</vt:lpwstr>
      </vt:variant>
      <vt:variant>
        <vt:i4>1835057</vt:i4>
      </vt:variant>
      <vt:variant>
        <vt:i4>176</vt:i4>
      </vt:variant>
      <vt:variant>
        <vt:i4>0</vt:i4>
      </vt:variant>
      <vt:variant>
        <vt:i4>5</vt:i4>
      </vt:variant>
      <vt:variant>
        <vt:lpwstr/>
      </vt:variant>
      <vt:variant>
        <vt:lpwstr>_Toc410649154</vt:lpwstr>
      </vt:variant>
      <vt:variant>
        <vt:i4>1835057</vt:i4>
      </vt:variant>
      <vt:variant>
        <vt:i4>170</vt:i4>
      </vt:variant>
      <vt:variant>
        <vt:i4>0</vt:i4>
      </vt:variant>
      <vt:variant>
        <vt:i4>5</vt:i4>
      </vt:variant>
      <vt:variant>
        <vt:lpwstr/>
      </vt:variant>
      <vt:variant>
        <vt:lpwstr>_Toc410649153</vt:lpwstr>
      </vt:variant>
      <vt:variant>
        <vt:i4>1835057</vt:i4>
      </vt:variant>
      <vt:variant>
        <vt:i4>164</vt:i4>
      </vt:variant>
      <vt:variant>
        <vt:i4>0</vt:i4>
      </vt:variant>
      <vt:variant>
        <vt:i4>5</vt:i4>
      </vt:variant>
      <vt:variant>
        <vt:lpwstr/>
      </vt:variant>
      <vt:variant>
        <vt:lpwstr>_Toc410649152</vt:lpwstr>
      </vt:variant>
      <vt:variant>
        <vt:i4>1835057</vt:i4>
      </vt:variant>
      <vt:variant>
        <vt:i4>158</vt:i4>
      </vt:variant>
      <vt:variant>
        <vt:i4>0</vt:i4>
      </vt:variant>
      <vt:variant>
        <vt:i4>5</vt:i4>
      </vt:variant>
      <vt:variant>
        <vt:lpwstr/>
      </vt:variant>
      <vt:variant>
        <vt:lpwstr>_Toc410649151</vt:lpwstr>
      </vt:variant>
      <vt:variant>
        <vt:i4>1835057</vt:i4>
      </vt:variant>
      <vt:variant>
        <vt:i4>152</vt:i4>
      </vt:variant>
      <vt:variant>
        <vt:i4>0</vt:i4>
      </vt:variant>
      <vt:variant>
        <vt:i4>5</vt:i4>
      </vt:variant>
      <vt:variant>
        <vt:lpwstr/>
      </vt:variant>
      <vt:variant>
        <vt:lpwstr>_Toc410649150</vt:lpwstr>
      </vt:variant>
      <vt:variant>
        <vt:i4>1900593</vt:i4>
      </vt:variant>
      <vt:variant>
        <vt:i4>146</vt:i4>
      </vt:variant>
      <vt:variant>
        <vt:i4>0</vt:i4>
      </vt:variant>
      <vt:variant>
        <vt:i4>5</vt:i4>
      </vt:variant>
      <vt:variant>
        <vt:lpwstr/>
      </vt:variant>
      <vt:variant>
        <vt:lpwstr>_Toc410649149</vt:lpwstr>
      </vt:variant>
      <vt:variant>
        <vt:i4>1900593</vt:i4>
      </vt:variant>
      <vt:variant>
        <vt:i4>140</vt:i4>
      </vt:variant>
      <vt:variant>
        <vt:i4>0</vt:i4>
      </vt:variant>
      <vt:variant>
        <vt:i4>5</vt:i4>
      </vt:variant>
      <vt:variant>
        <vt:lpwstr/>
      </vt:variant>
      <vt:variant>
        <vt:lpwstr>_Toc410649148</vt:lpwstr>
      </vt:variant>
      <vt:variant>
        <vt:i4>1900593</vt:i4>
      </vt:variant>
      <vt:variant>
        <vt:i4>134</vt:i4>
      </vt:variant>
      <vt:variant>
        <vt:i4>0</vt:i4>
      </vt:variant>
      <vt:variant>
        <vt:i4>5</vt:i4>
      </vt:variant>
      <vt:variant>
        <vt:lpwstr/>
      </vt:variant>
      <vt:variant>
        <vt:lpwstr>_Toc410649147</vt:lpwstr>
      </vt:variant>
      <vt:variant>
        <vt:i4>1900593</vt:i4>
      </vt:variant>
      <vt:variant>
        <vt:i4>128</vt:i4>
      </vt:variant>
      <vt:variant>
        <vt:i4>0</vt:i4>
      </vt:variant>
      <vt:variant>
        <vt:i4>5</vt:i4>
      </vt:variant>
      <vt:variant>
        <vt:lpwstr/>
      </vt:variant>
      <vt:variant>
        <vt:lpwstr>_Toc410649146</vt:lpwstr>
      </vt:variant>
      <vt:variant>
        <vt:i4>1900593</vt:i4>
      </vt:variant>
      <vt:variant>
        <vt:i4>122</vt:i4>
      </vt:variant>
      <vt:variant>
        <vt:i4>0</vt:i4>
      </vt:variant>
      <vt:variant>
        <vt:i4>5</vt:i4>
      </vt:variant>
      <vt:variant>
        <vt:lpwstr/>
      </vt:variant>
      <vt:variant>
        <vt:lpwstr>_Toc410649145</vt:lpwstr>
      </vt:variant>
      <vt:variant>
        <vt:i4>1900593</vt:i4>
      </vt:variant>
      <vt:variant>
        <vt:i4>116</vt:i4>
      </vt:variant>
      <vt:variant>
        <vt:i4>0</vt:i4>
      </vt:variant>
      <vt:variant>
        <vt:i4>5</vt:i4>
      </vt:variant>
      <vt:variant>
        <vt:lpwstr/>
      </vt:variant>
      <vt:variant>
        <vt:lpwstr>_Toc410649144</vt:lpwstr>
      </vt:variant>
      <vt:variant>
        <vt:i4>1900593</vt:i4>
      </vt:variant>
      <vt:variant>
        <vt:i4>110</vt:i4>
      </vt:variant>
      <vt:variant>
        <vt:i4>0</vt:i4>
      </vt:variant>
      <vt:variant>
        <vt:i4>5</vt:i4>
      </vt:variant>
      <vt:variant>
        <vt:lpwstr/>
      </vt:variant>
      <vt:variant>
        <vt:lpwstr>_Toc410649143</vt:lpwstr>
      </vt:variant>
      <vt:variant>
        <vt:i4>1900593</vt:i4>
      </vt:variant>
      <vt:variant>
        <vt:i4>104</vt:i4>
      </vt:variant>
      <vt:variant>
        <vt:i4>0</vt:i4>
      </vt:variant>
      <vt:variant>
        <vt:i4>5</vt:i4>
      </vt:variant>
      <vt:variant>
        <vt:lpwstr/>
      </vt:variant>
      <vt:variant>
        <vt:lpwstr>_Toc410649142</vt:lpwstr>
      </vt:variant>
      <vt:variant>
        <vt:i4>1900593</vt:i4>
      </vt:variant>
      <vt:variant>
        <vt:i4>98</vt:i4>
      </vt:variant>
      <vt:variant>
        <vt:i4>0</vt:i4>
      </vt:variant>
      <vt:variant>
        <vt:i4>5</vt:i4>
      </vt:variant>
      <vt:variant>
        <vt:lpwstr/>
      </vt:variant>
      <vt:variant>
        <vt:lpwstr>_Toc410649141</vt:lpwstr>
      </vt:variant>
      <vt:variant>
        <vt:i4>1900593</vt:i4>
      </vt:variant>
      <vt:variant>
        <vt:i4>92</vt:i4>
      </vt:variant>
      <vt:variant>
        <vt:i4>0</vt:i4>
      </vt:variant>
      <vt:variant>
        <vt:i4>5</vt:i4>
      </vt:variant>
      <vt:variant>
        <vt:lpwstr/>
      </vt:variant>
      <vt:variant>
        <vt:lpwstr>_Toc410649140</vt:lpwstr>
      </vt:variant>
      <vt:variant>
        <vt:i4>1703985</vt:i4>
      </vt:variant>
      <vt:variant>
        <vt:i4>86</vt:i4>
      </vt:variant>
      <vt:variant>
        <vt:i4>0</vt:i4>
      </vt:variant>
      <vt:variant>
        <vt:i4>5</vt:i4>
      </vt:variant>
      <vt:variant>
        <vt:lpwstr/>
      </vt:variant>
      <vt:variant>
        <vt:lpwstr>_Toc410649139</vt:lpwstr>
      </vt:variant>
      <vt:variant>
        <vt:i4>1703985</vt:i4>
      </vt:variant>
      <vt:variant>
        <vt:i4>80</vt:i4>
      </vt:variant>
      <vt:variant>
        <vt:i4>0</vt:i4>
      </vt:variant>
      <vt:variant>
        <vt:i4>5</vt:i4>
      </vt:variant>
      <vt:variant>
        <vt:lpwstr/>
      </vt:variant>
      <vt:variant>
        <vt:lpwstr>_Toc410649138</vt:lpwstr>
      </vt:variant>
      <vt:variant>
        <vt:i4>1703985</vt:i4>
      </vt:variant>
      <vt:variant>
        <vt:i4>74</vt:i4>
      </vt:variant>
      <vt:variant>
        <vt:i4>0</vt:i4>
      </vt:variant>
      <vt:variant>
        <vt:i4>5</vt:i4>
      </vt:variant>
      <vt:variant>
        <vt:lpwstr/>
      </vt:variant>
      <vt:variant>
        <vt:lpwstr>_Toc410649137</vt:lpwstr>
      </vt:variant>
      <vt:variant>
        <vt:i4>1703985</vt:i4>
      </vt:variant>
      <vt:variant>
        <vt:i4>68</vt:i4>
      </vt:variant>
      <vt:variant>
        <vt:i4>0</vt:i4>
      </vt:variant>
      <vt:variant>
        <vt:i4>5</vt:i4>
      </vt:variant>
      <vt:variant>
        <vt:lpwstr/>
      </vt:variant>
      <vt:variant>
        <vt:lpwstr>_Toc410649136</vt:lpwstr>
      </vt:variant>
      <vt:variant>
        <vt:i4>1703985</vt:i4>
      </vt:variant>
      <vt:variant>
        <vt:i4>62</vt:i4>
      </vt:variant>
      <vt:variant>
        <vt:i4>0</vt:i4>
      </vt:variant>
      <vt:variant>
        <vt:i4>5</vt:i4>
      </vt:variant>
      <vt:variant>
        <vt:lpwstr/>
      </vt:variant>
      <vt:variant>
        <vt:lpwstr>_Toc410649135</vt:lpwstr>
      </vt:variant>
      <vt:variant>
        <vt:i4>1703985</vt:i4>
      </vt:variant>
      <vt:variant>
        <vt:i4>56</vt:i4>
      </vt:variant>
      <vt:variant>
        <vt:i4>0</vt:i4>
      </vt:variant>
      <vt:variant>
        <vt:i4>5</vt:i4>
      </vt:variant>
      <vt:variant>
        <vt:lpwstr/>
      </vt:variant>
      <vt:variant>
        <vt:lpwstr>_Toc410649134</vt:lpwstr>
      </vt:variant>
      <vt:variant>
        <vt:i4>1703985</vt:i4>
      </vt:variant>
      <vt:variant>
        <vt:i4>50</vt:i4>
      </vt:variant>
      <vt:variant>
        <vt:i4>0</vt:i4>
      </vt:variant>
      <vt:variant>
        <vt:i4>5</vt:i4>
      </vt:variant>
      <vt:variant>
        <vt:lpwstr/>
      </vt:variant>
      <vt:variant>
        <vt:lpwstr>_Toc410649133</vt:lpwstr>
      </vt:variant>
      <vt:variant>
        <vt:i4>1703985</vt:i4>
      </vt:variant>
      <vt:variant>
        <vt:i4>44</vt:i4>
      </vt:variant>
      <vt:variant>
        <vt:i4>0</vt:i4>
      </vt:variant>
      <vt:variant>
        <vt:i4>5</vt:i4>
      </vt:variant>
      <vt:variant>
        <vt:lpwstr/>
      </vt:variant>
      <vt:variant>
        <vt:lpwstr>_Toc410649132</vt:lpwstr>
      </vt:variant>
      <vt:variant>
        <vt:i4>1703985</vt:i4>
      </vt:variant>
      <vt:variant>
        <vt:i4>38</vt:i4>
      </vt:variant>
      <vt:variant>
        <vt:i4>0</vt:i4>
      </vt:variant>
      <vt:variant>
        <vt:i4>5</vt:i4>
      </vt:variant>
      <vt:variant>
        <vt:lpwstr/>
      </vt:variant>
      <vt:variant>
        <vt:lpwstr>_Toc410649131</vt:lpwstr>
      </vt:variant>
      <vt:variant>
        <vt:i4>1703985</vt:i4>
      </vt:variant>
      <vt:variant>
        <vt:i4>32</vt:i4>
      </vt:variant>
      <vt:variant>
        <vt:i4>0</vt:i4>
      </vt:variant>
      <vt:variant>
        <vt:i4>5</vt:i4>
      </vt:variant>
      <vt:variant>
        <vt:lpwstr/>
      </vt:variant>
      <vt:variant>
        <vt:lpwstr>_Toc410649130</vt:lpwstr>
      </vt:variant>
      <vt:variant>
        <vt:i4>1769521</vt:i4>
      </vt:variant>
      <vt:variant>
        <vt:i4>26</vt:i4>
      </vt:variant>
      <vt:variant>
        <vt:i4>0</vt:i4>
      </vt:variant>
      <vt:variant>
        <vt:i4>5</vt:i4>
      </vt:variant>
      <vt:variant>
        <vt:lpwstr/>
      </vt:variant>
      <vt:variant>
        <vt:lpwstr>_Toc410649129</vt:lpwstr>
      </vt:variant>
      <vt:variant>
        <vt:i4>1769521</vt:i4>
      </vt:variant>
      <vt:variant>
        <vt:i4>20</vt:i4>
      </vt:variant>
      <vt:variant>
        <vt:i4>0</vt:i4>
      </vt:variant>
      <vt:variant>
        <vt:i4>5</vt:i4>
      </vt:variant>
      <vt:variant>
        <vt:lpwstr/>
      </vt:variant>
      <vt:variant>
        <vt:lpwstr>_Toc410649128</vt:lpwstr>
      </vt:variant>
      <vt:variant>
        <vt:i4>1769521</vt:i4>
      </vt:variant>
      <vt:variant>
        <vt:i4>14</vt:i4>
      </vt:variant>
      <vt:variant>
        <vt:i4>0</vt:i4>
      </vt:variant>
      <vt:variant>
        <vt:i4>5</vt:i4>
      </vt:variant>
      <vt:variant>
        <vt:lpwstr/>
      </vt:variant>
      <vt:variant>
        <vt:lpwstr>_Toc410649127</vt:lpwstr>
      </vt:variant>
      <vt:variant>
        <vt:i4>1769521</vt:i4>
      </vt:variant>
      <vt:variant>
        <vt:i4>8</vt:i4>
      </vt:variant>
      <vt:variant>
        <vt:i4>0</vt:i4>
      </vt:variant>
      <vt:variant>
        <vt:i4>5</vt:i4>
      </vt:variant>
      <vt:variant>
        <vt:lpwstr/>
      </vt:variant>
      <vt:variant>
        <vt:lpwstr>_Toc410649126</vt:lpwstr>
      </vt:variant>
      <vt:variant>
        <vt:i4>1769521</vt:i4>
      </vt:variant>
      <vt:variant>
        <vt:i4>2</vt:i4>
      </vt:variant>
      <vt:variant>
        <vt:i4>0</vt:i4>
      </vt:variant>
      <vt:variant>
        <vt:i4>5</vt:i4>
      </vt:variant>
      <vt:variant>
        <vt:lpwstr/>
      </vt:variant>
      <vt:variant>
        <vt:lpwstr>_Toc410649125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Bulfone</dc:creator>
  <cp:lastModifiedBy>Hart Amanda</cp:lastModifiedBy>
  <cp:revision>12</cp:revision>
  <cp:lastPrinted>2015-02-11T00:33:00Z</cp:lastPrinted>
  <dcterms:created xsi:type="dcterms:W3CDTF">2015-06-03T02:56:00Z</dcterms:created>
  <dcterms:modified xsi:type="dcterms:W3CDTF">2015-06-03T03:04:00Z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