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88EDF"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5986A8A" wp14:editId="133BF512">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81DC4BE" w14:textId="77777777" w:rsidR="00BC1364" w:rsidRPr="008D5885" w:rsidRDefault="00BC1364" w:rsidP="008D5885"/>
    <w:p w14:paraId="2911B505" w14:textId="77777777" w:rsidR="00C67DD2" w:rsidRPr="008D5885" w:rsidRDefault="00C67DD2" w:rsidP="008D5885"/>
    <w:p w14:paraId="275A4E5E" w14:textId="77777777"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14:paraId="4E7D45E9" w14:textId="77777777" w:rsidR="00BC1364" w:rsidRPr="007B32D1" w:rsidRDefault="00BC1364" w:rsidP="007B32D1"/>
    <w:p w14:paraId="36EFECB6" w14:textId="77777777" w:rsidR="00BC1364" w:rsidRPr="006E03C9" w:rsidRDefault="00BC1364" w:rsidP="007B32D1">
      <w:pPr>
        <w:jc w:val="center"/>
        <w:rPr>
          <w:rFonts w:ascii="Arial" w:hAnsi="Arial" w:cs="Arial"/>
          <w:b/>
          <w:bCs/>
          <w:i/>
          <w:color w:val="000080"/>
          <w:sz w:val="28"/>
          <w:szCs w:val="28"/>
        </w:rPr>
      </w:pPr>
      <w:r w:rsidRPr="006E03C9">
        <w:rPr>
          <w:rFonts w:ascii="Arial" w:hAnsi="Arial" w:cs="Arial"/>
          <w:b/>
          <w:bCs/>
          <w:i/>
          <w:color w:val="000080"/>
          <w:sz w:val="28"/>
          <w:szCs w:val="28"/>
        </w:rPr>
        <w:t xml:space="preserve">Application No. </w:t>
      </w:r>
      <w:r w:rsidR="00EC2F4B" w:rsidRPr="006E03C9">
        <w:rPr>
          <w:rFonts w:ascii="Arial" w:hAnsi="Arial" w:cs="Arial"/>
          <w:b/>
          <w:i/>
          <w:color w:val="000080"/>
          <w:sz w:val="28"/>
          <w:szCs w:val="28"/>
        </w:rPr>
        <w:t>1333 – Breast Magnetic Resonance Imaging</w:t>
      </w:r>
    </w:p>
    <w:p w14:paraId="2D58DFA1" w14:textId="77777777" w:rsidR="00BC1364" w:rsidRDefault="00BC1364" w:rsidP="00065623">
      <w:pPr>
        <w:tabs>
          <w:tab w:val="left" w:pos="3600"/>
        </w:tabs>
        <w:ind w:left="3600" w:hanging="3600"/>
        <w:rPr>
          <w:szCs w:val="24"/>
        </w:rPr>
      </w:pPr>
    </w:p>
    <w:p w14:paraId="4587F157" w14:textId="77777777" w:rsidR="00BC1364" w:rsidRPr="00707064" w:rsidRDefault="00BC1364" w:rsidP="00065623">
      <w:pPr>
        <w:tabs>
          <w:tab w:val="left" w:pos="3600"/>
        </w:tabs>
        <w:ind w:left="3600" w:hanging="3600"/>
        <w:rPr>
          <w:szCs w:val="24"/>
        </w:rPr>
      </w:pPr>
    </w:p>
    <w:p w14:paraId="0B4265E2" w14:textId="77777777" w:rsidR="00BC1364" w:rsidRPr="00D90A38" w:rsidRDefault="00B35595" w:rsidP="00296FB0">
      <w:pPr>
        <w:ind w:left="3600" w:hanging="3600"/>
        <w:rPr>
          <w:rFonts w:ascii="Arial" w:hAnsi="Arial" w:cs="Arial"/>
          <w:b/>
        </w:rPr>
      </w:pPr>
      <w:r>
        <w:rPr>
          <w:rFonts w:ascii="Arial" w:hAnsi="Arial" w:cs="Arial"/>
          <w:b/>
          <w:szCs w:val="24"/>
        </w:rPr>
        <w:t>Applicant</w:t>
      </w:r>
      <w:r w:rsidR="00296FB0">
        <w:rPr>
          <w:rFonts w:ascii="Arial" w:hAnsi="Arial" w:cs="Arial"/>
          <w:b/>
          <w:szCs w:val="24"/>
        </w:rPr>
        <w:t>:</w:t>
      </w:r>
      <w:r w:rsidR="00296FB0">
        <w:rPr>
          <w:rFonts w:ascii="Arial" w:hAnsi="Arial" w:cs="Arial"/>
          <w:b/>
          <w:szCs w:val="24"/>
        </w:rPr>
        <w:tab/>
      </w:r>
      <w:r w:rsidR="00EC2F4B" w:rsidRPr="00EC2F4B">
        <w:rPr>
          <w:rFonts w:ascii="Arial" w:hAnsi="Arial" w:cs="Arial"/>
          <w:b/>
          <w:szCs w:val="24"/>
        </w:rPr>
        <w:t xml:space="preserve">Professor </w:t>
      </w:r>
      <w:proofErr w:type="spellStart"/>
      <w:r w:rsidR="00EC2F4B" w:rsidRPr="00EC2F4B">
        <w:rPr>
          <w:rFonts w:ascii="Arial" w:hAnsi="Arial" w:cs="Arial"/>
          <w:b/>
          <w:szCs w:val="24"/>
        </w:rPr>
        <w:t>Christobel</w:t>
      </w:r>
      <w:proofErr w:type="spellEnd"/>
      <w:r w:rsidR="00EC2F4B" w:rsidRPr="00EC2F4B">
        <w:rPr>
          <w:rFonts w:ascii="Arial" w:hAnsi="Arial" w:cs="Arial"/>
          <w:b/>
          <w:szCs w:val="24"/>
        </w:rPr>
        <w:t xml:space="preserve"> Saunders, on behalf of </w:t>
      </w:r>
      <w:proofErr w:type="spellStart"/>
      <w:r w:rsidR="00EC2F4B" w:rsidRPr="00EC2F4B">
        <w:rPr>
          <w:rFonts w:ascii="Arial" w:hAnsi="Arial" w:cs="Arial"/>
          <w:b/>
          <w:szCs w:val="24"/>
        </w:rPr>
        <w:t>BreastSurgANZ</w:t>
      </w:r>
      <w:proofErr w:type="spellEnd"/>
    </w:p>
    <w:p w14:paraId="0D4B4953" w14:textId="77777777" w:rsidR="00296FB0" w:rsidRDefault="00296FB0" w:rsidP="00DD2858">
      <w:pPr>
        <w:rPr>
          <w:rFonts w:ascii="Arial" w:hAnsi="Arial" w:cs="Arial"/>
          <w:b/>
          <w:szCs w:val="24"/>
        </w:rPr>
      </w:pPr>
    </w:p>
    <w:p w14:paraId="1C48ADCD" w14:textId="77777777"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EC2F4B">
        <w:rPr>
          <w:rFonts w:ascii="Arial" w:hAnsi="Arial" w:cs="Arial"/>
          <w:b/>
          <w:szCs w:val="24"/>
        </w:rPr>
        <w:t>63</w:t>
      </w:r>
      <w:r w:rsidR="00EC2F4B" w:rsidRPr="00EC2F4B">
        <w:rPr>
          <w:rFonts w:ascii="Arial" w:hAnsi="Arial" w:cs="Arial"/>
          <w:b/>
          <w:szCs w:val="24"/>
          <w:vertAlign w:val="superscript"/>
        </w:rPr>
        <w:t>rd</w:t>
      </w:r>
      <w:r w:rsidRPr="00D90A38">
        <w:rPr>
          <w:rFonts w:ascii="Arial" w:hAnsi="Arial" w:cs="Arial"/>
          <w:b/>
          <w:szCs w:val="24"/>
        </w:rPr>
        <w:t xml:space="preserve"> Meeting, </w:t>
      </w:r>
      <w:r w:rsidR="00EC2F4B">
        <w:rPr>
          <w:rFonts w:ascii="Arial" w:hAnsi="Arial" w:cs="Arial"/>
          <w:b/>
          <w:szCs w:val="24"/>
        </w:rPr>
        <w:t>1-2 April 2015</w:t>
      </w:r>
    </w:p>
    <w:p w14:paraId="2B40513D" w14:textId="77777777" w:rsidR="00BC1364" w:rsidRDefault="00BC1364" w:rsidP="00065623">
      <w:pPr>
        <w:rPr>
          <w:szCs w:val="24"/>
        </w:rPr>
      </w:pPr>
    </w:p>
    <w:p w14:paraId="5D795ABD" w14:textId="77777777" w:rsidR="0041758C" w:rsidRDefault="006A0D97" w:rsidP="00065623">
      <w:pPr>
        <w:rPr>
          <w:szCs w:val="24"/>
        </w:rPr>
      </w:pPr>
      <w:r>
        <w:rPr>
          <w:szCs w:val="24"/>
        </w:rPr>
        <w:t xml:space="preserve">Context for decision: MSAC makes its advice in accordance with its Terms of Reference, see at </w:t>
      </w:r>
      <w:hyperlink r:id="rId10" w:tooltip="Link to MSAC website" w:history="1">
        <w:r w:rsidRPr="000A74FE">
          <w:rPr>
            <w:rStyle w:val="Hyperlink"/>
            <w:szCs w:val="24"/>
          </w:rPr>
          <w:t>www.msac.gov.au</w:t>
        </w:r>
      </w:hyperlink>
    </w:p>
    <w:p w14:paraId="139AECBD" w14:textId="77777777" w:rsidR="0041758C" w:rsidRDefault="0041758C" w:rsidP="00065623">
      <w:pPr>
        <w:rPr>
          <w:szCs w:val="24"/>
        </w:rPr>
      </w:pPr>
    </w:p>
    <w:p w14:paraId="3978CD9A" w14:textId="77777777" w:rsidR="00F41812" w:rsidRDefault="00F41812" w:rsidP="00065623">
      <w:pPr>
        <w:rPr>
          <w:szCs w:val="24"/>
        </w:rPr>
      </w:pPr>
    </w:p>
    <w:p w14:paraId="6A745699" w14:textId="77777777"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14:paraId="0C2B1AA1" w14:textId="77777777" w:rsidR="003D7F29" w:rsidRPr="00F35134" w:rsidRDefault="003D7F29" w:rsidP="003D7F29">
      <w:pPr>
        <w:tabs>
          <w:tab w:val="left" w:pos="720"/>
          <w:tab w:val="left" w:pos="1140"/>
        </w:tabs>
        <w:ind w:left="720"/>
        <w:rPr>
          <w:b/>
          <w:bCs/>
          <w:szCs w:val="24"/>
        </w:rPr>
      </w:pPr>
    </w:p>
    <w:p w14:paraId="6CA94D4E" w14:textId="77777777" w:rsidR="00EC2F4B" w:rsidRPr="00EC2F4B" w:rsidRDefault="00EC2F4B" w:rsidP="00EC2F4B">
      <w:r w:rsidRPr="00EC2F4B">
        <w:t>An application requesting Medicare Benefits Schedule (MBS) listing of breast MRI to guide treatment in women newly diagnosed with breast cancer was received from Breast Surgeons of Australia and New Zealand Incorporated (</w:t>
      </w:r>
      <w:proofErr w:type="spellStart"/>
      <w:r w:rsidRPr="00EC2F4B">
        <w:t>BreastSurgANZ</w:t>
      </w:r>
      <w:proofErr w:type="spellEnd"/>
      <w:r w:rsidRPr="00EC2F4B">
        <w:t>) by the Department of Health in September 2012.</w:t>
      </w:r>
    </w:p>
    <w:p w14:paraId="360799BB" w14:textId="77777777" w:rsidR="003D7F29" w:rsidRPr="00D90A38" w:rsidRDefault="003D7F29" w:rsidP="003D7F29">
      <w:pPr>
        <w:rPr>
          <w:color w:val="FF0000"/>
          <w:szCs w:val="24"/>
        </w:rPr>
      </w:pPr>
    </w:p>
    <w:p w14:paraId="5CA16017" w14:textId="77777777" w:rsidR="00E977EE" w:rsidRDefault="00E977EE" w:rsidP="00E977EE">
      <w:pPr>
        <w:pStyle w:val="Heading1"/>
        <w:numPr>
          <w:ilvl w:val="0"/>
          <w:numId w:val="23"/>
        </w:numPr>
        <w:ind w:hanging="720"/>
      </w:pPr>
      <w:r w:rsidRPr="008D5885">
        <w:t>MSAC’s advice to the Minister</w:t>
      </w:r>
    </w:p>
    <w:p w14:paraId="35F0454C" w14:textId="77777777" w:rsidR="00E977EE" w:rsidRDefault="00E977EE" w:rsidP="00E977EE">
      <w:pPr>
        <w:tabs>
          <w:tab w:val="left" w:pos="720"/>
        </w:tabs>
        <w:ind w:left="709" w:hanging="709"/>
        <w:rPr>
          <w:b/>
          <w:szCs w:val="24"/>
        </w:rPr>
      </w:pPr>
    </w:p>
    <w:p w14:paraId="5D9F4083" w14:textId="77777777" w:rsidR="00296FB0" w:rsidRPr="00296FB0" w:rsidRDefault="00296FB0" w:rsidP="00296FB0">
      <w:r w:rsidRPr="00296FB0">
        <w:t xml:space="preserve">After considering the available evidence presented in relation to safety, clinical effectiveness and cost-effectiveness of MRI for local staging and/or early treatment, monitoring and planning of newly diagnosed </w:t>
      </w:r>
      <w:r w:rsidR="002D1341">
        <w:t xml:space="preserve">breast cancer in </w:t>
      </w:r>
      <w:r w:rsidRPr="00296FB0">
        <w:t>women:</w:t>
      </w:r>
    </w:p>
    <w:p w14:paraId="417ABB81" w14:textId="77777777" w:rsidR="00296FB0" w:rsidRPr="00296FB0" w:rsidRDefault="00296FB0" w:rsidP="00296FB0">
      <w:pPr>
        <w:numPr>
          <w:ilvl w:val="0"/>
          <w:numId w:val="40"/>
        </w:numPr>
        <w:contextualSpacing/>
      </w:pPr>
      <w:r w:rsidRPr="00296FB0">
        <w:t xml:space="preserve">undergoing neo-adjuvant chemotherapy, </w:t>
      </w:r>
    </w:p>
    <w:p w14:paraId="1C781C82" w14:textId="77777777" w:rsidR="00296FB0" w:rsidRPr="00296FB0" w:rsidRDefault="00296FB0" w:rsidP="00296FB0">
      <w:pPr>
        <w:numPr>
          <w:ilvl w:val="0"/>
          <w:numId w:val="40"/>
        </w:numPr>
        <w:contextualSpacing/>
      </w:pPr>
      <w:r w:rsidRPr="00296FB0">
        <w:t xml:space="preserve">with lobular subtype breast cancer, </w:t>
      </w:r>
    </w:p>
    <w:p w14:paraId="46EA5622" w14:textId="77777777" w:rsidR="00296FB0" w:rsidRPr="00296FB0" w:rsidRDefault="00296FB0" w:rsidP="00296FB0">
      <w:pPr>
        <w:numPr>
          <w:ilvl w:val="0"/>
          <w:numId w:val="40"/>
        </w:numPr>
        <w:contextualSpacing/>
      </w:pPr>
      <w:r w:rsidRPr="00296FB0">
        <w:t xml:space="preserve">aged 50 years or younger, </w:t>
      </w:r>
    </w:p>
    <w:p w14:paraId="26F724F4" w14:textId="77777777" w:rsidR="00296FB0" w:rsidRPr="00296FB0" w:rsidRDefault="00296FB0" w:rsidP="00296FB0">
      <w:pPr>
        <w:numPr>
          <w:ilvl w:val="0"/>
          <w:numId w:val="40"/>
        </w:numPr>
        <w:contextualSpacing/>
      </w:pPr>
      <w:r w:rsidRPr="00296FB0">
        <w:t>with very dense breasts precluding mammographic assessment</w:t>
      </w:r>
    </w:p>
    <w:p w14:paraId="72516CDE" w14:textId="77777777" w:rsidR="00296FB0" w:rsidRPr="00296FB0" w:rsidRDefault="00296FB0" w:rsidP="00296FB0">
      <w:pPr>
        <w:numPr>
          <w:ilvl w:val="0"/>
          <w:numId w:val="40"/>
        </w:numPr>
        <w:contextualSpacing/>
      </w:pPr>
      <w:r w:rsidRPr="00296FB0">
        <w:t>who have significant size discrepancy (</w:t>
      </w:r>
      <w:r w:rsidRPr="00296FB0">
        <w:rPr>
          <w:u w:val="single"/>
        </w:rPr>
        <w:t>&gt;</w:t>
      </w:r>
      <w:r w:rsidRPr="00296FB0">
        <w:t xml:space="preserve">1 cm) </w:t>
      </w:r>
    </w:p>
    <w:p w14:paraId="38CA84BF" w14:textId="77777777" w:rsidR="00296FB0" w:rsidRPr="00296FB0" w:rsidRDefault="00296FB0" w:rsidP="00296FB0">
      <w:pPr>
        <w:numPr>
          <w:ilvl w:val="0"/>
          <w:numId w:val="40"/>
        </w:numPr>
        <w:contextualSpacing/>
      </w:pPr>
      <w:proofErr w:type="gramStart"/>
      <w:r w:rsidRPr="00296FB0">
        <w:t>who</w:t>
      </w:r>
      <w:proofErr w:type="gramEnd"/>
      <w:r w:rsidRPr="00296FB0">
        <w:t xml:space="preserve"> have suspicious/malignant calcifications which may underestimate the extent of ductal carcinoma in situ disease. </w:t>
      </w:r>
    </w:p>
    <w:p w14:paraId="4C537637" w14:textId="77777777" w:rsidR="00296FB0" w:rsidRPr="00296FB0" w:rsidRDefault="00296FB0" w:rsidP="00296FB0">
      <w:r w:rsidRPr="00296FB0">
        <w:t xml:space="preserve">MSAC did not support public funding for these indications due to </w:t>
      </w:r>
      <w:r w:rsidR="00DF000F" w:rsidRPr="006E369E">
        <w:t>of uncertain clinical effectiveness, cost</w:t>
      </w:r>
      <w:r w:rsidR="00DF000F">
        <w:noBreakHyphen/>
      </w:r>
      <w:r w:rsidR="00DF000F" w:rsidRPr="006E369E">
        <w:t>effectiveness and financial impac</w:t>
      </w:r>
      <w:r w:rsidR="00DF000F">
        <w:t>t</w:t>
      </w:r>
      <w:r w:rsidRPr="00296FB0">
        <w:t>.</w:t>
      </w:r>
    </w:p>
    <w:p w14:paraId="38EB0C39" w14:textId="77777777" w:rsidR="00296FB0" w:rsidRPr="00296FB0" w:rsidRDefault="00296FB0" w:rsidP="00296FB0"/>
    <w:p w14:paraId="2C40C44B" w14:textId="77777777" w:rsidR="002D1341" w:rsidRDefault="002D1341" w:rsidP="002D1341">
      <w:r>
        <w:t>After considering the available evidence presented in relation to safety, clinical effectiveness and cost-effectiveness of MRI, MSAC supports public funding for:</w:t>
      </w:r>
    </w:p>
    <w:p w14:paraId="4BB74611" w14:textId="77777777" w:rsidR="002D1341" w:rsidRDefault="002D1341" w:rsidP="002D1341">
      <w:pPr>
        <w:pStyle w:val="ListParagraph"/>
        <w:numPr>
          <w:ilvl w:val="0"/>
          <w:numId w:val="41"/>
        </w:numPr>
      </w:pPr>
      <w:r>
        <w:t xml:space="preserve">local staging and/or early treatment, monitoring and planning for women presenting with metastatic breast cancer in the lymph nodes where conventional imaging and examination fails to show the source of the tumour </w:t>
      </w:r>
    </w:p>
    <w:p w14:paraId="5107C554" w14:textId="77777777" w:rsidR="00296FB0" w:rsidRPr="00296FB0" w:rsidRDefault="002D1341" w:rsidP="00296FB0">
      <w:pPr>
        <w:pStyle w:val="ListParagraph"/>
        <w:numPr>
          <w:ilvl w:val="0"/>
          <w:numId w:val="41"/>
        </w:numPr>
      </w:pPr>
      <w:r>
        <w:lastRenderedPageBreak/>
        <w:t xml:space="preserve">MRI guided biopsy in patients with suspected breast cancer where the lesion is only identifiable by MRI if </w:t>
      </w:r>
      <w:r w:rsidR="006D5EDE">
        <w:t xml:space="preserve">repeat </w:t>
      </w:r>
      <w:r w:rsidRPr="006D5EDE">
        <w:t>ultrasound is also included in the item descriptor</w:t>
      </w:r>
      <w:r>
        <w:t>.</w:t>
      </w:r>
    </w:p>
    <w:p w14:paraId="322A0879" w14:textId="77777777" w:rsidR="00E977EE" w:rsidRPr="000F14B4" w:rsidRDefault="00E977EE" w:rsidP="00E977EE">
      <w:pPr>
        <w:pStyle w:val="Default"/>
        <w:ind w:left="720"/>
        <w:rPr>
          <w:color w:val="FF0000"/>
        </w:rPr>
      </w:pPr>
    </w:p>
    <w:p w14:paraId="1193E573" w14:textId="77777777" w:rsidR="00550354" w:rsidRDefault="00550354" w:rsidP="00550354">
      <w:pPr>
        <w:pStyle w:val="Heading1"/>
        <w:numPr>
          <w:ilvl w:val="0"/>
          <w:numId w:val="23"/>
        </w:numPr>
        <w:ind w:hanging="720"/>
      </w:pPr>
      <w:r w:rsidRPr="008D5885">
        <w:t>Summary of consideration and rationale for MSAC’s advice</w:t>
      </w:r>
      <w:r w:rsidRPr="00707064">
        <w:t xml:space="preserve"> </w:t>
      </w:r>
    </w:p>
    <w:p w14:paraId="71D617EF" w14:textId="77777777" w:rsidR="00550354" w:rsidRDefault="00550354" w:rsidP="00550354">
      <w:pPr>
        <w:rPr>
          <w:szCs w:val="24"/>
        </w:rPr>
      </w:pPr>
    </w:p>
    <w:p w14:paraId="3D611DA4" w14:textId="77777777" w:rsidR="006D5EDE" w:rsidRDefault="006D5EDE" w:rsidP="006D5EDE">
      <w:r>
        <w:t xml:space="preserve">MSAC noted that the proposed indications involved different treatment algorithms. Women undergoing neoadjuvant chemotherapy, breast MRI is proposed as a replacement for baseline mammography to monitor treatment. MRI is proposed in addition to mammography and ultrasound for </w:t>
      </w:r>
      <w:proofErr w:type="spellStart"/>
      <w:r>
        <w:t>presurgical</w:t>
      </w:r>
      <w:proofErr w:type="spellEnd"/>
      <w:r>
        <w:t xml:space="preserve"> planning for women:</w:t>
      </w:r>
    </w:p>
    <w:p w14:paraId="51BAF31F" w14:textId="77777777" w:rsidR="006D5EDE" w:rsidRDefault="006E03C9" w:rsidP="006D5EDE">
      <w:pPr>
        <w:pStyle w:val="ListParagraph"/>
        <w:numPr>
          <w:ilvl w:val="0"/>
          <w:numId w:val="42"/>
        </w:numPr>
      </w:pPr>
      <w:r>
        <w:t>w</w:t>
      </w:r>
      <w:r w:rsidR="006D5EDE">
        <w:t>ith lobular subtype breast cancer</w:t>
      </w:r>
    </w:p>
    <w:p w14:paraId="0C0DBE3D" w14:textId="77777777" w:rsidR="006D5EDE" w:rsidRDefault="006D5EDE" w:rsidP="006D5EDE">
      <w:pPr>
        <w:pStyle w:val="ListParagraph"/>
        <w:numPr>
          <w:ilvl w:val="0"/>
          <w:numId w:val="42"/>
        </w:numPr>
      </w:pPr>
      <w:r>
        <w:t>aged 50 years or younger</w:t>
      </w:r>
    </w:p>
    <w:p w14:paraId="0647D2B3" w14:textId="77777777" w:rsidR="006D5EDE" w:rsidRDefault="006D5EDE" w:rsidP="006D5EDE">
      <w:pPr>
        <w:pStyle w:val="ListParagraph"/>
        <w:numPr>
          <w:ilvl w:val="0"/>
          <w:numId w:val="42"/>
        </w:numPr>
      </w:pPr>
      <w:r w:rsidRPr="00517787">
        <w:t>with very dense breasts precluding mammographic assessment</w:t>
      </w:r>
      <w:r>
        <w:t xml:space="preserve"> </w:t>
      </w:r>
    </w:p>
    <w:p w14:paraId="0C6ADAC6" w14:textId="77777777" w:rsidR="006D5EDE" w:rsidRDefault="006D5EDE" w:rsidP="006D5EDE">
      <w:pPr>
        <w:pStyle w:val="ListParagraph"/>
        <w:numPr>
          <w:ilvl w:val="0"/>
          <w:numId w:val="42"/>
        </w:numPr>
      </w:pPr>
      <w:r w:rsidRPr="00517787">
        <w:t>have significant size discrepancy (</w:t>
      </w:r>
      <w:r w:rsidRPr="000A2C28">
        <w:rPr>
          <w:u w:val="single"/>
        </w:rPr>
        <w:t>&gt;</w:t>
      </w:r>
      <w:r w:rsidRPr="00517787">
        <w:t>1 cm)</w:t>
      </w:r>
    </w:p>
    <w:p w14:paraId="7A5784D0" w14:textId="77777777" w:rsidR="006D5EDE" w:rsidRDefault="006D5EDE" w:rsidP="006D5EDE">
      <w:pPr>
        <w:pStyle w:val="ListParagraph"/>
        <w:numPr>
          <w:ilvl w:val="0"/>
          <w:numId w:val="42"/>
        </w:numPr>
      </w:pPr>
      <w:proofErr w:type="gramStart"/>
      <w:r w:rsidRPr="00517787">
        <w:t>have</w:t>
      </w:r>
      <w:proofErr w:type="gramEnd"/>
      <w:r w:rsidRPr="00517787">
        <w:t xml:space="preserve"> suspicious/malignant calcifications which may underestimate the extent of du</w:t>
      </w:r>
      <w:r>
        <w:t>ctal carcinoma in situ disease.</w:t>
      </w:r>
    </w:p>
    <w:p w14:paraId="0A8F2A2F" w14:textId="77777777" w:rsidR="006D5EDE" w:rsidRDefault="006D5EDE" w:rsidP="006D5EDE"/>
    <w:p w14:paraId="3152020D" w14:textId="77777777" w:rsidR="006D5EDE" w:rsidRDefault="006D5EDE" w:rsidP="006D5EDE">
      <w:r>
        <w:t xml:space="preserve">MRI is also proposed as an additional imaging modality for local staging and/or early treatment, monitoring and planning for women presenting with metastatic breast cancer in the lymph nodes where conventional imaging and examination fails to show the source of the tumour. For image guided biopsy MSAC noted that there is no comparator and it is therefore an alternative to open surgery. </w:t>
      </w:r>
    </w:p>
    <w:p w14:paraId="3225704F" w14:textId="77777777" w:rsidR="006D5EDE" w:rsidRDefault="006D5EDE" w:rsidP="006D5EDE"/>
    <w:p w14:paraId="61525A64" w14:textId="77777777" w:rsidR="006D5EDE" w:rsidRDefault="006D5EDE" w:rsidP="006D5EDE">
      <w:r>
        <w:t xml:space="preserve">MSAC noted that the clinical need for MRI in addition to, or as a replacement for other imaging practices was variable. In some populations there is no evidence that MRI is significantly better than mammography for </w:t>
      </w:r>
      <w:proofErr w:type="spellStart"/>
      <w:r>
        <w:t>presurgical</w:t>
      </w:r>
      <w:proofErr w:type="spellEnd"/>
      <w:r>
        <w:t xml:space="preserve"> planning. In others, such as for women with occult breast cancer where conventional imaging fails to identify source tumour, MRI provides a means for breast conserving surgery, in these women the clinical need for MRI may be significant.</w:t>
      </w:r>
    </w:p>
    <w:p w14:paraId="2F62AA69" w14:textId="77777777" w:rsidR="006D5EDE" w:rsidRDefault="006D5EDE" w:rsidP="006D5EDE"/>
    <w:p w14:paraId="77305030" w14:textId="77777777" w:rsidR="006D5EDE" w:rsidRDefault="006D5EDE" w:rsidP="006D5EDE">
      <w:r>
        <w:t xml:space="preserve">MSAC noted that the patient population requiring MRI for occult breast cancer is very small, 159 to 172 patients per year up to 2020. This is compared to women who are aged 50 years or less or have dense breasts where the population is 5,857 to 6,328 per year up to 2020. </w:t>
      </w:r>
    </w:p>
    <w:p w14:paraId="13813DAC" w14:textId="77777777" w:rsidR="006D5EDE" w:rsidRPr="00517787" w:rsidRDefault="006D5EDE" w:rsidP="006D5EDE"/>
    <w:p w14:paraId="6027A941" w14:textId="77777777" w:rsidR="006D5EDE" w:rsidRDefault="006D5EDE" w:rsidP="006D5EDE">
      <w:r>
        <w:t xml:space="preserve">MSAC considered evidence presented for comparative efficacy but noted that most studies were non-randomised using surrogate endpoints. </w:t>
      </w:r>
    </w:p>
    <w:p w14:paraId="6C94FE2C" w14:textId="77777777" w:rsidR="006D5EDE" w:rsidRDefault="006D5EDE" w:rsidP="006D5EDE">
      <w:pPr>
        <w:pStyle w:val="ListParagraph"/>
        <w:numPr>
          <w:ilvl w:val="0"/>
          <w:numId w:val="43"/>
        </w:numPr>
      </w:pPr>
      <w:r>
        <w:t xml:space="preserve">For women requiring neo-adjuvant therapy, MRI has a high sensitivity but lower specificity and may detect residual cancer better; there is little evidence that use of MRI changes management. </w:t>
      </w:r>
    </w:p>
    <w:p w14:paraId="2AE7DCD7" w14:textId="77777777" w:rsidR="006D5EDE" w:rsidRDefault="006D5EDE" w:rsidP="006D5EDE">
      <w:pPr>
        <w:pStyle w:val="ListParagraph"/>
        <w:numPr>
          <w:ilvl w:val="0"/>
          <w:numId w:val="43"/>
        </w:numPr>
      </w:pPr>
      <w:r>
        <w:t xml:space="preserve">For women with lobular breast cancer MRI may increase the rate of lesions identified, but the false positive rate is substantial. There is some evidence that it reduces rate of reoperation, but no evidence on any change in overall mastectomy rate or survival. </w:t>
      </w:r>
    </w:p>
    <w:p w14:paraId="1C0FEB84" w14:textId="77777777" w:rsidR="006D5EDE" w:rsidRDefault="006D5EDE" w:rsidP="006D5EDE">
      <w:pPr>
        <w:pStyle w:val="ListParagraph"/>
        <w:numPr>
          <w:ilvl w:val="0"/>
          <w:numId w:val="43"/>
        </w:numPr>
      </w:pPr>
      <w:r>
        <w:t>For young women or women with dense breast tissue there is inadequate data on efficacy.</w:t>
      </w:r>
    </w:p>
    <w:p w14:paraId="29CADE67" w14:textId="77777777" w:rsidR="006D5EDE" w:rsidRDefault="006D5EDE" w:rsidP="006D5EDE">
      <w:pPr>
        <w:pStyle w:val="ListParagraph"/>
        <w:numPr>
          <w:ilvl w:val="0"/>
          <w:numId w:val="43"/>
        </w:numPr>
      </w:pPr>
      <w:r>
        <w:t xml:space="preserve">For women with </w:t>
      </w:r>
      <w:r w:rsidRPr="000A2C28">
        <w:rPr>
          <w:u w:val="single"/>
        </w:rPr>
        <w:t>&gt;</w:t>
      </w:r>
      <w:r w:rsidRPr="006E03C9">
        <w:t xml:space="preserve"> </w:t>
      </w:r>
      <w:r>
        <w:t xml:space="preserve">1 cm discrepancy using conventional imaging, there is inadequate data to make a conclusion about relative efficacy. </w:t>
      </w:r>
    </w:p>
    <w:p w14:paraId="66C2D8C7" w14:textId="77777777" w:rsidR="006D5EDE" w:rsidRDefault="006D5EDE" w:rsidP="006D5EDE">
      <w:pPr>
        <w:pStyle w:val="ListParagraph"/>
        <w:numPr>
          <w:ilvl w:val="0"/>
          <w:numId w:val="43"/>
        </w:numPr>
      </w:pPr>
      <w:r>
        <w:t xml:space="preserve">For women with suspicious calcifications that may underestimate the extent of DCIS, there is no data on clinical efficacy. </w:t>
      </w:r>
    </w:p>
    <w:p w14:paraId="5C032F72" w14:textId="77777777" w:rsidR="006D5EDE" w:rsidRDefault="006D5EDE" w:rsidP="006D5EDE">
      <w:pPr>
        <w:pStyle w:val="ListParagraph"/>
        <w:numPr>
          <w:ilvl w:val="0"/>
          <w:numId w:val="43"/>
        </w:numPr>
      </w:pPr>
      <w:r>
        <w:t xml:space="preserve">For occult cancer, the condition is very rare and the data quality is poor. However, available data demonstrate that MRI detects primary cancer in 40 – 86% of cases and may enable breast conserving surgery in 21 – 60% of cases. </w:t>
      </w:r>
    </w:p>
    <w:p w14:paraId="01400A80" w14:textId="4003C167" w:rsidR="00B85E0A" w:rsidRDefault="006D5EDE" w:rsidP="00B85E0A">
      <w:pPr>
        <w:pStyle w:val="ListParagraph"/>
        <w:numPr>
          <w:ilvl w:val="0"/>
          <w:numId w:val="43"/>
        </w:numPr>
      </w:pPr>
      <w:r>
        <w:lastRenderedPageBreak/>
        <w:t xml:space="preserve">There are few data on efficacy of MRI-guided biopsy as there is no comparator. </w:t>
      </w:r>
      <w:r w:rsidR="00B43B48">
        <w:t xml:space="preserve">MSAC noted that during the public consultation there was feedback from only one breast surgeon who stated that the place of MRI in surgical management of breast cancer is minimal, while all other feedback was supportive. </w:t>
      </w:r>
      <w:r>
        <w:t>MSAC considered image-guided biopsy to be technically appropriate for tumours that are only visible on MRI.</w:t>
      </w:r>
      <w:r w:rsidR="00B85E0A">
        <w:t xml:space="preserve"> </w:t>
      </w:r>
    </w:p>
    <w:p w14:paraId="10DF7B10" w14:textId="77777777" w:rsidR="00B85E0A" w:rsidRDefault="00B85E0A" w:rsidP="00B85E0A"/>
    <w:p w14:paraId="6880CEE2" w14:textId="77777777" w:rsidR="006D5EDE" w:rsidRDefault="006D5EDE" w:rsidP="00B85E0A">
      <w:r>
        <w:t xml:space="preserve">MSAC noted that MRI has been previously assessed for safety in 2006, and no further safety concerns were noted. </w:t>
      </w:r>
    </w:p>
    <w:p w14:paraId="308D90AD" w14:textId="77777777" w:rsidR="006D5EDE" w:rsidRDefault="006D5EDE" w:rsidP="006D5EDE"/>
    <w:p w14:paraId="41F41377" w14:textId="10386F5F" w:rsidR="006D5EDE" w:rsidRDefault="006D5EDE" w:rsidP="006D5EDE">
      <w:r>
        <w:t xml:space="preserve">MSAC considered the cost effectiveness of MRI for the proposed indications and noted that the paucity of evidence meant the economic modelling was either unavailable or had high level of uncertainty. In the populations where economic evaluation was available, </w:t>
      </w:r>
      <w:proofErr w:type="spellStart"/>
      <w:r>
        <w:t>presurgical</w:t>
      </w:r>
      <w:proofErr w:type="spellEnd"/>
      <w:r>
        <w:t xml:space="preserve"> planning in young women or women with lobular breast cancer MRI was not cost effective. In addition, uncertainty around the patient population and tota</w:t>
      </w:r>
      <w:r w:rsidR="00FD15E6">
        <w:t xml:space="preserve">l numbers means a high level of </w:t>
      </w:r>
      <w:r>
        <w:t xml:space="preserve">uncertainty around financial and budgetary impacts of many of the indications. For occult breast cancer the patient numbers are very low and public funding of MRI in this population should not result in a significant budget impact. </w:t>
      </w:r>
    </w:p>
    <w:p w14:paraId="4B9B952C" w14:textId="77777777" w:rsidR="006D5EDE" w:rsidRDefault="006D5EDE" w:rsidP="006D5EDE"/>
    <w:p w14:paraId="2AB683C4" w14:textId="77777777" w:rsidR="006D5EDE" w:rsidRDefault="006D5EDE" w:rsidP="006D5EDE">
      <w:r>
        <w:t xml:space="preserve">MSAC noted that the descriptor for occult breast cancer may need to include curative therapy (“occult breast cancer treated with curative intent”) as the probable benefits of MRI are to increase the chances of breast conserving surgery for these women. </w:t>
      </w:r>
    </w:p>
    <w:p w14:paraId="36E9B452" w14:textId="77777777" w:rsidR="006D5EDE" w:rsidRDefault="006D5EDE" w:rsidP="006D5EDE"/>
    <w:p w14:paraId="3EB77785" w14:textId="60153799" w:rsidR="006D5EDE" w:rsidRDefault="006D5EDE" w:rsidP="006D5EDE">
      <w:r>
        <w:t xml:space="preserve">MSAC noted consumer support for provision of publicly funded MRI based on perceptions on the superior quality of MRI. MSAC </w:t>
      </w:r>
      <w:r w:rsidR="0092594B">
        <w:t>noted there are varied</w:t>
      </w:r>
      <w:r>
        <w:t xml:space="preserve"> opinions on this matter and </w:t>
      </w:r>
      <w:r w:rsidR="00C01570">
        <w:t xml:space="preserve">considered </w:t>
      </w:r>
      <w:r>
        <w:t>that for the indications that were recommended for approval the data are sufficient to suggest MRI will have a place. For all other indications the data are insufficient and at this stage suggest that use of MRI does not improve outcomes or change management.</w:t>
      </w:r>
    </w:p>
    <w:p w14:paraId="1F70F8F8" w14:textId="77777777" w:rsidR="006D5EDE" w:rsidRDefault="006D5EDE" w:rsidP="006D5EDE"/>
    <w:p w14:paraId="4C0BF8CA" w14:textId="77777777" w:rsidR="006D5EDE" w:rsidRDefault="006D5EDE" w:rsidP="006D5EDE">
      <w:r>
        <w:t>MSAC noted that for women who have lesions that are not initially visible by ultrasound, the identification of a lesion requiring biopsy by MRI should lead to an attempt for an ultrasound-guided biopsy procedure since it is estimated that the majority (</w:t>
      </w:r>
      <w:r>
        <w:rPr>
          <w:lang w:val="en-US"/>
        </w:rPr>
        <w:t xml:space="preserve">79% in Gonzalez et al. </w:t>
      </w:r>
      <w:r w:rsidRPr="00E73659">
        <w:rPr>
          <w:lang w:val="en-US"/>
        </w:rPr>
        <w:t xml:space="preserve">2014) </w:t>
      </w:r>
      <w:r>
        <w:t>of these lesions can be adequately visualised by repeat ultrasound following MRI-localisation, and this approach is likely more cost effective. In the event that the lesion is still not seen on repeat ultrasound, MRI-guided biopsy would then be indicated and reimbursable. MSAC therefore suggested that inclusion of a second ultrasound in the item descriptor for MRI-guided biopsy may help reduce the number of women who will ultimately require an MRI-guided biopsy.</w:t>
      </w:r>
    </w:p>
    <w:p w14:paraId="02544E27" w14:textId="77777777" w:rsidR="00296FB0" w:rsidRPr="00296FB0" w:rsidRDefault="00296FB0" w:rsidP="00296FB0"/>
    <w:p w14:paraId="7746EFCD" w14:textId="77777777" w:rsidR="00F345C2" w:rsidRPr="00E34267" w:rsidRDefault="00296FB0" w:rsidP="00F345C2">
      <w:pPr>
        <w:tabs>
          <w:tab w:val="left" w:pos="720"/>
          <w:tab w:val="left" w:pos="1140"/>
        </w:tabs>
        <w:rPr>
          <w:szCs w:val="24"/>
        </w:rPr>
      </w:pPr>
      <w:r w:rsidRPr="00296FB0">
        <w:t xml:space="preserve">MSAC noted consumer support for MRI based on perceptions </w:t>
      </w:r>
      <w:r w:rsidR="00AF13D6">
        <w:t>of</w:t>
      </w:r>
      <w:r w:rsidR="00AF13D6" w:rsidRPr="00296FB0">
        <w:t xml:space="preserve"> </w:t>
      </w:r>
      <w:r w:rsidRPr="00296FB0">
        <w:t xml:space="preserve">superior quality. </w:t>
      </w:r>
      <w:r w:rsidR="00F345C2">
        <w:rPr>
          <w:szCs w:val="24"/>
        </w:rPr>
        <w:t>MSAC considered that</w:t>
      </w:r>
      <w:r w:rsidR="00F345C2" w:rsidRPr="00E34267">
        <w:rPr>
          <w:szCs w:val="24"/>
        </w:rPr>
        <w:t xml:space="preserve"> there needs to be strong communication to provide </w:t>
      </w:r>
      <w:r w:rsidR="00F345C2">
        <w:rPr>
          <w:szCs w:val="24"/>
        </w:rPr>
        <w:t>patients</w:t>
      </w:r>
      <w:r w:rsidR="00F345C2" w:rsidRPr="00E34267">
        <w:rPr>
          <w:szCs w:val="24"/>
        </w:rPr>
        <w:t xml:space="preserve"> with an informed understanding of </w:t>
      </w:r>
      <w:r w:rsidR="00D31308">
        <w:rPr>
          <w:szCs w:val="24"/>
        </w:rPr>
        <w:t xml:space="preserve">the clinical place of </w:t>
      </w:r>
      <w:r w:rsidR="00F345C2" w:rsidRPr="00E34267">
        <w:rPr>
          <w:szCs w:val="24"/>
        </w:rPr>
        <w:t xml:space="preserve">MRI compared to mammogram and ultrasound. </w:t>
      </w:r>
    </w:p>
    <w:p w14:paraId="776A902C" w14:textId="77777777" w:rsidR="00550354" w:rsidRPr="00707064" w:rsidRDefault="00550354" w:rsidP="00550354">
      <w:pPr>
        <w:rPr>
          <w:szCs w:val="24"/>
        </w:rPr>
      </w:pPr>
    </w:p>
    <w:p w14:paraId="4E29CCC3" w14:textId="77777777" w:rsidR="00BC1364" w:rsidRPr="00D90A38" w:rsidRDefault="00BC1364" w:rsidP="007B32D1">
      <w:pPr>
        <w:pStyle w:val="Heading1"/>
        <w:numPr>
          <w:ilvl w:val="0"/>
          <w:numId w:val="23"/>
        </w:numPr>
        <w:ind w:hanging="720"/>
      </w:pPr>
      <w:r w:rsidRPr="00D90A38">
        <w:t>Background</w:t>
      </w:r>
    </w:p>
    <w:p w14:paraId="34A13A85" w14:textId="77777777" w:rsidR="00BC1364" w:rsidRDefault="00BC1364" w:rsidP="00DD2858">
      <w:pPr>
        <w:rPr>
          <w:b/>
          <w:szCs w:val="24"/>
        </w:rPr>
      </w:pPr>
    </w:p>
    <w:p w14:paraId="284EC673" w14:textId="77777777" w:rsidR="00EC2F4B" w:rsidRPr="00EC2F4B" w:rsidRDefault="00EC2F4B" w:rsidP="00EC2F4B">
      <w:r w:rsidRPr="00EC2F4B">
        <w:t xml:space="preserve">Breast MRI for surveillance was listed as an interim item in February 2009, following advice received from MSAC in 2007 and has recently been reassessed (MSAC Assessment 1098.1). </w:t>
      </w:r>
    </w:p>
    <w:p w14:paraId="71200437" w14:textId="77777777" w:rsidR="007B32D1" w:rsidRPr="007B32D1" w:rsidRDefault="007B32D1" w:rsidP="007B32D1"/>
    <w:p w14:paraId="744E9508" w14:textId="77777777" w:rsidR="006E03C9" w:rsidRDefault="006E03C9">
      <w:pPr>
        <w:rPr>
          <w:rFonts w:ascii="Arial" w:hAnsi="Arial"/>
          <w:b/>
          <w:bCs/>
          <w:szCs w:val="28"/>
        </w:rPr>
      </w:pPr>
      <w:r>
        <w:br w:type="page"/>
      </w:r>
    </w:p>
    <w:p w14:paraId="05B85935" w14:textId="77777777" w:rsidR="00BC1364" w:rsidRPr="00D90A38" w:rsidRDefault="00BC1364" w:rsidP="007B32D1">
      <w:pPr>
        <w:pStyle w:val="Heading1"/>
        <w:numPr>
          <w:ilvl w:val="0"/>
          <w:numId w:val="23"/>
        </w:numPr>
        <w:ind w:hanging="720"/>
      </w:pPr>
      <w:r w:rsidRPr="00D90A38">
        <w:lastRenderedPageBreak/>
        <w:t>Prerequisites to implementation of any funding advice</w:t>
      </w:r>
    </w:p>
    <w:p w14:paraId="0C42FF21" w14:textId="77777777" w:rsidR="00BC1364" w:rsidRPr="00707064" w:rsidRDefault="00BC1364" w:rsidP="00DD2858">
      <w:pPr>
        <w:tabs>
          <w:tab w:val="left" w:pos="720"/>
          <w:tab w:val="left" w:pos="1140"/>
        </w:tabs>
        <w:ind w:left="706"/>
        <w:rPr>
          <w:b/>
          <w:szCs w:val="24"/>
        </w:rPr>
      </w:pPr>
    </w:p>
    <w:p w14:paraId="0142434C" w14:textId="77777777" w:rsidR="00EC2F4B" w:rsidRPr="00EC2F4B" w:rsidRDefault="00EC2F4B" w:rsidP="00EC2F4B">
      <w:r w:rsidRPr="00EC2F4B">
        <w:t>MRI is currently available in public and private facilities in major centres in each state and territory. Three hundred and forty-nine MRI units have been granted Medicare eligibility by the Department of Health, enabling these units to provide services that are eligible for funding under the MBS.</w:t>
      </w:r>
    </w:p>
    <w:p w14:paraId="661C77D3" w14:textId="77777777" w:rsidR="00EC2F4B" w:rsidRPr="00EC2F4B" w:rsidRDefault="00EC2F4B" w:rsidP="00EC2F4B"/>
    <w:p w14:paraId="6D2DC2DA" w14:textId="77777777" w:rsidR="00EC2F4B" w:rsidRPr="00EC2F4B" w:rsidRDefault="00EC2F4B" w:rsidP="00EC2F4B">
      <w:r w:rsidRPr="00EC2F4B">
        <w:t>Breast MRI requires both a breast coil and the use of a gadolinium-containing contrast agent. The Australian Register of Therapeutic Goods lists several coils and gadolinium-containing contrast agents that have been approved by the Therapeutic Goods Administration for use in diagnostic imaging procedures.</w:t>
      </w:r>
    </w:p>
    <w:p w14:paraId="0F990B67" w14:textId="77777777" w:rsidR="00BC1364" w:rsidRPr="00707064" w:rsidRDefault="00BC1364" w:rsidP="009E0D98">
      <w:pPr>
        <w:tabs>
          <w:tab w:val="left" w:pos="720"/>
          <w:tab w:val="left" w:pos="1140"/>
        </w:tabs>
        <w:rPr>
          <w:color w:val="0070C0"/>
          <w:szCs w:val="24"/>
        </w:rPr>
      </w:pPr>
    </w:p>
    <w:p w14:paraId="7D571899" w14:textId="77777777" w:rsidR="00BC1364" w:rsidRPr="007B32D1" w:rsidRDefault="00BC1364" w:rsidP="007B32D1">
      <w:pPr>
        <w:pStyle w:val="Heading1"/>
        <w:numPr>
          <w:ilvl w:val="0"/>
          <w:numId w:val="23"/>
        </w:numPr>
        <w:ind w:hanging="720"/>
      </w:pPr>
      <w:r w:rsidRPr="007B32D1">
        <w:t>Proposal for public funding</w:t>
      </w:r>
    </w:p>
    <w:p w14:paraId="1157AFE7" w14:textId="77777777" w:rsidR="00BC1364" w:rsidRDefault="00BC1364" w:rsidP="00AB3BFC">
      <w:pPr>
        <w:tabs>
          <w:tab w:val="left" w:pos="720"/>
          <w:tab w:val="left" w:pos="1140"/>
        </w:tabs>
        <w:rPr>
          <w:sz w:val="23"/>
          <w:szCs w:val="23"/>
        </w:rPr>
      </w:pPr>
    </w:p>
    <w:p w14:paraId="6C03F061" w14:textId="77777777" w:rsidR="00E34267" w:rsidRPr="00E34267" w:rsidRDefault="00E34267" w:rsidP="00E34267">
      <w:r w:rsidRPr="00E34267">
        <w:t xml:space="preserve">The proposed MBS item descriptors, as determined by the Protocol Advisory Sub-Committee (PASC) for the proposed medical service are presented in Table 1. The proposed fee is the same as the existing fee paid for breast MRI on the MBS, which is $690. </w:t>
      </w:r>
    </w:p>
    <w:p w14:paraId="6E29B3AB" w14:textId="77777777" w:rsidR="00E34267" w:rsidRPr="00E34267" w:rsidRDefault="00E34267" w:rsidP="00E34267"/>
    <w:p w14:paraId="50DE9FD4" w14:textId="77777777" w:rsidR="00E34267" w:rsidRPr="00E34267" w:rsidRDefault="00E34267" w:rsidP="00E34267">
      <w:r w:rsidRPr="00E34267">
        <w:t>The proposed fee for breast MRI-guided biopsy (Table 2) is based on the current fee for breast MRI plus the extra consumables ($450, including biopsy gun and clip for placement at the lesion site) and labour costs ($300, one extra hour of radiologist and radiographer time) required to conduct a biopsy for a total of $1440. This is in line with the requirements, but a more detailed justification of costs may be required.</w:t>
      </w:r>
    </w:p>
    <w:p w14:paraId="07A679D6" w14:textId="77777777" w:rsidR="00E34267" w:rsidRPr="00E34267" w:rsidRDefault="00E34267" w:rsidP="00E34267"/>
    <w:p w14:paraId="189CB6D9" w14:textId="77777777" w:rsidR="00E34267" w:rsidRPr="0092594B" w:rsidRDefault="00E34267" w:rsidP="00E34267">
      <w:pPr>
        <w:tabs>
          <w:tab w:val="left" w:pos="720"/>
          <w:tab w:val="left" w:pos="1140"/>
        </w:tabs>
        <w:spacing w:before="120"/>
        <w:rPr>
          <w:rFonts w:ascii="Arial Narrow" w:hAnsi="Arial Narrow"/>
          <w:b/>
          <w:sz w:val="20"/>
        </w:rPr>
      </w:pPr>
      <w:r w:rsidRPr="0092594B">
        <w:rPr>
          <w:rFonts w:ascii="Arial Narrow" w:hAnsi="Arial Narrow"/>
          <w:b/>
          <w:sz w:val="20"/>
        </w:rPr>
        <w:t>Table 1</w:t>
      </w:r>
      <w:r w:rsidRPr="0092594B">
        <w:rPr>
          <w:rFonts w:ascii="Arial Narrow" w:hAnsi="Arial Narrow"/>
          <w:b/>
          <w:sz w:val="20"/>
        </w:rPr>
        <w:tab/>
      </w:r>
      <w:r w:rsidRPr="0092594B">
        <w:rPr>
          <w:rFonts w:ascii="Arial Narrow" w:hAnsi="Arial Narrow"/>
          <w:b/>
          <w:sz w:val="20"/>
        </w:rPr>
        <w:tab/>
        <w:t>Proposed MBS listings for breast MRI</w:t>
      </w:r>
    </w:p>
    <w:tbl>
      <w:tblPr>
        <w:tblStyle w:val="TableGrid"/>
        <w:tblW w:w="0" w:type="auto"/>
        <w:tblLook w:val="04A0" w:firstRow="1" w:lastRow="0" w:firstColumn="1" w:lastColumn="0" w:noHBand="0" w:noVBand="1"/>
        <w:tblCaption w:val="Proposed MBS listings for breast MRI"/>
        <w:tblDescription w:val="Proposed MBS listings for breast MRI"/>
      </w:tblPr>
      <w:tblGrid>
        <w:gridCol w:w="9242"/>
      </w:tblGrid>
      <w:tr w:rsidR="00E34267" w:rsidRPr="00F30882" w14:paraId="03C57DC4" w14:textId="77777777" w:rsidTr="00B85E0A">
        <w:trPr>
          <w:tblHeader/>
        </w:trPr>
        <w:tc>
          <w:tcPr>
            <w:tcW w:w="9242" w:type="dxa"/>
          </w:tcPr>
          <w:p w14:paraId="4F1F6DD6" w14:textId="77777777" w:rsidR="00E34267" w:rsidRPr="0092594B" w:rsidRDefault="00E34267" w:rsidP="00E34267">
            <w:pPr>
              <w:tabs>
                <w:tab w:val="left" w:pos="720"/>
                <w:tab w:val="left" w:pos="1140"/>
              </w:tabs>
              <w:spacing w:before="120"/>
              <w:jc w:val="right"/>
              <w:rPr>
                <w:rFonts w:ascii="Arial Narrow" w:hAnsi="Arial Narrow"/>
                <w:b/>
                <w:sz w:val="20"/>
              </w:rPr>
            </w:pPr>
            <w:r w:rsidRPr="0092594B">
              <w:rPr>
                <w:rFonts w:ascii="Arial Narrow" w:hAnsi="Arial Narrow"/>
                <w:b/>
                <w:sz w:val="20"/>
              </w:rPr>
              <w:t>Category 5 – Diagnostic imaging services</w:t>
            </w:r>
          </w:p>
        </w:tc>
      </w:tr>
      <w:tr w:rsidR="00E34267" w:rsidRPr="00F30882" w14:paraId="15FB90A1" w14:textId="77777777" w:rsidTr="00E34267">
        <w:tc>
          <w:tcPr>
            <w:tcW w:w="9242" w:type="dxa"/>
          </w:tcPr>
          <w:p w14:paraId="4A768592"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w:t>
            </w:r>
            <w:r w:rsidRPr="0092594B">
              <w:rPr>
                <w:rFonts w:ascii="Arial Narrow" w:hAnsi="Arial Narrow"/>
                <w:b/>
                <w:sz w:val="20"/>
              </w:rPr>
              <w:t>MBS item number</w:t>
            </w:r>
            <w:r w:rsidRPr="0092594B">
              <w:rPr>
                <w:rFonts w:ascii="Arial Narrow" w:hAnsi="Arial Narrow"/>
                <w:sz w:val="20"/>
              </w:rPr>
              <w:t>]</w:t>
            </w:r>
          </w:p>
          <w:p w14:paraId="3FEF02D0"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MAGNETIC RESONANCE IMAGING performed under the professional supervision of an eligible provider at an eligible location where the patient is referred by a specialist or by a consultant physician and where:</w:t>
            </w:r>
          </w:p>
          <w:p w14:paraId="4F4BB80F"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(a) a dedicated breast coil is used; and</w:t>
            </w:r>
          </w:p>
          <w:p w14:paraId="26E0F0C4"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(b) the request for scan identifies that the patient has been diagnosed with a breast cancer and is undergoing or about to undergo neo-adjuvant chemotherapy</w:t>
            </w:r>
          </w:p>
          <w:p w14:paraId="1E815676"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b/>
                <w:sz w:val="20"/>
              </w:rPr>
              <w:t>Fee</w:t>
            </w:r>
            <w:r w:rsidRPr="0092594B">
              <w:rPr>
                <w:rFonts w:ascii="Arial Narrow" w:hAnsi="Arial Narrow"/>
                <w:sz w:val="20"/>
              </w:rPr>
              <w:t>: $[Proposed fee] As per current fee ($690) for screening MRI in high risk women</w:t>
            </w:r>
          </w:p>
          <w:p w14:paraId="62DEBCBD" w14:textId="77777777" w:rsidR="00DA075F"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[Proposed relevant explanatory notes]</w:t>
            </w:r>
          </w:p>
        </w:tc>
      </w:tr>
      <w:tr w:rsidR="00E34267" w:rsidRPr="00F30882" w14:paraId="7218E883" w14:textId="77777777" w:rsidTr="00E34267">
        <w:tc>
          <w:tcPr>
            <w:tcW w:w="9242" w:type="dxa"/>
          </w:tcPr>
          <w:p w14:paraId="6EE82E87"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w:t>
            </w:r>
            <w:r w:rsidRPr="0092594B">
              <w:rPr>
                <w:rFonts w:ascii="Arial Narrow" w:hAnsi="Arial Narrow"/>
                <w:b/>
                <w:sz w:val="20"/>
              </w:rPr>
              <w:t>MBS item number</w:t>
            </w:r>
            <w:r w:rsidR="006E03C9" w:rsidRPr="0092594B">
              <w:rPr>
                <w:rFonts w:ascii="Arial Narrow" w:hAnsi="Arial Narrow"/>
                <w:sz w:val="20"/>
              </w:rPr>
              <w:t>]</w:t>
            </w:r>
            <w:r w:rsidRPr="0092594B">
              <w:rPr>
                <w:rFonts w:ascii="Arial Narrow" w:hAnsi="Arial Narrow"/>
                <w:sz w:val="20"/>
              </w:rPr>
              <w:t xml:space="preserve"> </w:t>
            </w:r>
          </w:p>
          <w:p w14:paraId="5C4DDA2A"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MAGNETIC RESONANCE IMAGING performed under the professional supervision of an eligible provider at an eligible location where the patient is referred by a specialist or by a consultant physician and where:</w:t>
            </w:r>
          </w:p>
          <w:p w14:paraId="31B77778"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(a) a dedicated breast coil is used; and</w:t>
            </w:r>
          </w:p>
          <w:p w14:paraId="666EF3E2"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 xml:space="preserve">(b) </w:t>
            </w:r>
            <w:proofErr w:type="gramStart"/>
            <w:r w:rsidRPr="0092594B">
              <w:rPr>
                <w:rFonts w:ascii="Arial Narrow" w:hAnsi="Arial Narrow"/>
                <w:sz w:val="20"/>
              </w:rPr>
              <w:t>the</w:t>
            </w:r>
            <w:proofErr w:type="gramEnd"/>
            <w:r w:rsidRPr="0092594B">
              <w:rPr>
                <w:rFonts w:ascii="Arial Narrow" w:hAnsi="Arial Narrow"/>
                <w:sz w:val="20"/>
              </w:rPr>
              <w:t xml:space="preserve"> request for scan identifies that the patient has been diagnosed with a breast cancer of the lobular sub-type, and has not had definitive surgical treatment.</w:t>
            </w:r>
          </w:p>
          <w:p w14:paraId="498F1545"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b/>
                <w:sz w:val="20"/>
              </w:rPr>
              <w:t>Fee</w:t>
            </w:r>
            <w:r w:rsidRPr="0092594B">
              <w:rPr>
                <w:rFonts w:ascii="Arial Narrow" w:hAnsi="Arial Narrow"/>
                <w:sz w:val="20"/>
              </w:rPr>
              <w:t>: $[Proposed fee] As per current fee ($690) for screening MRI in high risk women</w:t>
            </w:r>
          </w:p>
          <w:p w14:paraId="112FCEB0"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[Proposed relevant explanatory notes]</w:t>
            </w:r>
          </w:p>
        </w:tc>
      </w:tr>
      <w:tr w:rsidR="00E34267" w:rsidRPr="00F30882" w14:paraId="08F8950B" w14:textId="77777777" w:rsidTr="00E34267">
        <w:tc>
          <w:tcPr>
            <w:tcW w:w="9242" w:type="dxa"/>
          </w:tcPr>
          <w:p w14:paraId="409CDABB"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w:t>
            </w:r>
            <w:r w:rsidRPr="0092594B">
              <w:rPr>
                <w:rFonts w:ascii="Arial Narrow" w:hAnsi="Arial Narrow"/>
                <w:b/>
                <w:sz w:val="20"/>
              </w:rPr>
              <w:t>MBS item number</w:t>
            </w:r>
            <w:r w:rsidRPr="0092594B">
              <w:rPr>
                <w:rFonts w:ascii="Arial Narrow" w:hAnsi="Arial Narrow"/>
                <w:sz w:val="20"/>
              </w:rPr>
              <w:t>]</w:t>
            </w:r>
          </w:p>
          <w:p w14:paraId="5C801C90"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MAGNETIC RESONANCE IMAGING performed under the professional supervision of an eligible provider at an eligible location where the patient is referred by a specialist or by a consultant physician and where:</w:t>
            </w:r>
          </w:p>
          <w:p w14:paraId="39D497FB"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(a) a dedicated breast coil is used; and</w:t>
            </w:r>
          </w:p>
          <w:p w14:paraId="2BD73F98"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(b) the request for scan identifies that the patient has been diagnosed with a breast cancer, and</w:t>
            </w:r>
          </w:p>
          <w:p w14:paraId="7BAF61AA" w14:textId="77777777" w:rsidR="00E34267" w:rsidRPr="0092594B" w:rsidRDefault="00E34267" w:rsidP="00E34267">
            <w:pPr>
              <w:tabs>
                <w:tab w:val="left" w:pos="720"/>
                <w:tab w:val="left" w:pos="1140"/>
              </w:tabs>
              <w:spacing w:before="120"/>
              <w:rPr>
                <w:rFonts w:ascii="Arial Narrow" w:hAnsi="Arial Narrow"/>
                <w:sz w:val="20"/>
              </w:rPr>
            </w:pPr>
            <w:proofErr w:type="spellStart"/>
            <w:r w:rsidRPr="0092594B">
              <w:rPr>
                <w:rFonts w:ascii="Arial Narrow" w:hAnsi="Arial Narrow"/>
                <w:sz w:val="20"/>
              </w:rPr>
              <w:lastRenderedPageBreak/>
              <w:t>i</w:t>
            </w:r>
            <w:proofErr w:type="spellEnd"/>
            <w:r w:rsidRPr="0092594B">
              <w:rPr>
                <w:rFonts w:ascii="Arial Narrow" w:hAnsi="Arial Narrow"/>
                <w:sz w:val="20"/>
              </w:rPr>
              <w:t>) is aged ≤50 years, and/or</w:t>
            </w:r>
          </w:p>
          <w:p w14:paraId="1242A07C"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ii) has very dense breasts, and/or</w:t>
            </w:r>
          </w:p>
          <w:p w14:paraId="211373EA"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iii) has a significant discrepancy (&gt;1 cm) between mammogram and ultrasound findings and has not had definitive surgical treatment</w:t>
            </w:r>
          </w:p>
          <w:p w14:paraId="02529AB3"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b/>
                <w:sz w:val="20"/>
              </w:rPr>
              <w:t>Fee</w:t>
            </w:r>
            <w:r w:rsidRPr="0092594B">
              <w:rPr>
                <w:rFonts w:ascii="Arial Narrow" w:hAnsi="Arial Narrow"/>
                <w:sz w:val="20"/>
              </w:rPr>
              <w:t>: $[Proposed fee] As per current fee ($690) for screening MRI in high risk women</w:t>
            </w:r>
          </w:p>
          <w:p w14:paraId="36056B77"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[Proposed relevant explanatory notes]</w:t>
            </w:r>
          </w:p>
        </w:tc>
      </w:tr>
      <w:tr w:rsidR="00E34267" w:rsidRPr="00F30882" w14:paraId="13BFA427" w14:textId="77777777" w:rsidTr="00E34267">
        <w:tc>
          <w:tcPr>
            <w:tcW w:w="9242" w:type="dxa"/>
          </w:tcPr>
          <w:p w14:paraId="437A8530"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lastRenderedPageBreak/>
              <w:t>[</w:t>
            </w:r>
            <w:r w:rsidRPr="0092594B">
              <w:rPr>
                <w:rFonts w:ascii="Arial Narrow" w:hAnsi="Arial Narrow"/>
                <w:b/>
                <w:sz w:val="20"/>
              </w:rPr>
              <w:t>MBS item number</w:t>
            </w:r>
            <w:r w:rsidR="002925DE" w:rsidRPr="0092594B">
              <w:rPr>
                <w:rFonts w:ascii="Arial Narrow" w:hAnsi="Arial Narrow"/>
                <w:b/>
                <w:sz w:val="20"/>
              </w:rPr>
              <w:t>]</w:t>
            </w:r>
            <w:r w:rsidRPr="0092594B">
              <w:rPr>
                <w:rFonts w:ascii="Arial Narrow" w:hAnsi="Arial Narrow"/>
                <w:sz w:val="20"/>
              </w:rPr>
              <w:t xml:space="preserve"> </w:t>
            </w:r>
          </w:p>
          <w:p w14:paraId="4E545322"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MAGNETIC RESONANCE IMAGING performed under the professional supervision of an eligible provider at an eligible location where the patient is referred by a specialist or by a consultant physician and where:</w:t>
            </w:r>
          </w:p>
          <w:p w14:paraId="1406313F"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(a) a dedicated breast coil is used; and</w:t>
            </w:r>
          </w:p>
          <w:p w14:paraId="4C9BF4F5"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(b) the request for scan identifies that the patient has been diagnosed with metastatic cancer restricted to the regional lymph nodes and clinical examination and conventional imaging have failed to identify the primary cancer</w:t>
            </w:r>
          </w:p>
          <w:p w14:paraId="16114841"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b/>
                <w:sz w:val="20"/>
              </w:rPr>
              <w:t>Fee</w:t>
            </w:r>
            <w:r w:rsidRPr="0092594B">
              <w:rPr>
                <w:rFonts w:ascii="Arial Narrow" w:hAnsi="Arial Narrow"/>
                <w:sz w:val="20"/>
              </w:rPr>
              <w:t>: $[Proposed fee] As per current fee ($690) for screening MRI in high risk women</w:t>
            </w:r>
          </w:p>
          <w:p w14:paraId="300D92A6"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[Proposed relevant explanatory notes]</w:t>
            </w:r>
          </w:p>
        </w:tc>
      </w:tr>
    </w:tbl>
    <w:p w14:paraId="3A092856" w14:textId="77777777" w:rsidR="00E34267" w:rsidRPr="0092594B" w:rsidRDefault="00E34267" w:rsidP="00E34267">
      <w:pPr>
        <w:tabs>
          <w:tab w:val="left" w:pos="720"/>
          <w:tab w:val="left" w:pos="1140"/>
        </w:tabs>
        <w:spacing w:before="120"/>
        <w:rPr>
          <w:rFonts w:ascii="Arial Narrow" w:hAnsi="Arial Narrow"/>
          <w:b/>
          <w:sz w:val="20"/>
        </w:rPr>
      </w:pPr>
      <w:r w:rsidRPr="0092594B">
        <w:rPr>
          <w:rFonts w:ascii="Arial Narrow" w:hAnsi="Arial Narrow"/>
          <w:b/>
          <w:sz w:val="20"/>
        </w:rPr>
        <w:t>Table 2</w:t>
      </w:r>
      <w:r w:rsidRPr="0092594B">
        <w:rPr>
          <w:rFonts w:ascii="Arial Narrow" w:hAnsi="Arial Narrow"/>
          <w:b/>
          <w:sz w:val="20"/>
        </w:rPr>
        <w:tab/>
      </w:r>
      <w:r w:rsidRPr="0092594B">
        <w:rPr>
          <w:rFonts w:ascii="Arial Narrow" w:hAnsi="Arial Narrow"/>
          <w:b/>
          <w:sz w:val="20"/>
        </w:rPr>
        <w:tab/>
        <w:t>Proposed MBS listing for breast MRI-guided biopsy</w:t>
      </w:r>
    </w:p>
    <w:tbl>
      <w:tblPr>
        <w:tblStyle w:val="TableGrid"/>
        <w:tblW w:w="0" w:type="auto"/>
        <w:tblLook w:val="04A0" w:firstRow="1" w:lastRow="0" w:firstColumn="1" w:lastColumn="0" w:noHBand="0" w:noVBand="1"/>
        <w:tblCaption w:val="Proposed MBS listing for breast MRI-guided biopsy"/>
        <w:tblDescription w:val="Proposed MBS listing for breast MRI-guided biopsy"/>
      </w:tblPr>
      <w:tblGrid>
        <w:gridCol w:w="9242"/>
      </w:tblGrid>
      <w:tr w:rsidR="00E34267" w:rsidRPr="00F30882" w14:paraId="705E31BD" w14:textId="77777777" w:rsidTr="00B85E0A">
        <w:trPr>
          <w:tblHeader/>
        </w:trPr>
        <w:tc>
          <w:tcPr>
            <w:tcW w:w="9242" w:type="dxa"/>
          </w:tcPr>
          <w:p w14:paraId="0C5D3F9D" w14:textId="77777777" w:rsidR="00E34267" w:rsidRPr="0092594B" w:rsidRDefault="00E34267" w:rsidP="00E34267">
            <w:pPr>
              <w:tabs>
                <w:tab w:val="left" w:pos="720"/>
                <w:tab w:val="left" w:pos="1140"/>
              </w:tabs>
              <w:spacing w:before="120"/>
              <w:jc w:val="right"/>
              <w:rPr>
                <w:rFonts w:ascii="Arial Narrow" w:hAnsi="Arial Narrow"/>
                <w:b/>
                <w:sz w:val="20"/>
              </w:rPr>
            </w:pPr>
            <w:r w:rsidRPr="0092594B">
              <w:rPr>
                <w:rFonts w:ascii="Arial Narrow" w:hAnsi="Arial Narrow"/>
                <w:b/>
                <w:sz w:val="20"/>
              </w:rPr>
              <w:t>Category 5 – Diagnostic imaging services</w:t>
            </w:r>
          </w:p>
        </w:tc>
      </w:tr>
      <w:tr w:rsidR="00E34267" w:rsidRPr="00F30882" w14:paraId="0C1FB3E2" w14:textId="77777777" w:rsidTr="00E34267">
        <w:tc>
          <w:tcPr>
            <w:tcW w:w="9242" w:type="dxa"/>
          </w:tcPr>
          <w:p w14:paraId="68A71957"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w:t>
            </w:r>
            <w:r w:rsidRPr="0092594B">
              <w:rPr>
                <w:rFonts w:ascii="Arial Narrow" w:hAnsi="Arial Narrow"/>
                <w:b/>
                <w:sz w:val="20"/>
              </w:rPr>
              <w:t>MBS item number</w:t>
            </w:r>
            <w:r w:rsidRPr="0092594B">
              <w:rPr>
                <w:rFonts w:ascii="Arial Narrow" w:hAnsi="Arial Narrow"/>
                <w:sz w:val="20"/>
              </w:rPr>
              <w:t xml:space="preserve"> (Note: this will be assigned by the Department if listed on the MBS)]</w:t>
            </w:r>
          </w:p>
          <w:p w14:paraId="6D841E35"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MAGNETIC RESONANCE IMAGING-GUIDED BIOPSY performed under the professional supervision of an eligible provider at an eligible location where the patient is referred by a specialist or by a consultant physician and where:</w:t>
            </w:r>
          </w:p>
          <w:p w14:paraId="0087BDE9"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(a) a dedicated breast coil is used; and</w:t>
            </w:r>
          </w:p>
          <w:p w14:paraId="728D416C"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(b) the request for scan identifies that the patient has</w:t>
            </w:r>
            <w:bookmarkStart w:id="0" w:name="_GoBack"/>
            <w:bookmarkEnd w:id="0"/>
            <w:r w:rsidRPr="0092594B">
              <w:rPr>
                <w:rFonts w:ascii="Arial Narrow" w:hAnsi="Arial Narrow"/>
                <w:sz w:val="20"/>
              </w:rPr>
              <w:t xml:space="preserve"> a suspicious lesion seen on MRI but not conventional imaging, and is therefore not amenable to biopsy by conventional imaging</w:t>
            </w:r>
          </w:p>
          <w:p w14:paraId="3013CBC4"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b/>
                <w:sz w:val="20"/>
              </w:rPr>
              <w:t>Fee</w:t>
            </w:r>
            <w:r w:rsidRPr="0092594B">
              <w:rPr>
                <w:rFonts w:ascii="Arial Narrow" w:hAnsi="Arial Narrow"/>
                <w:sz w:val="20"/>
              </w:rPr>
              <w:t>: $[Proposed fee] $690 as per current MRI plus extra imaging labour costs ($300) and consumables ($450) thus a total of $1440</w:t>
            </w:r>
          </w:p>
          <w:p w14:paraId="027CE311" w14:textId="77777777" w:rsidR="00E34267" w:rsidRPr="0092594B" w:rsidRDefault="00E34267" w:rsidP="00E34267">
            <w:pPr>
              <w:tabs>
                <w:tab w:val="left" w:pos="720"/>
                <w:tab w:val="left" w:pos="1140"/>
              </w:tabs>
              <w:spacing w:before="120"/>
              <w:rPr>
                <w:rFonts w:ascii="Arial Narrow" w:hAnsi="Arial Narrow"/>
                <w:sz w:val="20"/>
              </w:rPr>
            </w:pPr>
            <w:r w:rsidRPr="0092594B">
              <w:rPr>
                <w:rFonts w:ascii="Arial Narrow" w:hAnsi="Arial Narrow"/>
                <w:sz w:val="20"/>
              </w:rPr>
              <w:t>NOTE 1: This item is intended for biopsy of imaging abnormalities diagnosed on MRI scan described by item XXXXX</w:t>
            </w:r>
          </w:p>
        </w:tc>
      </w:tr>
    </w:tbl>
    <w:p w14:paraId="37449B21" w14:textId="77777777" w:rsidR="00E34267" w:rsidRPr="00E34267" w:rsidRDefault="00E34267" w:rsidP="00F345C2">
      <w:pPr>
        <w:tabs>
          <w:tab w:val="left" w:pos="720"/>
          <w:tab w:val="left" w:pos="1140"/>
        </w:tabs>
        <w:rPr>
          <w:szCs w:val="24"/>
        </w:rPr>
      </w:pPr>
    </w:p>
    <w:p w14:paraId="5E000A08" w14:textId="77777777" w:rsidR="00E34267" w:rsidRPr="00E34267" w:rsidRDefault="00E34267" w:rsidP="00F345C2">
      <w:pPr>
        <w:tabs>
          <w:tab w:val="left" w:pos="720"/>
          <w:tab w:val="left" w:pos="1140"/>
        </w:tabs>
        <w:rPr>
          <w:szCs w:val="24"/>
        </w:rPr>
      </w:pPr>
      <w:r w:rsidRPr="00E34267">
        <w:rPr>
          <w:szCs w:val="24"/>
        </w:rPr>
        <w:t xml:space="preserve">A radiographer with specialist training for set up and scanning would perform </w:t>
      </w:r>
      <w:r w:rsidR="00F345C2">
        <w:rPr>
          <w:szCs w:val="24"/>
        </w:rPr>
        <w:t>b</w:t>
      </w:r>
      <w:r w:rsidRPr="00E34267">
        <w:rPr>
          <w:szCs w:val="24"/>
        </w:rPr>
        <w:t xml:space="preserve">reast MRI. The supervising radiologist would have expertise in breast imaging and MRI interpretation. </w:t>
      </w:r>
    </w:p>
    <w:p w14:paraId="428DC9A5" w14:textId="77777777" w:rsidR="00BC1364" w:rsidRPr="00707064" w:rsidRDefault="00BC1364" w:rsidP="00AB3BFC">
      <w:pPr>
        <w:tabs>
          <w:tab w:val="left" w:pos="720"/>
          <w:tab w:val="left" w:pos="1140"/>
        </w:tabs>
        <w:rPr>
          <w:color w:val="0070C0"/>
          <w:szCs w:val="24"/>
        </w:rPr>
      </w:pPr>
    </w:p>
    <w:p w14:paraId="547D98A1" w14:textId="77777777" w:rsidR="00BC1364" w:rsidRPr="007B32D1" w:rsidRDefault="00BC1364" w:rsidP="00F345C2">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14:paraId="71554296" w14:textId="77777777" w:rsidR="00BC1364" w:rsidRDefault="00BC1364" w:rsidP="00F345C2">
      <w:pPr>
        <w:rPr>
          <w:b/>
          <w:szCs w:val="24"/>
        </w:rPr>
      </w:pPr>
    </w:p>
    <w:p w14:paraId="6EE8561F" w14:textId="77777777" w:rsidR="00E34267" w:rsidRPr="00E34267" w:rsidRDefault="00F345C2" w:rsidP="00F345C2">
      <w:pPr>
        <w:tabs>
          <w:tab w:val="left" w:pos="720"/>
          <w:tab w:val="left" w:pos="1140"/>
        </w:tabs>
        <w:rPr>
          <w:szCs w:val="24"/>
        </w:rPr>
      </w:pPr>
      <w:r>
        <w:rPr>
          <w:szCs w:val="24"/>
        </w:rPr>
        <w:t>F</w:t>
      </w:r>
      <w:r w:rsidR="00E34267" w:rsidRPr="00E34267">
        <w:rPr>
          <w:szCs w:val="24"/>
        </w:rPr>
        <w:t xml:space="preserve">eedback received during the public consultation phase included responses from two peak consumer organisations that </w:t>
      </w:r>
      <w:r>
        <w:rPr>
          <w:szCs w:val="24"/>
        </w:rPr>
        <w:t>were</w:t>
      </w:r>
      <w:r w:rsidRPr="00E34267">
        <w:rPr>
          <w:szCs w:val="24"/>
        </w:rPr>
        <w:t xml:space="preserve"> </w:t>
      </w:r>
      <w:r w:rsidR="00E34267" w:rsidRPr="00E34267">
        <w:rPr>
          <w:szCs w:val="24"/>
        </w:rPr>
        <w:t xml:space="preserve">strongly supportive of </w:t>
      </w:r>
      <w:r>
        <w:rPr>
          <w:szCs w:val="24"/>
        </w:rPr>
        <w:t>b</w:t>
      </w:r>
      <w:r w:rsidR="00E34267" w:rsidRPr="00E34267">
        <w:rPr>
          <w:szCs w:val="24"/>
        </w:rPr>
        <w:t>reast MRI as a more accurate and less invasive diagnostic tool.</w:t>
      </w:r>
    </w:p>
    <w:p w14:paraId="623CD72D" w14:textId="77777777" w:rsidR="00F345C2" w:rsidRDefault="00F345C2" w:rsidP="00F345C2">
      <w:pPr>
        <w:tabs>
          <w:tab w:val="left" w:pos="720"/>
          <w:tab w:val="left" w:pos="1140"/>
        </w:tabs>
        <w:rPr>
          <w:szCs w:val="24"/>
        </w:rPr>
      </w:pPr>
    </w:p>
    <w:p w14:paraId="5317B330" w14:textId="77777777" w:rsidR="00E34267" w:rsidRPr="00E34267" w:rsidRDefault="00E34267" w:rsidP="00F345C2">
      <w:pPr>
        <w:tabs>
          <w:tab w:val="left" w:pos="720"/>
          <w:tab w:val="left" w:pos="1140"/>
        </w:tabs>
        <w:rPr>
          <w:szCs w:val="24"/>
        </w:rPr>
      </w:pPr>
      <w:r w:rsidRPr="00E34267">
        <w:rPr>
          <w:szCs w:val="24"/>
        </w:rPr>
        <w:t xml:space="preserve">Consumers </w:t>
      </w:r>
      <w:r w:rsidR="00D66CDE">
        <w:rPr>
          <w:szCs w:val="24"/>
        </w:rPr>
        <w:t>were</w:t>
      </w:r>
      <w:r w:rsidR="00D66CDE" w:rsidRPr="00E34267">
        <w:rPr>
          <w:szCs w:val="24"/>
        </w:rPr>
        <w:t xml:space="preserve"> </w:t>
      </w:r>
      <w:r w:rsidRPr="00E34267">
        <w:rPr>
          <w:szCs w:val="24"/>
        </w:rPr>
        <w:t xml:space="preserve">seeking fair and equitable accessible for those </w:t>
      </w:r>
      <w:r w:rsidR="00D66CDE">
        <w:rPr>
          <w:szCs w:val="24"/>
        </w:rPr>
        <w:t xml:space="preserve">patients </w:t>
      </w:r>
      <w:r w:rsidRPr="00E34267">
        <w:rPr>
          <w:szCs w:val="24"/>
        </w:rPr>
        <w:t>who cannot afford the treatment and for patients in rural and remote areas. MRI is often proposed to patients as a treatment necessity by their specialists.</w:t>
      </w:r>
    </w:p>
    <w:p w14:paraId="338AAD90" w14:textId="4643EA29" w:rsidR="00E34267" w:rsidRPr="00E34267" w:rsidRDefault="00D31308" w:rsidP="00E34267">
      <w:pPr>
        <w:autoSpaceDE w:val="0"/>
        <w:autoSpaceDN w:val="0"/>
        <w:adjustRightInd w:val="0"/>
        <w:spacing w:before="240"/>
        <w:rPr>
          <w:rFonts w:eastAsia="Calibri"/>
          <w:szCs w:val="24"/>
          <w:lang w:eastAsia="en-US"/>
        </w:rPr>
      </w:pPr>
      <w:proofErr w:type="gramStart"/>
      <w:r>
        <w:rPr>
          <w:rFonts w:eastAsia="Calibri"/>
          <w:szCs w:val="24"/>
          <w:lang w:eastAsia="en-US"/>
        </w:rPr>
        <w:t>C</w:t>
      </w:r>
      <w:r w:rsidR="00E34267" w:rsidRPr="00E34267">
        <w:rPr>
          <w:rFonts w:eastAsia="Calibri"/>
          <w:szCs w:val="24"/>
          <w:lang w:eastAsia="en-US"/>
        </w:rPr>
        <w:t xml:space="preserve">onsultation feedback from </w:t>
      </w:r>
      <w:r w:rsidR="00F30882">
        <w:rPr>
          <w:rFonts w:eastAsia="Calibri"/>
          <w:szCs w:val="24"/>
          <w:lang w:eastAsia="en-US"/>
        </w:rPr>
        <w:t>a</w:t>
      </w:r>
      <w:r w:rsidR="00F30882" w:rsidRPr="00E34267">
        <w:rPr>
          <w:rFonts w:eastAsia="Calibri"/>
          <w:szCs w:val="24"/>
          <w:lang w:eastAsia="en-US"/>
        </w:rPr>
        <w:t xml:space="preserve"> </w:t>
      </w:r>
      <w:r w:rsidR="00E34267" w:rsidRPr="00E34267">
        <w:rPr>
          <w:rFonts w:eastAsia="Calibri"/>
          <w:szCs w:val="24"/>
          <w:lang w:eastAsia="en-US"/>
        </w:rPr>
        <w:t xml:space="preserve">professional </w:t>
      </w:r>
      <w:r>
        <w:rPr>
          <w:rFonts w:eastAsia="Calibri"/>
          <w:szCs w:val="24"/>
          <w:lang w:eastAsia="en-US"/>
        </w:rPr>
        <w:t xml:space="preserve">stated </w:t>
      </w:r>
      <w:r w:rsidR="00E34267" w:rsidRPr="00E34267">
        <w:rPr>
          <w:rFonts w:eastAsia="Calibri"/>
          <w:szCs w:val="24"/>
          <w:lang w:eastAsia="en-US"/>
        </w:rPr>
        <w:t>concern with risk of overuse of MRI in breast disease.</w:t>
      </w:r>
      <w:proofErr w:type="gramEnd"/>
    </w:p>
    <w:p w14:paraId="6A313B89" w14:textId="77777777" w:rsidR="00BC1364" w:rsidRPr="00707064" w:rsidRDefault="00BC1364" w:rsidP="00DD2858">
      <w:pPr>
        <w:rPr>
          <w:b/>
          <w:szCs w:val="24"/>
        </w:rPr>
      </w:pPr>
    </w:p>
    <w:p w14:paraId="7DC5E8E2" w14:textId="77777777" w:rsidR="00BC1364" w:rsidRDefault="00BC1364" w:rsidP="007B32D1">
      <w:pPr>
        <w:pStyle w:val="Heading1"/>
        <w:numPr>
          <w:ilvl w:val="0"/>
          <w:numId w:val="23"/>
        </w:numPr>
        <w:ind w:hanging="720"/>
      </w:pPr>
      <w:r w:rsidRPr="00D90A38">
        <w:t>Proposed intervention’s place in clinical management</w:t>
      </w:r>
    </w:p>
    <w:p w14:paraId="2C841872" w14:textId="77777777" w:rsidR="00BC1364" w:rsidRDefault="00BC1364" w:rsidP="00DD2858">
      <w:pPr>
        <w:rPr>
          <w:color w:val="3366FF"/>
          <w:szCs w:val="24"/>
        </w:rPr>
      </w:pPr>
    </w:p>
    <w:p w14:paraId="62AA8815" w14:textId="77777777" w:rsidR="00296FB0" w:rsidRPr="00EC2F4B" w:rsidRDefault="00296FB0" w:rsidP="00296FB0">
      <w:pPr>
        <w:jc w:val="both"/>
        <w:rPr>
          <w:rFonts w:eastAsia="SimSun"/>
          <w:szCs w:val="24"/>
          <w:lang w:eastAsia="zh-CN"/>
        </w:rPr>
      </w:pPr>
      <w:r w:rsidRPr="00EC2F4B">
        <w:rPr>
          <w:rFonts w:eastAsia="SimSun"/>
          <w:szCs w:val="24"/>
          <w:lang w:eastAsia="zh-CN"/>
        </w:rPr>
        <w:t>The use of breast MRI is proposed to offer improved local staging and/or early treatment monitoring and planning. The proposed indications are:</w:t>
      </w:r>
    </w:p>
    <w:p w14:paraId="43337016" w14:textId="77777777" w:rsidR="00296FB0" w:rsidRPr="00EC2F4B" w:rsidRDefault="00296FB0" w:rsidP="00296FB0">
      <w:pPr>
        <w:numPr>
          <w:ilvl w:val="0"/>
          <w:numId w:val="26"/>
        </w:numPr>
        <w:contextualSpacing/>
        <w:jc w:val="both"/>
        <w:rPr>
          <w:rFonts w:eastAsia="SimSun"/>
          <w:szCs w:val="24"/>
          <w:lang w:eastAsia="zh-CN"/>
        </w:rPr>
      </w:pPr>
      <w:r w:rsidRPr="00EC2F4B">
        <w:rPr>
          <w:rFonts w:eastAsia="SimSun"/>
          <w:szCs w:val="24"/>
          <w:lang w:eastAsia="zh-CN"/>
        </w:rPr>
        <w:lastRenderedPageBreak/>
        <w:t>women newly diagnosed with breast cancer and undergoing preoperative (neo-adjuvant) chemotherapy</w:t>
      </w:r>
    </w:p>
    <w:p w14:paraId="275FC965" w14:textId="77777777" w:rsidR="00296FB0" w:rsidRPr="00EC2F4B" w:rsidRDefault="00296FB0" w:rsidP="00296FB0">
      <w:pPr>
        <w:numPr>
          <w:ilvl w:val="0"/>
          <w:numId w:val="26"/>
        </w:numPr>
        <w:contextualSpacing/>
        <w:jc w:val="both"/>
        <w:rPr>
          <w:rFonts w:eastAsia="SimSun"/>
          <w:szCs w:val="24"/>
          <w:lang w:eastAsia="zh-CN"/>
        </w:rPr>
      </w:pPr>
      <w:r w:rsidRPr="00EC2F4B">
        <w:rPr>
          <w:rFonts w:eastAsia="SimSun"/>
          <w:szCs w:val="24"/>
          <w:lang w:eastAsia="zh-CN"/>
        </w:rPr>
        <w:t xml:space="preserve">women newly diagnosed with the lobular subtype of breast cancer </w:t>
      </w:r>
    </w:p>
    <w:p w14:paraId="20BDF385" w14:textId="77777777" w:rsidR="00296FB0" w:rsidRPr="00EC2F4B" w:rsidRDefault="00296FB0" w:rsidP="00296FB0">
      <w:pPr>
        <w:numPr>
          <w:ilvl w:val="0"/>
          <w:numId w:val="26"/>
        </w:numPr>
        <w:contextualSpacing/>
        <w:jc w:val="both"/>
        <w:rPr>
          <w:rFonts w:eastAsia="SimSun"/>
          <w:szCs w:val="24"/>
          <w:lang w:eastAsia="zh-CN"/>
        </w:rPr>
      </w:pPr>
      <w:r w:rsidRPr="00EC2F4B">
        <w:rPr>
          <w:rFonts w:eastAsia="SimSun"/>
          <w:szCs w:val="24"/>
          <w:lang w:eastAsia="zh-CN"/>
        </w:rPr>
        <w:t>women newly diagnosed with breast cancer who are</w:t>
      </w:r>
    </w:p>
    <w:p w14:paraId="32340843" w14:textId="77777777" w:rsidR="00296FB0" w:rsidRPr="00EC2F4B" w:rsidRDefault="00296FB0" w:rsidP="00296FB0">
      <w:pPr>
        <w:numPr>
          <w:ilvl w:val="1"/>
          <w:numId w:val="27"/>
        </w:numPr>
        <w:contextualSpacing/>
        <w:jc w:val="both"/>
        <w:rPr>
          <w:rFonts w:eastAsia="SimSun"/>
          <w:szCs w:val="24"/>
          <w:lang w:eastAsia="zh-CN"/>
        </w:rPr>
      </w:pPr>
      <w:r w:rsidRPr="00EC2F4B">
        <w:rPr>
          <w:rFonts w:eastAsia="SimSun"/>
          <w:szCs w:val="24"/>
          <w:lang w:eastAsia="zh-CN"/>
        </w:rPr>
        <w:t xml:space="preserve">aged &lt;50 years and/or </w:t>
      </w:r>
    </w:p>
    <w:p w14:paraId="112DCF1B" w14:textId="77777777" w:rsidR="00296FB0" w:rsidRPr="00EC2F4B" w:rsidRDefault="00296FB0" w:rsidP="00296FB0">
      <w:pPr>
        <w:numPr>
          <w:ilvl w:val="1"/>
          <w:numId w:val="27"/>
        </w:numPr>
        <w:contextualSpacing/>
        <w:jc w:val="both"/>
        <w:rPr>
          <w:rFonts w:eastAsia="SimSun"/>
          <w:szCs w:val="24"/>
          <w:lang w:eastAsia="zh-CN"/>
        </w:rPr>
      </w:pPr>
      <w:r w:rsidRPr="00EC2F4B">
        <w:rPr>
          <w:rFonts w:eastAsia="SimSun"/>
          <w:szCs w:val="24"/>
          <w:lang w:eastAsia="zh-CN"/>
        </w:rPr>
        <w:t>have very dense breasts which preclude mammographic assessment, and/or</w:t>
      </w:r>
    </w:p>
    <w:p w14:paraId="256EED57" w14:textId="77777777" w:rsidR="00296FB0" w:rsidRPr="00EC2F4B" w:rsidRDefault="00296FB0" w:rsidP="00296FB0">
      <w:pPr>
        <w:numPr>
          <w:ilvl w:val="1"/>
          <w:numId w:val="27"/>
        </w:numPr>
        <w:contextualSpacing/>
        <w:jc w:val="both"/>
        <w:rPr>
          <w:rFonts w:eastAsia="SimSun"/>
          <w:szCs w:val="24"/>
          <w:lang w:eastAsia="zh-CN"/>
        </w:rPr>
      </w:pPr>
      <w:r w:rsidRPr="00EC2F4B">
        <w:rPr>
          <w:rFonts w:eastAsia="SimSun"/>
          <w:szCs w:val="24"/>
          <w:lang w:eastAsia="zh-CN"/>
        </w:rPr>
        <w:t>have a significant size discrepancy (≥1 cm) between mammogram and ultrasound findings</w:t>
      </w:r>
    </w:p>
    <w:p w14:paraId="2B93F4BA" w14:textId="77777777" w:rsidR="00296FB0" w:rsidRPr="00EC2F4B" w:rsidRDefault="00296FB0" w:rsidP="00296FB0">
      <w:pPr>
        <w:numPr>
          <w:ilvl w:val="1"/>
          <w:numId w:val="27"/>
        </w:numPr>
        <w:contextualSpacing/>
        <w:jc w:val="both"/>
        <w:rPr>
          <w:rFonts w:eastAsia="SimSun"/>
          <w:szCs w:val="24"/>
          <w:lang w:eastAsia="zh-CN"/>
        </w:rPr>
      </w:pPr>
      <w:r w:rsidRPr="00EC2F4B">
        <w:rPr>
          <w:rFonts w:eastAsia="SimSun"/>
          <w:szCs w:val="24"/>
          <w:lang w:eastAsia="zh-CN"/>
        </w:rPr>
        <w:t xml:space="preserve">have suspicious/malignant calcifications which may underestimate the extent of ductal carcinoma in situ (DCIS) disease </w:t>
      </w:r>
    </w:p>
    <w:p w14:paraId="66206068" w14:textId="77777777" w:rsidR="00296FB0" w:rsidRPr="00EC2F4B" w:rsidRDefault="00296FB0" w:rsidP="00296FB0">
      <w:pPr>
        <w:numPr>
          <w:ilvl w:val="0"/>
          <w:numId w:val="26"/>
        </w:numPr>
        <w:contextualSpacing/>
        <w:jc w:val="both"/>
        <w:rPr>
          <w:rFonts w:eastAsia="SimSun"/>
          <w:szCs w:val="24"/>
          <w:lang w:eastAsia="zh-CN"/>
        </w:rPr>
      </w:pPr>
      <w:r w:rsidRPr="00EC2F4B">
        <w:rPr>
          <w:rFonts w:eastAsia="SimSun"/>
          <w:szCs w:val="24"/>
          <w:lang w:eastAsia="zh-CN"/>
        </w:rPr>
        <w:t xml:space="preserve">Women presenting with metastatic breast cancer in the lymph nodes where conventional imaging and examination fails to show the source of the tumour. </w:t>
      </w:r>
    </w:p>
    <w:p w14:paraId="031F51A6" w14:textId="77777777" w:rsidR="00296FB0" w:rsidRPr="00EC2F4B" w:rsidRDefault="00296FB0" w:rsidP="00296FB0">
      <w:pPr>
        <w:jc w:val="both"/>
        <w:rPr>
          <w:rFonts w:eastAsia="SimSun"/>
          <w:szCs w:val="24"/>
          <w:lang w:eastAsia="zh-CN"/>
        </w:rPr>
      </w:pPr>
    </w:p>
    <w:p w14:paraId="638BF4F1" w14:textId="77777777" w:rsidR="00296FB0" w:rsidRPr="00EC2F4B" w:rsidRDefault="00296FB0" w:rsidP="00296FB0">
      <w:pPr>
        <w:jc w:val="both"/>
        <w:rPr>
          <w:rFonts w:eastAsia="SimSun"/>
          <w:szCs w:val="24"/>
          <w:lang w:eastAsia="zh-CN"/>
        </w:rPr>
      </w:pPr>
      <w:r w:rsidRPr="00EC2F4B">
        <w:rPr>
          <w:rFonts w:eastAsia="SimSun"/>
          <w:szCs w:val="24"/>
          <w:lang w:eastAsia="zh-CN"/>
        </w:rPr>
        <w:t>The use of breast MRI is also proposed for:</w:t>
      </w:r>
    </w:p>
    <w:p w14:paraId="0B409EC4" w14:textId="77777777" w:rsidR="00296FB0" w:rsidRPr="00EC2F4B" w:rsidRDefault="00296FB0" w:rsidP="00296FB0">
      <w:pPr>
        <w:numPr>
          <w:ilvl w:val="0"/>
          <w:numId w:val="26"/>
        </w:numPr>
        <w:contextualSpacing/>
        <w:jc w:val="both"/>
        <w:rPr>
          <w:rFonts w:eastAsia="SimSun"/>
          <w:szCs w:val="24"/>
          <w:lang w:eastAsia="zh-CN"/>
        </w:rPr>
      </w:pPr>
      <w:r w:rsidRPr="00EC2F4B">
        <w:rPr>
          <w:rFonts w:eastAsia="SimSun"/>
          <w:szCs w:val="24"/>
          <w:lang w:eastAsia="zh-CN"/>
        </w:rPr>
        <w:t>MRI guided biopsy in patients with suspected breast cancer where the lesion is only identifiable by MRI</w:t>
      </w:r>
    </w:p>
    <w:p w14:paraId="49178E2F" w14:textId="77777777" w:rsidR="00296FB0" w:rsidRPr="00EC2F4B" w:rsidRDefault="00296FB0" w:rsidP="00296FB0">
      <w:pPr>
        <w:rPr>
          <w:rFonts w:eastAsia="SimSun"/>
          <w:lang w:eastAsia="zh-CN"/>
        </w:rPr>
      </w:pPr>
    </w:p>
    <w:p w14:paraId="27B677C5" w14:textId="77777777" w:rsidR="00296FB0" w:rsidRDefault="00296FB0" w:rsidP="00296FB0">
      <w:pPr>
        <w:rPr>
          <w:rFonts w:eastAsia="SimSun"/>
          <w:lang w:eastAsia="zh-CN"/>
        </w:rPr>
      </w:pPr>
      <w:r w:rsidRPr="00EC2F4B">
        <w:rPr>
          <w:rFonts w:eastAsia="SimSun"/>
          <w:lang w:eastAsia="zh-CN"/>
        </w:rPr>
        <w:t>Breast MRI is not currently listed on the MBS for these purposes and therefore, this application is for five new MBS items for women of any age who have been diagnosed with breast cancer.</w:t>
      </w:r>
    </w:p>
    <w:p w14:paraId="1E1D7A1D" w14:textId="77777777" w:rsidR="00296FB0" w:rsidRPr="00EC2F4B" w:rsidRDefault="00296FB0" w:rsidP="00296FB0">
      <w:pPr>
        <w:rPr>
          <w:rFonts w:eastAsia="SimSun"/>
          <w:lang w:eastAsia="zh-CN"/>
        </w:rPr>
      </w:pPr>
    </w:p>
    <w:p w14:paraId="6BE27131" w14:textId="77777777" w:rsidR="00296FB0" w:rsidRPr="00EC2F4B" w:rsidRDefault="00296FB0" w:rsidP="00296FB0">
      <w:r w:rsidRPr="00EC2F4B">
        <w:t>MRI uses a strong external magnetic field to produce images of biological tissues. The aim is to distinguish between normal, benign and malignant findings. Malignant lesions usually display an enhancement pattern, with rapid uptake and washout of a contrast agent. In benign masses, the uptake of contrast agent is usually slower and more prolonged. Some lesions have atypical or indeterminate findings.</w:t>
      </w:r>
    </w:p>
    <w:p w14:paraId="691D49A7" w14:textId="77777777" w:rsidR="00296FB0" w:rsidRPr="00EC2F4B" w:rsidRDefault="00296FB0" w:rsidP="00296FB0">
      <w:pPr>
        <w:rPr>
          <w:rFonts w:ascii="Arial" w:hAnsi="Arial" w:cs="Arial"/>
          <w:color w:val="3366FF"/>
          <w:szCs w:val="24"/>
        </w:rPr>
      </w:pPr>
    </w:p>
    <w:p w14:paraId="239F7864" w14:textId="77777777" w:rsidR="00296FB0" w:rsidRPr="00EC2F4B" w:rsidRDefault="00296FB0" w:rsidP="00296FB0">
      <w:r w:rsidRPr="00EC2F4B">
        <w:t xml:space="preserve">Breast MRI is currently reimbursed for surveillance in asymptomatic, high-risk women under the age of 50 and for women who have had an abnormality detected through that surveillance (MBS item numbers 63464, 63457, 63458 and 63467). </w:t>
      </w:r>
    </w:p>
    <w:p w14:paraId="37DA5D4F" w14:textId="77777777" w:rsidR="00296FB0" w:rsidRDefault="00296FB0" w:rsidP="00DD2858">
      <w:pPr>
        <w:rPr>
          <w:color w:val="3366FF"/>
          <w:szCs w:val="24"/>
        </w:rPr>
      </w:pPr>
    </w:p>
    <w:p w14:paraId="4F3A7664" w14:textId="77777777" w:rsidR="00E34267" w:rsidRPr="00E34267" w:rsidRDefault="00E34267" w:rsidP="00E34267">
      <w:pPr>
        <w:rPr>
          <w:u w:val="single"/>
        </w:rPr>
      </w:pPr>
      <w:bookmarkStart w:id="1" w:name="_Toc398192853"/>
      <w:bookmarkStart w:id="2" w:name="_Toc408487859"/>
      <w:r w:rsidRPr="00E34267">
        <w:rPr>
          <w:u w:val="single"/>
        </w:rPr>
        <w:t>Proposed clinical management algorithms</w:t>
      </w:r>
      <w:bookmarkEnd w:id="1"/>
      <w:bookmarkEnd w:id="2"/>
    </w:p>
    <w:p w14:paraId="10DCBA3D" w14:textId="5B1E1E13" w:rsidR="00C42B09" w:rsidRDefault="00E34267" w:rsidP="00E34267">
      <w:r w:rsidRPr="00E34267">
        <w:fldChar w:fldCharType="begin"/>
      </w:r>
      <w:r w:rsidRPr="00E34267">
        <w:instrText xml:space="preserve"> REF _Ref398734607 \h  \* MERGEFORMAT </w:instrText>
      </w:r>
      <w:r w:rsidRPr="00E34267">
        <w:fldChar w:fldCharType="separate"/>
      </w:r>
      <w:r w:rsidRPr="00E34267">
        <w:t xml:space="preserve">Figure </w:t>
      </w:r>
      <w:r w:rsidRPr="00E34267">
        <w:rPr>
          <w:noProof/>
        </w:rPr>
        <w:t>1</w:t>
      </w:r>
      <w:r w:rsidRPr="00E34267">
        <w:fldChar w:fldCharType="end"/>
      </w:r>
      <w:r w:rsidRPr="00E34267">
        <w:t xml:space="preserve"> to </w:t>
      </w:r>
      <w:r w:rsidRPr="00E34267">
        <w:fldChar w:fldCharType="begin"/>
      </w:r>
      <w:r w:rsidRPr="00E34267">
        <w:instrText xml:space="preserve"> REF _Ref398734624 \h  \* MERGEFORMAT </w:instrText>
      </w:r>
      <w:r w:rsidRPr="00E34267">
        <w:fldChar w:fldCharType="separate"/>
      </w:r>
      <w:r w:rsidRPr="00E34267">
        <w:t xml:space="preserve">Figure </w:t>
      </w:r>
      <w:r w:rsidRPr="00E34267">
        <w:rPr>
          <w:noProof/>
        </w:rPr>
        <w:t>5</w:t>
      </w:r>
      <w:r w:rsidRPr="00E34267">
        <w:fldChar w:fldCharType="end"/>
      </w:r>
      <w:r w:rsidRPr="00E34267">
        <w:t xml:space="preserve"> present the proposed clinical management algorithms for the five populations considered in this assessment. For women undergoing neoadjuvant chemotherapy, breast MRI is being assessed as a </w:t>
      </w:r>
      <w:r w:rsidRPr="00E34267">
        <w:rPr>
          <w:i/>
        </w:rPr>
        <w:t xml:space="preserve">replacement </w:t>
      </w:r>
      <w:r w:rsidRPr="00E34267">
        <w:t xml:space="preserve">test to mammography with or without (±) ultrasound. For women undergoing MRI for </w:t>
      </w:r>
      <w:proofErr w:type="spellStart"/>
      <w:r w:rsidRPr="00E34267">
        <w:t>pre</w:t>
      </w:r>
      <w:r w:rsidRPr="00E34267">
        <w:softHyphen/>
        <w:t>surgical</w:t>
      </w:r>
      <w:proofErr w:type="spellEnd"/>
      <w:r w:rsidRPr="00E34267">
        <w:t xml:space="preserve"> planning or for occult primary breast cancer, breast MRI is being assessed as an </w:t>
      </w:r>
      <w:r w:rsidRPr="00E34267">
        <w:rPr>
          <w:i/>
        </w:rPr>
        <w:t xml:space="preserve">additional </w:t>
      </w:r>
      <w:r w:rsidRPr="00E34267">
        <w:t>test to mammography with or without ultrasound.</w:t>
      </w:r>
    </w:p>
    <w:p w14:paraId="2D74ACF9" w14:textId="77777777" w:rsidR="00C42B09" w:rsidRDefault="00C42B09">
      <w:r>
        <w:br w:type="page"/>
      </w:r>
    </w:p>
    <w:p w14:paraId="2B7E42C8" w14:textId="77777777" w:rsidR="00E34267" w:rsidRPr="00E34267" w:rsidRDefault="00E34267" w:rsidP="00E34267">
      <w:pPr>
        <w:keepNext/>
        <w:tabs>
          <w:tab w:val="left" w:pos="1134"/>
        </w:tabs>
        <w:spacing w:before="40" w:after="40"/>
        <w:ind w:left="1134" w:hanging="1134"/>
        <w:rPr>
          <w:rFonts w:ascii="Arial" w:hAnsi="Arial" w:cs="Arial"/>
          <w:b/>
          <w:bCs/>
          <w:sz w:val="20"/>
        </w:rPr>
      </w:pPr>
      <w:bookmarkStart w:id="3" w:name="_Ref398734607"/>
      <w:bookmarkStart w:id="4" w:name="_Toc398192865"/>
      <w:bookmarkStart w:id="5" w:name="_Ref406145360"/>
      <w:bookmarkStart w:id="6" w:name="_Toc408488026"/>
      <w:r w:rsidRPr="00E34267">
        <w:rPr>
          <w:rFonts w:ascii="Arial" w:hAnsi="Arial" w:cs="Arial"/>
          <w:b/>
          <w:bCs/>
          <w:sz w:val="20"/>
        </w:rPr>
        <w:lastRenderedPageBreak/>
        <w:t xml:space="preserve">Figure </w:t>
      </w:r>
      <w:r w:rsidRPr="00E34267">
        <w:rPr>
          <w:rFonts w:ascii="Arial" w:hAnsi="Arial" w:cs="Arial"/>
          <w:b/>
          <w:bCs/>
          <w:sz w:val="20"/>
        </w:rPr>
        <w:fldChar w:fldCharType="begin"/>
      </w:r>
      <w:r w:rsidRPr="00E34267">
        <w:rPr>
          <w:rFonts w:ascii="Arial" w:hAnsi="Arial" w:cs="Arial"/>
          <w:b/>
          <w:bCs/>
          <w:sz w:val="20"/>
        </w:rPr>
        <w:instrText xml:space="preserve"> SEQ Figure \* ARABIC \s 1 </w:instrText>
      </w:r>
      <w:r w:rsidRPr="00E34267">
        <w:rPr>
          <w:rFonts w:ascii="Arial" w:hAnsi="Arial" w:cs="Arial"/>
          <w:b/>
          <w:bCs/>
          <w:sz w:val="20"/>
        </w:rPr>
        <w:fldChar w:fldCharType="separate"/>
      </w:r>
      <w:r w:rsidRPr="00E34267">
        <w:rPr>
          <w:rFonts w:ascii="Arial" w:hAnsi="Arial" w:cs="Arial"/>
          <w:b/>
          <w:bCs/>
          <w:noProof/>
          <w:sz w:val="20"/>
        </w:rPr>
        <w:t>1</w:t>
      </w:r>
      <w:r w:rsidRPr="00E34267">
        <w:rPr>
          <w:rFonts w:ascii="Arial" w:hAnsi="Arial" w:cs="Arial"/>
          <w:b/>
          <w:bCs/>
          <w:noProof/>
          <w:sz w:val="20"/>
        </w:rPr>
        <w:fldChar w:fldCharType="end"/>
      </w:r>
      <w:bookmarkEnd w:id="3"/>
      <w:r w:rsidRPr="00E34267">
        <w:rPr>
          <w:rFonts w:ascii="Arial" w:hAnsi="Arial" w:cs="Arial"/>
          <w:b/>
          <w:bCs/>
          <w:sz w:val="20"/>
        </w:rPr>
        <w:tab/>
        <w:t>Clinical management algorithm for population 1—women undergoing neoadjuvant chemotherapy</w:t>
      </w:r>
      <w:bookmarkEnd w:id="4"/>
      <w:bookmarkEnd w:id="5"/>
      <w:bookmarkEnd w:id="6"/>
    </w:p>
    <w:p w14:paraId="25D4B904" w14:textId="77777777" w:rsidR="00E34267" w:rsidRPr="00E34267" w:rsidRDefault="00E34267" w:rsidP="00E34267">
      <w:pPr>
        <w:spacing w:before="240"/>
      </w:pPr>
      <w:r w:rsidRPr="00E34267">
        <w:rPr>
          <w:noProof/>
        </w:rPr>
        <w:drawing>
          <wp:inline distT="0" distB="0" distL="0" distR="0" wp14:anchorId="7E356B35" wp14:editId="2F421BE0">
            <wp:extent cx="5724525" cy="5610225"/>
            <wp:effectExtent l="0" t="0" r="9525" b="9525"/>
            <wp:docPr id="1" name="Picture 1" descr="For population 1, breast MRI is proposed to replace mammography and/or ultrasound for the monitoring of response to neoadjuvant chemotherapy." title="Clinical management algorithm for population 1—women undergoing neoadjuvant chem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hm 1.tif"/>
                    <pic:cNvPicPr/>
                  </pic:nvPicPr>
                  <pic:blipFill>
                    <a:blip r:embed="rId11">
                      <a:extLst>
                        <a:ext uri="{28A0092B-C50C-407E-A947-70E740481C1C}">
                          <a14:useLocalDpi xmlns:a14="http://schemas.microsoft.com/office/drawing/2010/main" val="0"/>
                        </a:ext>
                      </a:extLst>
                    </a:blip>
                    <a:stretch>
                      <a:fillRect/>
                    </a:stretch>
                  </pic:blipFill>
                  <pic:spPr>
                    <a:xfrm>
                      <a:off x="0" y="0"/>
                      <a:ext cx="5731510" cy="5617071"/>
                    </a:xfrm>
                    <a:prstGeom prst="rect">
                      <a:avLst/>
                    </a:prstGeom>
                  </pic:spPr>
                </pic:pic>
              </a:graphicData>
            </a:graphic>
          </wp:inline>
        </w:drawing>
      </w:r>
    </w:p>
    <w:p w14:paraId="6CCA976E" w14:textId="77777777" w:rsidR="00E34267" w:rsidRPr="00E34267" w:rsidRDefault="00E34267" w:rsidP="00E34267">
      <w:pPr>
        <w:spacing w:after="360"/>
        <w:rPr>
          <w:rFonts w:ascii="Arial Narrow" w:hAnsi="Arial Narrow"/>
          <w:color w:val="000000"/>
          <w:sz w:val="18"/>
          <w:szCs w:val="18"/>
          <w:lang w:eastAsia="ja-JP"/>
        </w:rPr>
      </w:pPr>
      <w:r w:rsidRPr="00E34267">
        <w:rPr>
          <w:rFonts w:ascii="Arial Narrow" w:hAnsi="Arial Narrow"/>
          <w:color w:val="000000"/>
          <w:sz w:val="18"/>
          <w:szCs w:val="18"/>
        </w:rPr>
        <w:t xml:space="preserve">Abbreviations: </w:t>
      </w:r>
      <w:r w:rsidRPr="00E34267">
        <w:rPr>
          <w:rFonts w:ascii="Arial Narrow" w:eastAsia="SimSun" w:hAnsi="Arial Narrow"/>
          <w:color w:val="000000"/>
          <w:sz w:val="20"/>
        </w:rPr>
        <w:t>±</w:t>
      </w:r>
      <w:r w:rsidRPr="00E34267">
        <w:rPr>
          <w:rFonts w:ascii="Arial Narrow" w:eastAsia="SimSun" w:hAnsi="Arial Narrow"/>
          <w:color w:val="000000"/>
          <w:sz w:val="18"/>
        </w:rPr>
        <w:t xml:space="preserve"> = with or without;</w:t>
      </w:r>
      <w:r w:rsidRPr="00E34267">
        <w:rPr>
          <w:rFonts w:ascii="Arial Narrow" w:hAnsi="Arial Narrow"/>
          <w:color w:val="000000"/>
          <w:sz w:val="18"/>
          <w:szCs w:val="18"/>
        </w:rPr>
        <w:t xml:space="preserve"> BCS = breast-conserving surgery; FNAC = fine needle aspiration cytology; GP = general practitioner; RT = radiotherapy; MRI = magnetic resonance imaging</w:t>
      </w:r>
    </w:p>
    <w:p w14:paraId="33205404" w14:textId="77777777" w:rsidR="00E34267" w:rsidRPr="00E34267" w:rsidRDefault="00E34267" w:rsidP="00E34267">
      <w:pPr>
        <w:rPr>
          <w:lang w:eastAsia="ja-JP"/>
        </w:rPr>
      </w:pPr>
      <w:r w:rsidRPr="00E34267">
        <w:rPr>
          <w:lang w:eastAsia="ja-JP"/>
        </w:rPr>
        <w:t xml:space="preserve">For population 1, breast MRI is proposed </w:t>
      </w:r>
      <w:r w:rsidRPr="00E34267">
        <w:rPr>
          <w:i/>
          <w:lang w:eastAsia="ja-JP"/>
        </w:rPr>
        <w:t>to replace</w:t>
      </w:r>
      <w:r w:rsidRPr="00E34267">
        <w:rPr>
          <w:lang w:eastAsia="ja-JP"/>
        </w:rPr>
        <w:t xml:space="preserve"> mammography and/or ultrasound for the monitoring of response to neoadjuvant chemotherapy.</w:t>
      </w:r>
    </w:p>
    <w:p w14:paraId="7A43FD6F" w14:textId="77777777" w:rsidR="00E34267" w:rsidRPr="00E34267" w:rsidRDefault="00E34267" w:rsidP="00E34267">
      <w:pPr>
        <w:keepNext/>
        <w:tabs>
          <w:tab w:val="left" w:pos="1134"/>
        </w:tabs>
        <w:spacing w:before="40" w:after="40"/>
        <w:ind w:left="1134" w:hanging="1134"/>
        <w:rPr>
          <w:rFonts w:ascii="Arial" w:hAnsi="Arial" w:cs="Arial"/>
          <w:b/>
          <w:bCs/>
          <w:sz w:val="20"/>
        </w:rPr>
      </w:pPr>
      <w:bookmarkStart w:id="7" w:name="_Ref406145421"/>
      <w:bookmarkStart w:id="8" w:name="_Toc398192866"/>
      <w:bookmarkStart w:id="9" w:name="_Toc408488027"/>
      <w:r w:rsidRPr="00E34267">
        <w:rPr>
          <w:rFonts w:ascii="Arial" w:hAnsi="Arial" w:cs="Arial"/>
          <w:b/>
          <w:bCs/>
          <w:sz w:val="20"/>
        </w:rPr>
        <w:lastRenderedPageBreak/>
        <w:t xml:space="preserve">Figure </w:t>
      </w:r>
      <w:r w:rsidRPr="00E34267">
        <w:rPr>
          <w:rFonts w:ascii="Arial" w:hAnsi="Arial" w:cs="Arial"/>
          <w:b/>
          <w:bCs/>
          <w:sz w:val="20"/>
        </w:rPr>
        <w:fldChar w:fldCharType="begin"/>
      </w:r>
      <w:r w:rsidRPr="00E34267">
        <w:rPr>
          <w:rFonts w:ascii="Arial" w:hAnsi="Arial" w:cs="Arial"/>
          <w:b/>
          <w:bCs/>
          <w:sz w:val="20"/>
        </w:rPr>
        <w:instrText xml:space="preserve"> SEQ Figure \* ARABIC \s 1 </w:instrText>
      </w:r>
      <w:r w:rsidRPr="00E34267">
        <w:rPr>
          <w:rFonts w:ascii="Arial" w:hAnsi="Arial" w:cs="Arial"/>
          <w:b/>
          <w:bCs/>
          <w:sz w:val="20"/>
        </w:rPr>
        <w:fldChar w:fldCharType="separate"/>
      </w:r>
      <w:proofErr w:type="gramStart"/>
      <w:r w:rsidRPr="00E34267">
        <w:rPr>
          <w:rFonts w:ascii="Arial" w:hAnsi="Arial" w:cs="Arial"/>
          <w:b/>
          <w:bCs/>
          <w:noProof/>
          <w:sz w:val="20"/>
        </w:rPr>
        <w:t>2</w:t>
      </w:r>
      <w:r w:rsidRPr="00E34267">
        <w:rPr>
          <w:rFonts w:ascii="Arial" w:hAnsi="Arial" w:cs="Arial"/>
          <w:b/>
          <w:bCs/>
          <w:noProof/>
          <w:sz w:val="20"/>
        </w:rPr>
        <w:fldChar w:fldCharType="end"/>
      </w:r>
      <w:bookmarkEnd w:id="7"/>
      <w:r w:rsidRPr="00E34267">
        <w:rPr>
          <w:rFonts w:ascii="Arial" w:hAnsi="Arial" w:cs="Arial"/>
          <w:b/>
          <w:bCs/>
          <w:sz w:val="20"/>
        </w:rPr>
        <w:tab/>
        <w:t>Clinical management algorithm</w:t>
      </w:r>
      <w:proofErr w:type="gramEnd"/>
      <w:r w:rsidRPr="00E34267">
        <w:rPr>
          <w:rFonts w:ascii="Arial" w:hAnsi="Arial" w:cs="Arial"/>
          <w:b/>
          <w:bCs/>
          <w:sz w:val="20"/>
        </w:rPr>
        <w:t xml:space="preserve"> for population 2—women diagnosed with invasive lobular breast cancer</w:t>
      </w:r>
      <w:bookmarkEnd w:id="8"/>
      <w:bookmarkEnd w:id="9"/>
    </w:p>
    <w:p w14:paraId="1D5E7F51" w14:textId="77777777" w:rsidR="00E34267" w:rsidRPr="00E34267" w:rsidRDefault="00E34267" w:rsidP="00E34267">
      <w:pPr>
        <w:spacing w:before="240"/>
      </w:pPr>
      <w:r w:rsidRPr="00E34267">
        <w:rPr>
          <w:noProof/>
        </w:rPr>
        <w:drawing>
          <wp:inline distT="0" distB="0" distL="0" distR="0" wp14:anchorId="6A338D0A" wp14:editId="6A0E0158">
            <wp:extent cx="5731510" cy="5472430"/>
            <wp:effectExtent l="0" t="0" r="2540" b="0"/>
            <wp:docPr id="3" name="Picture 3" descr="For population 2, women diagnosed with invasive lobular breast cancer, breast MRI is proposed to be used in addition to mammography and ultrasound in the initial staging of the breast cancer." title="Clinical management algorithm for population 2—women diagnosed with invasive lobular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hm 2.tif"/>
                    <pic:cNvPicPr/>
                  </pic:nvPicPr>
                  <pic:blipFill>
                    <a:blip r:embed="rId12">
                      <a:extLst>
                        <a:ext uri="{28A0092B-C50C-407E-A947-70E740481C1C}">
                          <a14:useLocalDpi xmlns:a14="http://schemas.microsoft.com/office/drawing/2010/main" val="0"/>
                        </a:ext>
                      </a:extLst>
                    </a:blip>
                    <a:stretch>
                      <a:fillRect/>
                    </a:stretch>
                  </pic:blipFill>
                  <pic:spPr>
                    <a:xfrm>
                      <a:off x="0" y="0"/>
                      <a:ext cx="5731510" cy="5472430"/>
                    </a:xfrm>
                    <a:prstGeom prst="rect">
                      <a:avLst/>
                    </a:prstGeom>
                  </pic:spPr>
                </pic:pic>
              </a:graphicData>
            </a:graphic>
          </wp:inline>
        </w:drawing>
      </w:r>
    </w:p>
    <w:p w14:paraId="4D4700CB" w14:textId="77777777" w:rsidR="00E34267" w:rsidRPr="00E34267" w:rsidRDefault="00E34267" w:rsidP="00E34267">
      <w:pPr>
        <w:spacing w:after="360"/>
        <w:rPr>
          <w:rFonts w:ascii="Arial Narrow" w:hAnsi="Arial Narrow"/>
          <w:color w:val="000000"/>
          <w:sz w:val="18"/>
          <w:szCs w:val="18"/>
          <w:lang w:eastAsia="ja-JP"/>
        </w:rPr>
      </w:pPr>
      <w:r w:rsidRPr="00E34267">
        <w:rPr>
          <w:rFonts w:ascii="Arial Narrow" w:hAnsi="Arial Narrow"/>
          <w:color w:val="000000"/>
          <w:sz w:val="18"/>
          <w:szCs w:val="18"/>
        </w:rPr>
        <w:t xml:space="preserve">Abbreviations: </w:t>
      </w:r>
      <w:r w:rsidRPr="00E34267">
        <w:rPr>
          <w:rFonts w:ascii="Arial Narrow" w:eastAsia="SimSun" w:hAnsi="Arial Narrow"/>
          <w:color w:val="000000"/>
          <w:sz w:val="20"/>
        </w:rPr>
        <w:t>±</w:t>
      </w:r>
      <w:r w:rsidRPr="00E34267">
        <w:rPr>
          <w:rFonts w:ascii="Arial Narrow" w:eastAsia="SimSun" w:hAnsi="Arial Narrow"/>
          <w:color w:val="000000"/>
          <w:sz w:val="18"/>
        </w:rPr>
        <w:t xml:space="preserve"> = with or without; </w:t>
      </w:r>
      <w:r w:rsidRPr="00E34267">
        <w:rPr>
          <w:rFonts w:ascii="Arial Narrow" w:hAnsi="Arial Narrow"/>
          <w:color w:val="000000"/>
          <w:sz w:val="18"/>
          <w:szCs w:val="18"/>
        </w:rPr>
        <w:t>BCS = breast-conserving surgery; FNAC = fine needle aspiration cytology; GP = general practitioner; RT = radiotherapy; MRI = magnetic resonance imaging</w:t>
      </w:r>
    </w:p>
    <w:p w14:paraId="37F658B1" w14:textId="77777777" w:rsidR="00E34267" w:rsidRPr="00E34267" w:rsidRDefault="00E34267" w:rsidP="00E34267">
      <w:r w:rsidRPr="00E34267">
        <w:t xml:space="preserve">For population 2, women diagnosed with invasive lobular breast cancer, breast MRI is proposed to be used </w:t>
      </w:r>
      <w:r w:rsidRPr="00E34267">
        <w:rPr>
          <w:i/>
        </w:rPr>
        <w:t>in addition</w:t>
      </w:r>
      <w:r w:rsidRPr="00E34267">
        <w:t xml:space="preserve"> to mammography and ultrasound in the initial staging of the breast cancer.</w:t>
      </w:r>
    </w:p>
    <w:p w14:paraId="00B55C31" w14:textId="77777777" w:rsidR="00E34267" w:rsidRPr="00E34267" w:rsidRDefault="00E34267" w:rsidP="00E34267">
      <w:pPr>
        <w:keepNext/>
        <w:tabs>
          <w:tab w:val="left" w:pos="1134"/>
        </w:tabs>
        <w:spacing w:before="40" w:after="40"/>
        <w:ind w:left="1134" w:hanging="1134"/>
        <w:rPr>
          <w:rFonts w:ascii="Arial" w:hAnsi="Arial" w:cs="Arial"/>
          <w:b/>
          <w:bCs/>
          <w:sz w:val="20"/>
        </w:rPr>
      </w:pPr>
      <w:bookmarkStart w:id="10" w:name="_Ref402357793"/>
      <w:bookmarkStart w:id="11" w:name="_Toc398192867"/>
      <w:bookmarkStart w:id="12" w:name="_Toc408488028"/>
      <w:r w:rsidRPr="00E34267">
        <w:rPr>
          <w:rFonts w:ascii="Arial" w:hAnsi="Arial" w:cs="Arial"/>
          <w:b/>
          <w:bCs/>
          <w:sz w:val="20"/>
        </w:rPr>
        <w:lastRenderedPageBreak/>
        <w:t xml:space="preserve">Figure </w:t>
      </w:r>
      <w:r w:rsidRPr="00E34267">
        <w:rPr>
          <w:rFonts w:ascii="Arial" w:hAnsi="Arial" w:cs="Arial"/>
          <w:b/>
          <w:bCs/>
          <w:sz w:val="20"/>
        </w:rPr>
        <w:fldChar w:fldCharType="begin"/>
      </w:r>
      <w:r w:rsidRPr="00E34267">
        <w:rPr>
          <w:rFonts w:ascii="Arial" w:hAnsi="Arial" w:cs="Arial"/>
          <w:b/>
          <w:bCs/>
          <w:sz w:val="20"/>
        </w:rPr>
        <w:instrText xml:space="preserve"> SEQ Figure \* ARABIC \s 1 </w:instrText>
      </w:r>
      <w:r w:rsidRPr="00E34267">
        <w:rPr>
          <w:rFonts w:ascii="Arial" w:hAnsi="Arial" w:cs="Arial"/>
          <w:b/>
          <w:bCs/>
          <w:sz w:val="20"/>
        </w:rPr>
        <w:fldChar w:fldCharType="separate"/>
      </w:r>
      <w:proofErr w:type="gramStart"/>
      <w:r w:rsidRPr="00E34267">
        <w:rPr>
          <w:rFonts w:ascii="Arial" w:hAnsi="Arial" w:cs="Arial"/>
          <w:b/>
          <w:bCs/>
          <w:noProof/>
          <w:sz w:val="20"/>
        </w:rPr>
        <w:t>3</w:t>
      </w:r>
      <w:r w:rsidRPr="00E34267">
        <w:rPr>
          <w:rFonts w:ascii="Arial" w:hAnsi="Arial" w:cs="Arial"/>
          <w:b/>
          <w:bCs/>
          <w:noProof/>
          <w:sz w:val="20"/>
        </w:rPr>
        <w:fldChar w:fldCharType="end"/>
      </w:r>
      <w:bookmarkEnd w:id="10"/>
      <w:r w:rsidRPr="00E34267">
        <w:rPr>
          <w:rFonts w:ascii="Arial" w:hAnsi="Arial" w:cs="Arial"/>
          <w:b/>
          <w:bCs/>
          <w:sz w:val="20"/>
        </w:rPr>
        <w:tab/>
        <w:t>Clinical management algorithm</w:t>
      </w:r>
      <w:proofErr w:type="gramEnd"/>
      <w:r w:rsidRPr="00E34267">
        <w:rPr>
          <w:rFonts w:ascii="Arial" w:hAnsi="Arial" w:cs="Arial"/>
          <w:b/>
          <w:bCs/>
          <w:sz w:val="20"/>
        </w:rPr>
        <w:t xml:space="preserve"> for population 3—women diagnosed with invasive breast cancer who are either aged ≤50 years and/or have extremely dense breasts and/or have a discrepancy between imaging findings and/or have suspicious/malignant calcifications</w:t>
      </w:r>
      <w:bookmarkEnd w:id="11"/>
      <w:bookmarkEnd w:id="12"/>
    </w:p>
    <w:p w14:paraId="489E67C4" w14:textId="77777777" w:rsidR="00E34267" w:rsidRPr="00E34267" w:rsidRDefault="00E34267" w:rsidP="00E34267">
      <w:pPr>
        <w:spacing w:before="240"/>
      </w:pPr>
      <w:r w:rsidRPr="00E34267">
        <w:rPr>
          <w:noProof/>
        </w:rPr>
        <w:drawing>
          <wp:inline distT="0" distB="0" distL="0" distR="0" wp14:anchorId="389BF569" wp14:editId="77198DC8">
            <wp:extent cx="5731510" cy="5472430"/>
            <wp:effectExtent l="0" t="0" r="2540" b="0"/>
            <wp:docPr id="4" name="Picture 4" descr="For population 4, women presenting with metastatic cancer in the lymph nodes where conventional imaging fails to identify the primary tumour, breast MRI is proposed to be used in addition to mammography and ultrasound." title="Clinical management algorithm for population 3—women diagnosed with invasive breast cancer who are either aged &lt;50 years and/or have extremely dense breasts and/or have a discrepancy between imaging findings and/or have suspicious/malignant cal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hm 3.tif"/>
                    <pic:cNvPicPr/>
                  </pic:nvPicPr>
                  <pic:blipFill>
                    <a:blip r:embed="rId13">
                      <a:extLst>
                        <a:ext uri="{28A0092B-C50C-407E-A947-70E740481C1C}">
                          <a14:useLocalDpi xmlns:a14="http://schemas.microsoft.com/office/drawing/2010/main" val="0"/>
                        </a:ext>
                      </a:extLst>
                    </a:blip>
                    <a:stretch>
                      <a:fillRect/>
                    </a:stretch>
                  </pic:blipFill>
                  <pic:spPr>
                    <a:xfrm>
                      <a:off x="0" y="0"/>
                      <a:ext cx="5731510" cy="5472430"/>
                    </a:xfrm>
                    <a:prstGeom prst="rect">
                      <a:avLst/>
                    </a:prstGeom>
                  </pic:spPr>
                </pic:pic>
              </a:graphicData>
            </a:graphic>
          </wp:inline>
        </w:drawing>
      </w:r>
    </w:p>
    <w:p w14:paraId="7FFFAB3C" w14:textId="77777777" w:rsidR="00E34267" w:rsidRPr="00E34267" w:rsidRDefault="00E34267" w:rsidP="00E34267">
      <w:pPr>
        <w:spacing w:after="360"/>
        <w:rPr>
          <w:rFonts w:ascii="Arial Narrow" w:hAnsi="Arial Narrow"/>
          <w:color w:val="000000"/>
          <w:sz w:val="18"/>
          <w:szCs w:val="18"/>
          <w:lang w:eastAsia="ja-JP"/>
        </w:rPr>
      </w:pPr>
      <w:r w:rsidRPr="00E34267">
        <w:rPr>
          <w:rFonts w:ascii="Arial Narrow" w:hAnsi="Arial Narrow"/>
          <w:color w:val="000000"/>
          <w:sz w:val="18"/>
          <w:szCs w:val="18"/>
        </w:rPr>
        <w:t xml:space="preserve">Abbreviations: </w:t>
      </w:r>
      <w:r w:rsidRPr="00E34267">
        <w:rPr>
          <w:rFonts w:ascii="Arial Narrow" w:eastAsia="SimSun" w:hAnsi="Arial Narrow"/>
          <w:color w:val="000000"/>
          <w:sz w:val="20"/>
        </w:rPr>
        <w:t>±</w:t>
      </w:r>
      <w:r w:rsidRPr="00E34267">
        <w:rPr>
          <w:rFonts w:ascii="Arial Narrow" w:eastAsia="SimSun" w:hAnsi="Arial Narrow"/>
          <w:color w:val="000000"/>
          <w:sz w:val="18"/>
        </w:rPr>
        <w:t xml:space="preserve"> = and/or; </w:t>
      </w:r>
      <w:r w:rsidRPr="00E34267">
        <w:rPr>
          <w:rFonts w:ascii="Arial Narrow" w:hAnsi="Arial Narrow"/>
          <w:color w:val="000000"/>
          <w:sz w:val="18"/>
          <w:szCs w:val="18"/>
        </w:rPr>
        <w:t>BCS = breast-conserving surgery; FNAC = fine needle aspiration cytology; GP = general practitioner; RT = radiotherapy; MRI = magnetic resonance imaging</w:t>
      </w:r>
    </w:p>
    <w:p w14:paraId="0E590AB8" w14:textId="77777777" w:rsidR="00E34267" w:rsidRPr="00E34267" w:rsidRDefault="00E34267" w:rsidP="00E34267">
      <w:r w:rsidRPr="00E34267">
        <w:t xml:space="preserve">For population 3, women diagnosed with invasive breast cancer </w:t>
      </w:r>
      <w:proofErr w:type="gramStart"/>
      <w:r w:rsidRPr="00E34267">
        <w:t>who</w:t>
      </w:r>
      <w:proofErr w:type="gramEnd"/>
      <w:r w:rsidRPr="00E34267">
        <w:t xml:space="preserve"> are either aged ≤50 years and/or have extremely dense breasts and/or have a discrepancy between imaging findings, breast MRI is proposed to be used </w:t>
      </w:r>
      <w:r w:rsidRPr="00E34267">
        <w:rPr>
          <w:i/>
        </w:rPr>
        <w:t>in addition</w:t>
      </w:r>
      <w:r w:rsidRPr="00E34267">
        <w:t xml:space="preserve"> to mammography and ultrasound in the initial staging of the breast cancer.</w:t>
      </w:r>
    </w:p>
    <w:p w14:paraId="08FCFA4E" w14:textId="77777777" w:rsidR="00E34267" w:rsidRPr="00E34267" w:rsidRDefault="00E34267" w:rsidP="00E34267">
      <w:pPr>
        <w:keepNext/>
        <w:tabs>
          <w:tab w:val="left" w:pos="1134"/>
        </w:tabs>
        <w:spacing w:before="40" w:after="40"/>
        <w:ind w:left="1134" w:hanging="1134"/>
        <w:rPr>
          <w:rFonts w:ascii="Arial" w:hAnsi="Arial" w:cs="Arial"/>
          <w:b/>
          <w:bCs/>
          <w:sz w:val="20"/>
        </w:rPr>
      </w:pPr>
      <w:bookmarkStart w:id="13" w:name="_Ref406145509"/>
      <w:bookmarkStart w:id="14" w:name="_Toc398192868"/>
      <w:bookmarkStart w:id="15" w:name="_Toc408488029"/>
      <w:r w:rsidRPr="00E34267">
        <w:rPr>
          <w:rFonts w:ascii="Arial" w:hAnsi="Arial" w:cs="Arial"/>
          <w:b/>
          <w:bCs/>
          <w:sz w:val="20"/>
        </w:rPr>
        <w:lastRenderedPageBreak/>
        <w:t xml:space="preserve">Figure </w:t>
      </w:r>
      <w:r w:rsidRPr="00E34267">
        <w:rPr>
          <w:rFonts w:ascii="Arial" w:hAnsi="Arial" w:cs="Arial"/>
          <w:b/>
          <w:bCs/>
          <w:sz w:val="20"/>
        </w:rPr>
        <w:fldChar w:fldCharType="begin"/>
      </w:r>
      <w:r w:rsidRPr="00E34267">
        <w:rPr>
          <w:rFonts w:ascii="Arial" w:hAnsi="Arial" w:cs="Arial"/>
          <w:b/>
          <w:bCs/>
          <w:sz w:val="20"/>
        </w:rPr>
        <w:instrText xml:space="preserve"> SEQ Figure \* ARABIC \s 1 </w:instrText>
      </w:r>
      <w:r w:rsidRPr="00E34267">
        <w:rPr>
          <w:rFonts w:ascii="Arial" w:hAnsi="Arial" w:cs="Arial"/>
          <w:b/>
          <w:bCs/>
          <w:sz w:val="20"/>
        </w:rPr>
        <w:fldChar w:fldCharType="separate"/>
      </w:r>
      <w:proofErr w:type="gramStart"/>
      <w:r w:rsidRPr="00E34267">
        <w:rPr>
          <w:rFonts w:ascii="Arial" w:hAnsi="Arial" w:cs="Arial"/>
          <w:b/>
          <w:bCs/>
          <w:noProof/>
          <w:sz w:val="20"/>
        </w:rPr>
        <w:t>4</w:t>
      </w:r>
      <w:r w:rsidRPr="00E34267">
        <w:rPr>
          <w:rFonts w:ascii="Arial" w:hAnsi="Arial" w:cs="Arial"/>
          <w:b/>
          <w:bCs/>
          <w:noProof/>
          <w:sz w:val="20"/>
        </w:rPr>
        <w:fldChar w:fldCharType="end"/>
      </w:r>
      <w:bookmarkEnd w:id="13"/>
      <w:r w:rsidRPr="00E34267">
        <w:rPr>
          <w:rFonts w:ascii="Arial" w:hAnsi="Arial" w:cs="Arial"/>
          <w:b/>
          <w:bCs/>
          <w:sz w:val="20"/>
        </w:rPr>
        <w:tab/>
        <w:t>Clinical management algorithm</w:t>
      </w:r>
      <w:proofErr w:type="gramEnd"/>
      <w:r w:rsidRPr="00E34267">
        <w:rPr>
          <w:rFonts w:ascii="Arial" w:hAnsi="Arial" w:cs="Arial"/>
          <w:b/>
          <w:bCs/>
          <w:sz w:val="20"/>
        </w:rPr>
        <w:t xml:space="preserve"> for population 4—women presenting with metastatic cancer in the lymph nodes and conventional imaging fails to identify the primary tumour</w:t>
      </w:r>
      <w:bookmarkEnd w:id="14"/>
      <w:bookmarkEnd w:id="15"/>
    </w:p>
    <w:p w14:paraId="6C1B446C" w14:textId="77777777" w:rsidR="00E34267" w:rsidRPr="00E34267" w:rsidRDefault="00E34267" w:rsidP="00E34267">
      <w:pPr>
        <w:spacing w:before="240"/>
      </w:pPr>
      <w:r w:rsidRPr="00E34267">
        <w:rPr>
          <w:noProof/>
        </w:rPr>
        <w:drawing>
          <wp:inline distT="0" distB="0" distL="0" distR="0" wp14:anchorId="119D0F07" wp14:editId="559D7FB9">
            <wp:extent cx="5731510" cy="7022465"/>
            <wp:effectExtent l="0" t="0" r="2540" b="6985"/>
            <wp:docPr id="5" name="Picture 5" descr="For population 4, women presenting with metastatic cancer in the lymph nodes where conventional imaging fails to identify the primary tumour, breast MRI is proposed to be used in addition to mammography and ultrasound." title="Clinical management algorithm for population 4—women presenting with metastatic cancer in the lymph nodes and conventional imaging fails to identify the primary tum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hm 4.tif"/>
                    <pic:cNvPicPr/>
                  </pic:nvPicPr>
                  <pic:blipFill>
                    <a:blip r:embed="rId14">
                      <a:extLst>
                        <a:ext uri="{28A0092B-C50C-407E-A947-70E740481C1C}">
                          <a14:useLocalDpi xmlns:a14="http://schemas.microsoft.com/office/drawing/2010/main" val="0"/>
                        </a:ext>
                      </a:extLst>
                    </a:blip>
                    <a:stretch>
                      <a:fillRect/>
                    </a:stretch>
                  </pic:blipFill>
                  <pic:spPr>
                    <a:xfrm>
                      <a:off x="0" y="0"/>
                      <a:ext cx="5731510" cy="7022465"/>
                    </a:xfrm>
                    <a:prstGeom prst="rect">
                      <a:avLst/>
                    </a:prstGeom>
                  </pic:spPr>
                </pic:pic>
              </a:graphicData>
            </a:graphic>
          </wp:inline>
        </w:drawing>
      </w:r>
    </w:p>
    <w:p w14:paraId="6D1CC503" w14:textId="77777777" w:rsidR="00E34267" w:rsidRPr="00E34267" w:rsidRDefault="00E34267" w:rsidP="00E34267">
      <w:pPr>
        <w:spacing w:after="360"/>
        <w:rPr>
          <w:rFonts w:ascii="Arial Narrow" w:hAnsi="Arial Narrow"/>
          <w:color w:val="000000"/>
          <w:sz w:val="18"/>
          <w:szCs w:val="18"/>
          <w:lang w:eastAsia="ja-JP"/>
        </w:rPr>
      </w:pPr>
      <w:r w:rsidRPr="00E34267">
        <w:rPr>
          <w:rFonts w:ascii="Arial Narrow" w:hAnsi="Arial Narrow"/>
          <w:color w:val="000000"/>
          <w:sz w:val="18"/>
          <w:szCs w:val="18"/>
        </w:rPr>
        <w:t>Abbreviations: BCS = breast-conserving surgery; FNA = fine needle aspiration; GP = general practitioner; RT </w:t>
      </w:r>
      <w:proofErr w:type="gramStart"/>
      <w:r w:rsidRPr="00E34267">
        <w:rPr>
          <w:rFonts w:ascii="Arial Narrow" w:hAnsi="Arial Narrow"/>
          <w:color w:val="000000"/>
          <w:sz w:val="18"/>
          <w:szCs w:val="18"/>
        </w:rPr>
        <w:t>= ;</w:t>
      </w:r>
      <w:proofErr w:type="gramEnd"/>
      <w:r w:rsidRPr="00E34267">
        <w:rPr>
          <w:rFonts w:ascii="Arial Narrow" w:hAnsi="Arial Narrow"/>
          <w:color w:val="000000"/>
          <w:sz w:val="18"/>
          <w:szCs w:val="18"/>
        </w:rPr>
        <w:t xml:space="preserve"> MRI = magnetic resonance imaging</w:t>
      </w:r>
    </w:p>
    <w:p w14:paraId="03BF05F2" w14:textId="77777777" w:rsidR="00E34267" w:rsidRPr="00E34267" w:rsidRDefault="00E34267" w:rsidP="00E34267">
      <w:r w:rsidRPr="00E34267">
        <w:t xml:space="preserve">For population 4, women presenting with metastatic cancer in the lymph nodes where conventional imaging fails to identify the primary tumour, breast MRI is proposed to be used </w:t>
      </w:r>
      <w:r w:rsidRPr="00E34267">
        <w:rPr>
          <w:i/>
        </w:rPr>
        <w:t>in addition</w:t>
      </w:r>
      <w:r w:rsidRPr="00E34267">
        <w:t xml:space="preserve"> to mammography and ultrasound.</w:t>
      </w:r>
    </w:p>
    <w:p w14:paraId="5253C026" w14:textId="77777777" w:rsidR="00E34267" w:rsidRPr="00E34267" w:rsidRDefault="00E34267" w:rsidP="00E34267">
      <w:pPr>
        <w:keepNext/>
        <w:tabs>
          <w:tab w:val="left" w:pos="1134"/>
        </w:tabs>
        <w:spacing w:before="40" w:after="40"/>
        <w:ind w:left="1134" w:hanging="1134"/>
        <w:rPr>
          <w:rFonts w:ascii="Arial" w:hAnsi="Arial" w:cs="Arial"/>
          <w:b/>
          <w:bCs/>
          <w:sz w:val="20"/>
        </w:rPr>
      </w:pPr>
      <w:bookmarkStart w:id="16" w:name="_Ref398734624"/>
      <w:bookmarkStart w:id="17" w:name="_Toc398192869"/>
      <w:bookmarkStart w:id="18" w:name="_Toc408488030"/>
      <w:r w:rsidRPr="00E34267">
        <w:rPr>
          <w:rFonts w:ascii="Arial" w:hAnsi="Arial" w:cs="Arial"/>
          <w:b/>
          <w:bCs/>
          <w:sz w:val="20"/>
        </w:rPr>
        <w:lastRenderedPageBreak/>
        <w:t xml:space="preserve">Figure </w:t>
      </w:r>
      <w:r w:rsidRPr="00E34267">
        <w:rPr>
          <w:rFonts w:ascii="Arial" w:hAnsi="Arial" w:cs="Arial"/>
          <w:b/>
          <w:bCs/>
          <w:sz w:val="20"/>
        </w:rPr>
        <w:fldChar w:fldCharType="begin"/>
      </w:r>
      <w:r w:rsidRPr="00E34267">
        <w:rPr>
          <w:rFonts w:ascii="Arial" w:hAnsi="Arial" w:cs="Arial"/>
          <w:b/>
          <w:bCs/>
          <w:sz w:val="20"/>
        </w:rPr>
        <w:instrText xml:space="preserve"> SEQ Figure \* ARABIC \s 1 </w:instrText>
      </w:r>
      <w:r w:rsidRPr="00E34267">
        <w:rPr>
          <w:rFonts w:ascii="Arial" w:hAnsi="Arial" w:cs="Arial"/>
          <w:b/>
          <w:bCs/>
          <w:sz w:val="20"/>
        </w:rPr>
        <w:fldChar w:fldCharType="separate"/>
      </w:r>
      <w:r w:rsidRPr="00E34267">
        <w:rPr>
          <w:rFonts w:ascii="Arial" w:hAnsi="Arial" w:cs="Arial"/>
          <w:b/>
          <w:bCs/>
          <w:noProof/>
          <w:sz w:val="20"/>
        </w:rPr>
        <w:t>5</w:t>
      </w:r>
      <w:r w:rsidRPr="00E34267">
        <w:rPr>
          <w:rFonts w:ascii="Arial" w:hAnsi="Arial" w:cs="Arial"/>
          <w:b/>
          <w:bCs/>
          <w:noProof/>
          <w:sz w:val="20"/>
        </w:rPr>
        <w:fldChar w:fldCharType="end"/>
      </w:r>
      <w:bookmarkEnd w:id="16"/>
      <w:r w:rsidRPr="00E34267">
        <w:rPr>
          <w:rFonts w:ascii="Arial" w:hAnsi="Arial" w:cs="Arial"/>
          <w:b/>
          <w:bCs/>
          <w:sz w:val="20"/>
        </w:rPr>
        <w:tab/>
        <w:t>Clinical management algorithm for population 5—MRI-guided biopsy</w:t>
      </w:r>
      <w:bookmarkEnd w:id="17"/>
      <w:bookmarkEnd w:id="18"/>
    </w:p>
    <w:p w14:paraId="71FF4439" w14:textId="77777777" w:rsidR="00E34267" w:rsidRPr="00E34267" w:rsidRDefault="00E34267" w:rsidP="00E34267">
      <w:pPr>
        <w:spacing w:before="240"/>
      </w:pPr>
      <w:r w:rsidRPr="00E34267">
        <w:rPr>
          <w:noProof/>
        </w:rPr>
        <w:drawing>
          <wp:inline distT="0" distB="0" distL="0" distR="0" wp14:anchorId="736BB2ED" wp14:editId="5D63AE4E">
            <wp:extent cx="5730240" cy="5535168"/>
            <wp:effectExtent l="0" t="0" r="0" b="8890"/>
            <wp:docPr id="6" name="Picture 6" descr="For population 5, MRI-guided biopsy there is no true comparator, an MRI would be required to either perform an MRI-guided biopsy or to place a clip in order to undertake an open surgical biopsy." title="Clinical management algorithm for population 5—MRI-guided bio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hm 5.tif"/>
                    <pic:cNvPicPr/>
                  </pic:nvPicPr>
                  <pic:blipFill>
                    <a:blip r:embed="rId15">
                      <a:extLst>
                        <a:ext uri="{28A0092B-C50C-407E-A947-70E740481C1C}">
                          <a14:useLocalDpi xmlns:a14="http://schemas.microsoft.com/office/drawing/2010/main" val="0"/>
                        </a:ext>
                      </a:extLst>
                    </a:blip>
                    <a:stretch>
                      <a:fillRect/>
                    </a:stretch>
                  </pic:blipFill>
                  <pic:spPr>
                    <a:xfrm>
                      <a:off x="0" y="0"/>
                      <a:ext cx="5730240" cy="5535168"/>
                    </a:xfrm>
                    <a:prstGeom prst="rect">
                      <a:avLst/>
                    </a:prstGeom>
                  </pic:spPr>
                </pic:pic>
              </a:graphicData>
            </a:graphic>
          </wp:inline>
        </w:drawing>
      </w:r>
    </w:p>
    <w:p w14:paraId="68E9376A" w14:textId="77777777" w:rsidR="00E34267" w:rsidRPr="00E34267" w:rsidRDefault="00E34267" w:rsidP="00E34267">
      <w:pPr>
        <w:spacing w:after="360"/>
        <w:rPr>
          <w:rFonts w:ascii="Arial Narrow" w:hAnsi="Arial Narrow"/>
          <w:color w:val="000000"/>
          <w:sz w:val="18"/>
          <w:szCs w:val="18"/>
          <w:lang w:eastAsia="ja-JP"/>
        </w:rPr>
      </w:pPr>
      <w:r w:rsidRPr="00E34267">
        <w:rPr>
          <w:rFonts w:ascii="Arial Narrow" w:hAnsi="Arial Narrow"/>
          <w:color w:val="000000"/>
          <w:sz w:val="18"/>
          <w:szCs w:val="18"/>
        </w:rPr>
        <w:t xml:space="preserve">Abbreviations: </w:t>
      </w:r>
      <w:r w:rsidRPr="00E34267">
        <w:rPr>
          <w:rFonts w:ascii="Arial Narrow" w:eastAsia="SimSun" w:hAnsi="Arial Narrow"/>
          <w:color w:val="000000"/>
          <w:sz w:val="20"/>
        </w:rPr>
        <w:t>±</w:t>
      </w:r>
      <w:r w:rsidRPr="00E34267">
        <w:rPr>
          <w:rFonts w:ascii="Arial Narrow" w:eastAsia="SimSun" w:hAnsi="Arial Narrow"/>
          <w:color w:val="000000"/>
          <w:sz w:val="18"/>
        </w:rPr>
        <w:t xml:space="preserve"> = with or without; </w:t>
      </w:r>
      <w:r w:rsidRPr="00E34267">
        <w:rPr>
          <w:rFonts w:ascii="Arial Narrow" w:hAnsi="Arial Narrow"/>
          <w:color w:val="000000"/>
          <w:sz w:val="18"/>
          <w:szCs w:val="18"/>
        </w:rPr>
        <w:t>BCS = breast-conserving surgery; FNAC = fine needle aspiration cytology; GP = general practitioner; RT = radiotherapy; MRI = magnetic resonance imaging</w:t>
      </w:r>
    </w:p>
    <w:p w14:paraId="55FFCF53" w14:textId="77777777" w:rsidR="00E34267" w:rsidRPr="00E34267" w:rsidRDefault="00E34267" w:rsidP="00E34267">
      <w:r w:rsidRPr="00E34267">
        <w:t>For population 5, MRI-guided biopsy there is no true comparator, an MRI would be required to either perform an MRI-guided biopsy or to place a clip in order to undertake an open surgical biopsy.</w:t>
      </w:r>
    </w:p>
    <w:p w14:paraId="51C1799E" w14:textId="77777777" w:rsidR="00BC1364" w:rsidRPr="00707064" w:rsidRDefault="00BC1364" w:rsidP="00DD2858">
      <w:pPr>
        <w:rPr>
          <w:color w:val="3366FF"/>
          <w:szCs w:val="24"/>
        </w:rPr>
      </w:pPr>
    </w:p>
    <w:p w14:paraId="066393C5" w14:textId="77777777" w:rsidR="00BC1364" w:rsidRPr="008D5885" w:rsidRDefault="00BC1364" w:rsidP="007B32D1">
      <w:pPr>
        <w:pStyle w:val="Heading1"/>
        <w:numPr>
          <w:ilvl w:val="0"/>
          <w:numId w:val="23"/>
        </w:numPr>
        <w:ind w:hanging="720"/>
      </w:pPr>
      <w:r w:rsidRPr="008D5885">
        <w:t xml:space="preserve">Comparator </w:t>
      </w:r>
    </w:p>
    <w:p w14:paraId="3528993A" w14:textId="77777777" w:rsidR="00BC1364" w:rsidRDefault="00BC1364" w:rsidP="00DD2858">
      <w:pPr>
        <w:rPr>
          <w:b/>
          <w:szCs w:val="24"/>
        </w:rPr>
      </w:pPr>
    </w:p>
    <w:p w14:paraId="718B036F" w14:textId="77777777" w:rsidR="00E34267" w:rsidRPr="00E34267" w:rsidRDefault="00E34267" w:rsidP="00E34267">
      <w:pPr>
        <w:autoSpaceDE w:val="0"/>
        <w:autoSpaceDN w:val="0"/>
        <w:adjustRightInd w:val="0"/>
        <w:rPr>
          <w:rFonts w:eastAsia="Calibri"/>
          <w:color w:val="000000"/>
          <w:szCs w:val="24"/>
          <w:lang w:eastAsia="en-US"/>
        </w:rPr>
      </w:pPr>
      <w:r w:rsidRPr="00E34267">
        <w:rPr>
          <w:rFonts w:eastAsia="Calibri"/>
          <w:color w:val="000000"/>
          <w:szCs w:val="24"/>
          <w:lang w:eastAsia="en-US"/>
        </w:rPr>
        <w:t xml:space="preserve">Standard conventional imaging for breast cancer consists of mammography </w:t>
      </w:r>
      <w:r w:rsidR="009632E9">
        <w:rPr>
          <w:rFonts w:eastAsia="Calibri"/>
          <w:color w:val="000000"/>
          <w:szCs w:val="24"/>
          <w:lang w:eastAsia="en-US"/>
        </w:rPr>
        <w:t>plus</w:t>
      </w:r>
      <w:r w:rsidRPr="00E34267">
        <w:rPr>
          <w:rFonts w:eastAsia="Calibri"/>
          <w:color w:val="000000"/>
          <w:szCs w:val="24"/>
          <w:lang w:eastAsia="en-US"/>
        </w:rPr>
        <w:t xml:space="preserve"> ultrasound. </w:t>
      </w:r>
    </w:p>
    <w:p w14:paraId="7D0FB075" w14:textId="77777777" w:rsidR="00E34267" w:rsidRPr="00E34267" w:rsidRDefault="00E34267" w:rsidP="00E34267">
      <w:pPr>
        <w:autoSpaceDE w:val="0"/>
        <w:autoSpaceDN w:val="0"/>
        <w:adjustRightInd w:val="0"/>
        <w:rPr>
          <w:rFonts w:eastAsia="Calibri"/>
          <w:color w:val="000000"/>
          <w:szCs w:val="24"/>
          <w:lang w:eastAsia="en-US"/>
        </w:rPr>
      </w:pPr>
      <w:r w:rsidRPr="00E34267">
        <w:rPr>
          <w:rFonts w:eastAsia="Calibri"/>
          <w:color w:val="000000"/>
          <w:szCs w:val="24"/>
          <w:lang w:eastAsia="en-US"/>
        </w:rPr>
        <w:t xml:space="preserve">Mammography is </w:t>
      </w:r>
      <w:r w:rsidR="009632E9">
        <w:rPr>
          <w:rFonts w:eastAsia="Calibri"/>
          <w:color w:val="000000"/>
          <w:szCs w:val="24"/>
          <w:lang w:eastAsia="en-US"/>
        </w:rPr>
        <w:t>standard best practice</w:t>
      </w:r>
      <w:r w:rsidRPr="00E34267">
        <w:rPr>
          <w:rFonts w:eastAsia="Calibri"/>
          <w:color w:val="000000"/>
          <w:szCs w:val="24"/>
          <w:lang w:eastAsia="en-US"/>
        </w:rPr>
        <w:t xml:space="preserve"> of breast imaging for asymptomatic and symptomatic women and may be used for screening or diagnosis. </w:t>
      </w:r>
    </w:p>
    <w:p w14:paraId="5DF17183" w14:textId="77777777" w:rsidR="00E34267" w:rsidRPr="00E34267" w:rsidRDefault="00E34267" w:rsidP="00E34267">
      <w:pPr>
        <w:autoSpaceDE w:val="0"/>
        <w:autoSpaceDN w:val="0"/>
        <w:adjustRightInd w:val="0"/>
        <w:rPr>
          <w:rFonts w:eastAsia="Calibri"/>
          <w:color w:val="000000"/>
          <w:szCs w:val="24"/>
          <w:lang w:eastAsia="en-US"/>
        </w:rPr>
      </w:pPr>
    </w:p>
    <w:p w14:paraId="129C95EB" w14:textId="77777777" w:rsidR="00E34267" w:rsidRPr="00E34267" w:rsidRDefault="00E34267" w:rsidP="00E34267">
      <w:pPr>
        <w:autoSpaceDE w:val="0"/>
        <w:autoSpaceDN w:val="0"/>
        <w:adjustRightInd w:val="0"/>
        <w:rPr>
          <w:rFonts w:eastAsia="Calibri"/>
          <w:color w:val="000000"/>
          <w:szCs w:val="24"/>
          <w:lang w:eastAsia="en-US"/>
        </w:rPr>
      </w:pPr>
      <w:r w:rsidRPr="00E34267">
        <w:rPr>
          <w:rFonts w:eastAsia="Calibri"/>
          <w:color w:val="000000"/>
          <w:szCs w:val="24"/>
          <w:lang w:eastAsia="en-US"/>
        </w:rPr>
        <w:t xml:space="preserve">The sensitivity of mammography for detecting any abnormality will depend upon: </w:t>
      </w:r>
    </w:p>
    <w:p w14:paraId="1C301E5B" w14:textId="77777777" w:rsidR="00E34267" w:rsidRPr="00E34267" w:rsidRDefault="00E34267" w:rsidP="00E34267">
      <w:pPr>
        <w:numPr>
          <w:ilvl w:val="0"/>
          <w:numId w:val="4"/>
        </w:numPr>
        <w:autoSpaceDE w:val="0"/>
        <w:autoSpaceDN w:val="0"/>
        <w:adjustRightInd w:val="0"/>
        <w:spacing w:after="28"/>
        <w:rPr>
          <w:rFonts w:eastAsia="Calibri"/>
          <w:color w:val="000000"/>
          <w:szCs w:val="24"/>
          <w:lang w:eastAsia="en-US"/>
        </w:rPr>
      </w:pPr>
      <w:r w:rsidRPr="00E34267">
        <w:rPr>
          <w:rFonts w:eastAsia="Calibri"/>
          <w:color w:val="000000"/>
          <w:szCs w:val="24"/>
          <w:lang w:eastAsia="en-US"/>
        </w:rPr>
        <w:t xml:space="preserve">the nature of the breast lesion </w:t>
      </w:r>
    </w:p>
    <w:p w14:paraId="7D09558F" w14:textId="77777777" w:rsidR="00E34267" w:rsidRPr="00E34267" w:rsidRDefault="00E34267" w:rsidP="00E34267">
      <w:pPr>
        <w:numPr>
          <w:ilvl w:val="0"/>
          <w:numId w:val="4"/>
        </w:numPr>
        <w:autoSpaceDE w:val="0"/>
        <w:autoSpaceDN w:val="0"/>
        <w:adjustRightInd w:val="0"/>
        <w:spacing w:after="28"/>
        <w:rPr>
          <w:rFonts w:eastAsia="Calibri"/>
          <w:color w:val="000000"/>
          <w:szCs w:val="24"/>
          <w:lang w:eastAsia="en-US"/>
        </w:rPr>
      </w:pPr>
      <w:r w:rsidRPr="00E34267">
        <w:rPr>
          <w:rFonts w:eastAsia="Calibri"/>
          <w:color w:val="000000"/>
          <w:szCs w:val="24"/>
          <w:lang w:eastAsia="en-US"/>
        </w:rPr>
        <w:t xml:space="preserve">the radiographic density and overall nodularity of the breast tissue </w:t>
      </w:r>
    </w:p>
    <w:p w14:paraId="6A243A3F" w14:textId="77777777" w:rsidR="00E34267" w:rsidRPr="00E34267" w:rsidRDefault="00E34267" w:rsidP="00E34267">
      <w:pPr>
        <w:numPr>
          <w:ilvl w:val="0"/>
          <w:numId w:val="4"/>
        </w:numPr>
        <w:autoSpaceDE w:val="0"/>
        <w:autoSpaceDN w:val="0"/>
        <w:adjustRightInd w:val="0"/>
        <w:spacing w:after="28"/>
        <w:rPr>
          <w:rFonts w:eastAsia="Calibri"/>
          <w:color w:val="000000"/>
          <w:szCs w:val="24"/>
          <w:lang w:eastAsia="en-US"/>
        </w:rPr>
      </w:pPr>
      <w:r w:rsidRPr="00E34267">
        <w:rPr>
          <w:rFonts w:eastAsia="Calibri"/>
          <w:color w:val="000000"/>
          <w:szCs w:val="24"/>
          <w:lang w:eastAsia="en-US"/>
        </w:rPr>
        <w:t xml:space="preserve">the location of the abnormality within the breast </w:t>
      </w:r>
    </w:p>
    <w:p w14:paraId="0ADB60ED" w14:textId="77777777" w:rsidR="00E34267" w:rsidRPr="00E34267" w:rsidRDefault="00E34267" w:rsidP="00E34267">
      <w:pPr>
        <w:numPr>
          <w:ilvl w:val="0"/>
          <w:numId w:val="4"/>
        </w:numPr>
        <w:autoSpaceDE w:val="0"/>
        <w:autoSpaceDN w:val="0"/>
        <w:adjustRightInd w:val="0"/>
        <w:spacing w:after="28"/>
        <w:rPr>
          <w:rFonts w:eastAsia="Calibri"/>
          <w:color w:val="000000"/>
          <w:szCs w:val="24"/>
          <w:lang w:eastAsia="en-US"/>
        </w:rPr>
      </w:pPr>
      <w:r w:rsidRPr="00E34267">
        <w:rPr>
          <w:rFonts w:eastAsia="Calibri"/>
          <w:color w:val="000000"/>
          <w:szCs w:val="24"/>
          <w:lang w:eastAsia="en-US"/>
        </w:rPr>
        <w:t xml:space="preserve">the technical quality of the mammograms </w:t>
      </w:r>
    </w:p>
    <w:p w14:paraId="1D221601" w14:textId="77777777" w:rsidR="00E34267" w:rsidRPr="00E34267" w:rsidRDefault="00E34267" w:rsidP="00E34267">
      <w:pPr>
        <w:numPr>
          <w:ilvl w:val="0"/>
          <w:numId w:val="4"/>
        </w:numPr>
        <w:autoSpaceDE w:val="0"/>
        <w:autoSpaceDN w:val="0"/>
        <w:adjustRightInd w:val="0"/>
        <w:rPr>
          <w:rFonts w:eastAsia="Calibri"/>
          <w:color w:val="000000"/>
          <w:szCs w:val="24"/>
          <w:lang w:eastAsia="en-US"/>
        </w:rPr>
      </w:pPr>
      <w:r w:rsidRPr="00E34267">
        <w:rPr>
          <w:rFonts w:eastAsia="Calibri"/>
          <w:color w:val="000000"/>
          <w:szCs w:val="24"/>
          <w:lang w:eastAsia="en-US"/>
        </w:rPr>
        <w:lastRenderedPageBreak/>
        <w:t xml:space="preserve">the radiologist’s expertise in interpreting the imaging appearances </w:t>
      </w:r>
    </w:p>
    <w:p w14:paraId="3FB2D6CA" w14:textId="77777777" w:rsidR="00E34267" w:rsidRPr="00E34267" w:rsidRDefault="00E34267" w:rsidP="00E34267">
      <w:pPr>
        <w:autoSpaceDE w:val="0"/>
        <w:autoSpaceDN w:val="0"/>
        <w:adjustRightInd w:val="0"/>
        <w:rPr>
          <w:rFonts w:eastAsia="Calibri"/>
          <w:color w:val="000000"/>
          <w:szCs w:val="24"/>
          <w:lang w:eastAsia="en-US"/>
        </w:rPr>
      </w:pPr>
    </w:p>
    <w:p w14:paraId="4AE6E696" w14:textId="77777777" w:rsidR="00BC1364" w:rsidRPr="00DA075F" w:rsidRDefault="00E34267" w:rsidP="004539DE">
      <w:r w:rsidRPr="00E34267">
        <w:t>Even with excellent quality mammography technique and interpretation, a lesion may not be visible on the mammogram or the mammographic findings may be indeterminate, requiring an ultrasound evaluation. Ultrasound can be used to complement mammography.</w:t>
      </w:r>
    </w:p>
    <w:p w14:paraId="1728F537" w14:textId="77777777" w:rsidR="00BC1364" w:rsidRPr="00707064" w:rsidRDefault="00BC1364" w:rsidP="00DD2858">
      <w:pPr>
        <w:rPr>
          <w:b/>
          <w:szCs w:val="24"/>
        </w:rPr>
      </w:pPr>
    </w:p>
    <w:p w14:paraId="195407F7" w14:textId="77777777" w:rsidR="00BC1364" w:rsidRPr="008D5885" w:rsidRDefault="00BC1364" w:rsidP="007B32D1">
      <w:pPr>
        <w:pStyle w:val="Heading1"/>
        <w:numPr>
          <w:ilvl w:val="0"/>
          <w:numId w:val="23"/>
        </w:numPr>
        <w:ind w:hanging="720"/>
      </w:pPr>
      <w:r w:rsidRPr="008D5885">
        <w:t>Comparative safety</w:t>
      </w:r>
    </w:p>
    <w:p w14:paraId="47C23F0F" w14:textId="77777777" w:rsidR="00BC1364" w:rsidRDefault="00BC1364" w:rsidP="00DD2858">
      <w:pPr>
        <w:pStyle w:val="ListParagraph"/>
        <w:ind w:left="0"/>
        <w:rPr>
          <w:b/>
          <w:szCs w:val="24"/>
        </w:rPr>
      </w:pPr>
    </w:p>
    <w:p w14:paraId="01FA025D" w14:textId="77777777" w:rsidR="00E34267" w:rsidRPr="00E34267" w:rsidRDefault="00E34267" w:rsidP="00E34267">
      <w:pPr>
        <w:autoSpaceDE w:val="0"/>
        <w:autoSpaceDN w:val="0"/>
        <w:adjustRightInd w:val="0"/>
        <w:rPr>
          <w:rFonts w:eastAsia="Calibri"/>
          <w:color w:val="000000"/>
          <w:szCs w:val="24"/>
          <w:lang w:eastAsia="en-US"/>
        </w:rPr>
      </w:pPr>
      <w:r w:rsidRPr="00E34267">
        <w:rPr>
          <w:rFonts w:eastAsia="Calibri"/>
          <w:color w:val="000000"/>
          <w:szCs w:val="24"/>
          <w:lang w:eastAsia="en-US"/>
        </w:rPr>
        <w:t xml:space="preserve">Breast MRI has been previously assessed by MSAC in the context of screening asymptomatic high-risk women. The 2006 report identified the following safety concerns (MSAC 2006): </w:t>
      </w:r>
    </w:p>
    <w:p w14:paraId="6F394A14" w14:textId="77777777" w:rsidR="00E34267" w:rsidRPr="00E34267" w:rsidRDefault="00E34267" w:rsidP="00E34267">
      <w:pPr>
        <w:numPr>
          <w:ilvl w:val="0"/>
          <w:numId w:val="6"/>
        </w:numPr>
        <w:autoSpaceDE w:val="0"/>
        <w:autoSpaceDN w:val="0"/>
        <w:adjustRightInd w:val="0"/>
        <w:spacing w:after="32"/>
        <w:rPr>
          <w:rFonts w:eastAsia="Calibri"/>
          <w:color w:val="000000"/>
          <w:szCs w:val="24"/>
          <w:lang w:eastAsia="en-US"/>
        </w:rPr>
      </w:pPr>
      <w:r w:rsidRPr="00E34267">
        <w:rPr>
          <w:rFonts w:eastAsia="Calibri"/>
          <w:color w:val="000000"/>
          <w:szCs w:val="24"/>
          <w:lang w:eastAsia="en-US"/>
        </w:rPr>
        <w:t xml:space="preserve">adverse effects of false-positive findings (unnecessary investigation) </w:t>
      </w:r>
    </w:p>
    <w:p w14:paraId="03DBC620" w14:textId="77777777" w:rsidR="00E34267" w:rsidRPr="00E34267" w:rsidRDefault="00E34267" w:rsidP="00E34267">
      <w:pPr>
        <w:numPr>
          <w:ilvl w:val="0"/>
          <w:numId w:val="6"/>
        </w:numPr>
        <w:autoSpaceDE w:val="0"/>
        <w:autoSpaceDN w:val="0"/>
        <w:adjustRightInd w:val="0"/>
        <w:spacing w:after="32"/>
        <w:rPr>
          <w:rFonts w:eastAsia="Calibri"/>
          <w:color w:val="000000"/>
          <w:szCs w:val="24"/>
          <w:lang w:eastAsia="en-US"/>
        </w:rPr>
      </w:pPr>
      <w:r w:rsidRPr="00E34267">
        <w:rPr>
          <w:rFonts w:eastAsia="Calibri"/>
          <w:color w:val="000000"/>
          <w:szCs w:val="24"/>
          <w:lang w:eastAsia="en-US"/>
        </w:rPr>
        <w:t xml:space="preserve">use in patients with contraindications to exposure to magnetic fields </w:t>
      </w:r>
    </w:p>
    <w:p w14:paraId="214C708D" w14:textId="77777777" w:rsidR="00E34267" w:rsidRPr="00E34267" w:rsidRDefault="00E34267" w:rsidP="00E34267">
      <w:pPr>
        <w:numPr>
          <w:ilvl w:val="0"/>
          <w:numId w:val="6"/>
        </w:numPr>
        <w:autoSpaceDE w:val="0"/>
        <w:autoSpaceDN w:val="0"/>
        <w:adjustRightInd w:val="0"/>
        <w:spacing w:after="32"/>
        <w:rPr>
          <w:rFonts w:eastAsia="Calibri"/>
          <w:color w:val="000000"/>
          <w:szCs w:val="24"/>
          <w:lang w:eastAsia="en-US"/>
        </w:rPr>
      </w:pPr>
      <w:r w:rsidRPr="00E34267">
        <w:rPr>
          <w:rFonts w:eastAsia="Calibri"/>
          <w:color w:val="000000"/>
          <w:szCs w:val="24"/>
          <w:lang w:eastAsia="en-US"/>
        </w:rPr>
        <w:t xml:space="preserve">allergy to gadolinium contrast agent </w:t>
      </w:r>
    </w:p>
    <w:p w14:paraId="0C868A2C" w14:textId="77777777" w:rsidR="00E34267" w:rsidRPr="00E34267" w:rsidRDefault="00E34267" w:rsidP="00E34267">
      <w:pPr>
        <w:numPr>
          <w:ilvl w:val="0"/>
          <w:numId w:val="6"/>
        </w:numPr>
        <w:autoSpaceDE w:val="0"/>
        <w:autoSpaceDN w:val="0"/>
        <w:adjustRightInd w:val="0"/>
        <w:spacing w:after="32"/>
        <w:rPr>
          <w:rFonts w:eastAsia="Calibri"/>
          <w:color w:val="000000"/>
          <w:szCs w:val="24"/>
          <w:lang w:eastAsia="en-US"/>
        </w:rPr>
      </w:pPr>
      <w:r w:rsidRPr="00E34267">
        <w:rPr>
          <w:rFonts w:eastAsia="Calibri"/>
          <w:color w:val="000000"/>
          <w:szCs w:val="24"/>
          <w:lang w:eastAsia="en-US"/>
        </w:rPr>
        <w:t xml:space="preserve">claustrophobia, which may preclude use in some patients </w:t>
      </w:r>
    </w:p>
    <w:p w14:paraId="206F6F43" w14:textId="77777777" w:rsidR="00E34267" w:rsidRPr="00E34267" w:rsidRDefault="00E34267" w:rsidP="00E34267">
      <w:pPr>
        <w:numPr>
          <w:ilvl w:val="0"/>
          <w:numId w:val="6"/>
        </w:numPr>
        <w:autoSpaceDE w:val="0"/>
        <w:autoSpaceDN w:val="0"/>
        <w:adjustRightInd w:val="0"/>
        <w:spacing w:after="32"/>
        <w:rPr>
          <w:rFonts w:eastAsia="Calibri"/>
          <w:color w:val="000000"/>
          <w:szCs w:val="24"/>
          <w:lang w:eastAsia="en-US"/>
        </w:rPr>
      </w:pPr>
      <w:r w:rsidRPr="00E34267">
        <w:rPr>
          <w:rFonts w:eastAsia="Calibri"/>
          <w:color w:val="000000"/>
          <w:szCs w:val="24"/>
          <w:lang w:eastAsia="en-US"/>
        </w:rPr>
        <w:t xml:space="preserve">patient discomfort due to the noise of the machine </w:t>
      </w:r>
    </w:p>
    <w:p w14:paraId="6E0C166F" w14:textId="77777777" w:rsidR="00E34267" w:rsidRPr="00E34267" w:rsidRDefault="00E34267" w:rsidP="00E34267">
      <w:pPr>
        <w:numPr>
          <w:ilvl w:val="0"/>
          <w:numId w:val="6"/>
        </w:numPr>
        <w:autoSpaceDE w:val="0"/>
        <w:autoSpaceDN w:val="0"/>
        <w:adjustRightInd w:val="0"/>
        <w:rPr>
          <w:rFonts w:eastAsia="Calibri"/>
          <w:color w:val="000000"/>
          <w:szCs w:val="24"/>
          <w:lang w:eastAsia="en-US"/>
        </w:rPr>
      </w:pPr>
      <w:proofErr w:type="gramStart"/>
      <w:r w:rsidRPr="00E34267">
        <w:rPr>
          <w:rFonts w:eastAsia="Calibri"/>
          <w:color w:val="000000"/>
          <w:szCs w:val="24"/>
          <w:lang w:eastAsia="en-US"/>
        </w:rPr>
        <w:t>avoidance</w:t>
      </w:r>
      <w:proofErr w:type="gramEnd"/>
      <w:r w:rsidRPr="00E34267">
        <w:rPr>
          <w:rFonts w:eastAsia="Calibri"/>
          <w:color w:val="000000"/>
          <w:szCs w:val="24"/>
          <w:lang w:eastAsia="en-US"/>
        </w:rPr>
        <w:t xml:space="preserve"> advised in pregnant women due to limited evidence about the safety of MRI on the developing foetus. </w:t>
      </w:r>
    </w:p>
    <w:p w14:paraId="60C589E6" w14:textId="77777777" w:rsidR="00E34267" w:rsidRPr="00E34267" w:rsidRDefault="00E34267" w:rsidP="00E34267">
      <w:pPr>
        <w:autoSpaceDE w:val="0"/>
        <w:autoSpaceDN w:val="0"/>
        <w:adjustRightInd w:val="0"/>
        <w:rPr>
          <w:rFonts w:eastAsia="Calibri"/>
          <w:color w:val="000000"/>
          <w:szCs w:val="24"/>
          <w:lang w:eastAsia="en-US"/>
        </w:rPr>
      </w:pPr>
    </w:p>
    <w:p w14:paraId="154813D9" w14:textId="77777777" w:rsidR="00E34267" w:rsidRPr="00E34267" w:rsidRDefault="00E34267" w:rsidP="00E34267">
      <w:pPr>
        <w:autoSpaceDE w:val="0"/>
        <w:autoSpaceDN w:val="0"/>
        <w:adjustRightInd w:val="0"/>
        <w:rPr>
          <w:rFonts w:eastAsia="Calibri"/>
          <w:color w:val="000000"/>
          <w:szCs w:val="24"/>
          <w:lang w:eastAsia="en-US"/>
        </w:rPr>
      </w:pPr>
      <w:r w:rsidRPr="00E34267">
        <w:rPr>
          <w:rFonts w:eastAsia="Calibri"/>
          <w:color w:val="000000"/>
          <w:szCs w:val="24"/>
          <w:lang w:eastAsia="en-US"/>
        </w:rPr>
        <w:t xml:space="preserve">The current assessment has not identified any further safety concerns. However, the population under consideration is women who have been diagnosed with cancer and therefore the weighting of benefits to </w:t>
      </w:r>
      <w:proofErr w:type="gramStart"/>
      <w:r w:rsidRPr="00E34267">
        <w:rPr>
          <w:rFonts w:eastAsia="Calibri"/>
          <w:color w:val="000000"/>
          <w:szCs w:val="24"/>
          <w:lang w:eastAsia="en-US"/>
        </w:rPr>
        <w:t>harms</w:t>
      </w:r>
      <w:proofErr w:type="gramEnd"/>
      <w:r w:rsidRPr="00E34267">
        <w:rPr>
          <w:rFonts w:eastAsia="Calibri"/>
          <w:color w:val="000000"/>
          <w:szCs w:val="24"/>
          <w:lang w:eastAsia="en-US"/>
        </w:rPr>
        <w:t xml:space="preserve"> may differ to an asymptomatic population. As breast MRI is being considered as an additional test in the</w:t>
      </w:r>
      <w:r w:rsidRPr="00E34267">
        <w:rPr>
          <w:rFonts w:eastAsia="Calibri"/>
          <w:szCs w:val="24"/>
          <w:lang w:eastAsia="en-US"/>
        </w:rPr>
        <w:t xml:space="preserve"> </w:t>
      </w:r>
      <w:r w:rsidRPr="00E34267">
        <w:rPr>
          <w:rFonts w:eastAsia="Calibri"/>
          <w:color w:val="000000"/>
          <w:szCs w:val="24"/>
          <w:lang w:eastAsia="en-US"/>
        </w:rPr>
        <w:t xml:space="preserve">majority of indications, the safety of the comparators is not relevant as they will be used whether or not MRI is adopted. </w:t>
      </w:r>
    </w:p>
    <w:p w14:paraId="092E36C4" w14:textId="77777777" w:rsidR="00E34267" w:rsidRPr="00E34267" w:rsidRDefault="00E34267" w:rsidP="00E34267">
      <w:pPr>
        <w:autoSpaceDE w:val="0"/>
        <w:autoSpaceDN w:val="0"/>
        <w:adjustRightInd w:val="0"/>
        <w:rPr>
          <w:rFonts w:eastAsia="Calibri"/>
          <w:color w:val="000000"/>
          <w:szCs w:val="24"/>
          <w:lang w:eastAsia="en-US"/>
        </w:rPr>
      </w:pPr>
    </w:p>
    <w:p w14:paraId="4CF7A2E4" w14:textId="77777777" w:rsidR="00DB5833" w:rsidRPr="000F14B4" w:rsidRDefault="00E34267" w:rsidP="00D31308">
      <w:pPr>
        <w:autoSpaceDE w:val="0"/>
        <w:autoSpaceDN w:val="0"/>
        <w:adjustRightInd w:val="0"/>
      </w:pPr>
      <w:r w:rsidRPr="00E34267">
        <w:rPr>
          <w:rFonts w:eastAsia="Calibri"/>
          <w:color w:val="000000"/>
          <w:szCs w:val="24"/>
          <w:lang w:eastAsia="en-US"/>
        </w:rPr>
        <w:t xml:space="preserve">MRI-guided biopsy has not previously been assessed. The main reported adverse events are bleeding and haematoma; however, the expert panel informing the French health technology assessment (HTA) (Haute </w:t>
      </w:r>
      <w:proofErr w:type="spellStart"/>
      <w:r w:rsidRPr="00E34267">
        <w:rPr>
          <w:rFonts w:eastAsia="Calibri"/>
          <w:color w:val="000000"/>
          <w:szCs w:val="24"/>
          <w:lang w:eastAsia="en-US"/>
        </w:rPr>
        <w:t>Autorité</w:t>
      </w:r>
      <w:proofErr w:type="spellEnd"/>
      <w:r w:rsidRPr="00E34267">
        <w:rPr>
          <w:rFonts w:eastAsia="Calibri"/>
          <w:color w:val="000000"/>
          <w:szCs w:val="24"/>
          <w:lang w:eastAsia="en-US"/>
        </w:rPr>
        <w:t xml:space="preserve"> de Santé 2011) considered discomfort and neck pain related to patient positioning and immobility to be the most frequent complication. No other safety concerns have been identified.</w:t>
      </w:r>
    </w:p>
    <w:p w14:paraId="5330ECAE" w14:textId="77777777" w:rsidR="00BC1364" w:rsidRPr="00707064" w:rsidRDefault="00BC1364" w:rsidP="00DD2858">
      <w:pPr>
        <w:pStyle w:val="ListParagraph"/>
        <w:ind w:left="0"/>
        <w:rPr>
          <w:b/>
          <w:szCs w:val="24"/>
        </w:rPr>
      </w:pPr>
    </w:p>
    <w:p w14:paraId="16F49F9D" w14:textId="77777777" w:rsidR="00BC1364" w:rsidRPr="008D5885" w:rsidRDefault="00BC1364" w:rsidP="007B32D1">
      <w:pPr>
        <w:pStyle w:val="Heading1"/>
        <w:numPr>
          <w:ilvl w:val="0"/>
          <w:numId w:val="23"/>
        </w:numPr>
        <w:ind w:hanging="720"/>
      </w:pPr>
      <w:r w:rsidRPr="008D5885">
        <w:t>Comparative effectiveness</w:t>
      </w:r>
    </w:p>
    <w:p w14:paraId="419BF9B1" w14:textId="77777777" w:rsidR="00BC1364" w:rsidRDefault="00BC1364" w:rsidP="00DD2858">
      <w:pPr>
        <w:rPr>
          <w:b/>
        </w:rPr>
      </w:pPr>
    </w:p>
    <w:p w14:paraId="17C6C2DC" w14:textId="77777777" w:rsidR="00E34267" w:rsidRPr="00E34267" w:rsidRDefault="00E34267" w:rsidP="00E34267">
      <w:pPr>
        <w:tabs>
          <w:tab w:val="left" w:pos="720"/>
          <w:tab w:val="left" w:pos="1140"/>
        </w:tabs>
        <w:spacing w:before="120"/>
        <w:rPr>
          <w:rFonts w:eastAsia="Calibri"/>
          <w:bCs/>
          <w:iCs/>
          <w:color w:val="000000"/>
          <w:szCs w:val="24"/>
          <w:u w:val="single"/>
          <w:lang w:eastAsia="en-US"/>
        </w:rPr>
      </w:pPr>
      <w:r w:rsidRPr="00E34267">
        <w:rPr>
          <w:rFonts w:eastAsia="Calibri"/>
          <w:bCs/>
          <w:iCs/>
          <w:color w:val="000000"/>
          <w:szCs w:val="24"/>
          <w:u w:val="single"/>
          <w:lang w:eastAsia="en-US"/>
        </w:rPr>
        <w:t>Monitoring and/or prediction of response during treatment</w:t>
      </w:r>
    </w:p>
    <w:p w14:paraId="3F2E374E"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Evidence on the use of MRI compared to mammography ± ultrasound for the monitoring and/or prediction of response during neoadjuvant treatment is derived from one systematic review </w:t>
      </w:r>
      <w:r w:rsidRPr="00E34267">
        <w:rPr>
          <w:rFonts w:eastAsia="Calibri"/>
          <w:noProof/>
          <w:color w:val="000000"/>
          <w:szCs w:val="24"/>
          <w:lang w:eastAsia="en-US"/>
        </w:rPr>
        <w:t>(Marinovich et al. 2012).</w:t>
      </w:r>
      <w:r w:rsidRPr="00E34267">
        <w:rPr>
          <w:rFonts w:eastAsia="Calibri"/>
          <w:color w:val="000000"/>
          <w:szCs w:val="24"/>
          <w:lang w:eastAsia="en-US"/>
        </w:rPr>
        <w:t xml:space="preserve"> No primary studies which met inclusion criteria were identified in the updated search. The systematic review was considered at low risk of bias.</w:t>
      </w:r>
    </w:p>
    <w:p w14:paraId="6B0C8CD1"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The accuracy of MRI compared to mammography and/or ultrasound was reported in one study identified in the systematic review. MRI appeared to be more accurate than a combination of clinical examination, mammography and/or ultrasound, but no significance testing was possible. There is insufficient evidence to make a conclusion on the effectiveness of MRI compared to mammography and/or ultrasound for the monitoring or prediction of response during neoadjuvant chemotherapy.</w:t>
      </w:r>
    </w:p>
    <w:p w14:paraId="5B8313D4" w14:textId="77777777" w:rsidR="00E34267" w:rsidRPr="00E34267" w:rsidRDefault="00E34267" w:rsidP="00E34267">
      <w:pPr>
        <w:keepNext/>
        <w:keepLines/>
        <w:spacing w:before="200" w:after="120"/>
        <w:rPr>
          <w:rFonts w:eastAsia="Calibri"/>
          <w:bCs/>
          <w:iCs/>
          <w:color w:val="000000"/>
          <w:szCs w:val="24"/>
          <w:u w:val="single"/>
          <w:lang w:eastAsia="en-US"/>
        </w:rPr>
      </w:pPr>
      <w:r w:rsidRPr="00E34267">
        <w:rPr>
          <w:rFonts w:eastAsia="Calibri"/>
          <w:bCs/>
          <w:iCs/>
          <w:color w:val="000000"/>
          <w:szCs w:val="24"/>
          <w:u w:val="single"/>
          <w:lang w:eastAsia="en-US"/>
        </w:rPr>
        <w:t>Detection of residual breast cancer following neoadjuvant treatment</w:t>
      </w:r>
    </w:p>
    <w:p w14:paraId="4E9C870E"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Comparative accuracy</w:t>
      </w:r>
    </w:p>
    <w:p w14:paraId="65F5F229"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meta-analysis from the systematic review </w:t>
      </w:r>
      <w:r w:rsidRPr="00E34267">
        <w:rPr>
          <w:rFonts w:eastAsia="Calibri"/>
          <w:noProof/>
          <w:color w:val="000000"/>
          <w:szCs w:val="24"/>
          <w:lang w:eastAsia="en-US"/>
        </w:rPr>
        <w:t>(Marinovich et al. 2013a)</w:t>
      </w:r>
      <w:r w:rsidRPr="00E34267">
        <w:rPr>
          <w:rFonts w:eastAsia="Calibri"/>
          <w:color w:val="000000"/>
          <w:szCs w:val="24"/>
          <w:lang w:eastAsia="en-US"/>
        </w:rPr>
        <w:t xml:space="preserve"> showed that the accuracy of MRI was statistically significantly higher than that of mammography (</w:t>
      </w:r>
      <w:r w:rsidRPr="00E34267">
        <w:rPr>
          <w:rFonts w:eastAsia="Calibri"/>
          <w:i/>
          <w:iCs/>
          <w:color w:val="000000"/>
          <w:szCs w:val="24"/>
          <w:lang w:eastAsia="en-US"/>
        </w:rPr>
        <w:t>P </w:t>
      </w:r>
      <w:r w:rsidRPr="00E34267">
        <w:rPr>
          <w:rFonts w:eastAsia="Calibri"/>
          <w:color w:val="000000"/>
          <w:szCs w:val="24"/>
          <w:lang w:eastAsia="en-US"/>
        </w:rPr>
        <w:t xml:space="preserve">= 0.02, 7 </w:t>
      </w:r>
      <w:r w:rsidRPr="00E34267">
        <w:rPr>
          <w:rFonts w:eastAsia="Calibri"/>
          <w:color w:val="000000"/>
          <w:szCs w:val="24"/>
          <w:lang w:eastAsia="en-US"/>
        </w:rPr>
        <w:lastRenderedPageBreak/>
        <w:t>studies). There was only weak evidence suggesting that MRI also had greater accuracy than clinical examination (</w:t>
      </w:r>
      <w:r w:rsidRPr="00E34267">
        <w:rPr>
          <w:rFonts w:eastAsia="Calibri"/>
          <w:i/>
          <w:iCs/>
          <w:color w:val="000000"/>
          <w:szCs w:val="24"/>
          <w:lang w:eastAsia="en-US"/>
        </w:rPr>
        <w:t>P </w:t>
      </w:r>
      <w:r w:rsidRPr="00E34267">
        <w:rPr>
          <w:rFonts w:eastAsia="Calibri"/>
          <w:color w:val="000000"/>
          <w:szCs w:val="24"/>
          <w:lang w:eastAsia="en-US"/>
        </w:rPr>
        <w:t>= 0.10, 11 studies) and ultrasound (</w:t>
      </w:r>
      <w:r w:rsidRPr="00E34267">
        <w:rPr>
          <w:rFonts w:eastAsia="Calibri"/>
          <w:i/>
          <w:iCs/>
          <w:color w:val="000000"/>
          <w:szCs w:val="24"/>
          <w:lang w:eastAsia="en-US"/>
        </w:rPr>
        <w:t>P = </w:t>
      </w:r>
      <w:r w:rsidRPr="00E34267">
        <w:rPr>
          <w:rFonts w:eastAsia="Calibri"/>
          <w:color w:val="000000"/>
          <w:szCs w:val="24"/>
          <w:lang w:eastAsia="en-US"/>
        </w:rPr>
        <w:t>0.15, 10 studies).</w:t>
      </w:r>
    </w:p>
    <w:p w14:paraId="2757F313"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Two additional primary studies (</w:t>
      </w:r>
      <w:r w:rsidRPr="00E34267">
        <w:rPr>
          <w:rFonts w:eastAsia="Calibri"/>
          <w:noProof/>
          <w:color w:val="000000"/>
          <w:szCs w:val="24"/>
          <w:lang w:eastAsia="en-US"/>
        </w:rPr>
        <w:t xml:space="preserve">Chen et al. 2012, Shin et al. 2011) </w:t>
      </w:r>
      <w:r w:rsidRPr="00E34267">
        <w:rPr>
          <w:rFonts w:eastAsia="Calibri"/>
          <w:color w:val="000000"/>
          <w:szCs w:val="24"/>
          <w:lang w:eastAsia="en-US"/>
        </w:rPr>
        <w:t xml:space="preserve">reported high sensitivities of both MRI (0.92 [95% CI: 0.81–0.98] and 0.89 [95% CI: 0.73–0.97]) and ultrasound (0.98 [95% CI 0.90–1.00] and 0.97 [95% CI: 0.85–1.00]) and one study also reported a high sensitivity for mammography (0.94 [95% CI: 0.81–0.99]). Specificity was lower for all tests with wider confidence intervals and greater variation between the two studies. The two studies identified in this assessment have similar values for the comparative accuracy of MRI, mammography and ultrasound to those included in the </w:t>
      </w:r>
      <w:proofErr w:type="spellStart"/>
      <w:r w:rsidRPr="00E34267">
        <w:rPr>
          <w:rFonts w:eastAsia="Calibri"/>
          <w:color w:val="000000"/>
          <w:szCs w:val="24"/>
          <w:lang w:eastAsia="en-US"/>
        </w:rPr>
        <w:t>Marinovich</w:t>
      </w:r>
      <w:proofErr w:type="spellEnd"/>
      <w:r w:rsidRPr="00E34267">
        <w:rPr>
          <w:rFonts w:eastAsia="Calibri"/>
          <w:color w:val="000000"/>
          <w:szCs w:val="24"/>
          <w:lang w:eastAsia="en-US"/>
        </w:rPr>
        <w:t xml:space="preserve"> study and are considered unlikely to alter the conclusions of the pooled analysis undertaken in that systematic review </w:t>
      </w:r>
      <w:r w:rsidRPr="00E34267">
        <w:rPr>
          <w:rFonts w:eastAsia="Calibri"/>
          <w:noProof/>
          <w:color w:val="000000"/>
          <w:szCs w:val="24"/>
          <w:lang w:eastAsia="en-US"/>
        </w:rPr>
        <w:t>(Marinovich et al. 2013a)</w:t>
      </w:r>
      <w:r w:rsidRPr="00E34267">
        <w:rPr>
          <w:rFonts w:eastAsia="Calibri"/>
          <w:color w:val="000000"/>
          <w:szCs w:val="24"/>
          <w:lang w:eastAsia="en-US"/>
        </w:rPr>
        <w:t>.</w:t>
      </w:r>
    </w:p>
    <w:p w14:paraId="7414F41E"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Change in management</w:t>
      </w:r>
    </w:p>
    <w:p w14:paraId="62E62965"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use of MRI in the detection of residual breast cancer following neoadjuvant treatment would be expected to assist with surgical planning, specifically in determining the most appropriate women for breast-conserving therapy. One prognostic study </w:t>
      </w:r>
      <w:r w:rsidRPr="00E34267">
        <w:rPr>
          <w:rFonts w:eastAsia="Calibri"/>
          <w:noProof/>
          <w:color w:val="000000"/>
          <w:szCs w:val="24"/>
          <w:lang w:eastAsia="en-US"/>
        </w:rPr>
        <w:t>(McGuire et al. 2015)</w:t>
      </w:r>
      <w:r w:rsidRPr="00E34267">
        <w:rPr>
          <w:rFonts w:eastAsia="Calibri"/>
          <w:color w:val="000000"/>
          <w:szCs w:val="24"/>
          <w:lang w:eastAsia="en-US"/>
        </w:rPr>
        <w:t xml:space="preserve"> undertook a multivariate analysis and found that, although MRI response was associated with receipt of a mastectomy (</w:t>
      </w:r>
      <w:r w:rsidRPr="00E34267">
        <w:rPr>
          <w:rFonts w:eastAsia="Calibri"/>
          <w:i/>
          <w:color w:val="000000"/>
          <w:szCs w:val="24"/>
          <w:lang w:eastAsia="en-US"/>
        </w:rPr>
        <w:t>P </w:t>
      </w:r>
      <w:r w:rsidRPr="00E34267">
        <w:rPr>
          <w:rFonts w:eastAsia="Calibri"/>
          <w:color w:val="000000"/>
          <w:szCs w:val="24"/>
          <w:lang w:eastAsia="en-US"/>
        </w:rPr>
        <w:t xml:space="preserve">= 0.04), other factors were as, or more, important, including </w:t>
      </w:r>
      <w:r w:rsidR="00D66CDE">
        <w:rPr>
          <w:rFonts w:eastAsia="Calibri"/>
          <w:color w:val="000000"/>
          <w:szCs w:val="24"/>
          <w:lang w:eastAsia="en-US"/>
        </w:rPr>
        <w:t>o</w:t>
      </w:r>
      <w:r w:rsidRPr="00E34267">
        <w:rPr>
          <w:rFonts w:eastAsia="Calibri"/>
          <w:color w:val="000000"/>
          <w:szCs w:val="24"/>
          <w:lang w:eastAsia="en-US"/>
        </w:rPr>
        <w:t>estrogen receptor status (</w:t>
      </w:r>
      <w:r w:rsidRPr="00E34267">
        <w:rPr>
          <w:rFonts w:eastAsia="Calibri"/>
          <w:i/>
          <w:color w:val="000000"/>
          <w:szCs w:val="24"/>
          <w:lang w:eastAsia="en-US"/>
        </w:rPr>
        <w:t>P </w:t>
      </w:r>
      <w:r w:rsidRPr="00E34267">
        <w:rPr>
          <w:rFonts w:eastAsia="Calibri"/>
          <w:color w:val="000000"/>
          <w:szCs w:val="24"/>
          <w:lang w:eastAsia="en-US"/>
        </w:rPr>
        <w:t>= 0.02), T stage (</w:t>
      </w:r>
      <w:r w:rsidRPr="00E34267">
        <w:rPr>
          <w:rFonts w:eastAsia="Calibri"/>
          <w:i/>
          <w:color w:val="000000"/>
          <w:szCs w:val="24"/>
          <w:lang w:eastAsia="en-US"/>
        </w:rPr>
        <w:t>P </w:t>
      </w:r>
      <w:r w:rsidRPr="00E34267">
        <w:rPr>
          <w:rFonts w:eastAsia="Calibri"/>
          <w:color w:val="000000"/>
          <w:szCs w:val="24"/>
          <w:lang w:eastAsia="en-US"/>
        </w:rPr>
        <w:t>&lt; 0.0001), treating institution (</w:t>
      </w:r>
      <w:r w:rsidRPr="00E34267">
        <w:rPr>
          <w:rFonts w:eastAsia="Calibri"/>
          <w:i/>
          <w:color w:val="000000"/>
          <w:szCs w:val="24"/>
          <w:lang w:eastAsia="en-US"/>
        </w:rPr>
        <w:t>P </w:t>
      </w:r>
      <w:r w:rsidRPr="00E34267">
        <w:rPr>
          <w:rFonts w:eastAsia="Calibri"/>
          <w:color w:val="000000"/>
          <w:szCs w:val="24"/>
          <w:lang w:eastAsia="en-US"/>
        </w:rPr>
        <w:t>= 0.08) and age (</w:t>
      </w:r>
      <w:r w:rsidRPr="00E34267">
        <w:rPr>
          <w:rFonts w:eastAsia="Calibri"/>
          <w:i/>
          <w:color w:val="000000"/>
          <w:szCs w:val="24"/>
          <w:lang w:eastAsia="en-US"/>
        </w:rPr>
        <w:t>P</w:t>
      </w:r>
      <w:r w:rsidRPr="00E34267">
        <w:rPr>
          <w:rFonts w:eastAsia="Calibri"/>
          <w:color w:val="000000"/>
          <w:szCs w:val="24"/>
          <w:lang w:eastAsia="en-US"/>
        </w:rPr>
        <w:t xml:space="preserve"> value not reported). There is insufficient evidence to conclude that breast MRI improves the selection of women for breast-conserving surgery following neoadjuvant chemotherapy.</w:t>
      </w:r>
    </w:p>
    <w:p w14:paraId="32CEE354"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Patient outcomes</w:t>
      </w:r>
    </w:p>
    <w:p w14:paraId="45F3ECF9" w14:textId="77777777" w:rsidR="00E34267" w:rsidRDefault="00E34267" w:rsidP="00D31308">
      <w:pPr>
        <w:rPr>
          <w:rFonts w:eastAsia="Calibri"/>
          <w:color w:val="000000"/>
          <w:szCs w:val="24"/>
          <w:lang w:eastAsia="en-US"/>
        </w:rPr>
      </w:pPr>
      <w:r w:rsidRPr="00E34267">
        <w:rPr>
          <w:rFonts w:eastAsia="Calibri"/>
          <w:color w:val="000000"/>
          <w:szCs w:val="24"/>
          <w:lang w:eastAsia="en-US"/>
        </w:rPr>
        <w:t>No evidence to support an improvement in patient outcomes due to MRI was identified.</w:t>
      </w:r>
    </w:p>
    <w:p w14:paraId="39D6F608" w14:textId="77777777" w:rsidR="00D31308" w:rsidRPr="00E34267" w:rsidRDefault="00D31308" w:rsidP="00D31308">
      <w:pPr>
        <w:rPr>
          <w:rFonts w:eastAsia="Calibri"/>
          <w:color w:val="000000"/>
          <w:szCs w:val="24"/>
          <w:lang w:eastAsia="en-US"/>
        </w:rPr>
      </w:pPr>
    </w:p>
    <w:p w14:paraId="06A96820" w14:textId="77777777" w:rsidR="00E34267" w:rsidRPr="00E34267" w:rsidRDefault="00E34267" w:rsidP="00D31308">
      <w:pPr>
        <w:keepNext/>
        <w:keepLines/>
        <w:spacing w:after="120"/>
        <w:rPr>
          <w:bCs/>
          <w:color w:val="000000"/>
          <w:szCs w:val="24"/>
          <w:u w:val="single"/>
          <w:lang w:eastAsia="en-US"/>
        </w:rPr>
      </w:pPr>
      <w:proofErr w:type="spellStart"/>
      <w:r w:rsidRPr="00E34267">
        <w:rPr>
          <w:bCs/>
          <w:color w:val="000000"/>
          <w:szCs w:val="24"/>
          <w:u w:val="single"/>
          <w:lang w:eastAsia="en-US"/>
        </w:rPr>
        <w:t>Presurgical</w:t>
      </w:r>
      <w:proofErr w:type="spellEnd"/>
      <w:r w:rsidRPr="00E34267">
        <w:rPr>
          <w:bCs/>
          <w:color w:val="000000"/>
          <w:szCs w:val="24"/>
          <w:u w:val="single"/>
          <w:lang w:eastAsia="en-US"/>
        </w:rPr>
        <w:t xml:space="preserve"> planning</w:t>
      </w:r>
    </w:p>
    <w:p w14:paraId="2C0C5796"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Incremental accuracy</w:t>
      </w:r>
    </w:p>
    <w:p w14:paraId="7088E5AA"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incremental accuracy of breast MRI when used as an additional test to mammography was consistent across two systematic reviews that undertook a meta-analysis of this outcome </w:t>
      </w:r>
      <w:r w:rsidRPr="00E34267">
        <w:rPr>
          <w:rFonts w:eastAsia="Calibri"/>
          <w:noProof/>
          <w:color w:val="000000"/>
          <w:szCs w:val="24"/>
          <w:lang w:eastAsia="en-US"/>
        </w:rPr>
        <w:t>(Houssami et al. 2008, Plana et al. 2012)</w:t>
      </w:r>
      <w:r w:rsidRPr="00E34267">
        <w:rPr>
          <w:rFonts w:eastAsia="Calibri"/>
          <w:color w:val="000000"/>
          <w:szCs w:val="24"/>
          <w:lang w:eastAsia="en-US"/>
        </w:rPr>
        <w:t>. These reviews found that MRI will detect additional lesions (in the same breast) in up to 20% of women, of which approximately two-thirds will be confirmed as malignant. That is, for every three women with an additional lesion identified by MRI, two will have a true-positive and one will have a false-positive.</w:t>
      </w:r>
    </w:p>
    <w:p w14:paraId="4EDF923C"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Change in management</w:t>
      </w:r>
    </w:p>
    <w:p w14:paraId="71F9DBCA"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In a systematic review of comparative cohorts in which odds ratios were adjusted for potentially confounding factors, preoperative MRI significantly increased the overall mastectomy rate (25.5% in those with MRI versus 18.2% in no-MRI patients, adjusted odds ratio [OR], 1.51 [</w:t>
      </w:r>
      <w:r w:rsidRPr="00E34267">
        <w:rPr>
          <w:rFonts w:eastAsia="Calibri"/>
          <w:i/>
          <w:iCs/>
          <w:color w:val="000000"/>
          <w:szCs w:val="24"/>
          <w:lang w:eastAsia="en-US"/>
        </w:rPr>
        <w:t>P</w:t>
      </w:r>
      <w:r w:rsidRPr="00E34267">
        <w:rPr>
          <w:rFonts w:eastAsia="Calibri"/>
          <w:color w:val="000000"/>
          <w:szCs w:val="24"/>
          <w:lang w:eastAsia="en-US"/>
        </w:rPr>
        <w:t xml:space="preserve"> &lt; 0.001]). Despite significantly increasing the initial mastectomy rate, MRI did not significantly reduce the proportion of patients with incomplete excision or the odds of re-operation </w:t>
      </w:r>
      <w:r w:rsidRPr="00E34267">
        <w:rPr>
          <w:rFonts w:eastAsia="Calibri"/>
          <w:noProof/>
          <w:color w:val="000000"/>
          <w:szCs w:val="24"/>
          <w:lang w:eastAsia="en-US"/>
        </w:rPr>
        <w:t>(Houssami et al. 2013)</w:t>
      </w:r>
      <w:r w:rsidRPr="00E34267">
        <w:rPr>
          <w:rFonts w:eastAsia="Calibri"/>
          <w:color w:val="000000"/>
          <w:szCs w:val="24"/>
          <w:lang w:eastAsia="en-US"/>
        </w:rPr>
        <w:t>.</w:t>
      </w:r>
    </w:p>
    <w:p w14:paraId="1971C5FA" w14:textId="2BD27CBE"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In the included randomised controlled trials</w:t>
      </w:r>
      <w:r w:rsidRPr="00E34267">
        <w:rPr>
          <w:rFonts w:eastAsia="Calibri"/>
          <w:noProof/>
          <w:color w:val="000000"/>
          <w:szCs w:val="24"/>
          <w:lang w:eastAsia="en-US"/>
        </w:rPr>
        <w:t xml:space="preserve"> (Peters et al. 2011, Turnbull et al. 2010b)</w:t>
      </w:r>
      <w:r w:rsidRPr="00E34267">
        <w:rPr>
          <w:rFonts w:eastAsia="Calibri"/>
          <w:color w:val="000000"/>
          <w:szCs w:val="24"/>
          <w:lang w:eastAsia="en-US"/>
        </w:rPr>
        <w:t xml:space="preserve">, preoperative MRI was found to have no statistically significant effect on either the initial mastectomy rate, the re-operation rate or the overall mastectomy rate , although the trend was towards a higher overall rate of mastectomies. </w:t>
      </w:r>
      <w:r w:rsidR="00F30882" w:rsidRPr="00E34267">
        <w:rPr>
          <w:rFonts w:eastAsia="Calibri"/>
          <w:noProof/>
          <w:color w:val="000000"/>
          <w:szCs w:val="24"/>
          <w:lang w:eastAsia="en-US"/>
        </w:rPr>
        <w:t>Gonzalez et al. 2014</w:t>
      </w:r>
      <w:r w:rsidR="00F30882">
        <w:rPr>
          <w:rFonts w:eastAsia="Calibri"/>
          <w:noProof/>
          <w:color w:val="000000"/>
          <w:szCs w:val="24"/>
          <w:lang w:eastAsia="en-US"/>
        </w:rPr>
        <w:t xml:space="preserve"> found a significant reduction in the breast reoperation rate for the MRI group.</w:t>
      </w:r>
    </w:p>
    <w:p w14:paraId="3CC4C962"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lastRenderedPageBreak/>
        <w:t>Combined, the systematic review and randomised controlled trials suggest no benefit of breast MRI in reducing rates of reintervention, and suggest a potential for harm in increasing the rate of unnecessary mastectomies when MRI is used as routine practice in newly diagnosed women.</w:t>
      </w:r>
    </w:p>
    <w:p w14:paraId="646E8BF7"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Patient outcomes</w:t>
      </w:r>
    </w:p>
    <w:p w14:paraId="7FFC7AFD"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most critical patient-relevant health outcomes in the treatment of breast cancer are survival and recurrence. An individual patient data meta-analysis including data from 4 comparative cohorts that included 3,180 affected breasts, found no significant difference in 8-year local and distant recurrence for MRI versus no MRI </w:t>
      </w:r>
      <w:r w:rsidRPr="00E34267">
        <w:rPr>
          <w:rFonts w:eastAsia="Calibri"/>
          <w:noProof/>
          <w:color w:val="000000"/>
          <w:szCs w:val="24"/>
          <w:lang w:eastAsia="en-US"/>
        </w:rPr>
        <w:t>(Houssami et al. 2014)</w:t>
      </w:r>
      <w:r w:rsidRPr="00E34267">
        <w:rPr>
          <w:rFonts w:eastAsia="Calibri"/>
          <w:color w:val="000000"/>
          <w:szCs w:val="24"/>
          <w:lang w:eastAsia="en-US"/>
        </w:rPr>
        <w:t>.</w:t>
      </w:r>
    </w:p>
    <w:p w14:paraId="14072A35" w14:textId="77777777" w:rsidR="00E34267" w:rsidRPr="007A2975" w:rsidRDefault="00E34267" w:rsidP="00E34267">
      <w:pPr>
        <w:tabs>
          <w:tab w:val="left" w:pos="720"/>
          <w:tab w:val="left" w:pos="1134"/>
        </w:tabs>
        <w:spacing w:before="120"/>
        <w:ind w:left="1134" w:hanging="1134"/>
        <w:rPr>
          <w:rFonts w:ascii="Arial Narrow" w:hAnsi="Arial Narrow"/>
          <w:b/>
          <w:sz w:val="20"/>
        </w:rPr>
      </w:pPr>
      <w:bookmarkStart w:id="19" w:name="_Toc408487936"/>
      <w:r w:rsidRPr="007A2975">
        <w:rPr>
          <w:rFonts w:ascii="Arial Narrow" w:hAnsi="Arial Narrow"/>
          <w:b/>
          <w:sz w:val="20"/>
        </w:rPr>
        <w:t>Table 3</w:t>
      </w:r>
      <w:r w:rsidRPr="007A2975">
        <w:rPr>
          <w:rFonts w:ascii="Arial Narrow" w:hAnsi="Arial Narrow"/>
          <w:b/>
          <w:sz w:val="20"/>
        </w:rPr>
        <w:tab/>
      </w:r>
      <w:r w:rsidRPr="007A2975">
        <w:rPr>
          <w:rFonts w:ascii="Arial Narrow" w:hAnsi="Arial Narrow"/>
          <w:b/>
          <w:sz w:val="20"/>
        </w:rPr>
        <w:tab/>
        <w:t xml:space="preserve">Surgical outcomes: comparison of findings from meta-analysis of </w:t>
      </w:r>
      <w:proofErr w:type="spellStart"/>
      <w:r w:rsidRPr="007A2975">
        <w:rPr>
          <w:rFonts w:ascii="Arial Narrow" w:hAnsi="Arial Narrow"/>
          <w:b/>
          <w:sz w:val="20"/>
        </w:rPr>
        <w:t>Houssami</w:t>
      </w:r>
      <w:proofErr w:type="spellEnd"/>
      <w:r w:rsidRPr="007A2975">
        <w:rPr>
          <w:rFonts w:ascii="Arial Narrow" w:hAnsi="Arial Narrow"/>
          <w:b/>
          <w:sz w:val="20"/>
        </w:rPr>
        <w:t xml:space="preserve"> et al. (2013) and the three included randomised controlled trials (Gonzalez et al. 2014, Peters et al. 2011, </w:t>
      </w:r>
      <w:proofErr w:type="gramStart"/>
      <w:r w:rsidRPr="007A2975">
        <w:rPr>
          <w:rFonts w:ascii="Arial Narrow" w:hAnsi="Arial Narrow"/>
          <w:b/>
          <w:sz w:val="20"/>
        </w:rPr>
        <w:t>Turnbull</w:t>
      </w:r>
      <w:proofErr w:type="gramEnd"/>
      <w:r w:rsidRPr="007A2975">
        <w:rPr>
          <w:rFonts w:ascii="Arial Narrow" w:hAnsi="Arial Narrow"/>
          <w:b/>
          <w:sz w:val="20"/>
        </w:rPr>
        <w:t xml:space="preserve"> et al. 2010b)</w:t>
      </w:r>
      <w:bookmarkEnd w:id="19"/>
    </w:p>
    <w:tbl>
      <w:tblPr>
        <w:tblStyle w:val="TableGrid1"/>
        <w:tblW w:w="5000" w:type="pct"/>
        <w:tblLook w:val="04A0" w:firstRow="1" w:lastRow="0" w:firstColumn="1" w:lastColumn="0" w:noHBand="0" w:noVBand="1"/>
        <w:tblCaption w:val="Surgical outcomes: comparison of findings from meta-analysis of Houssami et al. (2013) and the three included randomised controlled trials (Gonzalez et al. 2014, Peters et al. 2011, Turnbull et al. 2010b)"/>
      </w:tblPr>
      <w:tblGrid>
        <w:gridCol w:w="1908"/>
        <w:gridCol w:w="2444"/>
        <w:gridCol w:w="2445"/>
        <w:gridCol w:w="2445"/>
      </w:tblGrid>
      <w:tr w:rsidR="00E34267" w:rsidRPr="00F30882" w14:paraId="35FE44FF" w14:textId="77777777" w:rsidTr="00E34267">
        <w:trPr>
          <w:cantSplit/>
          <w:tblHeader/>
        </w:trPr>
        <w:tc>
          <w:tcPr>
            <w:tcW w:w="1908" w:type="dxa"/>
          </w:tcPr>
          <w:p w14:paraId="71EAF51D" w14:textId="77777777" w:rsidR="00E34267" w:rsidRPr="007A2975" w:rsidRDefault="00E34267" w:rsidP="00E34267">
            <w:pPr>
              <w:keepNext/>
              <w:spacing w:before="40" w:after="40"/>
              <w:rPr>
                <w:rFonts w:ascii="Arial Narrow" w:eastAsia="Calibri" w:hAnsi="Arial Narrow"/>
                <w:b/>
                <w:color w:val="000000"/>
                <w:sz w:val="20"/>
                <w:lang w:eastAsia="en-US"/>
              </w:rPr>
            </w:pPr>
            <w:r w:rsidRPr="007A2975">
              <w:rPr>
                <w:rFonts w:ascii="Arial Narrow" w:eastAsia="Calibri" w:hAnsi="Arial Narrow"/>
                <w:b/>
                <w:color w:val="000000"/>
                <w:sz w:val="20"/>
                <w:lang w:eastAsia="en-US"/>
              </w:rPr>
              <w:t>Data source</w:t>
            </w:r>
          </w:p>
        </w:tc>
        <w:tc>
          <w:tcPr>
            <w:tcW w:w="2444" w:type="dxa"/>
          </w:tcPr>
          <w:p w14:paraId="5DCA4CC6" w14:textId="77777777" w:rsidR="00E34267" w:rsidRPr="007A2975" w:rsidRDefault="00E34267" w:rsidP="00E34267">
            <w:pPr>
              <w:keepNext/>
              <w:spacing w:before="40" w:after="40"/>
              <w:rPr>
                <w:rFonts w:ascii="Arial Narrow" w:eastAsia="Calibri" w:hAnsi="Arial Narrow"/>
                <w:b/>
                <w:color w:val="000000"/>
                <w:sz w:val="20"/>
                <w:lang w:eastAsia="en-US"/>
              </w:rPr>
            </w:pPr>
            <w:r w:rsidRPr="007A2975">
              <w:rPr>
                <w:rFonts w:ascii="Arial Narrow" w:eastAsia="Calibri" w:hAnsi="Arial Narrow"/>
                <w:b/>
                <w:color w:val="000000"/>
                <w:sz w:val="20"/>
                <w:lang w:eastAsia="en-US"/>
              </w:rPr>
              <w:t>Initial mastectomy</w:t>
            </w:r>
          </w:p>
        </w:tc>
        <w:tc>
          <w:tcPr>
            <w:tcW w:w="2445" w:type="dxa"/>
          </w:tcPr>
          <w:p w14:paraId="34F02FDB" w14:textId="77777777" w:rsidR="00E34267" w:rsidRPr="007A2975" w:rsidRDefault="00E34267" w:rsidP="00E34267">
            <w:pPr>
              <w:keepNext/>
              <w:spacing w:before="40" w:after="40"/>
              <w:rPr>
                <w:rFonts w:ascii="Arial Narrow" w:eastAsia="Calibri" w:hAnsi="Arial Narrow"/>
                <w:b/>
                <w:color w:val="000000"/>
                <w:sz w:val="20"/>
                <w:lang w:eastAsia="en-US"/>
              </w:rPr>
            </w:pPr>
            <w:r w:rsidRPr="007A2975">
              <w:rPr>
                <w:rFonts w:ascii="Arial Narrow" w:eastAsia="Calibri" w:hAnsi="Arial Narrow"/>
                <w:b/>
                <w:color w:val="000000"/>
                <w:sz w:val="20"/>
                <w:lang w:eastAsia="en-US"/>
              </w:rPr>
              <w:t>Re-operation</w:t>
            </w:r>
          </w:p>
        </w:tc>
        <w:tc>
          <w:tcPr>
            <w:tcW w:w="2445" w:type="dxa"/>
          </w:tcPr>
          <w:p w14:paraId="7D68BBEC" w14:textId="77777777" w:rsidR="00E34267" w:rsidRPr="007A2975" w:rsidRDefault="00E34267" w:rsidP="00E34267">
            <w:pPr>
              <w:keepNext/>
              <w:spacing w:before="40" w:after="40"/>
              <w:rPr>
                <w:rFonts w:ascii="Arial Narrow" w:eastAsia="Calibri" w:hAnsi="Arial Narrow"/>
                <w:b/>
                <w:color w:val="000000"/>
                <w:sz w:val="20"/>
                <w:lang w:eastAsia="en-US"/>
              </w:rPr>
            </w:pPr>
            <w:r w:rsidRPr="007A2975">
              <w:rPr>
                <w:rFonts w:ascii="Arial Narrow" w:eastAsia="Calibri" w:hAnsi="Arial Narrow"/>
                <w:b/>
                <w:color w:val="000000"/>
                <w:sz w:val="20"/>
                <w:lang w:eastAsia="en-US"/>
              </w:rPr>
              <w:t>Overall mastectomy</w:t>
            </w:r>
          </w:p>
        </w:tc>
      </w:tr>
      <w:tr w:rsidR="00E34267" w:rsidRPr="00F30882" w14:paraId="61B2927A" w14:textId="77777777" w:rsidTr="00E34267">
        <w:trPr>
          <w:cantSplit/>
        </w:trPr>
        <w:tc>
          <w:tcPr>
            <w:tcW w:w="1908" w:type="dxa"/>
          </w:tcPr>
          <w:p w14:paraId="76A9B2A4" w14:textId="77777777" w:rsidR="00E34267" w:rsidRPr="007A2975" w:rsidRDefault="00E34267" w:rsidP="00E34267">
            <w:pPr>
              <w:keepNext/>
              <w:spacing w:before="40" w:after="40"/>
              <w:rPr>
                <w:rFonts w:ascii="Arial Narrow" w:eastAsia="Calibri" w:hAnsi="Arial Narrow"/>
                <w:color w:val="000000"/>
                <w:sz w:val="20"/>
                <w:lang w:eastAsia="en-US"/>
              </w:rPr>
            </w:pPr>
            <w:proofErr w:type="spellStart"/>
            <w:r w:rsidRPr="007A2975">
              <w:rPr>
                <w:rFonts w:ascii="Arial Narrow" w:eastAsia="Calibri" w:hAnsi="Arial Narrow"/>
                <w:color w:val="000000"/>
                <w:sz w:val="20"/>
                <w:lang w:eastAsia="en-US"/>
              </w:rPr>
              <w:t>Houssami</w:t>
            </w:r>
            <w:proofErr w:type="spellEnd"/>
            <w:r w:rsidRPr="007A2975">
              <w:rPr>
                <w:rFonts w:ascii="Arial Narrow" w:eastAsia="Calibri" w:hAnsi="Arial Narrow"/>
                <w:color w:val="000000"/>
                <w:sz w:val="20"/>
                <w:lang w:eastAsia="en-US"/>
              </w:rPr>
              <w:t xml:space="preserve"> et al. (2013)</w:t>
            </w:r>
          </w:p>
        </w:tc>
        <w:tc>
          <w:tcPr>
            <w:tcW w:w="2444" w:type="dxa"/>
          </w:tcPr>
          <w:p w14:paraId="67372CC5" w14:textId="77777777" w:rsidR="00E34267" w:rsidRPr="007A2975" w:rsidRDefault="00E34267" w:rsidP="00E34267">
            <w:pPr>
              <w:keepNext/>
              <w:spacing w:before="40" w:after="40"/>
              <w:rPr>
                <w:rFonts w:ascii="Arial Narrow" w:eastAsia="Calibri" w:hAnsi="Arial Narrow"/>
                <w:color w:val="000000"/>
                <w:sz w:val="20"/>
                <w:lang w:eastAsia="en-US"/>
              </w:rPr>
            </w:pPr>
            <w:r w:rsidRPr="007A2975">
              <w:rPr>
                <w:rFonts w:ascii="Arial Narrow" w:eastAsia="Calibri" w:hAnsi="Arial Narrow"/>
                <w:color w:val="000000"/>
                <w:sz w:val="20"/>
                <w:lang w:eastAsia="en-US"/>
              </w:rPr>
              <w:t xml:space="preserve">Adjusted OR, 3.06 [95% CI: 2.03–4.62], </w:t>
            </w:r>
            <w:r w:rsidRPr="007A2975">
              <w:rPr>
                <w:rFonts w:ascii="Arial Narrow" w:eastAsia="Calibri" w:hAnsi="Arial Narrow"/>
                <w:i/>
                <w:color w:val="000000"/>
                <w:sz w:val="20"/>
                <w:lang w:eastAsia="en-US"/>
              </w:rPr>
              <w:t>P</w:t>
            </w:r>
            <w:r w:rsidRPr="007A2975">
              <w:rPr>
                <w:rFonts w:ascii="Arial Narrow" w:eastAsia="Calibri" w:hAnsi="Arial Narrow"/>
                <w:color w:val="000000"/>
                <w:sz w:val="20"/>
                <w:lang w:eastAsia="en-US"/>
              </w:rPr>
              <w:t> = &lt;0.001</w:t>
            </w:r>
          </w:p>
        </w:tc>
        <w:tc>
          <w:tcPr>
            <w:tcW w:w="2445" w:type="dxa"/>
          </w:tcPr>
          <w:p w14:paraId="4ABD70AF" w14:textId="77777777" w:rsidR="00E34267" w:rsidRPr="007A2975" w:rsidRDefault="00E34267" w:rsidP="00E34267">
            <w:pPr>
              <w:keepNext/>
              <w:spacing w:before="40" w:after="40"/>
              <w:rPr>
                <w:rFonts w:ascii="Arial Narrow" w:eastAsia="Calibri" w:hAnsi="Arial Narrow"/>
                <w:color w:val="000000"/>
                <w:sz w:val="20"/>
                <w:lang w:eastAsia="en-US"/>
              </w:rPr>
            </w:pPr>
            <w:r w:rsidRPr="007A2975">
              <w:rPr>
                <w:rFonts w:ascii="Arial Narrow" w:eastAsia="Calibri" w:hAnsi="Arial Narrow"/>
                <w:color w:val="000000"/>
                <w:sz w:val="20"/>
                <w:lang w:eastAsia="en-US"/>
              </w:rPr>
              <w:t>Adjusted OR, 0.95 [95% CI: 0.73–1.24],</w:t>
            </w:r>
            <w:r w:rsidRPr="007A2975">
              <w:rPr>
                <w:rFonts w:ascii="Arial Narrow" w:eastAsia="Calibri" w:hAnsi="Arial Narrow"/>
                <w:color w:val="000000"/>
                <w:sz w:val="20"/>
                <w:lang w:eastAsia="en-US"/>
              </w:rPr>
              <w:br/>
            </w:r>
            <w:r w:rsidRPr="007A2975">
              <w:rPr>
                <w:rFonts w:ascii="Arial Narrow" w:eastAsia="Calibri" w:hAnsi="Arial Narrow"/>
                <w:i/>
                <w:color w:val="000000"/>
                <w:sz w:val="20"/>
                <w:lang w:eastAsia="en-US"/>
              </w:rPr>
              <w:t>P</w:t>
            </w:r>
            <w:r w:rsidRPr="007A2975">
              <w:rPr>
                <w:rFonts w:ascii="Arial Narrow" w:eastAsia="Calibri" w:hAnsi="Arial Narrow"/>
                <w:color w:val="000000"/>
                <w:sz w:val="20"/>
                <w:lang w:eastAsia="en-US"/>
              </w:rPr>
              <w:t> = 0.71*</w:t>
            </w:r>
          </w:p>
        </w:tc>
        <w:tc>
          <w:tcPr>
            <w:tcW w:w="2445" w:type="dxa"/>
          </w:tcPr>
          <w:p w14:paraId="6098D1B9" w14:textId="77777777" w:rsidR="00E34267" w:rsidRPr="007A2975" w:rsidRDefault="00E34267" w:rsidP="00E34267">
            <w:pPr>
              <w:keepNext/>
              <w:spacing w:before="40" w:after="40"/>
              <w:rPr>
                <w:rFonts w:ascii="Arial Narrow" w:eastAsia="Calibri" w:hAnsi="Arial Narrow"/>
                <w:color w:val="000000"/>
                <w:sz w:val="20"/>
                <w:lang w:eastAsia="en-US"/>
              </w:rPr>
            </w:pPr>
            <w:r w:rsidRPr="007A2975">
              <w:rPr>
                <w:rFonts w:ascii="Arial Narrow" w:eastAsia="Calibri" w:hAnsi="Arial Narrow"/>
                <w:color w:val="000000"/>
                <w:sz w:val="20"/>
                <w:lang w:eastAsia="en-US"/>
              </w:rPr>
              <w:t xml:space="preserve">Adjusted OR, 1.51 [95% CI: 1.21–1.89], </w:t>
            </w:r>
            <w:r w:rsidRPr="007A2975">
              <w:rPr>
                <w:rFonts w:ascii="Arial Narrow" w:eastAsia="Calibri" w:hAnsi="Arial Narrow"/>
                <w:i/>
                <w:color w:val="000000"/>
                <w:sz w:val="20"/>
                <w:lang w:eastAsia="en-US"/>
              </w:rPr>
              <w:t>P</w:t>
            </w:r>
            <w:r w:rsidRPr="007A2975">
              <w:rPr>
                <w:rFonts w:ascii="Arial Narrow" w:eastAsia="Calibri" w:hAnsi="Arial Narrow"/>
                <w:color w:val="000000"/>
                <w:sz w:val="20"/>
                <w:lang w:eastAsia="en-US"/>
              </w:rPr>
              <w:t> = &lt;0.001</w:t>
            </w:r>
          </w:p>
        </w:tc>
      </w:tr>
      <w:tr w:rsidR="00E34267" w:rsidRPr="00F30882" w14:paraId="0C119B2D" w14:textId="77777777" w:rsidTr="00E34267">
        <w:trPr>
          <w:cantSplit/>
        </w:trPr>
        <w:tc>
          <w:tcPr>
            <w:tcW w:w="1908" w:type="dxa"/>
          </w:tcPr>
          <w:p w14:paraId="1AAA3E38" w14:textId="77777777" w:rsidR="00E34267" w:rsidRPr="007A2975" w:rsidRDefault="00E34267" w:rsidP="00E34267">
            <w:pPr>
              <w:keepNext/>
              <w:spacing w:before="40" w:after="40"/>
              <w:rPr>
                <w:rFonts w:ascii="Arial Narrow" w:eastAsia="Calibri" w:hAnsi="Arial Narrow"/>
                <w:color w:val="000000"/>
                <w:sz w:val="20"/>
                <w:lang w:eastAsia="en-US"/>
              </w:rPr>
            </w:pPr>
            <w:r w:rsidRPr="007A2975">
              <w:rPr>
                <w:rFonts w:ascii="Arial Narrow" w:eastAsia="Calibri" w:hAnsi="Arial Narrow"/>
                <w:color w:val="000000"/>
                <w:sz w:val="20"/>
                <w:lang w:eastAsia="en-US"/>
              </w:rPr>
              <w:t xml:space="preserve">Meta-analysis of RCTs </w:t>
            </w:r>
          </w:p>
        </w:tc>
        <w:tc>
          <w:tcPr>
            <w:tcW w:w="2444" w:type="dxa"/>
          </w:tcPr>
          <w:p w14:paraId="1021B367" w14:textId="77777777" w:rsidR="00E34267" w:rsidRPr="007A2975" w:rsidRDefault="00E34267" w:rsidP="00E34267">
            <w:pPr>
              <w:keepNext/>
              <w:spacing w:before="40" w:after="40"/>
              <w:rPr>
                <w:rFonts w:ascii="Arial Narrow" w:eastAsia="Calibri" w:hAnsi="Arial Narrow"/>
                <w:color w:val="000000"/>
                <w:sz w:val="20"/>
                <w:lang w:eastAsia="en-US"/>
              </w:rPr>
            </w:pPr>
            <w:r w:rsidRPr="007A2975">
              <w:rPr>
                <w:rFonts w:ascii="Arial Narrow" w:eastAsia="Calibri" w:hAnsi="Arial Narrow"/>
                <w:color w:val="000000"/>
                <w:sz w:val="20"/>
                <w:lang w:eastAsia="en-US"/>
              </w:rPr>
              <w:t xml:space="preserve">RR, 1.73 [95% CI: 0.71–4.21], </w:t>
            </w:r>
            <w:r w:rsidRPr="007A2975">
              <w:rPr>
                <w:rFonts w:ascii="Arial Narrow" w:eastAsia="Calibri" w:hAnsi="Arial Narrow"/>
                <w:i/>
                <w:color w:val="000000"/>
                <w:sz w:val="20"/>
                <w:lang w:eastAsia="en-US"/>
              </w:rPr>
              <w:t>P</w:t>
            </w:r>
            <w:r w:rsidRPr="007A2975">
              <w:rPr>
                <w:rFonts w:ascii="Arial Narrow" w:eastAsia="Calibri" w:hAnsi="Arial Narrow"/>
                <w:color w:val="000000"/>
                <w:sz w:val="20"/>
                <w:lang w:eastAsia="en-US"/>
              </w:rPr>
              <w:t> = 0.23</w:t>
            </w:r>
          </w:p>
        </w:tc>
        <w:tc>
          <w:tcPr>
            <w:tcW w:w="2445" w:type="dxa"/>
          </w:tcPr>
          <w:p w14:paraId="77EC2DB6" w14:textId="77777777" w:rsidR="00E34267" w:rsidRPr="007A2975" w:rsidRDefault="00E34267" w:rsidP="00E34267">
            <w:pPr>
              <w:keepNext/>
              <w:spacing w:before="40" w:after="40"/>
              <w:rPr>
                <w:rFonts w:ascii="Arial Narrow" w:eastAsia="Calibri" w:hAnsi="Arial Narrow"/>
                <w:color w:val="000000"/>
                <w:sz w:val="20"/>
                <w:lang w:eastAsia="en-US"/>
              </w:rPr>
            </w:pPr>
            <w:r w:rsidRPr="007A2975">
              <w:rPr>
                <w:rFonts w:ascii="Arial Narrow" w:eastAsia="Calibri" w:hAnsi="Arial Narrow"/>
                <w:color w:val="000000"/>
                <w:sz w:val="20"/>
                <w:lang w:eastAsia="en-US"/>
              </w:rPr>
              <w:t xml:space="preserve">RR, 0.84 [95% CI: 0.44–1.59], </w:t>
            </w:r>
            <w:r w:rsidRPr="007A2975">
              <w:rPr>
                <w:rFonts w:ascii="Arial Narrow" w:eastAsia="Calibri" w:hAnsi="Arial Narrow"/>
                <w:i/>
                <w:color w:val="000000"/>
                <w:sz w:val="20"/>
                <w:lang w:eastAsia="en-US"/>
              </w:rPr>
              <w:t>P</w:t>
            </w:r>
            <w:r w:rsidRPr="007A2975">
              <w:rPr>
                <w:rFonts w:ascii="Arial Narrow" w:eastAsia="Calibri" w:hAnsi="Arial Narrow"/>
                <w:color w:val="000000"/>
                <w:sz w:val="20"/>
                <w:lang w:eastAsia="en-US"/>
              </w:rPr>
              <w:t> = 0.58†</w:t>
            </w:r>
          </w:p>
        </w:tc>
        <w:tc>
          <w:tcPr>
            <w:tcW w:w="2445" w:type="dxa"/>
          </w:tcPr>
          <w:p w14:paraId="3AA2A145" w14:textId="77777777" w:rsidR="00E34267" w:rsidRPr="007A2975" w:rsidRDefault="00E34267" w:rsidP="00E34267">
            <w:pPr>
              <w:keepNext/>
              <w:spacing w:before="40" w:after="40"/>
              <w:rPr>
                <w:rFonts w:ascii="Arial Narrow" w:eastAsia="Calibri" w:hAnsi="Arial Narrow"/>
                <w:color w:val="000000"/>
                <w:sz w:val="20"/>
                <w:lang w:eastAsia="en-US"/>
              </w:rPr>
            </w:pPr>
            <w:r w:rsidRPr="007A2975">
              <w:rPr>
                <w:rFonts w:ascii="Arial Narrow" w:eastAsia="Calibri" w:hAnsi="Arial Narrow"/>
                <w:color w:val="000000"/>
                <w:sz w:val="20"/>
                <w:lang w:eastAsia="en-US"/>
              </w:rPr>
              <w:t xml:space="preserve">RR, 1.11 [95% CI: 0.82–1.50], </w:t>
            </w:r>
            <w:r w:rsidRPr="007A2975">
              <w:rPr>
                <w:rFonts w:ascii="Arial Narrow" w:eastAsia="Calibri" w:hAnsi="Arial Narrow"/>
                <w:i/>
                <w:color w:val="000000"/>
                <w:sz w:val="20"/>
                <w:lang w:eastAsia="en-US"/>
              </w:rPr>
              <w:t>P</w:t>
            </w:r>
            <w:r w:rsidRPr="007A2975">
              <w:rPr>
                <w:rFonts w:ascii="Arial Narrow" w:eastAsia="Calibri" w:hAnsi="Arial Narrow"/>
                <w:color w:val="000000"/>
                <w:sz w:val="20"/>
                <w:lang w:eastAsia="en-US"/>
              </w:rPr>
              <w:t> = 0.49</w:t>
            </w:r>
          </w:p>
        </w:tc>
      </w:tr>
    </w:tbl>
    <w:p w14:paraId="1A7ACF4A" w14:textId="77777777" w:rsidR="00E34267" w:rsidRPr="00E34267" w:rsidRDefault="00E34267" w:rsidP="00E34267">
      <w:pPr>
        <w:keepLines/>
        <w:rPr>
          <w:rFonts w:ascii="Arial Narrow" w:hAnsi="Arial Narrow"/>
          <w:color w:val="000000"/>
          <w:sz w:val="16"/>
          <w:szCs w:val="16"/>
        </w:rPr>
      </w:pPr>
      <w:r w:rsidRPr="00E34267">
        <w:rPr>
          <w:rFonts w:ascii="Arial Narrow" w:hAnsi="Arial Narrow"/>
          <w:color w:val="000000"/>
          <w:sz w:val="16"/>
          <w:szCs w:val="16"/>
        </w:rPr>
        <w:t>Abbreviations: OR = odds ratio; RCT = randomised controlled trial; RR = relative risk</w:t>
      </w:r>
    </w:p>
    <w:p w14:paraId="746EF75D" w14:textId="77777777" w:rsidR="00E34267" w:rsidRPr="00E34267" w:rsidRDefault="00E34267" w:rsidP="00E34267">
      <w:pPr>
        <w:keepLines/>
        <w:rPr>
          <w:rFonts w:ascii="Arial Narrow" w:hAnsi="Arial Narrow"/>
          <w:color w:val="000000"/>
          <w:sz w:val="16"/>
          <w:szCs w:val="16"/>
        </w:rPr>
      </w:pPr>
      <w:r w:rsidRPr="00E34267">
        <w:rPr>
          <w:rFonts w:ascii="Arial Narrow" w:hAnsi="Arial Narrow"/>
          <w:color w:val="000000"/>
          <w:sz w:val="16"/>
          <w:szCs w:val="16"/>
        </w:rPr>
        <w:t>* Re-operation: re-excision or further wide-local excision</w:t>
      </w:r>
    </w:p>
    <w:p w14:paraId="60148E70" w14:textId="77777777" w:rsidR="00E34267" w:rsidRPr="00E34267" w:rsidRDefault="00E34267" w:rsidP="00E34267">
      <w:pPr>
        <w:spacing w:after="360"/>
        <w:rPr>
          <w:rFonts w:ascii="Arial Narrow" w:hAnsi="Arial Narrow"/>
          <w:color w:val="000000"/>
          <w:sz w:val="16"/>
          <w:szCs w:val="16"/>
        </w:rPr>
      </w:pPr>
      <w:r w:rsidRPr="00E34267">
        <w:rPr>
          <w:rFonts w:ascii="Arial Narrow" w:hAnsi="Arial Narrow"/>
          <w:color w:val="000000"/>
          <w:sz w:val="16"/>
          <w:szCs w:val="16"/>
          <w:vertAlign w:val="superscript"/>
        </w:rPr>
        <w:t>†</w:t>
      </w:r>
      <w:r w:rsidRPr="00E34267">
        <w:rPr>
          <w:rFonts w:ascii="Arial Narrow" w:hAnsi="Arial Narrow"/>
          <w:color w:val="000000"/>
          <w:sz w:val="16"/>
          <w:szCs w:val="16"/>
        </w:rPr>
        <w:t xml:space="preserve"> Re-operation: re-excision or further wide-local excision or conversion to mastectomy</w:t>
      </w:r>
    </w:p>
    <w:p w14:paraId="0FA94F02"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data on the use of breast MRI in routine </w:t>
      </w:r>
      <w:proofErr w:type="spellStart"/>
      <w:r w:rsidRPr="00E34267">
        <w:rPr>
          <w:rFonts w:eastAsia="Calibri"/>
          <w:color w:val="000000"/>
          <w:szCs w:val="24"/>
          <w:lang w:eastAsia="en-US"/>
        </w:rPr>
        <w:t>presurgical</w:t>
      </w:r>
      <w:proofErr w:type="spellEnd"/>
      <w:r w:rsidRPr="00E34267">
        <w:rPr>
          <w:rFonts w:eastAsia="Calibri"/>
          <w:color w:val="000000"/>
          <w:szCs w:val="24"/>
          <w:lang w:eastAsia="en-US"/>
        </w:rPr>
        <w:t xml:space="preserve"> planning (</w:t>
      </w:r>
      <w:proofErr w:type="spellStart"/>
      <w:r w:rsidRPr="00E34267">
        <w:rPr>
          <w:rFonts w:eastAsia="Calibri"/>
          <w:color w:val="000000"/>
          <w:szCs w:val="24"/>
          <w:lang w:eastAsia="en-US"/>
        </w:rPr>
        <w:t>ie</w:t>
      </w:r>
      <w:proofErr w:type="spellEnd"/>
      <w:r w:rsidRPr="00E34267">
        <w:rPr>
          <w:rFonts w:eastAsia="Calibri"/>
          <w:color w:val="000000"/>
          <w:szCs w:val="24"/>
          <w:lang w:eastAsia="en-US"/>
        </w:rPr>
        <w:t xml:space="preserve"> in a general population) is presented because there is a large and consistent body of evidence demonstrating that despite detecting more disease, breast MRI is not shown to improve surgical outcomes or to reduce recurrence rates. </w:t>
      </w:r>
    </w:p>
    <w:p w14:paraId="6D48BDEA"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This body of evidence is relevant to the populations being assessed in this review for two reasons. Firstly, that the sub-populations being assessed in this review, when combined, make up a large proportion of the routine or general breast cancer population. Secondly, that a case for the use of breast MRI in a sub-population of women can be built on the difference between these sub-populations and the general population and the difference in performance or impact of preoperative breast MRI.</w:t>
      </w:r>
    </w:p>
    <w:p w14:paraId="1AAAB112" w14:textId="77777777" w:rsidR="00E34267" w:rsidRPr="00E34267" w:rsidRDefault="00E34267" w:rsidP="00E34267">
      <w:pPr>
        <w:keepNext/>
        <w:keepLines/>
        <w:spacing w:before="200" w:after="120"/>
        <w:rPr>
          <w:rFonts w:eastAsia="Calibri"/>
          <w:bCs/>
          <w:iCs/>
          <w:color w:val="000000"/>
          <w:szCs w:val="24"/>
          <w:u w:val="single"/>
          <w:lang w:eastAsia="en-US"/>
        </w:rPr>
      </w:pPr>
      <w:r w:rsidRPr="00E34267">
        <w:rPr>
          <w:rFonts w:eastAsia="Calibri"/>
          <w:bCs/>
          <w:iCs/>
          <w:color w:val="000000"/>
          <w:szCs w:val="24"/>
          <w:u w:val="single"/>
          <w:lang w:eastAsia="en-US"/>
        </w:rPr>
        <w:t xml:space="preserve">MRI as an additional test in </w:t>
      </w:r>
      <w:proofErr w:type="spellStart"/>
      <w:r w:rsidRPr="00E34267">
        <w:rPr>
          <w:rFonts w:eastAsia="Calibri"/>
          <w:bCs/>
          <w:iCs/>
          <w:color w:val="000000"/>
          <w:szCs w:val="24"/>
          <w:u w:val="single"/>
          <w:lang w:eastAsia="en-US"/>
        </w:rPr>
        <w:t>presurgical</w:t>
      </w:r>
      <w:proofErr w:type="spellEnd"/>
      <w:r w:rsidRPr="00E34267">
        <w:rPr>
          <w:rFonts w:eastAsia="Calibri"/>
          <w:bCs/>
          <w:iCs/>
          <w:color w:val="000000"/>
          <w:szCs w:val="24"/>
          <w:u w:val="single"/>
          <w:lang w:eastAsia="en-US"/>
        </w:rPr>
        <w:t xml:space="preserve"> planning for women diagnosed with invasive lobular breast cancer</w:t>
      </w:r>
    </w:p>
    <w:p w14:paraId="2157CB25"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Incremental accuracy</w:t>
      </w:r>
    </w:p>
    <w:p w14:paraId="4019087B"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one systematic review of MRI use in </w:t>
      </w:r>
      <w:proofErr w:type="spellStart"/>
      <w:r w:rsidRPr="00E34267">
        <w:rPr>
          <w:rFonts w:eastAsia="Calibri"/>
          <w:color w:val="000000"/>
          <w:szCs w:val="24"/>
          <w:lang w:eastAsia="en-US"/>
        </w:rPr>
        <w:t>presurgical</w:t>
      </w:r>
      <w:proofErr w:type="spellEnd"/>
      <w:r w:rsidRPr="00E34267">
        <w:rPr>
          <w:rFonts w:eastAsia="Calibri"/>
          <w:color w:val="000000"/>
          <w:szCs w:val="24"/>
          <w:lang w:eastAsia="en-US"/>
        </w:rPr>
        <w:t xml:space="preserve"> planning for women with invasive lobular cancer </w:t>
      </w:r>
      <w:r w:rsidRPr="00E34267">
        <w:rPr>
          <w:rFonts w:eastAsia="Calibri"/>
          <w:noProof/>
          <w:color w:val="000000"/>
          <w:szCs w:val="24"/>
          <w:lang w:eastAsia="en-US"/>
        </w:rPr>
        <w:t>(Mann et al. 2008)</w:t>
      </w:r>
      <w:r w:rsidRPr="00E34267">
        <w:rPr>
          <w:rFonts w:eastAsia="Calibri"/>
          <w:color w:val="000000"/>
          <w:szCs w:val="24"/>
          <w:lang w:eastAsia="en-US"/>
        </w:rPr>
        <w:t xml:space="preserve"> reported a prevalence of additional malignant lesions (true-positives) of 32% (5 studies, range 22–53%), but did not report the rate of true- to false-positive findings. This rate of detection of additional malignant lesions appears higher than that reported in reviews of the incremental accuracy of MRI in a general population. </w:t>
      </w:r>
    </w:p>
    <w:p w14:paraId="1B673FCF"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To supplement this, data was extracted directly from one study </w:t>
      </w:r>
      <w:r w:rsidRPr="00E34267">
        <w:rPr>
          <w:rFonts w:eastAsia="Calibri"/>
          <w:noProof/>
          <w:color w:val="000000"/>
          <w:szCs w:val="24"/>
          <w:lang w:eastAsia="en-US"/>
        </w:rPr>
        <w:t>(Quan et al. 2003)</w:t>
      </w:r>
      <w:r w:rsidRPr="00E34267">
        <w:rPr>
          <w:rFonts w:eastAsia="Calibri"/>
          <w:color w:val="000000"/>
          <w:szCs w:val="24"/>
          <w:lang w:eastAsia="en-US"/>
        </w:rPr>
        <w:t>, this was the largest study. Of the 51 included patients, the yield of additional lesions in the ipsilateral breast was 37% (19/51)</w:t>
      </w:r>
      <w:proofErr w:type="gramStart"/>
      <w:r w:rsidRPr="00E34267">
        <w:rPr>
          <w:rFonts w:eastAsia="Calibri"/>
          <w:color w:val="000000"/>
          <w:szCs w:val="24"/>
          <w:lang w:eastAsia="en-US"/>
        </w:rPr>
        <w:t>,</w:t>
      </w:r>
      <w:proofErr w:type="gramEnd"/>
      <w:r w:rsidRPr="00E34267">
        <w:rPr>
          <w:rFonts w:eastAsia="Calibri"/>
          <w:color w:val="000000"/>
          <w:szCs w:val="24"/>
          <w:lang w:eastAsia="en-US"/>
        </w:rPr>
        <w:t xml:space="preserve"> this included 11 true-positives and 8 false-positives (with true-positive to false positive ratio of 1.4, positive predictive value [PPV] of 0.58). The study did not state whether ultrasound was a prior test.</w:t>
      </w:r>
    </w:p>
    <w:p w14:paraId="6307BBF8" w14:textId="77777777" w:rsidR="00F30882" w:rsidRDefault="00F30882" w:rsidP="00E34267">
      <w:pPr>
        <w:spacing w:after="240"/>
        <w:rPr>
          <w:rFonts w:eastAsia="Calibri"/>
          <w:i/>
          <w:color w:val="000000"/>
          <w:szCs w:val="24"/>
          <w:lang w:eastAsia="en-US"/>
        </w:rPr>
      </w:pPr>
    </w:p>
    <w:p w14:paraId="3AC2F5C8"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lastRenderedPageBreak/>
        <w:t>Change in management</w:t>
      </w:r>
    </w:p>
    <w:p w14:paraId="645BC794"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meta-analysis of surgical outcomes by </w:t>
      </w:r>
      <w:proofErr w:type="spellStart"/>
      <w:r w:rsidRPr="00E34267">
        <w:rPr>
          <w:rFonts w:eastAsia="Calibri"/>
          <w:color w:val="000000"/>
          <w:szCs w:val="24"/>
          <w:lang w:eastAsia="en-US"/>
        </w:rPr>
        <w:t>Houssami</w:t>
      </w:r>
      <w:proofErr w:type="spellEnd"/>
      <w:r w:rsidRPr="00E34267">
        <w:rPr>
          <w:rFonts w:eastAsia="Calibri"/>
          <w:color w:val="000000"/>
          <w:szCs w:val="24"/>
          <w:lang w:eastAsia="en-US"/>
        </w:rPr>
        <w:t xml:space="preserve"> et al. (2013) included an analysis of women diagnosed with lobular breast cancer. In this analysis preoperative breast MRI increased the odds of an initial mastectomy [adjusted OR, 2.12 (</w:t>
      </w:r>
      <w:r w:rsidRPr="00E34267">
        <w:rPr>
          <w:rFonts w:eastAsia="Calibri"/>
          <w:i/>
          <w:iCs/>
          <w:color w:val="000000"/>
          <w:szCs w:val="24"/>
          <w:lang w:eastAsia="en-US"/>
        </w:rPr>
        <w:t>P</w:t>
      </w:r>
      <w:r w:rsidRPr="00E34267">
        <w:rPr>
          <w:rFonts w:eastAsia="Calibri"/>
          <w:color w:val="000000"/>
          <w:szCs w:val="24"/>
          <w:lang w:eastAsia="en-US"/>
        </w:rPr>
        <w:t> = 0.008)]. However, unlike in the general breast cancer population, the odds of an overall mastectomy was only marginally increased [adjusted OR, 1.64 (</w:t>
      </w:r>
      <w:r w:rsidRPr="00E34267">
        <w:rPr>
          <w:rFonts w:eastAsia="Calibri"/>
          <w:i/>
          <w:iCs/>
          <w:color w:val="000000"/>
          <w:szCs w:val="24"/>
          <w:lang w:eastAsia="en-US"/>
        </w:rPr>
        <w:t>P</w:t>
      </w:r>
      <w:r w:rsidRPr="00E34267">
        <w:rPr>
          <w:rFonts w:eastAsia="Calibri"/>
          <w:color w:val="000000"/>
          <w:szCs w:val="24"/>
          <w:lang w:eastAsia="en-US"/>
        </w:rPr>
        <w:t> = 0.034)]. Rates of re-excision were reduced but this was not significant after adjustment for age (adjusted OR, 0.56 [</w:t>
      </w:r>
      <w:r w:rsidRPr="00E34267">
        <w:rPr>
          <w:rFonts w:eastAsia="Calibri"/>
          <w:i/>
          <w:iCs/>
          <w:color w:val="000000"/>
          <w:szCs w:val="24"/>
          <w:lang w:eastAsia="en-US"/>
        </w:rPr>
        <w:t>P</w:t>
      </w:r>
      <w:r w:rsidRPr="00E34267">
        <w:rPr>
          <w:rFonts w:eastAsia="Calibri"/>
          <w:color w:val="000000"/>
          <w:szCs w:val="24"/>
          <w:lang w:eastAsia="en-US"/>
        </w:rPr>
        <w:t xml:space="preserve"> = 0.09]) </w:t>
      </w:r>
      <w:r w:rsidRPr="00E34267">
        <w:rPr>
          <w:rFonts w:eastAsia="Calibri"/>
          <w:noProof/>
          <w:color w:val="000000"/>
          <w:szCs w:val="24"/>
          <w:lang w:eastAsia="en-US"/>
        </w:rPr>
        <w:t>(Houssami et al. 2013)</w:t>
      </w:r>
      <w:r w:rsidRPr="00E34267">
        <w:rPr>
          <w:rFonts w:eastAsia="Calibri"/>
          <w:color w:val="000000"/>
          <w:szCs w:val="24"/>
          <w:lang w:eastAsia="en-US"/>
        </w:rPr>
        <w:t xml:space="preserve">. In one primary study cancer </w:t>
      </w:r>
      <w:r w:rsidRPr="00E34267">
        <w:rPr>
          <w:rFonts w:eastAsia="Calibri"/>
          <w:noProof/>
          <w:color w:val="000000"/>
          <w:szCs w:val="24"/>
          <w:lang w:eastAsia="en-US"/>
        </w:rPr>
        <w:t xml:space="preserve">(Fortune-Greeley et al. 2014) </w:t>
      </w:r>
      <w:r w:rsidRPr="00E34267">
        <w:rPr>
          <w:rFonts w:eastAsia="Calibri"/>
          <w:color w:val="000000"/>
          <w:szCs w:val="24"/>
          <w:lang w:eastAsia="en-US"/>
        </w:rPr>
        <w:t>breast MRI was significantly associated with greater odds of an initial mastectomy (adjusted OR 1.48 [95% CI: 1.10–2.00]) but not of a final (overall) mastectomy (adjusted OR 1.10 [95% CI: 0.83–1.47]), and was associated with a lower odds of having a re-operation (adjusted OR 0.59 [95% CI: 0.40–0.86]).</w:t>
      </w:r>
    </w:p>
    <w:p w14:paraId="3004755F" w14:textId="77777777" w:rsidR="00E34267" w:rsidRPr="007A2975" w:rsidRDefault="00E34267" w:rsidP="00E34267">
      <w:pPr>
        <w:tabs>
          <w:tab w:val="left" w:pos="720"/>
          <w:tab w:val="left" w:pos="1134"/>
        </w:tabs>
        <w:spacing w:before="120"/>
        <w:ind w:left="1134" w:hanging="1134"/>
        <w:rPr>
          <w:rFonts w:ascii="Arial Narrow" w:hAnsi="Arial Narrow"/>
          <w:b/>
          <w:sz w:val="20"/>
        </w:rPr>
      </w:pPr>
      <w:bookmarkStart w:id="20" w:name="_Toc408487937"/>
      <w:r w:rsidRPr="007A2975">
        <w:rPr>
          <w:rFonts w:ascii="Arial Narrow" w:hAnsi="Arial Narrow"/>
          <w:b/>
          <w:sz w:val="20"/>
        </w:rPr>
        <w:t>Table 4</w:t>
      </w:r>
      <w:r w:rsidRPr="007A2975">
        <w:rPr>
          <w:rFonts w:ascii="Arial Narrow" w:hAnsi="Arial Narrow"/>
          <w:b/>
          <w:sz w:val="20"/>
        </w:rPr>
        <w:tab/>
      </w:r>
      <w:r w:rsidRPr="007A2975">
        <w:rPr>
          <w:rFonts w:ascii="Arial Narrow" w:hAnsi="Arial Narrow"/>
          <w:b/>
          <w:sz w:val="20"/>
        </w:rPr>
        <w:tab/>
        <w:t xml:space="preserve">Surgical outcomes in women with invasive lobular breast cancer: comparison of findings from meta-analysis of </w:t>
      </w:r>
      <w:proofErr w:type="spellStart"/>
      <w:r w:rsidRPr="007A2975">
        <w:rPr>
          <w:rFonts w:ascii="Arial Narrow" w:hAnsi="Arial Narrow"/>
          <w:b/>
          <w:sz w:val="20"/>
        </w:rPr>
        <w:t>Houssami</w:t>
      </w:r>
      <w:proofErr w:type="spellEnd"/>
      <w:r w:rsidRPr="007A2975">
        <w:rPr>
          <w:rFonts w:ascii="Arial Narrow" w:hAnsi="Arial Narrow"/>
          <w:b/>
          <w:sz w:val="20"/>
        </w:rPr>
        <w:t xml:space="preserve"> et al. (2013) and the study by Fortune-Greeley et al. (2014)</w:t>
      </w:r>
      <w:bookmarkEnd w:id="20"/>
    </w:p>
    <w:tbl>
      <w:tblPr>
        <w:tblStyle w:val="TableGrid1"/>
        <w:tblW w:w="5000" w:type="pct"/>
        <w:jc w:val="center"/>
        <w:tblLook w:val="04A0" w:firstRow="1" w:lastRow="0" w:firstColumn="1" w:lastColumn="0" w:noHBand="0" w:noVBand="1"/>
        <w:tblCaption w:val="Surgical outcomes in women with invasive lobular breast cancer: comparison of findings from meta-analysis of Houssami et al. (2013) and the study by Fortune-Greeley et al. (2014)"/>
      </w:tblPr>
      <w:tblGrid>
        <w:gridCol w:w="1623"/>
        <w:gridCol w:w="2544"/>
        <w:gridCol w:w="2531"/>
        <w:gridCol w:w="2544"/>
      </w:tblGrid>
      <w:tr w:rsidR="00E34267" w:rsidRPr="00F30882" w14:paraId="37B9872A" w14:textId="77777777" w:rsidTr="00E34267">
        <w:trPr>
          <w:cantSplit/>
          <w:tblHeader/>
          <w:jc w:val="center"/>
        </w:trPr>
        <w:tc>
          <w:tcPr>
            <w:tcW w:w="0" w:type="auto"/>
          </w:tcPr>
          <w:p w14:paraId="361799F9" w14:textId="77777777" w:rsidR="00E34267" w:rsidRPr="007A2975" w:rsidRDefault="00E34267" w:rsidP="00E34267">
            <w:pPr>
              <w:keepNext/>
              <w:spacing w:before="60" w:after="60"/>
              <w:rPr>
                <w:rFonts w:ascii="Arial Narrow" w:eastAsia="Calibri" w:hAnsi="Arial Narrow"/>
                <w:b/>
                <w:sz w:val="20"/>
                <w:lang w:eastAsia="en-US"/>
              </w:rPr>
            </w:pPr>
            <w:r w:rsidRPr="007A2975">
              <w:rPr>
                <w:rFonts w:ascii="Arial Narrow" w:eastAsia="Calibri" w:hAnsi="Arial Narrow"/>
                <w:b/>
                <w:sz w:val="20"/>
                <w:lang w:eastAsia="en-US"/>
              </w:rPr>
              <w:t>Data source</w:t>
            </w:r>
          </w:p>
        </w:tc>
        <w:tc>
          <w:tcPr>
            <w:tcW w:w="0" w:type="auto"/>
          </w:tcPr>
          <w:p w14:paraId="427AC4D7" w14:textId="77777777" w:rsidR="00E34267" w:rsidRPr="007A2975" w:rsidRDefault="00E34267" w:rsidP="00E34267">
            <w:pPr>
              <w:keepNext/>
              <w:spacing w:before="60" w:after="60"/>
              <w:rPr>
                <w:rFonts w:ascii="Arial Narrow" w:eastAsia="Calibri" w:hAnsi="Arial Narrow"/>
                <w:b/>
                <w:sz w:val="20"/>
                <w:lang w:eastAsia="en-US"/>
              </w:rPr>
            </w:pPr>
            <w:r w:rsidRPr="007A2975">
              <w:rPr>
                <w:rFonts w:ascii="Arial Narrow" w:eastAsia="Calibri" w:hAnsi="Arial Narrow"/>
                <w:b/>
                <w:sz w:val="20"/>
                <w:lang w:eastAsia="en-US"/>
              </w:rPr>
              <w:t>Initial mastectomy</w:t>
            </w:r>
          </w:p>
        </w:tc>
        <w:tc>
          <w:tcPr>
            <w:tcW w:w="0" w:type="auto"/>
          </w:tcPr>
          <w:p w14:paraId="7ADE4EB5" w14:textId="77777777" w:rsidR="00E34267" w:rsidRPr="007A2975" w:rsidRDefault="00E34267" w:rsidP="00E34267">
            <w:pPr>
              <w:keepNext/>
              <w:spacing w:before="60" w:after="60"/>
              <w:rPr>
                <w:rFonts w:ascii="Arial Narrow" w:eastAsia="Calibri" w:hAnsi="Arial Narrow"/>
                <w:b/>
                <w:sz w:val="20"/>
                <w:lang w:eastAsia="en-US"/>
              </w:rPr>
            </w:pPr>
            <w:r w:rsidRPr="007A2975">
              <w:rPr>
                <w:rFonts w:ascii="Arial Narrow" w:eastAsia="Calibri" w:hAnsi="Arial Narrow"/>
                <w:b/>
                <w:sz w:val="20"/>
                <w:lang w:eastAsia="en-US"/>
              </w:rPr>
              <w:t>Re-operation</w:t>
            </w:r>
          </w:p>
        </w:tc>
        <w:tc>
          <w:tcPr>
            <w:tcW w:w="0" w:type="auto"/>
          </w:tcPr>
          <w:p w14:paraId="3D7E7775" w14:textId="77777777" w:rsidR="00E34267" w:rsidRPr="007A2975" w:rsidRDefault="00E34267" w:rsidP="00E34267">
            <w:pPr>
              <w:keepNext/>
              <w:spacing w:before="60" w:after="60"/>
              <w:rPr>
                <w:rFonts w:ascii="Arial Narrow" w:eastAsia="Calibri" w:hAnsi="Arial Narrow"/>
                <w:b/>
                <w:sz w:val="20"/>
                <w:lang w:eastAsia="en-US"/>
              </w:rPr>
            </w:pPr>
            <w:r w:rsidRPr="007A2975">
              <w:rPr>
                <w:rFonts w:ascii="Arial Narrow" w:eastAsia="Calibri" w:hAnsi="Arial Narrow"/>
                <w:b/>
                <w:sz w:val="20"/>
                <w:lang w:eastAsia="en-US"/>
              </w:rPr>
              <w:t>Overall mastectomy</w:t>
            </w:r>
          </w:p>
        </w:tc>
      </w:tr>
      <w:tr w:rsidR="00E34267" w:rsidRPr="00F30882" w14:paraId="5751E33E" w14:textId="77777777" w:rsidTr="00E34267">
        <w:trPr>
          <w:cantSplit/>
          <w:jc w:val="center"/>
        </w:trPr>
        <w:tc>
          <w:tcPr>
            <w:tcW w:w="0" w:type="auto"/>
          </w:tcPr>
          <w:p w14:paraId="638330EB" w14:textId="77777777" w:rsidR="00E34267" w:rsidRPr="007A2975" w:rsidRDefault="00E34267" w:rsidP="00E34267">
            <w:pPr>
              <w:spacing w:before="60" w:after="60"/>
              <w:rPr>
                <w:rFonts w:ascii="Arial Narrow" w:eastAsia="Calibri" w:hAnsi="Arial Narrow"/>
                <w:sz w:val="20"/>
                <w:lang w:eastAsia="en-US"/>
              </w:rPr>
            </w:pPr>
            <w:proofErr w:type="spellStart"/>
            <w:r w:rsidRPr="007A2975">
              <w:rPr>
                <w:rFonts w:ascii="Arial Narrow" w:eastAsia="Calibri" w:hAnsi="Arial Narrow"/>
                <w:sz w:val="20"/>
                <w:lang w:eastAsia="en-US"/>
              </w:rPr>
              <w:t>Houssami</w:t>
            </w:r>
            <w:proofErr w:type="spellEnd"/>
            <w:r w:rsidRPr="007A2975">
              <w:rPr>
                <w:rFonts w:ascii="Arial Narrow" w:eastAsia="Calibri" w:hAnsi="Arial Narrow"/>
                <w:sz w:val="20"/>
                <w:lang w:eastAsia="en-US"/>
              </w:rPr>
              <w:t xml:space="preserve"> et al. (2013)</w:t>
            </w:r>
          </w:p>
        </w:tc>
        <w:tc>
          <w:tcPr>
            <w:tcW w:w="0" w:type="auto"/>
          </w:tcPr>
          <w:p w14:paraId="3AF89F55" w14:textId="77777777" w:rsidR="00E34267" w:rsidRPr="007A2975" w:rsidRDefault="00E34267" w:rsidP="00E34267">
            <w:pPr>
              <w:spacing w:before="60" w:after="60"/>
              <w:rPr>
                <w:rFonts w:ascii="Arial Narrow" w:eastAsia="Calibri" w:hAnsi="Arial Narrow"/>
                <w:sz w:val="20"/>
                <w:lang w:eastAsia="en-US"/>
              </w:rPr>
            </w:pPr>
            <w:r w:rsidRPr="007A2975">
              <w:rPr>
                <w:rFonts w:ascii="Arial Narrow" w:eastAsia="Calibri" w:hAnsi="Arial Narrow"/>
                <w:sz w:val="20"/>
                <w:lang w:eastAsia="en-US"/>
              </w:rPr>
              <w:t xml:space="preserve">Adjusted OR, 2.12 [95% CI: 1.21–3.71], </w:t>
            </w:r>
            <w:r w:rsidRPr="007A2975">
              <w:rPr>
                <w:rFonts w:ascii="Arial Narrow" w:eastAsia="Calibri" w:hAnsi="Arial Narrow"/>
                <w:i/>
                <w:sz w:val="20"/>
                <w:lang w:eastAsia="en-US"/>
              </w:rPr>
              <w:t>P </w:t>
            </w:r>
            <w:r w:rsidRPr="007A2975">
              <w:rPr>
                <w:rFonts w:ascii="Arial Narrow" w:eastAsia="Calibri" w:hAnsi="Arial Narrow"/>
                <w:sz w:val="20"/>
                <w:lang w:eastAsia="en-US"/>
              </w:rPr>
              <w:t>= 0.008</w:t>
            </w:r>
          </w:p>
        </w:tc>
        <w:tc>
          <w:tcPr>
            <w:tcW w:w="0" w:type="auto"/>
          </w:tcPr>
          <w:p w14:paraId="6F05524C" w14:textId="77777777" w:rsidR="00E34267" w:rsidRPr="007A2975" w:rsidRDefault="00E34267" w:rsidP="00E34267">
            <w:pPr>
              <w:spacing w:before="60" w:after="60"/>
              <w:rPr>
                <w:rFonts w:ascii="Arial Narrow" w:eastAsia="Calibri" w:hAnsi="Arial Narrow"/>
                <w:sz w:val="20"/>
                <w:lang w:eastAsia="en-US"/>
              </w:rPr>
            </w:pPr>
            <w:r w:rsidRPr="007A2975">
              <w:rPr>
                <w:rFonts w:ascii="Arial Narrow" w:eastAsia="Calibri" w:hAnsi="Arial Narrow"/>
                <w:sz w:val="20"/>
                <w:lang w:eastAsia="en-US"/>
              </w:rPr>
              <w:t xml:space="preserve">Adjusted OR, 0.56 [95% CI: 0.29–1.09], </w:t>
            </w:r>
            <w:r w:rsidRPr="007A2975">
              <w:rPr>
                <w:rFonts w:ascii="Arial Narrow" w:eastAsia="Calibri" w:hAnsi="Arial Narrow"/>
                <w:i/>
                <w:sz w:val="20"/>
                <w:lang w:eastAsia="en-US"/>
              </w:rPr>
              <w:t>P</w:t>
            </w:r>
            <w:r w:rsidRPr="007A2975">
              <w:rPr>
                <w:rFonts w:ascii="Arial Narrow" w:eastAsia="Calibri" w:hAnsi="Arial Narrow"/>
                <w:sz w:val="20"/>
                <w:lang w:eastAsia="en-US"/>
              </w:rPr>
              <w:t> = 0.09*</w:t>
            </w:r>
          </w:p>
        </w:tc>
        <w:tc>
          <w:tcPr>
            <w:tcW w:w="0" w:type="auto"/>
          </w:tcPr>
          <w:p w14:paraId="3A332652" w14:textId="77777777" w:rsidR="00E34267" w:rsidRPr="007A2975" w:rsidRDefault="00E34267" w:rsidP="00E34267">
            <w:pPr>
              <w:spacing w:before="60" w:after="60"/>
              <w:rPr>
                <w:rFonts w:ascii="Arial Narrow" w:eastAsia="Calibri" w:hAnsi="Arial Narrow"/>
                <w:sz w:val="20"/>
                <w:lang w:eastAsia="en-US"/>
              </w:rPr>
            </w:pPr>
            <w:r w:rsidRPr="007A2975">
              <w:rPr>
                <w:rFonts w:ascii="Arial Narrow" w:eastAsia="Calibri" w:hAnsi="Arial Narrow"/>
                <w:sz w:val="20"/>
                <w:lang w:eastAsia="en-US"/>
              </w:rPr>
              <w:t xml:space="preserve">Adjusted OR, 1.64 [95% CI: 1.04–2.59], </w:t>
            </w:r>
            <w:r w:rsidRPr="007A2975">
              <w:rPr>
                <w:rFonts w:ascii="Arial Narrow" w:eastAsia="Calibri" w:hAnsi="Arial Narrow"/>
                <w:i/>
                <w:sz w:val="20"/>
                <w:lang w:eastAsia="en-US"/>
              </w:rPr>
              <w:t>P</w:t>
            </w:r>
            <w:r w:rsidRPr="007A2975">
              <w:rPr>
                <w:rFonts w:ascii="Arial Narrow" w:eastAsia="Calibri" w:hAnsi="Arial Narrow"/>
                <w:sz w:val="20"/>
                <w:lang w:eastAsia="en-US"/>
              </w:rPr>
              <w:t> = 0.034</w:t>
            </w:r>
          </w:p>
        </w:tc>
      </w:tr>
      <w:tr w:rsidR="00E34267" w:rsidRPr="00F30882" w14:paraId="1FAD1EE9" w14:textId="77777777" w:rsidTr="00E34267">
        <w:trPr>
          <w:cantSplit/>
          <w:jc w:val="center"/>
        </w:trPr>
        <w:tc>
          <w:tcPr>
            <w:tcW w:w="0" w:type="auto"/>
          </w:tcPr>
          <w:p w14:paraId="7B8797FD" w14:textId="77777777" w:rsidR="00E34267" w:rsidRPr="007A2975" w:rsidRDefault="00E34267" w:rsidP="00E34267">
            <w:pPr>
              <w:spacing w:before="60" w:after="60"/>
              <w:rPr>
                <w:rFonts w:ascii="Arial Narrow" w:eastAsia="Calibri" w:hAnsi="Arial Narrow"/>
                <w:sz w:val="20"/>
                <w:lang w:eastAsia="en-US"/>
              </w:rPr>
            </w:pPr>
            <w:r w:rsidRPr="007A2975">
              <w:rPr>
                <w:rFonts w:ascii="Arial Narrow" w:eastAsia="Calibri" w:hAnsi="Arial Narrow"/>
                <w:sz w:val="20"/>
                <w:lang w:eastAsia="en-US"/>
              </w:rPr>
              <w:t>Fortune-Greeley et al. (2014)</w:t>
            </w:r>
          </w:p>
        </w:tc>
        <w:tc>
          <w:tcPr>
            <w:tcW w:w="0" w:type="auto"/>
          </w:tcPr>
          <w:p w14:paraId="1BDEB647" w14:textId="77777777" w:rsidR="00E34267" w:rsidRPr="007A2975" w:rsidRDefault="00E34267" w:rsidP="00E34267">
            <w:pPr>
              <w:spacing w:before="60" w:after="60"/>
              <w:rPr>
                <w:rFonts w:ascii="Arial Narrow" w:eastAsia="Calibri" w:hAnsi="Arial Narrow"/>
                <w:sz w:val="20"/>
                <w:lang w:eastAsia="en-US"/>
              </w:rPr>
            </w:pPr>
            <w:r w:rsidRPr="007A2975">
              <w:rPr>
                <w:rFonts w:ascii="Arial Narrow" w:eastAsia="Calibri" w:hAnsi="Arial Narrow"/>
                <w:sz w:val="20"/>
                <w:lang w:eastAsia="en-US"/>
              </w:rPr>
              <w:t>adjusted OR 1.48 [95% CI: 1.10–2.00]</w:t>
            </w:r>
          </w:p>
        </w:tc>
        <w:tc>
          <w:tcPr>
            <w:tcW w:w="0" w:type="auto"/>
          </w:tcPr>
          <w:p w14:paraId="4A0394E3" w14:textId="77777777" w:rsidR="00E34267" w:rsidRPr="007A2975" w:rsidRDefault="00E34267" w:rsidP="00E34267">
            <w:pPr>
              <w:spacing w:before="60" w:after="60"/>
              <w:rPr>
                <w:rFonts w:ascii="Arial Narrow" w:eastAsia="Calibri" w:hAnsi="Arial Narrow"/>
                <w:sz w:val="20"/>
                <w:lang w:eastAsia="en-US"/>
              </w:rPr>
            </w:pPr>
            <w:r w:rsidRPr="007A2975">
              <w:rPr>
                <w:rFonts w:ascii="Arial Narrow" w:eastAsia="Calibri" w:hAnsi="Arial Narrow"/>
                <w:sz w:val="20"/>
                <w:lang w:eastAsia="en-US"/>
              </w:rPr>
              <w:t>adjusted OR 0.59 [95% CI: 0.40–0.86]</w:t>
            </w:r>
            <w:r w:rsidRPr="007A2975">
              <w:rPr>
                <w:rFonts w:ascii="Arial Narrow" w:eastAsia="Calibri" w:hAnsi="Arial Narrow"/>
                <w:sz w:val="20"/>
                <w:vertAlign w:val="superscript"/>
                <w:lang w:eastAsia="en-US"/>
              </w:rPr>
              <w:t xml:space="preserve"> †</w:t>
            </w:r>
          </w:p>
        </w:tc>
        <w:tc>
          <w:tcPr>
            <w:tcW w:w="0" w:type="auto"/>
          </w:tcPr>
          <w:p w14:paraId="0673B32B" w14:textId="77777777" w:rsidR="00E34267" w:rsidRPr="007A2975" w:rsidRDefault="00E34267" w:rsidP="00E34267">
            <w:pPr>
              <w:spacing w:before="60" w:after="60"/>
              <w:rPr>
                <w:rFonts w:ascii="Arial Narrow" w:eastAsia="Calibri" w:hAnsi="Arial Narrow"/>
                <w:sz w:val="20"/>
                <w:lang w:eastAsia="en-US"/>
              </w:rPr>
            </w:pPr>
            <w:r w:rsidRPr="007A2975">
              <w:rPr>
                <w:rFonts w:ascii="Arial Narrow" w:eastAsia="Calibri" w:hAnsi="Arial Narrow"/>
                <w:sz w:val="20"/>
                <w:lang w:eastAsia="en-US"/>
              </w:rPr>
              <w:t>adjusted OR 1.10 [95% CI: 0.83–1.47]</w:t>
            </w:r>
          </w:p>
        </w:tc>
      </w:tr>
    </w:tbl>
    <w:p w14:paraId="4F87A384" w14:textId="77777777" w:rsidR="00E34267" w:rsidRPr="00E34267" w:rsidRDefault="00E34267" w:rsidP="00E34267">
      <w:pPr>
        <w:keepLines/>
        <w:rPr>
          <w:rFonts w:ascii="Arial Narrow" w:hAnsi="Arial Narrow"/>
          <w:color w:val="000000"/>
          <w:sz w:val="16"/>
          <w:szCs w:val="16"/>
        </w:rPr>
      </w:pPr>
      <w:r w:rsidRPr="00E34267">
        <w:rPr>
          <w:rFonts w:ascii="Arial Narrow" w:hAnsi="Arial Narrow"/>
          <w:color w:val="000000"/>
          <w:sz w:val="16"/>
          <w:szCs w:val="16"/>
        </w:rPr>
        <w:t xml:space="preserve">Abbreviations: CI = confidence interval; OR= odds ratio, </w:t>
      </w:r>
      <w:r w:rsidRPr="00E34267">
        <w:rPr>
          <w:rFonts w:ascii="Arial Narrow" w:hAnsi="Arial Narrow"/>
          <w:i/>
          <w:color w:val="000000"/>
          <w:sz w:val="16"/>
          <w:szCs w:val="16"/>
        </w:rPr>
        <w:t>P</w:t>
      </w:r>
      <w:r w:rsidRPr="00E34267">
        <w:rPr>
          <w:rFonts w:ascii="Arial Narrow" w:hAnsi="Arial Narrow"/>
          <w:color w:val="000000"/>
          <w:sz w:val="16"/>
          <w:szCs w:val="16"/>
        </w:rPr>
        <w:t xml:space="preserve"> = probability</w:t>
      </w:r>
    </w:p>
    <w:p w14:paraId="2198D4C0" w14:textId="77777777" w:rsidR="00E34267" w:rsidRPr="00E34267" w:rsidRDefault="00E34267" w:rsidP="00E34267">
      <w:pPr>
        <w:keepLines/>
        <w:rPr>
          <w:rFonts w:ascii="Arial Narrow" w:hAnsi="Arial Narrow"/>
          <w:color w:val="000000"/>
          <w:sz w:val="16"/>
          <w:szCs w:val="16"/>
        </w:rPr>
      </w:pPr>
      <w:r w:rsidRPr="00E34267">
        <w:rPr>
          <w:rFonts w:ascii="Arial Narrow" w:hAnsi="Arial Narrow"/>
          <w:color w:val="000000"/>
          <w:sz w:val="16"/>
          <w:szCs w:val="16"/>
        </w:rPr>
        <w:t>* Re-operation: re-excision or further wide-local excision</w:t>
      </w:r>
    </w:p>
    <w:p w14:paraId="7F267C66" w14:textId="77777777" w:rsidR="00E34267" w:rsidRPr="00E34267" w:rsidRDefault="00E34267" w:rsidP="00E34267">
      <w:pPr>
        <w:spacing w:after="360"/>
        <w:rPr>
          <w:rFonts w:ascii="Arial Narrow" w:hAnsi="Arial Narrow"/>
          <w:color w:val="000000"/>
          <w:sz w:val="16"/>
          <w:szCs w:val="16"/>
        </w:rPr>
      </w:pPr>
      <w:r w:rsidRPr="00E34267">
        <w:rPr>
          <w:rFonts w:ascii="Arial Narrow" w:hAnsi="Arial Narrow"/>
          <w:color w:val="000000"/>
          <w:sz w:val="16"/>
          <w:szCs w:val="16"/>
          <w:vertAlign w:val="superscript"/>
        </w:rPr>
        <w:t>†</w:t>
      </w:r>
      <w:r w:rsidRPr="00E34267">
        <w:rPr>
          <w:rFonts w:ascii="Arial Narrow" w:hAnsi="Arial Narrow"/>
          <w:color w:val="000000"/>
          <w:sz w:val="16"/>
          <w:szCs w:val="16"/>
        </w:rPr>
        <w:t xml:space="preserve"> Re-operation: re-excision or further wide-local excision or conversion to mastectomy</w:t>
      </w:r>
    </w:p>
    <w:p w14:paraId="027F4D2B"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Combined, these findings suggest that the use of preoperative MRI in women with invasive lobular breast cancer could reduce the odds of having a re-operation at the expense of a greater rate of initial mastectomy. The overall mastectomy rate appears to be unaffected. The harms and benefits of breast MRI in this population </w:t>
      </w:r>
      <w:proofErr w:type="gramStart"/>
      <w:r w:rsidRPr="00E34267">
        <w:rPr>
          <w:rFonts w:eastAsia="Calibri"/>
          <w:color w:val="000000"/>
          <w:szCs w:val="24"/>
          <w:lang w:eastAsia="en-US"/>
        </w:rPr>
        <w:t>is</w:t>
      </w:r>
      <w:proofErr w:type="gramEnd"/>
      <w:r w:rsidRPr="00E34267">
        <w:rPr>
          <w:rFonts w:eastAsia="Calibri"/>
          <w:color w:val="000000"/>
          <w:szCs w:val="24"/>
          <w:lang w:eastAsia="en-US"/>
        </w:rPr>
        <w:t xml:space="preserve"> dependent on the extent to which a re-operation is considered to harm the patient.</w:t>
      </w:r>
    </w:p>
    <w:p w14:paraId="68C024B0"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Patient outcomes</w:t>
      </w:r>
    </w:p>
    <w:p w14:paraId="2E4C6B60" w14:textId="77777777" w:rsidR="00E34267" w:rsidRPr="00E34267" w:rsidRDefault="00E34267" w:rsidP="00E34267">
      <w:pPr>
        <w:spacing w:after="240"/>
        <w:rPr>
          <w:rFonts w:eastAsia="Calibri"/>
          <w:b/>
          <w:color w:val="000000"/>
          <w:szCs w:val="24"/>
          <w:lang w:eastAsia="en-US"/>
        </w:rPr>
      </w:pPr>
      <w:r w:rsidRPr="00E34267">
        <w:rPr>
          <w:rFonts w:eastAsia="Calibri"/>
          <w:color w:val="000000"/>
          <w:szCs w:val="24"/>
          <w:lang w:eastAsia="en-US"/>
        </w:rPr>
        <w:t xml:space="preserve">In the individual patient data meta-analysis of recurrence rates, </w:t>
      </w:r>
      <w:proofErr w:type="spellStart"/>
      <w:r w:rsidRPr="00E34267">
        <w:rPr>
          <w:rFonts w:eastAsia="Calibri"/>
          <w:color w:val="000000"/>
          <w:szCs w:val="24"/>
          <w:lang w:eastAsia="en-US"/>
        </w:rPr>
        <w:t>Houssami</w:t>
      </w:r>
      <w:proofErr w:type="spellEnd"/>
      <w:r w:rsidRPr="00E34267">
        <w:rPr>
          <w:rFonts w:eastAsia="Calibri"/>
          <w:color w:val="000000"/>
          <w:szCs w:val="24"/>
          <w:lang w:eastAsia="en-US"/>
        </w:rPr>
        <w:t xml:space="preserve"> et al. </w:t>
      </w:r>
      <w:r w:rsidRPr="00E34267">
        <w:rPr>
          <w:rFonts w:eastAsia="Calibri"/>
          <w:noProof/>
          <w:color w:val="000000"/>
          <w:szCs w:val="24"/>
          <w:lang w:eastAsia="en-US"/>
        </w:rPr>
        <w:t>(2014)</w:t>
      </w:r>
      <w:r w:rsidRPr="00E34267">
        <w:rPr>
          <w:rFonts w:eastAsia="Calibri"/>
          <w:color w:val="000000"/>
          <w:szCs w:val="24"/>
          <w:lang w:eastAsia="en-US"/>
        </w:rPr>
        <w:t xml:space="preserve"> found no evidence of an interaction between MRI and histology, indicating that the effect of MRI on local recurrence did not differ by histology type in the analysis. No other data on patient outcomes in women with lobular breast cancer were identified, but women with invasive lobular breast cancer have similar, or slightly better, 5-year disease-free survival when compared with women with invasive ductal breast cancer </w:t>
      </w:r>
      <w:r w:rsidRPr="00E34267">
        <w:rPr>
          <w:rFonts w:eastAsia="Calibri"/>
          <w:noProof/>
          <w:color w:val="000000"/>
          <w:szCs w:val="24"/>
          <w:lang w:eastAsia="en-US"/>
        </w:rPr>
        <w:t>(Mann 2010)</w:t>
      </w:r>
      <w:r w:rsidRPr="00E34267">
        <w:rPr>
          <w:rFonts w:eastAsia="Calibri"/>
          <w:color w:val="000000"/>
          <w:szCs w:val="24"/>
          <w:lang w:eastAsia="en-US"/>
        </w:rPr>
        <w:t>.</w:t>
      </w:r>
    </w:p>
    <w:p w14:paraId="44C020E2" w14:textId="77777777" w:rsidR="00E34267" w:rsidRPr="00E34267" w:rsidRDefault="00E34267" w:rsidP="00E34267">
      <w:pPr>
        <w:keepNext/>
        <w:keepLines/>
        <w:spacing w:before="200" w:after="120"/>
        <w:rPr>
          <w:rFonts w:eastAsia="Calibri"/>
          <w:bCs/>
          <w:iCs/>
          <w:color w:val="000000"/>
          <w:szCs w:val="24"/>
          <w:u w:val="single"/>
          <w:lang w:eastAsia="en-US"/>
        </w:rPr>
      </w:pPr>
      <w:r w:rsidRPr="00E34267">
        <w:rPr>
          <w:rFonts w:eastAsia="Calibri"/>
          <w:bCs/>
          <w:iCs/>
          <w:color w:val="000000"/>
          <w:szCs w:val="24"/>
          <w:u w:val="single"/>
          <w:lang w:eastAsia="en-US"/>
        </w:rPr>
        <w:t xml:space="preserve">MRI as an additional test in </w:t>
      </w:r>
      <w:proofErr w:type="spellStart"/>
      <w:r w:rsidRPr="00E34267">
        <w:rPr>
          <w:rFonts w:eastAsia="Calibri"/>
          <w:bCs/>
          <w:iCs/>
          <w:color w:val="000000"/>
          <w:szCs w:val="24"/>
          <w:u w:val="single"/>
          <w:lang w:eastAsia="en-US"/>
        </w:rPr>
        <w:t>presurgical</w:t>
      </w:r>
      <w:proofErr w:type="spellEnd"/>
      <w:r w:rsidRPr="00E34267">
        <w:rPr>
          <w:rFonts w:eastAsia="Calibri"/>
          <w:bCs/>
          <w:iCs/>
          <w:color w:val="000000"/>
          <w:szCs w:val="24"/>
          <w:u w:val="single"/>
          <w:lang w:eastAsia="en-US"/>
        </w:rPr>
        <w:t xml:space="preserve"> planning for women aged ≤50 years old</w:t>
      </w:r>
    </w:p>
    <w:p w14:paraId="19BA643B"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Incremental accuracy</w:t>
      </w:r>
    </w:p>
    <w:p w14:paraId="1EA3F504"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No diagnostic accuracy studies specifically in younger women were identified in the literature search. </w:t>
      </w:r>
    </w:p>
    <w:p w14:paraId="12FB5C2B" w14:textId="77777777" w:rsidR="00E34267" w:rsidRPr="00E34267" w:rsidRDefault="00E34267" w:rsidP="00E34267">
      <w:pPr>
        <w:keepNext/>
        <w:spacing w:after="240"/>
        <w:rPr>
          <w:rFonts w:eastAsia="Calibri"/>
          <w:i/>
          <w:color w:val="000000"/>
          <w:szCs w:val="24"/>
          <w:lang w:eastAsia="en-US"/>
        </w:rPr>
      </w:pPr>
      <w:r w:rsidRPr="00E34267">
        <w:rPr>
          <w:rFonts w:eastAsia="Calibri"/>
          <w:i/>
          <w:color w:val="000000"/>
          <w:szCs w:val="24"/>
          <w:lang w:eastAsia="en-US"/>
        </w:rPr>
        <w:t>Change in management</w:t>
      </w:r>
    </w:p>
    <w:p w14:paraId="500B9C8F"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One of the included randomised controlled trials </w:t>
      </w:r>
      <w:r w:rsidRPr="00E34267">
        <w:rPr>
          <w:rFonts w:eastAsia="Calibri"/>
          <w:noProof/>
          <w:color w:val="000000"/>
          <w:szCs w:val="24"/>
          <w:lang w:eastAsia="en-US"/>
        </w:rPr>
        <w:t>(Gonzalez et al. 2014)</w:t>
      </w:r>
      <w:r w:rsidRPr="00E34267">
        <w:rPr>
          <w:rFonts w:eastAsia="Calibri"/>
          <w:color w:val="000000"/>
          <w:szCs w:val="24"/>
          <w:lang w:eastAsia="en-US"/>
        </w:rPr>
        <w:t xml:space="preserve"> was conducted in women aged &lt;56 years and provides the best data to assess the value of breast MRI in younger women. The study was also at moderate risk of bias. </w:t>
      </w:r>
    </w:p>
    <w:p w14:paraId="688209F7"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lastRenderedPageBreak/>
        <w:t>The trial reported significantly fewer reoperations in the breast MRI arm than the control arm. The overall number of mastectomies was not different between the two arms (42.7% versus 40.5%, RR 1.06 [95% CI: 0.85–1.32]) nor was the number of initial mastectomies (39.1% versus 34.1%, RR 1.15 [95% CI: 0.90–1.47]). Based on these findings, the harms and benefits of breast MRI in this population is dependent on the extent to which a re-operation is considered to harm the patient.</w:t>
      </w:r>
    </w:p>
    <w:p w14:paraId="5FC537C6"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Patient outcomes</w:t>
      </w:r>
    </w:p>
    <w:p w14:paraId="2BF9881D" w14:textId="77777777" w:rsidR="00E34267" w:rsidRPr="00E34267" w:rsidRDefault="00E34267" w:rsidP="00E34267">
      <w:pPr>
        <w:spacing w:after="240"/>
        <w:rPr>
          <w:rFonts w:eastAsia="Calibri"/>
          <w:b/>
          <w:color w:val="000000"/>
          <w:szCs w:val="24"/>
          <w:lang w:eastAsia="en-US"/>
        </w:rPr>
      </w:pPr>
      <w:r w:rsidRPr="00E34267">
        <w:rPr>
          <w:rFonts w:eastAsia="Calibri"/>
          <w:color w:val="000000"/>
          <w:szCs w:val="24"/>
          <w:lang w:eastAsia="en-US"/>
        </w:rPr>
        <w:t xml:space="preserve">In the individual patient data meta-analysis of recurrence rates, </w:t>
      </w:r>
      <w:proofErr w:type="spellStart"/>
      <w:r w:rsidRPr="00E34267">
        <w:rPr>
          <w:rFonts w:eastAsia="Calibri"/>
          <w:color w:val="000000"/>
          <w:szCs w:val="24"/>
          <w:lang w:eastAsia="en-US"/>
        </w:rPr>
        <w:t>Houssami</w:t>
      </w:r>
      <w:proofErr w:type="spellEnd"/>
      <w:r w:rsidRPr="00E34267">
        <w:rPr>
          <w:rFonts w:eastAsia="Calibri"/>
          <w:color w:val="000000"/>
          <w:szCs w:val="24"/>
          <w:lang w:eastAsia="en-US"/>
        </w:rPr>
        <w:t xml:space="preserve"> et al. </w:t>
      </w:r>
      <w:r w:rsidRPr="00E34267">
        <w:rPr>
          <w:rFonts w:eastAsia="Calibri"/>
          <w:noProof/>
          <w:color w:val="000000"/>
          <w:szCs w:val="24"/>
          <w:lang w:eastAsia="en-US"/>
        </w:rPr>
        <w:t>(2014)</w:t>
      </w:r>
      <w:r w:rsidRPr="00E34267">
        <w:rPr>
          <w:rFonts w:eastAsia="Calibri"/>
          <w:color w:val="000000"/>
          <w:szCs w:val="24"/>
          <w:lang w:eastAsia="en-US"/>
        </w:rPr>
        <w:t xml:space="preserve"> found no evidence of an interaction between MRI and age, indicating that the effect of MRI on local recurrence did not differ by age in the analysis. We did not identify any other data on patient outcomes in younger women.</w:t>
      </w:r>
    </w:p>
    <w:p w14:paraId="1EE78A91" w14:textId="77777777" w:rsidR="00E34267" w:rsidRPr="00E34267" w:rsidRDefault="00E34267" w:rsidP="00E34267">
      <w:pPr>
        <w:keepNext/>
        <w:keepLines/>
        <w:spacing w:before="200" w:after="120"/>
        <w:rPr>
          <w:rFonts w:eastAsia="Calibri"/>
          <w:bCs/>
          <w:iCs/>
          <w:color w:val="000000"/>
          <w:szCs w:val="24"/>
          <w:u w:val="single"/>
          <w:lang w:eastAsia="en-US"/>
        </w:rPr>
      </w:pPr>
      <w:r w:rsidRPr="00E34267">
        <w:rPr>
          <w:rFonts w:eastAsia="Calibri"/>
          <w:bCs/>
          <w:iCs/>
          <w:color w:val="000000"/>
          <w:szCs w:val="24"/>
          <w:u w:val="single"/>
          <w:lang w:eastAsia="en-US"/>
        </w:rPr>
        <w:t xml:space="preserve">MRI as an additional test in </w:t>
      </w:r>
      <w:proofErr w:type="spellStart"/>
      <w:r w:rsidRPr="00E34267">
        <w:rPr>
          <w:rFonts w:eastAsia="Calibri"/>
          <w:bCs/>
          <w:iCs/>
          <w:color w:val="000000"/>
          <w:szCs w:val="24"/>
          <w:u w:val="single"/>
          <w:lang w:eastAsia="en-US"/>
        </w:rPr>
        <w:t>presurgical</w:t>
      </w:r>
      <w:proofErr w:type="spellEnd"/>
      <w:r w:rsidRPr="00E34267">
        <w:rPr>
          <w:rFonts w:eastAsia="Calibri"/>
          <w:bCs/>
          <w:iCs/>
          <w:color w:val="000000"/>
          <w:szCs w:val="24"/>
          <w:u w:val="single"/>
          <w:lang w:eastAsia="en-US"/>
        </w:rPr>
        <w:t xml:space="preserve"> planning for women with very/extremely dense breasts</w:t>
      </w:r>
    </w:p>
    <w:p w14:paraId="33BBA1D6"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Incremental accuracy</w:t>
      </w:r>
    </w:p>
    <w:p w14:paraId="403C5B52"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No diagnostic accuracy studies specifically in women with dense breasts were identified in the literature search. </w:t>
      </w:r>
    </w:p>
    <w:p w14:paraId="668824B0"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Change in management</w:t>
      </w:r>
    </w:p>
    <w:p w14:paraId="0FF47438"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One included primary study at moderate risk of bias provided limited data on change in surgical management for women with dense breasts undergoing preoperative MRI </w:t>
      </w:r>
      <w:r w:rsidRPr="00E34267">
        <w:rPr>
          <w:rFonts w:eastAsia="Calibri"/>
          <w:noProof/>
          <w:color w:val="000000"/>
          <w:szCs w:val="24"/>
          <w:lang w:eastAsia="en-US"/>
        </w:rPr>
        <w:t>(Kapoor et al. 2013)</w:t>
      </w:r>
      <w:r w:rsidRPr="00E34267">
        <w:rPr>
          <w:rFonts w:eastAsia="Calibri"/>
          <w:color w:val="000000"/>
          <w:szCs w:val="24"/>
          <w:lang w:eastAsia="en-US"/>
        </w:rPr>
        <w:t xml:space="preserve">. The study compared surgical outcomes in women with BI-RADS class 1–3 breast density (951 patients, 90.1%) and those with BI-RADS class 4 density, which they defined as ‘extremely dense’ (105 patients, 9.9%). Patients with extremely dense breasts were more likely to have an MRI (64.8% versus 33.3%, </w:t>
      </w:r>
      <w:r w:rsidRPr="00E34267">
        <w:rPr>
          <w:rFonts w:eastAsia="Calibri"/>
          <w:i/>
          <w:color w:val="000000"/>
          <w:szCs w:val="24"/>
          <w:lang w:eastAsia="en-US"/>
        </w:rPr>
        <w:t>P</w:t>
      </w:r>
      <w:r w:rsidRPr="00E34267">
        <w:rPr>
          <w:rFonts w:eastAsia="Calibri"/>
          <w:color w:val="000000"/>
          <w:szCs w:val="24"/>
          <w:lang w:eastAsia="en-US"/>
        </w:rPr>
        <w:t> &lt; 0.0001), but MRI did not decrease the overall rate of positive margins in patients with extremely dense breasts (75.8% with MRI versus 50% without MRI).</w:t>
      </w:r>
    </w:p>
    <w:p w14:paraId="301B3A9F"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Patient outcomes</w:t>
      </w:r>
    </w:p>
    <w:p w14:paraId="1FA4BB08"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assessment did not identify any data on patient outcomes in women with dense breasts. Women with dense breasts do not have an increased risk of death from breast cancer </w:t>
      </w:r>
      <w:r w:rsidRPr="00E34267">
        <w:rPr>
          <w:rFonts w:eastAsia="Calibri"/>
          <w:noProof/>
          <w:color w:val="000000"/>
          <w:szCs w:val="24"/>
          <w:lang w:eastAsia="en-US"/>
        </w:rPr>
        <w:t>(Gierach et al. 2012)</w:t>
      </w:r>
      <w:r w:rsidRPr="00E34267">
        <w:rPr>
          <w:rFonts w:eastAsia="Calibri"/>
          <w:color w:val="000000"/>
          <w:szCs w:val="24"/>
          <w:lang w:eastAsia="en-US"/>
        </w:rPr>
        <w:t>.</w:t>
      </w:r>
    </w:p>
    <w:p w14:paraId="0DA7F082" w14:textId="77777777" w:rsidR="00E34267" w:rsidRPr="00E34267" w:rsidRDefault="00E34267" w:rsidP="00E34267">
      <w:pPr>
        <w:keepNext/>
        <w:keepLines/>
        <w:spacing w:before="200" w:after="120"/>
        <w:rPr>
          <w:rFonts w:eastAsia="Calibri"/>
          <w:bCs/>
          <w:iCs/>
          <w:color w:val="000000"/>
          <w:szCs w:val="24"/>
          <w:u w:val="single"/>
          <w:lang w:eastAsia="en-US"/>
        </w:rPr>
      </w:pPr>
      <w:r w:rsidRPr="00E34267">
        <w:rPr>
          <w:rFonts w:eastAsia="Calibri"/>
          <w:bCs/>
          <w:iCs/>
          <w:color w:val="000000"/>
          <w:szCs w:val="24"/>
          <w:u w:val="single"/>
          <w:lang w:eastAsia="en-US"/>
        </w:rPr>
        <w:t xml:space="preserve">MRI as an additional test in </w:t>
      </w:r>
      <w:proofErr w:type="spellStart"/>
      <w:r w:rsidRPr="00E34267">
        <w:rPr>
          <w:rFonts w:eastAsia="Calibri"/>
          <w:bCs/>
          <w:iCs/>
          <w:color w:val="000000"/>
          <w:szCs w:val="24"/>
          <w:u w:val="single"/>
          <w:lang w:eastAsia="en-US"/>
        </w:rPr>
        <w:t>presurgical</w:t>
      </w:r>
      <w:proofErr w:type="spellEnd"/>
      <w:r w:rsidRPr="00E34267">
        <w:rPr>
          <w:rFonts w:eastAsia="Calibri"/>
          <w:bCs/>
          <w:iCs/>
          <w:color w:val="000000"/>
          <w:szCs w:val="24"/>
          <w:u w:val="single"/>
          <w:lang w:eastAsia="en-US"/>
        </w:rPr>
        <w:t xml:space="preserve"> planning for women with a discrepancy in tumour size of &gt;1 cm between mammogram and ultrasound findings</w:t>
      </w:r>
    </w:p>
    <w:p w14:paraId="7EC27374"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No studies assessing the comparative effectiveness of MRI were identified in this population. </w:t>
      </w:r>
    </w:p>
    <w:p w14:paraId="04D42D3E"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One supplementary study </w:t>
      </w:r>
      <w:r w:rsidRPr="00E34267">
        <w:rPr>
          <w:rFonts w:eastAsia="Calibri"/>
          <w:noProof/>
          <w:color w:val="000000"/>
          <w:szCs w:val="24"/>
          <w:lang w:eastAsia="en-US"/>
        </w:rPr>
        <w:t>(Pengel et al. 2014)</w:t>
      </w:r>
      <w:r w:rsidRPr="00E34267">
        <w:rPr>
          <w:rFonts w:eastAsia="Calibri"/>
          <w:color w:val="000000"/>
          <w:szCs w:val="24"/>
          <w:lang w:eastAsia="en-US"/>
        </w:rPr>
        <w:t xml:space="preserve"> found that discrepancy in tumour size between mammography and ultrasound was more frequent in younger patients (</w:t>
      </w:r>
      <w:r w:rsidRPr="00E34267">
        <w:rPr>
          <w:rFonts w:eastAsia="Calibri"/>
          <w:i/>
          <w:color w:val="000000"/>
          <w:szCs w:val="24"/>
          <w:lang w:eastAsia="en-US"/>
        </w:rPr>
        <w:t>P </w:t>
      </w:r>
      <w:r w:rsidRPr="00E34267">
        <w:rPr>
          <w:rFonts w:eastAsia="Calibri"/>
          <w:color w:val="000000"/>
          <w:szCs w:val="24"/>
          <w:lang w:eastAsia="en-US"/>
        </w:rPr>
        <w:t>&lt; 0.001) and patients with higher breast density (BI-RADS class 3 or 4) (</w:t>
      </w:r>
      <w:r w:rsidRPr="00E34267">
        <w:rPr>
          <w:rFonts w:eastAsia="Calibri"/>
          <w:i/>
          <w:color w:val="000000"/>
          <w:szCs w:val="24"/>
          <w:lang w:eastAsia="en-US"/>
        </w:rPr>
        <w:t>P </w:t>
      </w:r>
      <w:r w:rsidRPr="00E34267">
        <w:rPr>
          <w:rFonts w:eastAsia="Calibri"/>
          <w:color w:val="000000"/>
          <w:szCs w:val="24"/>
          <w:lang w:eastAsia="en-US"/>
        </w:rPr>
        <w:t xml:space="preserve">&lt; 0.001). A supplementary study second study </w:t>
      </w:r>
      <w:r w:rsidRPr="00E34267">
        <w:rPr>
          <w:rFonts w:eastAsia="Calibri"/>
          <w:noProof/>
          <w:color w:val="000000"/>
          <w:szCs w:val="24"/>
          <w:lang w:eastAsia="en-US"/>
        </w:rPr>
        <w:t>(Bernardi et al. 2012)</w:t>
      </w:r>
      <w:r w:rsidRPr="00E34267">
        <w:rPr>
          <w:rFonts w:eastAsia="Calibri"/>
          <w:color w:val="000000"/>
          <w:szCs w:val="24"/>
          <w:lang w:eastAsia="en-US"/>
        </w:rPr>
        <w:t xml:space="preserve"> reported a significant difference in the mastectomy rate for those with a mammogram to ultrasound tumour size discrepancy of greater than 1 cm versus those without such a discrepancy (32.1% versus 15.1%, </w:t>
      </w:r>
      <w:r w:rsidRPr="00E34267">
        <w:rPr>
          <w:rFonts w:eastAsia="Calibri"/>
          <w:i/>
          <w:color w:val="000000"/>
          <w:szCs w:val="24"/>
          <w:lang w:eastAsia="en-US"/>
        </w:rPr>
        <w:t>P </w:t>
      </w:r>
      <w:r w:rsidRPr="00E34267">
        <w:rPr>
          <w:rFonts w:eastAsia="Calibri"/>
          <w:color w:val="000000"/>
          <w:szCs w:val="24"/>
          <w:lang w:eastAsia="en-US"/>
        </w:rPr>
        <w:t>= 0.05),but not for any other criteria (age, lymph node positivity, lobular sub-type). In this study, all patients had preoperative MRI. This supports the hypothesis that breast MRI may be valuable in these women, but no conclusions can be made based on the evidence.</w:t>
      </w:r>
    </w:p>
    <w:p w14:paraId="5AD85FFD" w14:textId="77777777" w:rsidR="00E34267" w:rsidRPr="00E34267" w:rsidRDefault="00E34267" w:rsidP="00E34267">
      <w:pPr>
        <w:keepNext/>
        <w:keepLines/>
        <w:spacing w:before="200" w:after="120"/>
        <w:rPr>
          <w:rFonts w:eastAsia="Calibri"/>
          <w:bCs/>
          <w:iCs/>
          <w:color w:val="000000"/>
          <w:szCs w:val="24"/>
          <w:u w:val="single"/>
          <w:lang w:eastAsia="en-US"/>
        </w:rPr>
      </w:pPr>
      <w:r w:rsidRPr="00E34267">
        <w:rPr>
          <w:rFonts w:eastAsia="Calibri"/>
          <w:bCs/>
          <w:iCs/>
          <w:color w:val="000000"/>
          <w:szCs w:val="24"/>
          <w:u w:val="single"/>
          <w:lang w:eastAsia="en-US"/>
        </w:rPr>
        <w:lastRenderedPageBreak/>
        <w:t xml:space="preserve">MRI as an additional test in </w:t>
      </w:r>
      <w:proofErr w:type="spellStart"/>
      <w:r w:rsidRPr="00E34267">
        <w:rPr>
          <w:rFonts w:eastAsia="Calibri"/>
          <w:bCs/>
          <w:iCs/>
          <w:color w:val="000000"/>
          <w:szCs w:val="24"/>
          <w:u w:val="single"/>
          <w:lang w:eastAsia="en-US"/>
        </w:rPr>
        <w:t>presurgical</w:t>
      </w:r>
      <w:proofErr w:type="spellEnd"/>
      <w:r w:rsidRPr="00E34267">
        <w:rPr>
          <w:rFonts w:eastAsia="Calibri"/>
          <w:bCs/>
          <w:iCs/>
          <w:color w:val="000000"/>
          <w:szCs w:val="24"/>
          <w:u w:val="single"/>
          <w:lang w:eastAsia="en-US"/>
        </w:rPr>
        <w:t xml:space="preserve"> planning for women with suspicious/malignant calcifications that may underestimate the extent of DCIS</w:t>
      </w:r>
    </w:p>
    <w:p w14:paraId="39E75D27" w14:textId="77777777" w:rsidR="00E34267" w:rsidRDefault="00E34267" w:rsidP="00DA075F">
      <w:pPr>
        <w:rPr>
          <w:rFonts w:eastAsia="Calibri"/>
          <w:color w:val="000000"/>
          <w:szCs w:val="24"/>
          <w:lang w:eastAsia="en-US"/>
        </w:rPr>
      </w:pPr>
      <w:r w:rsidRPr="00E34267">
        <w:rPr>
          <w:rFonts w:eastAsia="Calibri"/>
          <w:color w:val="000000"/>
          <w:szCs w:val="24"/>
          <w:lang w:eastAsia="en-US"/>
        </w:rPr>
        <w:t>The assessment did not identify any studies about this population and no conclusions can be made.</w:t>
      </w:r>
    </w:p>
    <w:p w14:paraId="7BED7EC0" w14:textId="77777777" w:rsidR="00DA075F" w:rsidRPr="00E34267" w:rsidRDefault="00DA075F" w:rsidP="00DA075F">
      <w:pPr>
        <w:rPr>
          <w:rFonts w:eastAsia="Calibri"/>
          <w:color w:val="000000"/>
          <w:szCs w:val="24"/>
          <w:lang w:eastAsia="en-US"/>
        </w:rPr>
      </w:pPr>
    </w:p>
    <w:p w14:paraId="612486EE" w14:textId="77777777" w:rsidR="00E34267" w:rsidRPr="00E34267" w:rsidRDefault="00E34267" w:rsidP="00DA075F">
      <w:pPr>
        <w:keepNext/>
        <w:keepLines/>
        <w:rPr>
          <w:bCs/>
          <w:color w:val="000000"/>
          <w:szCs w:val="24"/>
          <w:u w:val="single"/>
          <w:lang w:eastAsia="en-US"/>
        </w:rPr>
      </w:pPr>
      <w:r w:rsidRPr="00E34267">
        <w:rPr>
          <w:bCs/>
          <w:color w:val="000000"/>
          <w:szCs w:val="24"/>
          <w:u w:val="single"/>
          <w:lang w:eastAsia="en-US"/>
        </w:rPr>
        <w:t>Occult primary breast cancer</w:t>
      </w:r>
    </w:p>
    <w:p w14:paraId="515949FA"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Breast cancer presenting in the lymph nodes (but not elsewhere), where the primary tumour is not visible on conventional imaging (mammography ± ultrasound) is a rare presentation. Limited evidence in the population is due in part to the rarity of the presentation.</w:t>
      </w:r>
    </w:p>
    <w:p w14:paraId="6977DCC6"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Incremental accuracy</w:t>
      </w:r>
    </w:p>
    <w:p w14:paraId="365D99C8"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Seven small and poorly reported studies provided data on the incremental accuracy of breast MRI in the identification of the primary tumour in occult breast cancer. The yield of breast MRI ranged from 40 to 86%. The majority of studies reported few or no false-positives, the PPV ranged from 0.68 to 1.00, and the true-positive to false-positive ratio ranged from 2.2 to infinity.</w:t>
      </w:r>
    </w:p>
    <w:p w14:paraId="3FE15F2E" w14:textId="77777777" w:rsidR="00E34267" w:rsidRPr="00E34267" w:rsidRDefault="00E34267" w:rsidP="00E34267">
      <w:pPr>
        <w:spacing w:after="240"/>
        <w:rPr>
          <w:rFonts w:eastAsia="Calibri"/>
          <w:i/>
          <w:color w:val="000000"/>
          <w:szCs w:val="24"/>
          <w:lang w:eastAsia="en-US"/>
        </w:rPr>
      </w:pPr>
      <w:r w:rsidRPr="00E34267">
        <w:rPr>
          <w:rFonts w:eastAsia="Calibri"/>
          <w:i/>
          <w:color w:val="000000"/>
          <w:szCs w:val="24"/>
          <w:lang w:eastAsia="en-US"/>
        </w:rPr>
        <w:t>Change in management</w:t>
      </w:r>
    </w:p>
    <w:p w14:paraId="440D332A"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In the same seven studies, the rate of women who had a positive MRI and subsequently underwent breast-conserving surgery ranged from 21 to 60%, suggesting that MRI may enable more conservative management in some women; however, these studies were not designed to establish change of management.</w:t>
      </w:r>
    </w:p>
    <w:p w14:paraId="4970A8BA" w14:textId="77777777" w:rsidR="00E34267" w:rsidRPr="00E34267" w:rsidRDefault="00E34267" w:rsidP="00E34267">
      <w:pPr>
        <w:keepNext/>
        <w:spacing w:after="240"/>
        <w:rPr>
          <w:rFonts w:eastAsia="Calibri"/>
          <w:i/>
          <w:color w:val="000000"/>
          <w:szCs w:val="24"/>
          <w:lang w:eastAsia="en-US"/>
        </w:rPr>
      </w:pPr>
      <w:r w:rsidRPr="00E34267">
        <w:rPr>
          <w:rFonts w:eastAsia="Calibri"/>
          <w:i/>
          <w:color w:val="000000"/>
          <w:szCs w:val="24"/>
          <w:lang w:eastAsia="en-US"/>
        </w:rPr>
        <w:t>Patient outcomes</w:t>
      </w:r>
    </w:p>
    <w:p w14:paraId="0205B294"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The assessment did not identify any data on patient outcomes in women with occult breast cancer who underwent MRI compared with those who did not.</w:t>
      </w:r>
    </w:p>
    <w:p w14:paraId="2FA0846D"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Patients with occult primary breast cancer may have superior survival outcomes when compared to non-occult node-positive breast cancer </w:t>
      </w:r>
      <w:r w:rsidRPr="00E34267">
        <w:rPr>
          <w:rFonts w:eastAsia="Calibri"/>
          <w:noProof/>
          <w:color w:val="000000"/>
          <w:szCs w:val="24"/>
          <w:lang w:eastAsia="en-US"/>
        </w:rPr>
        <w:t>(Fayanju et al. 2013)</w:t>
      </w:r>
      <w:r w:rsidRPr="00E34267">
        <w:rPr>
          <w:rFonts w:eastAsia="Calibri"/>
          <w:color w:val="000000"/>
          <w:szCs w:val="24"/>
          <w:lang w:eastAsia="en-US"/>
        </w:rPr>
        <w:t xml:space="preserve">. One study of 40 patients found that survival outcomes in women with occult breast cancer did not differ significantly between treatment methods (mastectomy, breast-conserving therapy or radiotherapy alone), nor were there survival differences between patients whose breast lesion remained occult compared with those detected by additional imaging (ultrasound or MRI) </w:t>
      </w:r>
      <w:r w:rsidRPr="00E34267">
        <w:rPr>
          <w:rFonts w:eastAsia="Calibri"/>
          <w:noProof/>
          <w:color w:val="000000"/>
          <w:szCs w:val="24"/>
          <w:lang w:eastAsia="en-US"/>
        </w:rPr>
        <w:t>(Woo et al. 2013)</w:t>
      </w:r>
      <w:r w:rsidRPr="00E34267">
        <w:rPr>
          <w:rFonts w:eastAsia="Calibri"/>
          <w:color w:val="000000"/>
          <w:szCs w:val="24"/>
          <w:lang w:eastAsia="en-US"/>
        </w:rPr>
        <w:t>. It is therefore unlikely that the use of MRI to identify the occult primary tumour would have a significant impact on survival, but other patient-relevant outcomes such as reassurance and anxiety may be important in this group of women.</w:t>
      </w:r>
    </w:p>
    <w:p w14:paraId="3C0506F8" w14:textId="77777777" w:rsidR="00E34267" w:rsidRPr="00E34267" w:rsidRDefault="00E34267" w:rsidP="00E34267">
      <w:pPr>
        <w:keepNext/>
        <w:keepLines/>
        <w:spacing w:before="480" w:after="240"/>
        <w:rPr>
          <w:bCs/>
          <w:color w:val="000000"/>
          <w:szCs w:val="24"/>
          <w:u w:val="single"/>
          <w:lang w:eastAsia="en-US"/>
        </w:rPr>
      </w:pPr>
      <w:r w:rsidRPr="00E34267">
        <w:rPr>
          <w:bCs/>
          <w:color w:val="000000"/>
          <w:szCs w:val="24"/>
          <w:u w:val="single"/>
          <w:lang w:eastAsia="en-US"/>
        </w:rPr>
        <w:t>MRI-guided biopsy</w:t>
      </w:r>
    </w:p>
    <w:p w14:paraId="27E91982"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MRI-guided biopsy is proposed to allow women who have a suspected breast cancer identified by MRI but not by other imaging modalities to have an image-guided biopsy. The protocol did not identify a comparator for this indication and therefore the assessment of MRI-guided biopsy focuses on safety and technical performance.</w:t>
      </w:r>
    </w:p>
    <w:p w14:paraId="348459A8" w14:textId="77777777" w:rsidR="00E34267" w:rsidRPr="00E34267" w:rsidRDefault="00E34267" w:rsidP="00E34267">
      <w:pPr>
        <w:keepNext/>
        <w:spacing w:after="240"/>
        <w:rPr>
          <w:rFonts w:eastAsia="Calibri"/>
          <w:color w:val="000000"/>
          <w:szCs w:val="24"/>
          <w:lang w:eastAsia="en-US"/>
        </w:rPr>
      </w:pPr>
      <w:r w:rsidRPr="00E34267">
        <w:rPr>
          <w:rFonts w:eastAsia="Calibri"/>
          <w:color w:val="000000"/>
          <w:szCs w:val="24"/>
          <w:lang w:eastAsia="en-US"/>
        </w:rPr>
        <w:t>A European consensus meeting on MRI-guided breast biopsy recommended that:</w:t>
      </w:r>
    </w:p>
    <w:p w14:paraId="54705C2B"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‘All reasonable steps should be taken to ensure that the lesion is indeed demonstrable and accessible by MRI alone. All MRI-detected lesions should have a careful, targeted ‘second-</w:t>
      </w:r>
      <w:r w:rsidRPr="00E34267">
        <w:rPr>
          <w:rFonts w:eastAsia="Calibri"/>
          <w:color w:val="000000"/>
          <w:szCs w:val="24"/>
          <w:lang w:eastAsia="en-US"/>
        </w:rPr>
        <w:lastRenderedPageBreak/>
        <w:t xml:space="preserve">look’ ultrasound and proceed to MRI guidance only if this fails to demonstrate the lesion with certainty </w:t>
      </w:r>
      <w:r w:rsidRPr="00E34267">
        <w:rPr>
          <w:rFonts w:eastAsia="Calibri"/>
          <w:noProof/>
          <w:color w:val="000000"/>
          <w:szCs w:val="24"/>
          <w:lang w:eastAsia="en-US"/>
        </w:rPr>
        <w:t>(Heywang-Kobrunner et al. 2009)</w:t>
      </w:r>
      <w:r w:rsidRPr="00E34267">
        <w:rPr>
          <w:rFonts w:eastAsia="Calibri"/>
          <w:color w:val="000000"/>
          <w:szCs w:val="24"/>
          <w:lang w:eastAsia="en-US"/>
        </w:rPr>
        <w:t>.’</w:t>
      </w:r>
    </w:p>
    <w:p w14:paraId="758CCB2A"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This makes the important point that not all additional lesions detected by MRI will require MRI-guided biopsy. The majority of lesions—79% in Gonzalez et al. (2014) can be detected and biopsied by second-look ultrasound.</w:t>
      </w:r>
    </w:p>
    <w:p w14:paraId="355AF987"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technical success of MRI-guided biopsy ranged from 86–100% in five studies included in a French HTA </w:t>
      </w:r>
      <w:r w:rsidRPr="00E34267">
        <w:rPr>
          <w:rFonts w:eastAsia="Calibri"/>
          <w:noProof/>
          <w:color w:val="000000"/>
          <w:szCs w:val="24"/>
          <w:lang w:eastAsia="en-US"/>
        </w:rPr>
        <w:t>(Haute Autorité de Santé 2011)</w:t>
      </w:r>
      <w:r w:rsidRPr="00E34267">
        <w:rPr>
          <w:rFonts w:eastAsia="Calibri"/>
          <w:color w:val="000000"/>
          <w:szCs w:val="24"/>
          <w:lang w:eastAsia="en-US"/>
        </w:rPr>
        <w:t>. In the four large case series included in this assessment the range was 94–96%.</w:t>
      </w:r>
    </w:p>
    <w:p w14:paraId="7E237FD7"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 xml:space="preserve">The main risks of the procedure that were reported were bleeding (range 1.1–7%, three studies), haematoma (3.5%, one study) and vasovagal reaction (1.1–1.7%, two studies). The French HTA </w:t>
      </w:r>
      <w:r w:rsidRPr="00E34267">
        <w:rPr>
          <w:rFonts w:eastAsia="Calibri"/>
          <w:noProof/>
          <w:color w:val="000000"/>
          <w:szCs w:val="24"/>
          <w:lang w:eastAsia="en-US"/>
        </w:rPr>
        <w:t>(Haute Autorité de Santé 2011)</w:t>
      </w:r>
      <w:r w:rsidRPr="00E34267">
        <w:rPr>
          <w:rFonts w:eastAsia="Calibri"/>
          <w:color w:val="000000"/>
          <w:szCs w:val="24"/>
          <w:lang w:eastAsia="en-US"/>
        </w:rPr>
        <w:t xml:space="preserve"> considered discomfort and neck pain related to patient positioning and immobility to be the most frequent complication.</w:t>
      </w:r>
    </w:p>
    <w:p w14:paraId="32EC461B" w14:textId="77777777" w:rsidR="00E34267" w:rsidRPr="00E34267" w:rsidRDefault="00E34267" w:rsidP="00E34267">
      <w:pPr>
        <w:keepNext/>
        <w:keepLines/>
        <w:spacing w:before="480" w:after="240"/>
        <w:rPr>
          <w:b/>
          <w:bCs/>
          <w:color w:val="000000"/>
          <w:szCs w:val="24"/>
          <w:lang w:eastAsia="en-US"/>
        </w:rPr>
      </w:pPr>
      <w:r w:rsidRPr="00E34267">
        <w:rPr>
          <w:b/>
          <w:bCs/>
          <w:color w:val="000000"/>
          <w:szCs w:val="24"/>
          <w:lang w:eastAsia="en-US"/>
        </w:rPr>
        <w:t>Conclusions</w:t>
      </w:r>
    </w:p>
    <w:p w14:paraId="2D4A3BF9" w14:textId="77777777" w:rsidR="00E34267" w:rsidRPr="00E34267" w:rsidRDefault="00E34267" w:rsidP="00E34267">
      <w:pPr>
        <w:keepNext/>
        <w:keepLines/>
        <w:spacing w:before="200" w:after="120"/>
        <w:rPr>
          <w:rFonts w:eastAsia="Calibri"/>
          <w:bCs/>
          <w:iCs/>
          <w:color w:val="000000"/>
          <w:szCs w:val="24"/>
          <w:u w:val="single"/>
          <w:lang w:eastAsia="en-US"/>
        </w:rPr>
      </w:pPr>
      <w:r w:rsidRPr="00E34267">
        <w:rPr>
          <w:rFonts w:eastAsia="Calibri"/>
          <w:bCs/>
          <w:iCs/>
          <w:color w:val="000000"/>
          <w:szCs w:val="24"/>
          <w:u w:val="single"/>
          <w:lang w:eastAsia="en-US"/>
        </w:rPr>
        <w:t>Neoadjuvant chemotherapy</w:t>
      </w:r>
    </w:p>
    <w:p w14:paraId="13EB81D9" w14:textId="77777777" w:rsidR="00E34267" w:rsidRPr="00E34267" w:rsidRDefault="00E34267" w:rsidP="00DA075F">
      <w:pPr>
        <w:rPr>
          <w:rFonts w:eastAsia="Calibri"/>
          <w:color w:val="000000"/>
          <w:szCs w:val="24"/>
          <w:lang w:eastAsia="en-US"/>
        </w:rPr>
      </w:pPr>
      <w:r w:rsidRPr="00E34267">
        <w:rPr>
          <w:rFonts w:eastAsia="Calibri"/>
          <w:color w:val="000000"/>
          <w:szCs w:val="24"/>
          <w:lang w:eastAsia="en-US"/>
        </w:rPr>
        <w:t>The use of MRI in the detection of residual breast cancer following neoadjuvant treatment is:</w:t>
      </w:r>
    </w:p>
    <w:p w14:paraId="4CE112C2" w14:textId="77777777" w:rsidR="00E34267" w:rsidRPr="00E34267" w:rsidRDefault="00E34267" w:rsidP="00DA075F">
      <w:pPr>
        <w:numPr>
          <w:ilvl w:val="0"/>
          <w:numId w:val="30"/>
        </w:numPr>
        <w:contextualSpacing/>
        <w:rPr>
          <w:rFonts w:eastAsia="Calibri"/>
          <w:color w:val="000000"/>
          <w:szCs w:val="24"/>
          <w:lang w:eastAsia="en-US"/>
        </w:rPr>
      </w:pPr>
      <w:r w:rsidRPr="00E34267">
        <w:rPr>
          <w:rFonts w:eastAsia="Calibri"/>
          <w:color w:val="000000"/>
          <w:szCs w:val="24"/>
          <w:lang w:eastAsia="en-US"/>
        </w:rPr>
        <w:t>safe</w:t>
      </w:r>
    </w:p>
    <w:p w14:paraId="71998DC4" w14:textId="77777777" w:rsidR="00E34267" w:rsidRPr="00E34267" w:rsidRDefault="00E34267" w:rsidP="00DA075F">
      <w:pPr>
        <w:numPr>
          <w:ilvl w:val="0"/>
          <w:numId w:val="30"/>
        </w:numPr>
        <w:contextualSpacing/>
        <w:rPr>
          <w:rFonts w:eastAsia="Calibri"/>
          <w:color w:val="000000"/>
          <w:szCs w:val="24"/>
          <w:lang w:eastAsia="en-US"/>
        </w:rPr>
      </w:pPr>
      <w:r w:rsidRPr="00E34267">
        <w:rPr>
          <w:rFonts w:eastAsia="Calibri"/>
          <w:color w:val="000000"/>
          <w:szCs w:val="24"/>
          <w:lang w:eastAsia="en-US"/>
        </w:rPr>
        <w:t>more accurate than mammography</w:t>
      </w:r>
    </w:p>
    <w:p w14:paraId="2AE08A9F" w14:textId="77777777" w:rsidR="00E34267" w:rsidRPr="00E34267" w:rsidRDefault="00E34267" w:rsidP="00DA075F">
      <w:pPr>
        <w:numPr>
          <w:ilvl w:val="0"/>
          <w:numId w:val="30"/>
        </w:numPr>
        <w:contextualSpacing/>
        <w:rPr>
          <w:rFonts w:eastAsia="Calibri"/>
          <w:color w:val="000000"/>
          <w:szCs w:val="24"/>
          <w:lang w:eastAsia="en-US"/>
        </w:rPr>
      </w:pPr>
      <w:proofErr w:type="gramStart"/>
      <w:r w:rsidRPr="00E34267">
        <w:rPr>
          <w:rFonts w:eastAsia="Calibri"/>
          <w:color w:val="000000"/>
          <w:szCs w:val="24"/>
          <w:lang w:eastAsia="en-US"/>
        </w:rPr>
        <w:t>no</w:t>
      </w:r>
      <w:proofErr w:type="gramEnd"/>
      <w:r w:rsidRPr="00E34267">
        <w:rPr>
          <w:rFonts w:eastAsia="Calibri"/>
          <w:color w:val="000000"/>
          <w:szCs w:val="24"/>
          <w:lang w:eastAsia="en-US"/>
        </w:rPr>
        <w:t xml:space="preserve"> more accurate than ultrasound.</w:t>
      </w:r>
    </w:p>
    <w:p w14:paraId="0332B754" w14:textId="77777777" w:rsidR="00E34267" w:rsidRPr="00E34267" w:rsidRDefault="00E34267" w:rsidP="00D31308">
      <w:pPr>
        <w:rPr>
          <w:rFonts w:eastAsia="Calibri"/>
          <w:szCs w:val="24"/>
          <w:lang w:eastAsia="en-US"/>
        </w:rPr>
      </w:pPr>
    </w:p>
    <w:p w14:paraId="4BAFC285" w14:textId="77777777" w:rsidR="00E34267" w:rsidRPr="00E34267" w:rsidRDefault="00E34267" w:rsidP="00DA075F">
      <w:pPr>
        <w:rPr>
          <w:rFonts w:eastAsia="Calibri"/>
          <w:color w:val="000000"/>
          <w:szCs w:val="24"/>
          <w:lang w:eastAsia="en-US"/>
        </w:rPr>
      </w:pPr>
      <w:r w:rsidRPr="00E34267">
        <w:rPr>
          <w:rFonts w:eastAsia="Calibri"/>
          <w:color w:val="000000"/>
          <w:szCs w:val="24"/>
          <w:lang w:eastAsia="en-US"/>
        </w:rPr>
        <w:t>Changes in management associated with these findings and their resultant impacts on health outcomes are uncertain.</w:t>
      </w:r>
    </w:p>
    <w:p w14:paraId="30C63A37" w14:textId="77777777" w:rsidR="00E34267" w:rsidRPr="00E34267" w:rsidRDefault="00E34267" w:rsidP="00E34267">
      <w:pPr>
        <w:keepNext/>
        <w:keepLines/>
        <w:spacing w:before="200" w:after="120"/>
        <w:rPr>
          <w:rFonts w:eastAsia="Calibri"/>
          <w:bCs/>
          <w:iCs/>
          <w:color w:val="000000"/>
          <w:szCs w:val="24"/>
          <w:u w:val="single"/>
          <w:lang w:eastAsia="en-US"/>
        </w:rPr>
      </w:pPr>
      <w:proofErr w:type="spellStart"/>
      <w:r w:rsidRPr="00E34267">
        <w:rPr>
          <w:rFonts w:eastAsia="Calibri"/>
          <w:bCs/>
          <w:iCs/>
          <w:color w:val="000000"/>
          <w:szCs w:val="24"/>
          <w:u w:val="single"/>
          <w:lang w:eastAsia="en-US"/>
        </w:rPr>
        <w:t>Presurgical</w:t>
      </w:r>
      <w:proofErr w:type="spellEnd"/>
      <w:r w:rsidRPr="00E34267">
        <w:rPr>
          <w:rFonts w:eastAsia="Calibri"/>
          <w:bCs/>
          <w:iCs/>
          <w:color w:val="000000"/>
          <w:szCs w:val="24"/>
          <w:u w:val="single"/>
          <w:lang w:eastAsia="en-US"/>
        </w:rPr>
        <w:t xml:space="preserve"> planning</w:t>
      </w:r>
    </w:p>
    <w:p w14:paraId="3FB42EEA" w14:textId="77777777" w:rsidR="00E34267" w:rsidRPr="00E34267" w:rsidRDefault="00E34267" w:rsidP="00DA075F">
      <w:pPr>
        <w:rPr>
          <w:rFonts w:eastAsia="Calibri"/>
          <w:color w:val="000000"/>
          <w:szCs w:val="24"/>
          <w:lang w:eastAsia="en-US"/>
        </w:rPr>
      </w:pPr>
      <w:r w:rsidRPr="00E34267">
        <w:rPr>
          <w:rFonts w:eastAsia="Calibri"/>
          <w:color w:val="000000"/>
          <w:szCs w:val="24"/>
          <w:lang w:eastAsia="en-US"/>
        </w:rPr>
        <w:t xml:space="preserve">The use of MRI as an additional test in </w:t>
      </w:r>
      <w:proofErr w:type="spellStart"/>
      <w:r w:rsidRPr="00E34267">
        <w:rPr>
          <w:rFonts w:eastAsia="Calibri"/>
          <w:color w:val="000000"/>
          <w:szCs w:val="24"/>
          <w:lang w:eastAsia="en-US"/>
        </w:rPr>
        <w:t>presurgical</w:t>
      </w:r>
      <w:proofErr w:type="spellEnd"/>
      <w:r w:rsidRPr="00E34267">
        <w:rPr>
          <w:rFonts w:eastAsia="Calibri"/>
          <w:color w:val="000000"/>
          <w:szCs w:val="24"/>
          <w:lang w:eastAsia="en-US"/>
        </w:rPr>
        <w:t xml:space="preserve"> planning for women diagnosed with invasive lobular breast cancer is considered:</w:t>
      </w:r>
    </w:p>
    <w:p w14:paraId="7E78A62A" w14:textId="77777777" w:rsidR="00E34267" w:rsidRPr="00E34267" w:rsidRDefault="00E34267" w:rsidP="00DA075F">
      <w:pPr>
        <w:numPr>
          <w:ilvl w:val="0"/>
          <w:numId w:val="31"/>
        </w:numPr>
        <w:contextualSpacing/>
        <w:rPr>
          <w:rFonts w:eastAsia="Calibri"/>
          <w:color w:val="000000"/>
          <w:szCs w:val="24"/>
          <w:lang w:eastAsia="en-US"/>
        </w:rPr>
      </w:pPr>
      <w:r w:rsidRPr="00E34267">
        <w:rPr>
          <w:rFonts w:eastAsia="Calibri"/>
          <w:color w:val="000000"/>
          <w:szCs w:val="24"/>
          <w:lang w:eastAsia="en-US"/>
        </w:rPr>
        <w:t>safe</w:t>
      </w:r>
    </w:p>
    <w:p w14:paraId="758B8D52" w14:textId="77777777" w:rsidR="00E34267" w:rsidRPr="00E34267" w:rsidRDefault="00E34267" w:rsidP="00DA075F">
      <w:pPr>
        <w:numPr>
          <w:ilvl w:val="0"/>
          <w:numId w:val="31"/>
        </w:numPr>
        <w:contextualSpacing/>
        <w:rPr>
          <w:rFonts w:eastAsia="Calibri"/>
          <w:color w:val="000000"/>
          <w:szCs w:val="24"/>
          <w:lang w:eastAsia="en-US"/>
        </w:rPr>
      </w:pPr>
      <w:r w:rsidRPr="00E34267">
        <w:rPr>
          <w:rFonts w:eastAsia="Calibri"/>
          <w:color w:val="000000"/>
          <w:szCs w:val="24"/>
          <w:lang w:eastAsia="en-US"/>
        </w:rPr>
        <w:t>to detect additional lesions in 37% of patients; the true-positive to false positive ratio of these additional lesions is 1.4</w:t>
      </w:r>
    </w:p>
    <w:p w14:paraId="05B96A92" w14:textId="77777777" w:rsidR="00E34267" w:rsidRPr="00E34267" w:rsidRDefault="00E34267" w:rsidP="00DA075F">
      <w:pPr>
        <w:numPr>
          <w:ilvl w:val="0"/>
          <w:numId w:val="31"/>
        </w:numPr>
        <w:contextualSpacing/>
        <w:rPr>
          <w:rFonts w:eastAsia="Calibri"/>
          <w:color w:val="000000"/>
          <w:szCs w:val="24"/>
          <w:lang w:eastAsia="en-US"/>
        </w:rPr>
      </w:pPr>
      <w:r w:rsidRPr="00E34267">
        <w:rPr>
          <w:rFonts w:eastAsia="Calibri"/>
          <w:color w:val="000000"/>
          <w:szCs w:val="24"/>
          <w:lang w:eastAsia="en-US"/>
        </w:rPr>
        <w:t>to lead to a change of management by</w:t>
      </w:r>
    </w:p>
    <w:p w14:paraId="353A062E" w14:textId="77777777" w:rsidR="00E34267" w:rsidRPr="00E34267" w:rsidRDefault="00E34267" w:rsidP="00DA075F">
      <w:pPr>
        <w:numPr>
          <w:ilvl w:val="1"/>
          <w:numId w:val="31"/>
        </w:numPr>
        <w:contextualSpacing/>
        <w:rPr>
          <w:rFonts w:eastAsia="Calibri"/>
          <w:color w:val="000000"/>
          <w:szCs w:val="24"/>
          <w:lang w:eastAsia="en-US"/>
        </w:rPr>
      </w:pPr>
      <w:r w:rsidRPr="00E34267">
        <w:rPr>
          <w:rFonts w:eastAsia="Calibri"/>
          <w:color w:val="000000"/>
          <w:szCs w:val="24"/>
          <w:lang w:eastAsia="en-US"/>
        </w:rPr>
        <w:t>increasing the rate of initial mastectomy</w:t>
      </w:r>
    </w:p>
    <w:p w14:paraId="0E0BF3D2" w14:textId="77777777" w:rsidR="00E34267" w:rsidRPr="00E34267" w:rsidRDefault="00E34267" w:rsidP="00DA075F">
      <w:pPr>
        <w:numPr>
          <w:ilvl w:val="1"/>
          <w:numId w:val="31"/>
        </w:numPr>
        <w:contextualSpacing/>
        <w:rPr>
          <w:rFonts w:eastAsia="Calibri"/>
          <w:color w:val="000000"/>
          <w:szCs w:val="24"/>
          <w:lang w:eastAsia="en-US"/>
        </w:rPr>
      </w:pPr>
      <w:r w:rsidRPr="00E34267">
        <w:rPr>
          <w:rFonts w:eastAsia="Calibri"/>
          <w:color w:val="000000"/>
          <w:szCs w:val="24"/>
          <w:lang w:eastAsia="en-US"/>
        </w:rPr>
        <w:t>decreasing the rate of re-operation</w:t>
      </w:r>
    </w:p>
    <w:p w14:paraId="7B958259" w14:textId="77777777" w:rsidR="00E34267" w:rsidRPr="00E34267" w:rsidRDefault="00E34267" w:rsidP="00DA075F">
      <w:pPr>
        <w:numPr>
          <w:ilvl w:val="0"/>
          <w:numId w:val="31"/>
        </w:numPr>
        <w:contextualSpacing/>
        <w:rPr>
          <w:rFonts w:eastAsia="Calibri"/>
          <w:color w:val="000000"/>
          <w:szCs w:val="24"/>
          <w:lang w:eastAsia="en-US"/>
        </w:rPr>
      </w:pPr>
      <w:r w:rsidRPr="00E34267">
        <w:rPr>
          <w:rFonts w:eastAsia="Calibri"/>
          <w:color w:val="000000"/>
          <w:szCs w:val="24"/>
          <w:lang w:eastAsia="en-US"/>
        </w:rPr>
        <w:t>to not substantially change the overall risk of mastectomy</w:t>
      </w:r>
    </w:p>
    <w:p w14:paraId="31B67FFA" w14:textId="77777777" w:rsidR="00E34267" w:rsidRPr="00E34267" w:rsidRDefault="00E34267" w:rsidP="00DA075F">
      <w:pPr>
        <w:numPr>
          <w:ilvl w:val="0"/>
          <w:numId w:val="31"/>
        </w:numPr>
        <w:contextualSpacing/>
        <w:rPr>
          <w:rFonts w:eastAsia="Calibri"/>
          <w:color w:val="000000"/>
          <w:szCs w:val="24"/>
          <w:lang w:eastAsia="en-US"/>
        </w:rPr>
      </w:pPr>
      <w:proofErr w:type="gramStart"/>
      <w:r w:rsidRPr="00E34267">
        <w:rPr>
          <w:rFonts w:eastAsia="Calibri"/>
          <w:color w:val="000000"/>
          <w:szCs w:val="24"/>
          <w:lang w:eastAsia="en-US"/>
        </w:rPr>
        <w:t>to</w:t>
      </w:r>
      <w:proofErr w:type="gramEnd"/>
      <w:r w:rsidRPr="00E34267">
        <w:rPr>
          <w:rFonts w:eastAsia="Calibri"/>
          <w:color w:val="000000"/>
          <w:szCs w:val="24"/>
          <w:lang w:eastAsia="en-US"/>
        </w:rPr>
        <w:t xml:space="preserve"> be unlikely to alter 5-year disease-free survival rate.</w:t>
      </w:r>
    </w:p>
    <w:p w14:paraId="4158662C" w14:textId="77777777" w:rsidR="00E34267" w:rsidRPr="00E34267" w:rsidRDefault="00E34267" w:rsidP="00E34267">
      <w:pPr>
        <w:spacing w:after="240"/>
        <w:rPr>
          <w:rFonts w:eastAsia="Calibri"/>
          <w:color w:val="000000"/>
          <w:szCs w:val="24"/>
          <w:lang w:eastAsia="en-US"/>
        </w:rPr>
      </w:pPr>
    </w:p>
    <w:p w14:paraId="77548358" w14:textId="77777777" w:rsidR="00E34267" w:rsidRPr="00E34267" w:rsidRDefault="00E34267" w:rsidP="00DA075F">
      <w:pPr>
        <w:rPr>
          <w:rFonts w:eastAsia="Calibri"/>
          <w:color w:val="000000"/>
          <w:szCs w:val="24"/>
          <w:lang w:eastAsia="en-US"/>
        </w:rPr>
      </w:pPr>
      <w:r w:rsidRPr="00E34267">
        <w:rPr>
          <w:rFonts w:eastAsia="Calibri"/>
          <w:color w:val="000000"/>
          <w:szCs w:val="24"/>
          <w:lang w:eastAsia="en-US"/>
        </w:rPr>
        <w:t xml:space="preserve">The use of MRI as an additional test in </w:t>
      </w:r>
      <w:proofErr w:type="spellStart"/>
      <w:r w:rsidRPr="00E34267">
        <w:rPr>
          <w:rFonts w:eastAsia="Calibri"/>
          <w:color w:val="000000"/>
          <w:szCs w:val="24"/>
          <w:lang w:eastAsia="en-US"/>
        </w:rPr>
        <w:t>presurgical</w:t>
      </w:r>
      <w:proofErr w:type="spellEnd"/>
      <w:r w:rsidRPr="00E34267">
        <w:rPr>
          <w:rFonts w:eastAsia="Calibri"/>
          <w:color w:val="000000"/>
          <w:szCs w:val="24"/>
          <w:lang w:eastAsia="en-US"/>
        </w:rPr>
        <w:t xml:space="preserve"> planning for women aged ≤50 years old is considered:</w:t>
      </w:r>
    </w:p>
    <w:p w14:paraId="003FAD40" w14:textId="77777777" w:rsidR="00E34267" w:rsidRPr="00E34267" w:rsidRDefault="00E34267" w:rsidP="00DA075F">
      <w:pPr>
        <w:numPr>
          <w:ilvl w:val="0"/>
          <w:numId w:val="32"/>
        </w:numPr>
        <w:contextualSpacing/>
        <w:rPr>
          <w:rFonts w:eastAsia="Calibri"/>
          <w:color w:val="000000"/>
          <w:szCs w:val="24"/>
          <w:lang w:eastAsia="en-US"/>
        </w:rPr>
      </w:pPr>
      <w:r w:rsidRPr="00E34267">
        <w:rPr>
          <w:rFonts w:eastAsia="Calibri"/>
          <w:color w:val="000000"/>
          <w:szCs w:val="24"/>
          <w:lang w:eastAsia="en-US"/>
        </w:rPr>
        <w:t>safe</w:t>
      </w:r>
    </w:p>
    <w:p w14:paraId="25E6217B" w14:textId="77777777" w:rsidR="00E34267" w:rsidRPr="00E34267" w:rsidRDefault="00E34267" w:rsidP="00DA075F">
      <w:pPr>
        <w:numPr>
          <w:ilvl w:val="0"/>
          <w:numId w:val="32"/>
        </w:numPr>
        <w:contextualSpacing/>
        <w:rPr>
          <w:rFonts w:eastAsia="Calibri"/>
          <w:color w:val="000000"/>
          <w:szCs w:val="24"/>
          <w:lang w:eastAsia="en-US"/>
        </w:rPr>
      </w:pPr>
      <w:r w:rsidRPr="00E34267">
        <w:rPr>
          <w:rFonts w:eastAsia="Calibri"/>
          <w:color w:val="000000"/>
          <w:szCs w:val="24"/>
          <w:lang w:eastAsia="en-US"/>
        </w:rPr>
        <w:t>to detect additional malignant lesions in an unknown number of patients</w:t>
      </w:r>
    </w:p>
    <w:p w14:paraId="089F2C21" w14:textId="77777777" w:rsidR="00E34267" w:rsidRPr="00E34267" w:rsidRDefault="00E34267" w:rsidP="00DA075F">
      <w:pPr>
        <w:numPr>
          <w:ilvl w:val="0"/>
          <w:numId w:val="32"/>
        </w:numPr>
        <w:contextualSpacing/>
        <w:rPr>
          <w:rFonts w:eastAsia="Calibri"/>
          <w:color w:val="000000"/>
          <w:szCs w:val="24"/>
          <w:lang w:eastAsia="en-US"/>
        </w:rPr>
      </w:pPr>
      <w:r w:rsidRPr="00E34267">
        <w:rPr>
          <w:rFonts w:eastAsia="Calibri"/>
          <w:color w:val="000000"/>
          <w:szCs w:val="24"/>
          <w:lang w:eastAsia="en-US"/>
        </w:rPr>
        <w:t>to lead to a change of management by decreasing the rate of re-operation</w:t>
      </w:r>
    </w:p>
    <w:p w14:paraId="5D6C9194" w14:textId="77777777" w:rsidR="00E34267" w:rsidRPr="00E34267" w:rsidRDefault="00E34267" w:rsidP="00DA075F">
      <w:pPr>
        <w:numPr>
          <w:ilvl w:val="0"/>
          <w:numId w:val="32"/>
        </w:numPr>
        <w:ind w:left="714" w:hanging="357"/>
        <w:rPr>
          <w:rFonts w:eastAsia="Calibri"/>
          <w:color w:val="000000"/>
          <w:szCs w:val="24"/>
          <w:lang w:eastAsia="en-US"/>
        </w:rPr>
      </w:pPr>
      <w:proofErr w:type="gramStart"/>
      <w:r w:rsidRPr="00E34267">
        <w:rPr>
          <w:rFonts w:eastAsia="Calibri"/>
          <w:color w:val="000000"/>
          <w:szCs w:val="24"/>
          <w:lang w:eastAsia="en-US"/>
        </w:rPr>
        <w:t>to</w:t>
      </w:r>
      <w:proofErr w:type="gramEnd"/>
      <w:r w:rsidRPr="00E34267">
        <w:rPr>
          <w:rFonts w:eastAsia="Calibri"/>
          <w:color w:val="000000"/>
          <w:szCs w:val="24"/>
          <w:lang w:eastAsia="en-US"/>
        </w:rPr>
        <w:t xml:space="preserve"> not substantially change the overall risk of mastectomy.</w:t>
      </w:r>
    </w:p>
    <w:p w14:paraId="5BCD7D7C" w14:textId="701C9FC6" w:rsidR="005A66EA" w:rsidRPr="00E34267" w:rsidRDefault="00E34267" w:rsidP="00C42B09">
      <w:pPr>
        <w:spacing w:after="240"/>
        <w:rPr>
          <w:rFonts w:eastAsia="Calibri"/>
          <w:color w:val="000000"/>
          <w:szCs w:val="24"/>
          <w:lang w:eastAsia="en-US"/>
        </w:rPr>
      </w:pPr>
      <w:r w:rsidRPr="00E34267">
        <w:rPr>
          <w:rFonts w:eastAsia="Calibri"/>
          <w:color w:val="000000"/>
          <w:szCs w:val="24"/>
          <w:lang w:eastAsia="en-US"/>
        </w:rPr>
        <w:t>Changes in health outcomes because of changed surgical management are uncertain.</w:t>
      </w:r>
    </w:p>
    <w:p w14:paraId="17DF3E23" w14:textId="77777777" w:rsidR="00C42B09" w:rsidRDefault="00C42B09">
      <w:pPr>
        <w:rPr>
          <w:rFonts w:eastAsia="Calibri"/>
          <w:color w:val="000000"/>
          <w:szCs w:val="24"/>
          <w:lang w:eastAsia="en-US"/>
        </w:rPr>
      </w:pPr>
      <w:r>
        <w:rPr>
          <w:rFonts w:eastAsia="Calibri"/>
          <w:color w:val="000000"/>
          <w:szCs w:val="24"/>
          <w:lang w:eastAsia="en-US"/>
        </w:rPr>
        <w:br w:type="page"/>
      </w:r>
    </w:p>
    <w:p w14:paraId="7553EFEF" w14:textId="152A6E89" w:rsidR="00E34267" w:rsidRPr="00E34267" w:rsidRDefault="00E34267" w:rsidP="00DA075F">
      <w:pPr>
        <w:rPr>
          <w:rFonts w:eastAsia="Calibri"/>
          <w:color w:val="000000"/>
          <w:szCs w:val="24"/>
          <w:lang w:eastAsia="en-US"/>
        </w:rPr>
      </w:pPr>
      <w:r w:rsidRPr="00E34267">
        <w:rPr>
          <w:rFonts w:eastAsia="Calibri"/>
          <w:color w:val="000000"/>
          <w:szCs w:val="24"/>
          <w:lang w:eastAsia="en-US"/>
        </w:rPr>
        <w:lastRenderedPageBreak/>
        <w:t xml:space="preserve">The use of MRI as an additional test in </w:t>
      </w:r>
      <w:proofErr w:type="spellStart"/>
      <w:r w:rsidRPr="00E34267">
        <w:rPr>
          <w:rFonts w:eastAsia="Calibri"/>
          <w:color w:val="000000"/>
          <w:szCs w:val="24"/>
          <w:lang w:eastAsia="en-US"/>
        </w:rPr>
        <w:t>presurgical</w:t>
      </w:r>
      <w:proofErr w:type="spellEnd"/>
      <w:r w:rsidRPr="00E34267">
        <w:rPr>
          <w:rFonts w:eastAsia="Calibri"/>
          <w:color w:val="000000"/>
          <w:szCs w:val="24"/>
          <w:lang w:eastAsia="en-US"/>
        </w:rPr>
        <w:t xml:space="preserve"> planning for women with extremely dense breasts is considered:</w:t>
      </w:r>
    </w:p>
    <w:p w14:paraId="3028A7A0" w14:textId="77777777" w:rsidR="00E34267" w:rsidRPr="00E34267" w:rsidRDefault="00E34267" w:rsidP="00DA075F">
      <w:pPr>
        <w:numPr>
          <w:ilvl w:val="0"/>
          <w:numId w:val="33"/>
        </w:numPr>
        <w:contextualSpacing/>
        <w:rPr>
          <w:rFonts w:eastAsia="Calibri"/>
          <w:color w:val="000000"/>
          <w:szCs w:val="24"/>
          <w:lang w:eastAsia="en-US"/>
        </w:rPr>
      </w:pPr>
      <w:r w:rsidRPr="00E34267">
        <w:rPr>
          <w:rFonts w:eastAsia="Calibri"/>
          <w:color w:val="000000"/>
          <w:szCs w:val="24"/>
          <w:lang w:eastAsia="en-US"/>
        </w:rPr>
        <w:t>safe</w:t>
      </w:r>
    </w:p>
    <w:p w14:paraId="22B36C16" w14:textId="77777777" w:rsidR="00E34267" w:rsidRPr="00E34267" w:rsidRDefault="00E34267" w:rsidP="005A66EA">
      <w:pPr>
        <w:numPr>
          <w:ilvl w:val="0"/>
          <w:numId w:val="33"/>
        </w:numPr>
        <w:contextualSpacing/>
        <w:rPr>
          <w:rFonts w:eastAsia="Calibri"/>
          <w:color w:val="000000"/>
          <w:szCs w:val="24"/>
          <w:lang w:eastAsia="en-US"/>
        </w:rPr>
      </w:pPr>
      <w:proofErr w:type="gramStart"/>
      <w:r w:rsidRPr="00E34267">
        <w:rPr>
          <w:rFonts w:eastAsia="Calibri"/>
          <w:color w:val="000000"/>
          <w:szCs w:val="24"/>
          <w:lang w:eastAsia="en-US"/>
        </w:rPr>
        <w:t>to</w:t>
      </w:r>
      <w:proofErr w:type="gramEnd"/>
      <w:r w:rsidRPr="00E34267">
        <w:rPr>
          <w:rFonts w:eastAsia="Calibri"/>
          <w:color w:val="000000"/>
          <w:szCs w:val="24"/>
          <w:lang w:eastAsia="en-US"/>
        </w:rPr>
        <w:t xml:space="preserve"> detect additional malignant lesions in an unknown number of patients.</w:t>
      </w:r>
    </w:p>
    <w:p w14:paraId="58463BFE" w14:textId="77777777" w:rsidR="00E34267" w:rsidRPr="00E34267" w:rsidRDefault="00E34267" w:rsidP="005A66EA">
      <w:pPr>
        <w:rPr>
          <w:rFonts w:eastAsia="Calibri"/>
          <w:color w:val="000000"/>
          <w:szCs w:val="24"/>
          <w:lang w:eastAsia="en-US"/>
        </w:rPr>
      </w:pPr>
      <w:r w:rsidRPr="00E34267">
        <w:rPr>
          <w:rFonts w:eastAsia="Calibri"/>
          <w:color w:val="000000"/>
          <w:szCs w:val="24"/>
          <w:lang w:eastAsia="en-US"/>
        </w:rPr>
        <w:t>Changes in surgical management and resultant impacts on health outcomes are uncertain.</w:t>
      </w:r>
    </w:p>
    <w:p w14:paraId="19785B5D" w14:textId="77777777" w:rsidR="00E34267" w:rsidRPr="00E34267" w:rsidRDefault="00E34267" w:rsidP="00E34267">
      <w:pPr>
        <w:keepNext/>
        <w:keepLines/>
        <w:spacing w:before="200" w:after="120"/>
        <w:rPr>
          <w:rFonts w:eastAsia="Calibri"/>
          <w:bCs/>
          <w:iCs/>
          <w:color w:val="000000"/>
          <w:szCs w:val="24"/>
          <w:u w:val="single"/>
          <w:lang w:eastAsia="en-US"/>
        </w:rPr>
      </w:pPr>
      <w:r w:rsidRPr="00E34267">
        <w:rPr>
          <w:rFonts w:eastAsia="Calibri"/>
          <w:bCs/>
          <w:iCs/>
          <w:color w:val="000000"/>
          <w:szCs w:val="24"/>
          <w:u w:val="single"/>
          <w:lang w:eastAsia="en-US"/>
        </w:rPr>
        <w:t>Occult primary breast cancer</w:t>
      </w:r>
    </w:p>
    <w:p w14:paraId="3955BB54" w14:textId="77777777" w:rsidR="00E34267" w:rsidRPr="00E34267" w:rsidRDefault="00E34267" w:rsidP="00DA075F">
      <w:pPr>
        <w:rPr>
          <w:rFonts w:eastAsia="Calibri"/>
          <w:color w:val="000000"/>
          <w:szCs w:val="24"/>
          <w:lang w:eastAsia="en-US"/>
        </w:rPr>
      </w:pPr>
      <w:r w:rsidRPr="00E34267">
        <w:rPr>
          <w:rFonts w:eastAsia="Calibri"/>
          <w:color w:val="000000"/>
          <w:szCs w:val="24"/>
          <w:lang w:eastAsia="en-US"/>
        </w:rPr>
        <w:t>The use of MRI as an additional test in breast cancer presenting in the lymph nodes (but not elsewhere), where the primary tumour is not visible on conventional imaging (mammography and/or ultrasound) is considered:</w:t>
      </w:r>
    </w:p>
    <w:p w14:paraId="2900565D" w14:textId="77777777" w:rsidR="00E34267" w:rsidRPr="00E34267" w:rsidRDefault="00E34267" w:rsidP="00DA075F">
      <w:pPr>
        <w:numPr>
          <w:ilvl w:val="0"/>
          <w:numId w:val="34"/>
        </w:numPr>
        <w:contextualSpacing/>
        <w:rPr>
          <w:rFonts w:eastAsia="Calibri"/>
          <w:color w:val="000000"/>
          <w:szCs w:val="24"/>
          <w:lang w:eastAsia="en-US"/>
        </w:rPr>
      </w:pPr>
      <w:r w:rsidRPr="00E34267">
        <w:rPr>
          <w:rFonts w:eastAsia="Calibri"/>
          <w:color w:val="000000"/>
          <w:szCs w:val="24"/>
          <w:lang w:eastAsia="en-US"/>
        </w:rPr>
        <w:t>safe</w:t>
      </w:r>
    </w:p>
    <w:p w14:paraId="0CFE0741" w14:textId="77777777" w:rsidR="00E34267" w:rsidRPr="00E34267" w:rsidRDefault="00E34267" w:rsidP="00DA075F">
      <w:pPr>
        <w:numPr>
          <w:ilvl w:val="0"/>
          <w:numId w:val="34"/>
        </w:numPr>
        <w:contextualSpacing/>
        <w:rPr>
          <w:rFonts w:eastAsia="Calibri"/>
          <w:color w:val="000000"/>
          <w:szCs w:val="24"/>
          <w:lang w:eastAsia="en-US"/>
        </w:rPr>
      </w:pPr>
      <w:r w:rsidRPr="00E34267">
        <w:rPr>
          <w:rFonts w:eastAsia="Calibri"/>
          <w:color w:val="000000"/>
          <w:szCs w:val="24"/>
          <w:lang w:eastAsia="en-US"/>
        </w:rPr>
        <w:t>to detect the primary tumour in between 40 and 86% of patients</w:t>
      </w:r>
    </w:p>
    <w:p w14:paraId="0868F772" w14:textId="77777777" w:rsidR="00E34267" w:rsidRPr="00E34267" w:rsidRDefault="00E34267" w:rsidP="00DA075F">
      <w:pPr>
        <w:numPr>
          <w:ilvl w:val="0"/>
          <w:numId w:val="34"/>
        </w:numPr>
        <w:contextualSpacing/>
        <w:rPr>
          <w:rFonts w:eastAsia="Calibri"/>
          <w:color w:val="000000"/>
          <w:szCs w:val="24"/>
          <w:lang w:eastAsia="en-US"/>
        </w:rPr>
      </w:pPr>
      <w:proofErr w:type="gramStart"/>
      <w:r w:rsidRPr="00E34267">
        <w:rPr>
          <w:rFonts w:eastAsia="Calibri"/>
          <w:color w:val="000000"/>
          <w:szCs w:val="24"/>
          <w:lang w:eastAsia="en-US"/>
        </w:rPr>
        <w:t>to</w:t>
      </w:r>
      <w:proofErr w:type="gramEnd"/>
      <w:r w:rsidRPr="00E34267">
        <w:rPr>
          <w:rFonts w:eastAsia="Calibri"/>
          <w:color w:val="000000"/>
          <w:szCs w:val="24"/>
          <w:lang w:eastAsia="en-US"/>
        </w:rPr>
        <w:t xml:space="preserve"> lead to false-positive findings of up to a third of all positive MRI’s.</w:t>
      </w:r>
    </w:p>
    <w:p w14:paraId="3DE9980C" w14:textId="77777777" w:rsidR="00E34267" w:rsidRPr="00E34267" w:rsidRDefault="00E34267" w:rsidP="00E34267">
      <w:pPr>
        <w:spacing w:after="240"/>
        <w:rPr>
          <w:rFonts w:eastAsia="Calibri"/>
          <w:color w:val="000000"/>
          <w:szCs w:val="24"/>
          <w:lang w:eastAsia="en-US"/>
        </w:rPr>
      </w:pPr>
      <w:r w:rsidRPr="00E34267">
        <w:rPr>
          <w:rFonts w:eastAsia="Calibri"/>
          <w:color w:val="000000"/>
          <w:szCs w:val="24"/>
          <w:lang w:eastAsia="en-US"/>
        </w:rPr>
        <w:t>Changes in surgical management and resultant impacts on health outcomes are uncertain.</w:t>
      </w:r>
    </w:p>
    <w:p w14:paraId="457AD0B6" w14:textId="77777777" w:rsidR="00E34267" w:rsidRPr="00E34267" w:rsidRDefault="00E34267" w:rsidP="00E34267">
      <w:pPr>
        <w:keepNext/>
        <w:keepLines/>
        <w:spacing w:before="200" w:after="120"/>
        <w:rPr>
          <w:rFonts w:eastAsia="Calibri"/>
          <w:bCs/>
          <w:iCs/>
          <w:color w:val="000000"/>
          <w:szCs w:val="24"/>
          <w:u w:val="single"/>
          <w:lang w:eastAsia="en-US"/>
        </w:rPr>
      </w:pPr>
      <w:r w:rsidRPr="00E34267">
        <w:rPr>
          <w:rFonts w:eastAsia="Calibri"/>
          <w:bCs/>
          <w:iCs/>
          <w:color w:val="000000"/>
          <w:szCs w:val="24"/>
          <w:u w:val="single"/>
          <w:lang w:eastAsia="en-US"/>
        </w:rPr>
        <w:t>MRI-guided biopsy</w:t>
      </w:r>
    </w:p>
    <w:p w14:paraId="13A5B37B" w14:textId="77777777" w:rsidR="00E34267" w:rsidRPr="00E34267" w:rsidRDefault="00E34267" w:rsidP="00DA075F">
      <w:pPr>
        <w:rPr>
          <w:rFonts w:eastAsia="Calibri"/>
          <w:color w:val="000000"/>
          <w:szCs w:val="24"/>
          <w:lang w:eastAsia="en-US"/>
        </w:rPr>
      </w:pPr>
      <w:r w:rsidRPr="00E34267">
        <w:rPr>
          <w:rFonts w:eastAsia="Calibri"/>
          <w:color w:val="000000"/>
          <w:szCs w:val="24"/>
          <w:lang w:eastAsia="en-US"/>
        </w:rPr>
        <w:t>The use of MRI-guided biopsy in women with an MRI-detected lesion not visible on second-look ultrasound, where the identification or exclusion of malignancy is likely to change treatment, is considered:</w:t>
      </w:r>
    </w:p>
    <w:p w14:paraId="56E33599" w14:textId="77777777" w:rsidR="00E34267" w:rsidRPr="00E34267" w:rsidRDefault="00E34267" w:rsidP="00DA075F">
      <w:pPr>
        <w:numPr>
          <w:ilvl w:val="0"/>
          <w:numId w:val="35"/>
        </w:numPr>
        <w:contextualSpacing/>
        <w:rPr>
          <w:rFonts w:eastAsia="Calibri"/>
          <w:color w:val="000000"/>
          <w:szCs w:val="24"/>
          <w:lang w:eastAsia="en-US"/>
        </w:rPr>
      </w:pPr>
      <w:r w:rsidRPr="00E34267">
        <w:rPr>
          <w:rFonts w:eastAsia="Calibri"/>
          <w:color w:val="000000"/>
          <w:szCs w:val="24"/>
          <w:lang w:eastAsia="en-US"/>
        </w:rPr>
        <w:t>technically appropriate</w:t>
      </w:r>
    </w:p>
    <w:p w14:paraId="658C0619" w14:textId="77777777" w:rsidR="00E34267" w:rsidRPr="00E34267" w:rsidRDefault="00E34267" w:rsidP="00DA075F">
      <w:pPr>
        <w:numPr>
          <w:ilvl w:val="0"/>
          <w:numId w:val="35"/>
        </w:numPr>
        <w:contextualSpacing/>
        <w:rPr>
          <w:rFonts w:eastAsia="Calibri"/>
          <w:color w:val="000000"/>
          <w:szCs w:val="24"/>
          <w:lang w:eastAsia="en-US"/>
        </w:rPr>
      </w:pPr>
      <w:r w:rsidRPr="00E34267">
        <w:rPr>
          <w:rFonts w:eastAsia="Calibri"/>
          <w:color w:val="000000"/>
          <w:szCs w:val="24"/>
          <w:lang w:eastAsia="en-US"/>
        </w:rPr>
        <w:t>safe</w:t>
      </w:r>
    </w:p>
    <w:p w14:paraId="47D2CCEA" w14:textId="77777777" w:rsidR="00BC1364" w:rsidRPr="000F14B4" w:rsidRDefault="00BC1364" w:rsidP="005A66EA">
      <w:pPr>
        <w:rPr>
          <w:b/>
          <w:color w:val="FF0000"/>
          <w:szCs w:val="24"/>
        </w:rPr>
      </w:pPr>
    </w:p>
    <w:p w14:paraId="7D0C130F" w14:textId="77777777" w:rsidR="00BC1364" w:rsidRDefault="00BC1364" w:rsidP="005A66EA">
      <w:pPr>
        <w:pStyle w:val="Heading1"/>
        <w:numPr>
          <w:ilvl w:val="0"/>
          <w:numId w:val="23"/>
        </w:numPr>
        <w:ind w:hanging="720"/>
      </w:pPr>
      <w:r w:rsidRPr="008D5885">
        <w:t>Economic evaluation</w:t>
      </w:r>
    </w:p>
    <w:p w14:paraId="53440F6C" w14:textId="77777777" w:rsidR="00BC1364" w:rsidRDefault="00BC1364" w:rsidP="005A66EA">
      <w:pPr>
        <w:rPr>
          <w:b/>
          <w:szCs w:val="24"/>
        </w:rPr>
      </w:pPr>
    </w:p>
    <w:p w14:paraId="75108E81" w14:textId="77777777" w:rsidR="00E34267" w:rsidRPr="00E34267" w:rsidRDefault="00E34267" w:rsidP="005A66EA">
      <w:pPr>
        <w:rPr>
          <w:szCs w:val="24"/>
        </w:rPr>
      </w:pPr>
      <w:r w:rsidRPr="00E34267">
        <w:rPr>
          <w:szCs w:val="24"/>
        </w:rPr>
        <w:t>Clinical benefit was difficult to ascertain for many of the populations under evaluation in this review. There was a lack of evidence for the use of breast MRI in monitoring response during neoadjuvant treatment, and therefore no economic modelling could be performed. There was no evidence that use of MRI was associated with improved treatment selection or patient outcomes when used in women receiving neoadjuvant chemotherapy. As the use of MRI is associated with increased costs and no improvement in patient outcomes, its introduction would not be cost-effective in this population.</w:t>
      </w:r>
    </w:p>
    <w:p w14:paraId="1737D6C3" w14:textId="77777777" w:rsidR="00E34267" w:rsidRPr="00E34267" w:rsidRDefault="00E34267" w:rsidP="00E34267">
      <w:pPr>
        <w:rPr>
          <w:szCs w:val="24"/>
        </w:rPr>
      </w:pPr>
    </w:p>
    <w:p w14:paraId="5436BFE5" w14:textId="77777777" w:rsidR="00E34267" w:rsidRPr="00E34267" w:rsidRDefault="00E34267" w:rsidP="00E34267">
      <w:pPr>
        <w:rPr>
          <w:szCs w:val="24"/>
        </w:rPr>
      </w:pPr>
      <w:r w:rsidRPr="00E34267">
        <w:rPr>
          <w:szCs w:val="24"/>
        </w:rPr>
        <w:t xml:space="preserve">For the </w:t>
      </w:r>
      <w:proofErr w:type="spellStart"/>
      <w:r w:rsidRPr="00E34267">
        <w:rPr>
          <w:szCs w:val="24"/>
        </w:rPr>
        <w:t>presurgical</w:t>
      </w:r>
      <w:proofErr w:type="spellEnd"/>
      <w:r w:rsidRPr="00E34267">
        <w:rPr>
          <w:szCs w:val="24"/>
        </w:rPr>
        <w:t xml:space="preserve"> planning populations, there was no significant difference in 8-year local and distant recurrence for MRI versus no MRI (</w:t>
      </w:r>
      <w:proofErr w:type="spellStart"/>
      <w:r w:rsidRPr="00E34267">
        <w:rPr>
          <w:szCs w:val="24"/>
        </w:rPr>
        <w:t>Houssami</w:t>
      </w:r>
      <w:proofErr w:type="spellEnd"/>
      <w:r w:rsidRPr="00E34267">
        <w:rPr>
          <w:szCs w:val="24"/>
        </w:rPr>
        <w:t xml:space="preserve"> et al. 2014). Furthermore, the use of MRI also resulted in a significant increase in the overall mastectomy rate, with no significant reduction in subsequent reoperations (</w:t>
      </w:r>
      <w:proofErr w:type="spellStart"/>
      <w:r w:rsidRPr="00E34267">
        <w:rPr>
          <w:szCs w:val="24"/>
        </w:rPr>
        <w:t>Houssami</w:t>
      </w:r>
      <w:proofErr w:type="spellEnd"/>
      <w:r w:rsidRPr="00E34267">
        <w:rPr>
          <w:szCs w:val="24"/>
        </w:rPr>
        <w:t xml:space="preserve"> et al. 2013). Using MRI will result in more patients undergoing mastectomy and experiencing poorer quality of life compared to patients who have breast-conserving surgery (Young et al. 2012, Turnbull et al. 2010b).</w:t>
      </w:r>
    </w:p>
    <w:p w14:paraId="536C91DA" w14:textId="77777777" w:rsidR="00E34267" w:rsidRPr="00E34267" w:rsidRDefault="00E34267" w:rsidP="00E34267">
      <w:pPr>
        <w:rPr>
          <w:szCs w:val="24"/>
        </w:rPr>
      </w:pPr>
    </w:p>
    <w:p w14:paraId="072433FC" w14:textId="77777777" w:rsidR="00E34267" w:rsidRPr="00E34267" w:rsidRDefault="00E34267" w:rsidP="00E34267">
      <w:pPr>
        <w:rPr>
          <w:szCs w:val="24"/>
        </w:rPr>
      </w:pPr>
      <w:proofErr w:type="gramStart"/>
      <w:r w:rsidRPr="00E34267">
        <w:rPr>
          <w:szCs w:val="24"/>
        </w:rPr>
        <w:t xml:space="preserve">Overall, given the poorer quality of life due to a higher mastectomy rate, no improvement in local or distant recurrence, higher costs for additional imaging and more extensive surgeries, MRI would not be expected to be cost-effective for use in </w:t>
      </w:r>
      <w:proofErr w:type="spellStart"/>
      <w:r w:rsidRPr="00E34267">
        <w:rPr>
          <w:szCs w:val="24"/>
        </w:rPr>
        <w:t>presurgical</w:t>
      </w:r>
      <w:proofErr w:type="spellEnd"/>
      <w:r w:rsidRPr="00E34267">
        <w:rPr>
          <w:szCs w:val="24"/>
        </w:rPr>
        <w:t xml:space="preserve"> planning for breast cancer in the Australian setting.</w:t>
      </w:r>
      <w:proofErr w:type="gramEnd"/>
    </w:p>
    <w:p w14:paraId="12EB1195" w14:textId="77777777" w:rsidR="00E34267" w:rsidRPr="00E34267" w:rsidRDefault="00E34267" w:rsidP="00E34267">
      <w:pPr>
        <w:rPr>
          <w:szCs w:val="24"/>
        </w:rPr>
      </w:pPr>
    </w:p>
    <w:p w14:paraId="5F0E3C19" w14:textId="77777777" w:rsidR="00E34267" w:rsidRPr="00E34267" w:rsidRDefault="00E34267" w:rsidP="00E34267">
      <w:pPr>
        <w:rPr>
          <w:szCs w:val="24"/>
        </w:rPr>
      </w:pPr>
      <w:r w:rsidRPr="00E34267">
        <w:rPr>
          <w:szCs w:val="24"/>
        </w:rPr>
        <w:t xml:space="preserve">For two of the </w:t>
      </w:r>
      <w:proofErr w:type="spellStart"/>
      <w:r w:rsidRPr="00E34267">
        <w:rPr>
          <w:szCs w:val="24"/>
        </w:rPr>
        <w:t>presurgical</w:t>
      </w:r>
      <w:proofErr w:type="spellEnd"/>
      <w:r w:rsidRPr="00E34267">
        <w:rPr>
          <w:szCs w:val="24"/>
        </w:rPr>
        <w:t xml:space="preserve"> planning sub-populations, some evidence of a significant difference in re-operation rates was identified, without an overall increase in mastectomy rates. These were young women (defined in the protocol as aged 50 years or less) and women with breast cancer of the lobular sub-type. For these populations an exploratory analysis of the cost-effectiveness of MRI was performed to explore the possible immediate benefits associated with reduced reoperations.</w:t>
      </w:r>
    </w:p>
    <w:p w14:paraId="4024630C" w14:textId="77777777" w:rsidR="00E34267" w:rsidRPr="00E34267" w:rsidRDefault="00E34267" w:rsidP="00E34267">
      <w:pPr>
        <w:keepNext/>
        <w:keepLines/>
        <w:spacing w:before="480"/>
        <w:rPr>
          <w:bCs/>
          <w:szCs w:val="24"/>
          <w:u w:val="single"/>
        </w:rPr>
      </w:pPr>
      <w:r w:rsidRPr="00E34267">
        <w:rPr>
          <w:bCs/>
          <w:szCs w:val="24"/>
          <w:u w:val="single"/>
        </w:rPr>
        <w:lastRenderedPageBreak/>
        <w:t>Method and approach</w:t>
      </w:r>
    </w:p>
    <w:p w14:paraId="4EF8A6A4" w14:textId="77777777" w:rsidR="00E34267" w:rsidRPr="00E34267" w:rsidRDefault="00E34267" w:rsidP="00E34267">
      <w:pPr>
        <w:rPr>
          <w:szCs w:val="24"/>
        </w:rPr>
      </w:pPr>
      <w:r w:rsidRPr="00E34267">
        <w:rPr>
          <w:szCs w:val="24"/>
        </w:rPr>
        <w:t>Evidence identified in the systematic literature review revealed that MRI is associated with an increase in initial mastectomies, but a decrease in reoperations (either repeat breast-conserving surgery or conversion to mastectomy) in women aged ≤50 years and women with lobular breast cancer. A decision-tree model with a 1-year time horizon was used to capture the difference in these surgery rates and the subsequent impact on costs and quality of life.</w:t>
      </w:r>
    </w:p>
    <w:p w14:paraId="341DAEE8" w14:textId="77777777" w:rsidR="00E34267" w:rsidRPr="00E34267" w:rsidRDefault="00E34267" w:rsidP="00DA075F">
      <w:pPr>
        <w:rPr>
          <w:rFonts w:ascii="Arial Narrow" w:hAnsi="Arial Narrow"/>
          <w:color w:val="000000"/>
          <w:sz w:val="18"/>
          <w:szCs w:val="18"/>
        </w:rPr>
      </w:pPr>
      <w:r w:rsidRPr="00E34267">
        <w:rPr>
          <w:szCs w:val="24"/>
        </w:rPr>
        <w:t xml:space="preserve">Clinical data were chiefly based on two publications: Gonzalez et al. (2014), a randomised controlled trial of MRI in breast cancer, performed on women aged younger than 56, and </w:t>
      </w:r>
      <w:proofErr w:type="spellStart"/>
      <w:r w:rsidRPr="00E34267">
        <w:rPr>
          <w:szCs w:val="24"/>
        </w:rPr>
        <w:t>Houssami</w:t>
      </w:r>
      <w:proofErr w:type="spellEnd"/>
      <w:r w:rsidRPr="00E34267">
        <w:rPr>
          <w:szCs w:val="24"/>
        </w:rPr>
        <w:t xml:space="preserve"> et al. (2013), a meta-analysis looking at the effect of preoperative MRI surgical outcomes. Utility weights were abstracted from Young et al. (2012), a cost-effectiveness analysis of MRI in early-stage breast cancer. </w:t>
      </w:r>
    </w:p>
    <w:p w14:paraId="71CBBF23" w14:textId="77777777" w:rsidR="00E34267" w:rsidRPr="00E34267" w:rsidRDefault="00E34267" w:rsidP="00E34267">
      <w:pPr>
        <w:rPr>
          <w:szCs w:val="24"/>
        </w:rPr>
      </w:pPr>
      <w:r w:rsidRPr="00E34267">
        <w:rPr>
          <w:szCs w:val="24"/>
        </w:rPr>
        <w:t>Costs included in the model were MRI, additional diagnostics (ultrasound, ultrasound-guided biopsy and MRI-guided biopsy) and surgery (initial or converted mastectomy, initial or repeat breast-conserving surgery).</w:t>
      </w:r>
    </w:p>
    <w:p w14:paraId="30709F25" w14:textId="77777777" w:rsidR="006F5CB4" w:rsidRDefault="006F5CB4" w:rsidP="00E34267">
      <w:pPr>
        <w:rPr>
          <w:szCs w:val="24"/>
        </w:rPr>
      </w:pPr>
    </w:p>
    <w:p w14:paraId="6B962AFA" w14:textId="77777777" w:rsidR="00E34267" w:rsidRPr="00E34267" w:rsidRDefault="00E34267" w:rsidP="00E34267">
      <w:pPr>
        <w:rPr>
          <w:szCs w:val="24"/>
        </w:rPr>
      </w:pPr>
      <w:r w:rsidRPr="00E34267">
        <w:rPr>
          <w:szCs w:val="24"/>
        </w:rPr>
        <w:t>Utility weights for mastectomy and breast-conserving surgery were applied based on the final surgery, regardless of the number of operations. A scenario was explored in the sensitivity analysis assuming there is disutility associated with having a second surgery equivalent to experiencing life in a health state valued at 0.5 for one month. This assumption was purely investigative and not evidence based.</w:t>
      </w:r>
    </w:p>
    <w:p w14:paraId="7AFB9F2B" w14:textId="77777777" w:rsidR="00E34267" w:rsidRPr="00E34267" w:rsidRDefault="00E34267" w:rsidP="00E34267">
      <w:pPr>
        <w:rPr>
          <w:szCs w:val="24"/>
        </w:rPr>
      </w:pPr>
    </w:p>
    <w:p w14:paraId="2216399F" w14:textId="77777777" w:rsidR="00E34267" w:rsidRPr="00E34267" w:rsidRDefault="00E34267" w:rsidP="00E34267">
      <w:pPr>
        <w:rPr>
          <w:szCs w:val="24"/>
        </w:rPr>
      </w:pPr>
      <w:r w:rsidRPr="00E34267">
        <w:rPr>
          <w:szCs w:val="24"/>
        </w:rPr>
        <w:t>With improved specificity, MRI detects additional cancer and increases the likelihood of an initial mastectomy in the modelled populations. In turn, as fewer women have breast-conserving surgery after MRI there are fewer reoperations (either repeat breast-conserving surgery or conversion to mastectomy). It is this change in the rates of surgery that drives the differences between the MRI arm and the no-MRI arm of the model. The base-case results of the cost-effectiveness analyses are presented in Table 5.</w:t>
      </w:r>
    </w:p>
    <w:p w14:paraId="49AD4C1F" w14:textId="77777777" w:rsidR="00E34267" w:rsidRPr="00E34267" w:rsidRDefault="00E34267" w:rsidP="00E34267"/>
    <w:p w14:paraId="184E266B" w14:textId="77777777" w:rsidR="00E34267" w:rsidRPr="00F30882" w:rsidRDefault="00E34267" w:rsidP="00E34267">
      <w:pPr>
        <w:keepNext/>
        <w:tabs>
          <w:tab w:val="left" w:pos="1134"/>
        </w:tabs>
        <w:spacing w:before="40" w:after="40"/>
        <w:ind w:left="1134" w:hanging="1134"/>
        <w:rPr>
          <w:rFonts w:ascii="Arial" w:hAnsi="Arial" w:cs="Arial"/>
          <w:b/>
          <w:bCs/>
          <w:sz w:val="20"/>
        </w:rPr>
      </w:pPr>
      <w:bookmarkStart w:id="21" w:name="_Ref405812362"/>
      <w:bookmarkStart w:id="22" w:name="_Toc405984006"/>
      <w:bookmarkStart w:id="23" w:name="_Toc408487938"/>
      <w:r w:rsidRPr="00F30882">
        <w:rPr>
          <w:rFonts w:ascii="Arial" w:hAnsi="Arial" w:cs="Arial"/>
          <w:b/>
          <w:bCs/>
          <w:sz w:val="20"/>
        </w:rPr>
        <w:t xml:space="preserve">Table </w:t>
      </w:r>
      <w:bookmarkEnd w:id="21"/>
      <w:r w:rsidRPr="00F30882">
        <w:rPr>
          <w:rFonts w:ascii="Arial" w:hAnsi="Arial" w:cs="Arial"/>
          <w:b/>
          <w:bCs/>
          <w:sz w:val="20"/>
        </w:rPr>
        <w:t>5</w:t>
      </w:r>
      <w:r w:rsidRPr="00F30882">
        <w:rPr>
          <w:rFonts w:ascii="Arial" w:hAnsi="Arial" w:cs="Arial"/>
          <w:b/>
          <w:bCs/>
          <w:sz w:val="20"/>
        </w:rPr>
        <w:tab/>
        <w:t>Base-case cost-effectiveness results</w:t>
      </w:r>
      <w:bookmarkEnd w:id="22"/>
      <w:r w:rsidRPr="00F30882">
        <w:rPr>
          <w:rFonts w:ascii="Arial" w:hAnsi="Arial" w:cs="Arial"/>
          <w:b/>
          <w:bCs/>
          <w:sz w:val="20"/>
        </w:rPr>
        <w:t xml:space="preserve"> for the lobular breast cancer and young women populations</w:t>
      </w:r>
      <w:bookmarkEnd w:id="23"/>
    </w:p>
    <w:tbl>
      <w:tblPr>
        <w:tblStyle w:val="TableGrid2"/>
        <w:tblW w:w="5000" w:type="pct"/>
        <w:tblLook w:val="04A0" w:firstRow="1" w:lastRow="0" w:firstColumn="1" w:lastColumn="0" w:noHBand="0" w:noVBand="1"/>
        <w:tblCaption w:val="Base-case cost-effectiveness results for the lobular breast cancer and young women populations"/>
      </w:tblPr>
      <w:tblGrid>
        <w:gridCol w:w="3048"/>
        <w:gridCol w:w="1859"/>
        <w:gridCol w:w="2064"/>
        <w:gridCol w:w="2271"/>
      </w:tblGrid>
      <w:tr w:rsidR="00E34267" w:rsidRPr="00F30882" w14:paraId="738F9AF2" w14:textId="77777777" w:rsidTr="00E34267">
        <w:trPr>
          <w:cantSplit/>
          <w:trHeight w:val="300"/>
          <w:tblHeader/>
        </w:trPr>
        <w:tc>
          <w:tcPr>
            <w:tcW w:w="3048" w:type="dxa"/>
            <w:tcBorders>
              <w:bottom w:val="single" w:sz="4" w:space="0" w:color="auto"/>
            </w:tcBorders>
          </w:tcPr>
          <w:p w14:paraId="09249298"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Outcome</w:t>
            </w:r>
          </w:p>
        </w:tc>
        <w:tc>
          <w:tcPr>
            <w:tcW w:w="1859" w:type="dxa"/>
            <w:tcBorders>
              <w:bottom w:val="single" w:sz="4" w:space="0" w:color="auto"/>
            </w:tcBorders>
            <w:noWrap/>
          </w:tcPr>
          <w:p w14:paraId="5B187BC7"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MRI</w:t>
            </w:r>
          </w:p>
        </w:tc>
        <w:tc>
          <w:tcPr>
            <w:tcW w:w="2064" w:type="dxa"/>
            <w:tcBorders>
              <w:bottom w:val="single" w:sz="4" w:space="0" w:color="auto"/>
            </w:tcBorders>
          </w:tcPr>
          <w:p w14:paraId="555161BA"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No MRI</w:t>
            </w:r>
          </w:p>
        </w:tc>
        <w:tc>
          <w:tcPr>
            <w:tcW w:w="2271" w:type="dxa"/>
            <w:tcBorders>
              <w:bottom w:val="single" w:sz="4" w:space="0" w:color="auto"/>
            </w:tcBorders>
            <w:noWrap/>
          </w:tcPr>
          <w:p w14:paraId="2E1EEDA5"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Incremental outcome</w:t>
            </w:r>
          </w:p>
        </w:tc>
      </w:tr>
      <w:tr w:rsidR="00E34267" w:rsidRPr="00F30882" w14:paraId="4525562B" w14:textId="77777777" w:rsidTr="00E34267">
        <w:trPr>
          <w:cantSplit/>
          <w:trHeight w:val="300"/>
        </w:trPr>
        <w:tc>
          <w:tcPr>
            <w:tcW w:w="3048" w:type="dxa"/>
            <w:tcBorders>
              <w:right w:val="nil"/>
            </w:tcBorders>
            <w:shd w:val="clear" w:color="auto" w:fill="D9D9D9" w:themeFill="background1" w:themeFillShade="D9"/>
          </w:tcPr>
          <w:p w14:paraId="6738251B"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 xml:space="preserve">Lobular breast cancer </w:t>
            </w:r>
          </w:p>
        </w:tc>
        <w:tc>
          <w:tcPr>
            <w:tcW w:w="1859" w:type="dxa"/>
            <w:tcBorders>
              <w:left w:val="nil"/>
              <w:right w:val="nil"/>
            </w:tcBorders>
            <w:shd w:val="clear" w:color="auto" w:fill="D9D9D9" w:themeFill="background1" w:themeFillShade="D9"/>
            <w:noWrap/>
          </w:tcPr>
          <w:p w14:paraId="6FF46BED"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2064" w:type="dxa"/>
            <w:tcBorders>
              <w:left w:val="nil"/>
              <w:right w:val="nil"/>
            </w:tcBorders>
            <w:shd w:val="clear" w:color="auto" w:fill="D9D9D9" w:themeFill="background1" w:themeFillShade="D9"/>
          </w:tcPr>
          <w:p w14:paraId="0EDD4B40" w14:textId="77777777" w:rsidR="00E34267" w:rsidRPr="007A2975" w:rsidRDefault="00E34267" w:rsidP="00E34267">
            <w:pPr>
              <w:keepNext/>
              <w:spacing w:before="40" w:after="40"/>
              <w:jc w:val="center"/>
              <w:rPr>
                <w:rFonts w:ascii="Arial" w:hAnsi="Arial" w:cs="Arial"/>
                <w:sz w:val="20"/>
              </w:rPr>
            </w:pPr>
            <w:r w:rsidRPr="007A2975">
              <w:rPr>
                <w:rFonts w:ascii="Arial" w:hAnsi="Arial" w:cs="Arial"/>
                <w:sz w:val="20"/>
              </w:rPr>
              <w:t>-</w:t>
            </w:r>
          </w:p>
        </w:tc>
        <w:tc>
          <w:tcPr>
            <w:tcW w:w="2271" w:type="dxa"/>
            <w:tcBorders>
              <w:left w:val="nil"/>
            </w:tcBorders>
            <w:shd w:val="clear" w:color="auto" w:fill="D9D9D9" w:themeFill="background1" w:themeFillShade="D9"/>
            <w:noWrap/>
          </w:tcPr>
          <w:p w14:paraId="5A9C9C4F" w14:textId="77777777" w:rsidR="00E34267" w:rsidRPr="007A2975" w:rsidRDefault="00E34267" w:rsidP="00E34267">
            <w:pPr>
              <w:keepNext/>
              <w:spacing w:before="40" w:after="40"/>
              <w:jc w:val="center"/>
              <w:rPr>
                <w:rFonts w:ascii="Arial" w:hAnsi="Arial" w:cs="Arial"/>
                <w:sz w:val="20"/>
              </w:rPr>
            </w:pPr>
            <w:r w:rsidRPr="007A2975">
              <w:rPr>
                <w:rFonts w:ascii="Arial" w:hAnsi="Arial" w:cs="Arial"/>
                <w:sz w:val="20"/>
              </w:rPr>
              <w:t>-</w:t>
            </w:r>
          </w:p>
        </w:tc>
      </w:tr>
      <w:tr w:rsidR="00E34267" w:rsidRPr="00F30882" w14:paraId="36BFC1B7" w14:textId="77777777" w:rsidTr="00E34267">
        <w:trPr>
          <w:cantSplit/>
          <w:trHeight w:val="300"/>
        </w:trPr>
        <w:tc>
          <w:tcPr>
            <w:tcW w:w="3048" w:type="dxa"/>
          </w:tcPr>
          <w:p w14:paraId="446796CC"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Costs</w:t>
            </w:r>
          </w:p>
        </w:tc>
        <w:tc>
          <w:tcPr>
            <w:tcW w:w="1859" w:type="dxa"/>
            <w:noWrap/>
          </w:tcPr>
          <w:p w14:paraId="5510EE85"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$6,808</w:t>
            </w:r>
          </w:p>
        </w:tc>
        <w:tc>
          <w:tcPr>
            <w:tcW w:w="2064" w:type="dxa"/>
          </w:tcPr>
          <w:p w14:paraId="059B3910"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$6,017</w:t>
            </w:r>
          </w:p>
        </w:tc>
        <w:tc>
          <w:tcPr>
            <w:tcW w:w="2271" w:type="dxa"/>
            <w:noWrap/>
          </w:tcPr>
          <w:p w14:paraId="2EE8DF00"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$790</w:t>
            </w:r>
          </w:p>
        </w:tc>
      </w:tr>
      <w:tr w:rsidR="00E34267" w:rsidRPr="00F30882" w14:paraId="31F72832" w14:textId="77777777" w:rsidTr="00E34267">
        <w:trPr>
          <w:cantSplit/>
          <w:trHeight w:val="300"/>
        </w:trPr>
        <w:tc>
          <w:tcPr>
            <w:tcW w:w="3048" w:type="dxa"/>
            <w:tcBorders>
              <w:bottom w:val="single" w:sz="4" w:space="0" w:color="auto"/>
            </w:tcBorders>
          </w:tcPr>
          <w:p w14:paraId="75776497"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QALYs</w:t>
            </w:r>
          </w:p>
        </w:tc>
        <w:tc>
          <w:tcPr>
            <w:tcW w:w="1859" w:type="dxa"/>
            <w:tcBorders>
              <w:bottom w:val="single" w:sz="4" w:space="0" w:color="auto"/>
            </w:tcBorders>
            <w:noWrap/>
          </w:tcPr>
          <w:p w14:paraId="005AF044"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0.863</w:t>
            </w:r>
          </w:p>
        </w:tc>
        <w:tc>
          <w:tcPr>
            <w:tcW w:w="2064" w:type="dxa"/>
            <w:tcBorders>
              <w:bottom w:val="single" w:sz="4" w:space="0" w:color="auto"/>
            </w:tcBorders>
          </w:tcPr>
          <w:p w14:paraId="3BC01A79"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0.870</w:t>
            </w:r>
          </w:p>
        </w:tc>
        <w:tc>
          <w:tcPr>
            <w:tcW w:w="2271" w:type="dxa"/>
            <w:noWrap/>
          </w:tcPr>
          <w:p w14:paraId="53C46F85"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-0.007</w:t>
            </w:r>
          </w:p>
        </w:tc>
      </w:tr>
      <w:tr w:rsidR="00E34267" w:rsidRPr="00F30882" w14:paraId="580C3C84" w14:textId="77777777" w:rsidTr="00E34267">
        <w:trPr>
          <w:cantSplit/>
          <w:trHeight w:val="300"/>
        </w:trPr>
        <w:tc>
          <w:tcPr>
            <w:tcW w:w="3048" w:type="dxa"/>
            <w:tcBorders>
              <w:bottom w:val="single" w:sz="4" w:space="0" w:color="auto"/>
              <w:right w:val="nil"/>
            </w:tcBorders>
          </w:tcPr>
          <w:p w14:paraId="71CDC8B3"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ICER</w:t>
            </w:r>
          </w:p>
        </w:tc>
        <w:tc>
          <w:tcPr>
            <w:tcW w:w="1859" w:type="dxa"/>
            <w:tcBorders>
              <w:left w:val="nil"/>
              <w:bottom w:val="single" w:sz="4" w:space="0" w:color="auto"/>
              <w:right w:val="nil"/>
            </w:tcBorders>
            <w:noWrap/>
          </w:tcPr>
          <w:p w14:paraId="7E996041"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w:t>
            </w:r>
          </w:p>
        </w:tc>
        <w:tc>
          <w:tcPr>
            <w:tcW w:w="2064" w:type="dxa"/>
            <w:tcBorders>
              <w:left w:val="nil"/>
              <w:bottom w:val="single" w:sz="4" w:space="0" w:color="auto"/>
            </w:tcBorders>
          </w:tcPr>
          <w:p w14:paraId="5D0E86BC"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w:t>
            </w:r>
          </w:p>
        </w:tc>
        <w:tc>
          <w:tcPr>
            <w:tcW w:w="2271" w:type="dxa"/>
            <w:tcBorders>
              <w:bottom w:val="single" w:sz="4" w:space="0" w:color="auto"/>
            </w:tcBorders>
            <w:noWrap/>
          </w:tcPr>
          <w:p w14:paraId="1153D48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r w:rsidR="00E34267" w:rsidRPr="00F30882" w14:paraId="0C8F5265" w14:textId="77777777" w:rsidTr="00E34267">
        <w:trPr>
          <w:cantSplit/>
          <w:trHeight w:val="300"/>
        </w:trPr>
        <w:tc>
          <w:tcPr>
            <w:tcW w:w="3048" w:type="dxa"/>
            <w:tcBorders>
              <w:right w:val="nil"/>
            </w:tcBorders>
            <w:shd w:val="clear" w:color="auto" w:fill="D9D9D9" w:themeFill="background1" w:themeFillShade="D9"/>
          </w:tcPr>
          <w:p w14:paraId="687A841E"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 xml:space="preserve">Young women </w:t>
            </w:r>
          </w:p>
        </w:tc>
        <w:tc>
          <w:tcPr>
            <w:tcW w:w="1859" w:type="dxa"/>
            <w:tcBorders>
              <w:left w:val="nil"/>
              <w:right w:val="nil"/>
            </w:tcBorders>
            <w:shd w:val="clear" w:color="auto" w:fill="D9D9D9" w:themeFill="background1" w:themeFillShade="D9"/>
            <w:noWrap/>
          </w:tcPr>
          <w:p w14:paraId="3F2B6FE1"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2064" w:type="dxa"/>
            <w:tcBorders>
              <w:left w:val="nil"/>
              <w:right w:val="nil"/>
            </w:tcBorders>
            <w:shd w:val="clear" w:color="auto" w:fill="D9D9D9" w:themeFill="background1" w:themeFillShade="D9"/>
          </w:tcPr>
          <w:p w14:paraId="006FE3AF" w14:textId="77777777" w:rsidR="00E34267" w:rsidRPr="007A2975" w:rsidRDefault="00E34267" w:rsidP="00E34267">
            <w:pPr>
              <w:keepNext/>
              <w:spacing w:before="40" w:after="40"/>
              <w:jc w:val="center"/>
              <w:rPr>
                <w:rFonts w:ascii="Arial" w:hAnsi="Arial" w:cs="Arial"/>
                <w:sz w:val="20"/>
              </w:rPr>
            </w:pPr>
            <w:r w:rsidRPr="007A2975">
              <w:rPr>
                <w:rFonts w:ascii="Arial" w:hAnsi="Arial" w:cs="Arial"/>
                <w:sz w:val="20"/>
              </w:rPr>
              <w:t>-</w:t>
            </w:r>
          </w:p>
        </w:tc>
        <w:tc>
          <w:tcPr>
            <w:tcW w:w="2271" w:type="dxa"/>
            <w:tcBorders>
              <w:left w:val="nil"/>
            </w:tcBorders>
            <w:shd w:val="clear" w:color="auto" w:fill="D9D9D9" w:themeFill="background1" w:themeFillShade="D9"/>
            <w:noWrap/>
          </w:tcPr>
          <w:p w14:paraId="5F7E54FD" w14:textId="77777777" w:rsidR="00E34267" w:rsidRPr="007A2975" w:rsidRDefault="00E34267" w:rsidP="00E34267">
            <w:pPr>
              <w:keepNext/>
              <w:spacing w:before="40" w:after="40"/>
              <w:jc w:val="center"/>
              <w:rPr>
                <w:rFonts w:ascii="Arial" w:hAnsi="Arial" w:cs="Arial"/>
                <w:sz w:val="20"/>
              </w:rPr>
            </w:pPr>
            <w:r w:rsidRPr="007A2975">
              <w:rPr>
                <w:rFonts w:ascii="Arial" w:hAnsi="Arial" w:cs="Arial"/>
                <w:sz w:val="20"/>
              </w:rPr>
              <w:t>-</w:t>
            </w:r>
          </w:p>
        </w:tc>
      </w:tr>
      <w:tr w:rsidR="00E34267" w:rsidRPr="00F30882" w14:paraId="5A0F15CC" w14:textId="77777777" w:rsidTr="00E34267">
        <w:trPr>
          <w:cantSplit/>
          <w:trHeight w:val="300"/>
        </w:trPr>
        <w:tc>
          <w:tcPr>
            <w:tcW w:w="3048" w:type="dxa"/>
          </w:tcPr>
          <w:p w14:paraId="71589B85"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Costs</w:t>
            </w:r>
          </w:p>
        </w:tc>
        <w:tc>
          <w:tcPr>
            <w:tcW w:w="1859" w:type="dxa"/>
            <w:noWrap/>
          </w:tcPr>
          <w:p w14:paraId="6F532B4F"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$6,124</w:t>
            </w:r>
          </w:p>
        </w:tc>
        <w:tc>
          <w:tcPr>
            <w:tcW w:w="2064" w:type="dxa"/>
          </w:tcPr>
          <w:p w14:paraId="64B1686A"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$5,577</w:t>
            </w:r>
          </w:p>
        </w:tc>
        <w:tc>
          <w:tcPr>
            <w:tcW w:w="2271" w:type="dxa"/>
            <w:noWrap/>
          </w:tcPr>
          <w:p w14:paraId="04FF87F3"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$536</w:t>
            </w:r>
          </w:p>
        </w:tc>
      </w:tr>
      <w:tr w:rsidR="00E34267" w:rsidRPr="00F30882" w14:paraId="06732C3A" w14:textId="77777777" w:rsidTr="00E34267">
        <w:trPr>
          <w:cantSplit/>
          <w:trHeight w:val="300"/>
        </w:trPr>
        <w:tc>
          <w:tcPr>
            <w:tcW w:w="3048" w:type="dxa"/>
            <w:tcBorders>
              <w:bottom w:val="single" w:sz="4" w:space="0" w:color="auto"/>
            </w:tcBorders>
          </w:tcPr>
          <w:p w14:paraId="0FC40682"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QALYs</w:t>
            </w:r>
          </w:p>
        </w:tc>
        <w:tc>
          <w:tcPr>
            <w:tcW w:w="1859" w:type="dxa"/>
            <w:tcBorders>
              <w:bottom w:val="single" w:sz="4" w:space="0" w:color="auto"/>
            </w:tcBorders>
            <w:noWrap/>
          </w:tcPr>
          <w:p w14:paraId="6E3A631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0.871</w:t>
            </w:r>
          </w:p>
        </w:tc>
        <w:tc>
          <w:tcPr>
            <w:tcW w:w="2064" w:type="dxa"/>
            <w:tcBorders>
              <w:bottom w:val="single" w:sz="4" w:space="0" w:color="auto"/>
            </w:tcBorders>
          </w:tcPr>
          <w:p w14:paraId="50F78C1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0.872</w:t>
            </w:r>
          </w:p>
        </w:tc>
        <w:tc>
          <w:tcPr>
            <w:tcW w:w="2271" w:type="dxa"/>
            <w:noWrap/>
          </w:tcPr>
          <w:p w14:paraId="43C562FC"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-0.001</w:t>
            </w:r>
          </w:p>
        </w:tc>
      </w:tr>
      <w:tr w:rsidR="00E34267" w:rsidRPr="00F30882" w14:paraId="1777FE9A" w14:textId="77777777" w:rsidTr="00E34267">
        <w:trPr>
          <w:cantSplit/>
          <w:trHeight w:val="300"/>
        </w:trPr>
        <w:tc>
          <w:tcPr>
            <w:tcW w:w="3048" w:type="dxa"/>
            <w:tcBorders>
              <w:right w:val="nil"/>
            </w:tcBorders>
          </w:tcPr>
          <w:p w14:paraId="0B7455E9"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ICER</w:t>
            </w:r>
          </w:p>
        </w:tc>
        <w:tc>
          <w:tcPr>
            <w:tcW w:w="1859" w:type="dxa"/>
            <w:tcBorders>
              <w:left w:val="nil"/>
              <w:right w:val="nil"/>
            </w:tcBorders>
            <w:noWrap/>
          </w:tcPr>
          <w:p w14:paraId="09107EE6"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w:t>
            </w:r>
          </w:p>
        </w:tc>
        <w:tc>
          <w:tcPr>
            <w:tcW w:w="2064" w:type="dxa"/>
            <w:tcBorders>
              <w:left w:val="nil"/>
            </w:tcBorders>
          </w:tcPr>
          <w:p w14:paraId="58E0FA5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w:t>
            </w:r>
          </w:p>
        </w:tc>
        <w:tc>
          <w:tcPr>
            <w:tcW w:w="2271" w:type="dxa"/>
            <w:noWrap/>
          </w:tcPr>
          <w:p w14:paraId="49F0018B"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bl>
    <w:p w14:paraId="716F09E6" w14:textId="77777777" w:rsidR="00E34267" w:rsidRPr="00E34267" w:rsidRDefault="00E34267" w:rsidP="00E34267">
      <w:pPr>
        <w:spacing w:after="120"/>
        <w:rPr>
          <w:rFonts w:ascii="Arial Narrow" w:hAnsi="Arial Narrow"/>
          <w:color w:val="000000"/>
          <w:sz w:val="18"/>
          <w:szCs w:val="18"/>
        </w:rPr>
      </w:pPr>
      <w:r w:rsidRPr="00E34267">
        <w:rPr>
          <w:rFonts w:ascii="Arial Narrow" w:hAnsi="Arial Narrow"/>
          <w:color w:val="000000"/>
          <w:sz w:val="18"/>
          <w:szCs w:val="18"/>
        </w:rPr>
        <w:t>Abbreviations: ICER = incremental cost-effectiveness ratio; MRI = magnetic resonance imaging; QALY = quality-adjusted life year</w:t>
      </w:r>
    </w:p>
    <w:p w14:paraId="4BDB9FFC" w14:textId="77777777" w:rsidR="00E34267" w:rsidRPr="00E34267" w:rsidRDefault="00E34267" w:rsidP="00E34267"/>
    <w:p w14:paraId="439561E2" w14:textId="77777777" w:rsidR="00E34267" w:rsidRPr="00E34267" w:rsidRDefault="00E34267" w:rsidP="00E34267">
      <w:r w:rsidRPr="00E34267">
        <w:t>MRI is associated with increased costs and reduced quality-adjusted life years (QALYs) in both populations. These results are due to the increased number of expensive mastectomies being performed in the MRI arm. Mastectomies are both more expensive than breast-conserving surgeries and associated with inferior quality of life. These results are in line with other identified published evaluations of MRI in breast cancer: Turnbull et al. (2010) and Young et al. (2012).</w:t>
      </w:r>
    </w:p>
    <w:p w14:paraId="54D9050D" w14:textId="77777777" w:rsidR="00E34267" w:rsidRPr="00E34267" w:rsidRDefault="00E34267" w:rsidP="00E34267"/>
    <w:p w14:paraId="24A3976B" w14:textId="77777777" w:rsidR="00E34267" w:rsidRPr="00E34267" w:rsidRDefault="00E34267" w:rsidP="00E34267">
      <w:r w:rsidRPr="00E34267">
        <w:t>A deterministic sensitivity analysis was performed to determine the key drivers of the cost-effectiveness results. The results are presented in Table 6.</w:t>
      </w:r>
    </w:p>
    <w:p w14:paraId="32F4B997" w14:textId="77777777" w:rsidR="00E34267" w:rsidRPr="00F30882" w:rsidRDefault="00E34267" w:rsidP="00E34267">
      <w:pPr>
        <w:keepNext/>
        <w:tabs>
          <w:tab w:val="left" w:pos="1134"/>
        </w:tabs>
        <w:spacing w:before="40" w:after="40"/>
        <w:ind w:left="1134" w:hanging="1134"/>
        <w:rPr>
          <w:rFonts w:ascii="Arial" w:hAnsi="Arial" w:cs="Arial"/>
          <w:b/>
          <w:bCs/>
          <w:sz w:val="20"/>
        </w:rPr>
      </w:pPr>
      <w:bookmarkStart w:id="24" w:name="_Ref405815166"/>
      <w:bookmarkStart w:id="25" w:name="_Toc405984007"/>
      <w:bookmarkStart w:id="26" w:name="_Toc408487939"/>
      <w:r w:rsidRPr="00F30882">
        <w:rPr>
          <w:rFonts w:ascii="Arial" w:hAnsi="Arial" w:cs="Arial"/>
          <w:b/>
          <w:bCs/>
          <w:sz w:val="20"/>
        </w:rPr>
        <w:lastRenderedPageBreak/>
        <w:t xml:space="preserve">Table </w:t>
      </w:r>
      <w:bookmarkEnd w:id="24"/>
      <w:r w:rsidRPr="00F30882">
        <w:rPr>
          <w:rFonts w:ascii="Arial" w:hAnsi="Arial" w:cs="Arial"/>
          <w:b/>
          <w:bCs/>
          <w:sz w:val="20"/>
        </w:rPr>
        <w:t>6</w:t>
      </w:r>
      <w:r w:rsidRPr="00F30882">
        <w:rPr>
          <w:rFonts w:ascii="Arial" w:hAnsi="Arial" w:cs="Arial"/>
          <w:b/>
          <w:bCs/>
          <w:sz w:val="20"/>
        </w:rPr>
        <w:tab/>
        <w:t>Deterministic sensitivity analysis results</w:t>
      </w:r>
      <w:bookmarkEnd w:id="25"/>
      <w:r w:rsidRPr="00F30882">
        <w:rPr>
          <w:rFonts w:ascii="Arial" w:hAnsi="Arial" w:cs="Arial"/>
          <w:b/>
          <w:bCs/>
          <w:sz w:val="20"/>
        </w:rPr>
        <w:t xml:space="preserve"> for the lobular breast cancer and young women populations</w:t>
      </w:r>
      <w:bookmarkEnd w:id="26"/>
    </w:p>
    <w:tbl>
      <w:tblPr>
        <w:tblStyle w:val="TableGrid2"/>
        <w:tblW w:w="5000" w:type="pct"/>
        <w:tblLook w:val="04A0" w:firstRow="1" w:lastRow="0" w:firstColumn="1" w:lastColumn="0" w:noHBand="0" w:noVBand="1"/>
        <w:tblCaption w:val="Deterministic sensitivity analysis results for the lobular breast cancer and young women populations"/>
      </w:tblPr>
      <w:tblGrid>
        <w:gridCol w:w="2773"/>
        <w:gridCol w:w="2150"/>
        <w:gridCol w:w="1339"/>
        <w:gridCol w:w="1490"/>
        <w:gridCol w:w="1490"/>
      </w:tblGrid>
      <w:tr w:rsidR="00E34267" w:rsidRPr="00F30882" w14:paraId="1AD530D3" w14:textId="77777777" w:rsidTr="00E34267">
        <w:trPr>
          <w:cantSplit/>
          <w:trHeight w:val="300"/>
          <w:tblHeader/>
        </w:trPr>
        <w:tc>
          <w:tcPr>
            <w:tcW w:w="2778" w:type="dxa"/>
            <w:tcBorders>
              <w:bottom w:val="single" w:sz="4" w:space="0" w:color="auto"/>
            </w:tcBorders>
          </w:tcPr>
          <w:p w14:paraId="7180A7E6"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Parameter</w:t>
            </w:r>
          </w:p>
        </w:tc>
        <w:tc>
          <w:tcPr>
            <w:tcW w:w="2154" w:type="dxa"/>
            <w:tcBorders>
              <w:bottom w:val="single" w:sz="4" w:space="0" w:color="auto"/>
            </w:tcBorders>
          </w:tcPr>
          <w:p w14:paraId="6FB61EC9"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Scenario</w:t>
            </w:r>
          </w:p>
        </w:tc>
        <w:tc>
          <w:tcPr>
            <w:tcW w:w="1329" w:type="dxa"/>
            <w:tcBorders>
              <w:bottom w:val="single" w:sz="4" w:space="0" w:color="auto"/>
            </w:tcBorders>
            <w:noWrap/>
          </w:tcPr>
          <w:p w14:paraId="38C7E527"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Incremental costs</w:t>
            </w:r>
          </w:p>
        </w:tc>
        <w:tc>
          <w:tcPr>
            <w:tcW w:w="1491" w:type="dxa"/>
            <w:tcBorders>
              <w:bottom w:val="single" w:sz="4" w:space="0" w:color="auto"/>
            </w:tcBorders>
          </w:tcPr>
          <w:p w14:paraId="67AEE4CE" w14:textId="77777777" w:rsidR="00E34267" w:rsidRPr="007A2975" w:rsidRDefault="00E34267" w:rsidP="00E34267">
            <w:pPr>
              <w:keepNext/>
              <w:spacing w:before="40" w:after="40"/>
              <w:rPr>
                <w:rFonts w:ascii="Arial" w:hAnsi="Arial" w:cs="Arial"/>
                <w:b/>
                <w:sz w:val="20"/>
              </w:rPr>
            </w:pPr>
            <w:proofErr w:type="spellStart"/>
            <w:r w:rsidRPr="007A2975">
              <w:rPr>
                <w:rFonts w:ascii="Arial" w:hAnsi="Arial" w:cs="Arial"/>
                <w:b/>
                <w:sz w:val="20"/>
              </w:rPr>
              <w:t>Incremantal</w:t>
            </w:r>
            <w:proofErr w:type="spellEnd"/>
            <w:r w:rsidRPr="007A2975">
              <w:rPr>
                <w:rFonts w:ascii="Arial" w:hAnsi="Arial" w:cs="Arial"/>
                <w:b/>
                <w:sz w:val="20"/>
              </w:rPr>
              <w:t xml:space="preserve"> QALYs</w:t>
            </w:r>
          </w:p>
        </w:tc>
        <w:tc>
          <w:tcPr>
            <w:tcW w:w="1490" w:type="dxa"/>
            <w:tcBorders>
              <w:bottom w:val="single" w:sz="4" w:space="0" w:color="auto"/>
            </w:tcBorders>
            <w:noWrap/>
          </w:tcPr>
          <w:p w14:paraId="3B8C924C"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ICER</w:t>
            </w:r>
          </w:p>
        </w:tc>
      </w:tr>
      <w:tr w:rsidR="00E34267" w:rsidRPr="00F30882" w14:paraId="2845141C" w14:textId="77777777" w:rsidTr="00E34267">
        <w:trPr>
          <w:cantSplit/>
          <w:trHeight w:val="300"/>
        </w:trPr>
        <w:tc>
          <w:tcPr>
            <w:tcW w:w="2778" w:type="dxa"/>
            <w:tcBorders>
              <w:right w:val="nil"/>
            </w:tcBorders>
            <w:shd w:val="clear" w:color="auto" w:fill="D9D9D9" w:themeFill="background1" w:themeFillShade="D9"/>
          </w:tcPr>
          <w:p w14:paraId="7FBEBF81"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 xml:space="preserve">Lobular breast cancer </w:t>
            </w:r>
          </w:p>
        </w:tc>
        <w:tc>
          <w:tcPr>
            <w:tcW w:w="2154" w:type="dxa"/>
            <w:tcBorders>
              <w:left w:val="nil"/>
              <w:right w:val="nil"/>
            </w:tcBorders>
            <w:shd w:val="clear" w:color="auto" w:fill="D9D9D9" w:themeFill="background1" w:themeFillShade="D9"/>
          </w:tcPr>
          <w:p w14:paraId="53C5A230"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329" w:type="dxa"/>
            <w:tcBorders>
              <w:left w:val="nil"/>
              <w:right w:val="nil"/>
            </w:tcBorders>
            <w:shd w:val="clear" w:color="auto" w:fill="D9D9D9" w:themeFill="background1" w:themeFillShade="D9"/>
            <w:noWrap/>
          </w:tcPr>
          <w:p w14:paraId="5FEBDBAF"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491" w:type="dxa"/>
            <w:tcBorders>
              <w:left w:val="nil"/>
              <w:right w:val="nil"/>
            </w:tcBorders>
            <w:shd w:val="clear" w:color="auto" w:fill="D9D9D9" w:themeFill="background1" w:themeFillShade="D9"/>
          </w:tcPr>
          <w:p w14:paraId="7657B704" w14:textId="77777777" w:rsidR="00E34267" w:rsidRPr="007A2975" w:rsidRDefault="00E34267" w:rsidP="00E34267">
            <w:pPr>
              <w:keepNext/>
              <w:spacing w:before="40" w:after="40"/>
              <w:jc w:val="center"/>
              <w:rPr>
                <w:rFonts w:ascii="Arial" w:hAnsi="Arial" w:cs="Arial"/>
                <w:sz w:val="20"/>
              </w:rPr>
            </w:pPr>
            <w:r w:rsidRPr="007A2975">
              <w:rPr>
                <w:rFonts w:ascii="Arial" w:hAnsi="Arial" w:cs="Arial"/>
                <w:sz w:val="20"/>
              </w:rPr>
              <w:t>-</w:t>
            </w:r>
          </w:p>
        </w:tc>
        <w:tc>
          <w:tcPr>
            <w:tcW w:w="1490" w:type="dxa"/>
            <w:tcBorders>
              <w:left w:val="nil"/>
            </w:tcBorders>
            <w:shd w:val="clear" w:color="auto" w:fill="D9D9D9" w:themeFill="background1" w:themeFillShade="D9"/>
            <w:noWrap/>
          </w:tcPr>
          <w:p w14:paraId="1E150A9E" w14:textId="77777777" w:rsidR="00E34267" w:rsidRPr="007A2975" w:rsidRDefault="00E34267" w:rsidP="00E34267">
            <w:pPr>
              <w:keepNext/>
              <w:spacing w:before="40" w:after="40"/>
              <w:jc w:val="center"/>
              <w:rPr>
                <w:rFonts w:ascii="Arial" w:hAnsi="Arial" w:cs="Arial"/>
                <w:sz w:val="20"/>
              </w:rPr>
            </w:pPr>
            <w:r w:rsidRPr="007A2975">
              <w:rPr>
                <w:rFonts w:ascii="Arial" w:hAnsi="Arial" w:cs="Arial"/>
                <w:sz w:val="20"/>
              </w:rPr>
              <w:t>-</w:t>
            </w:r>
          </w:p>
        </w:tc>
      </w:tr>
      <w:tr w:rsidR="00E34267" w:rsidRPr="00F30882" w14:paraId="317DADBE" w14:textId="77777777" w:rsidTr="00E34267">
        <w:trPr>
          <w:cantSplit/>
          <w:trHeight w:val="300"/>
        </w:trPr>
        <w:tc>
          <w:tcPr>
            <w:tcW w:w="2778" w:type="dxa"/>
          </w:tcPr>
          <w:p w14:paraId="7D213F4C"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Base-case</w:t>
            </w:r>
          </w:p>
        </w:tc>
        <w:tc>
          <w:tcPr>
            <w:tcW w:w="2154" w:type="dxa"/>
          </w:tcPr>
          <w:p w14:paraId="7F865199"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N/A</w:t>
            </w:r>
          </w:p>
        </w:tc>
        <w:tc>
          <w:tcPr>
            <w:tcW w:w="1329" w:type="dxa"/>
            <w:noWrap/>
          </w:tcPr>
          <w:p w14:paraId="5EF558AF" w14:textId="77777777" w:rsidR="00E34267" w:rsidRPr="007A2975" w:rsidRDefault="00E34267" w:rsidP="00E34267">
            <w:pPr>
              <w:keepNext/>
              <w:spacing w:before="40" w:after="40"/>
              <w:jc w:val="right"/>
              <w:rPr>
                <w:rFonts w:ascii="Arial" w:hAnsi="Arial" w:cs="Arial"/>
                <w:b/>
                <w:sz w:val="20"/>
              </w:rPr>
            </w:pPr>
            <w:r w:rsidRPr="007A2975">
              <w:rPr>
                <w:rFonts w:ascii="Arial" w:hAnsi="Arial" w:cs="Arial"/>
                <w:b/>
                <w:sz w:val="20"/>
              </w:rPr>
              <w:t>$790</w:t>
            </w:r>
          </w:p>
        </w:tc>
        <w:tc>
          <w:tcPr>
            <w:tcW w:w="1491" w:type="dxa"/>
          </w:tcPr>
          <w:p w14:paraId="05582664" w14:textId="77777777" w:rsidR="00E34267" w:rsidRPr="007A2975" w:rsidRDefault="00E34267" w:rsidP="00E34267">
            <w:pPr>
              <w:keepNext/>
              <w:spacing w:before="40" w:after="40"/>
              <w:jc w:val="right"/>
              <w:rPr>
                <w:rFonts w:ascii="Arial" w:hAnsi="Arial" w:cs="Arial"/>
                <w:b/>
                <w:sz w:val="20"/>
              </w:rPr>
            </w:pPr>
            <w:r w:rsidRPr="007A2975">
              <w:rPr>
                <w:rFonts w:ascii="Arial" w:hAnsi="Arial" w:cs="Arial"/>
                <w:b/>
                <w:sz w:val="20"/>
              </w:rPr>
              <w:t>–0.007</w:t>
            </w:r>
          </w:p>
        </w:tc>
        <w:tc>
          <w:tcPr>
            <w:tcW w:w="1490" w:type="dxa"/>
            <w:noWrap/>
          </w:tcPr>
          <w:p w14:paraId="21C584A0" w14:textId="77777777" w:rsidR="00E34267" w:rsidRPr="007A2975" w:rsidRDefault="00E34267" w:rsidP="00E34267">
            <w:pPr>
              <w:keepNext/>
              <w:spacing w:before="40" w:after="40"/>
              <w:jc w:val="right"/>
              <w:rPr>
                <w:rFonts w:ascii="Arial" w:hAnsi="Arial" w:cs="Arial"/>
                <w:sz w:val="20"/>
              </w:rPr>
            </w:pPr>
            <w:r w:rsidRPr="007A2975">
              <w:rPr>
                <w:rFonts w:ascii="Arial" w:hAnsi="Arial" w:cs="Arial"/>
                <w:b/>
                <w:sz w:val="20"/>
              </w:rPr>
              <w:t>Dominated</w:t>
            </w:r>
          </w:p>
        </w:tc>
      </w:tr>
      <w:tr w:rsidR="00E34267" w:rsidRPr="00F30882" w14:paraId="248B692E" w14:textId="77777777" w:rsidTr="00E34267">
        <w:trPr>
          <w:cantSplit/>
          <w:trHeight w:val="300"/>
        </w:trPr>
        <w:tc>
          <w:tcPr>
            <w:tcW w:w="2778" w:type="dxa"/>
            <w:tcBorders>
              <w:bottom w:val="single" w:sz="4" w:space="0" w:color="auto"/>
            </w:tcBorders>
          </w:tcPr>
          <w:p w14:paraId="3D7F0DAB"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All surgery rates</w:t>
            </w:r>
          </w:p>
        </w:tc>
        <w:tc>
          <w:tcPr>
            <w:tcW w:w="2154" w:type="dxa"/>
          </w:tcPr>
          <w:p w14:paraId="4E3C2313"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Alternative source</w:t>
            </w:r>
            <w:r w:rsidRPr="007A2975">
              <w:rPr>
                <w:rFonts w:ascii="Arial" w:hAnsi="Arial" w:cs="Arial"/>
                <w:sz w:val="20"/>
                <w:vertAlign w:val="superscript"/>
              </w:rPr>
              <w:t>†</w:t>
            </w:r>
          </w:p>
        </w:tc>
        <w:tc>
          <w:tcPr>
            <w:tcW w:w="1329" w:type="dxa"/>
            <w:noWrap/>
          </w:tcPr>
          <w:p w14:paraId="741A7474"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$491</w:t>
            </w:r>
          </w:p>
        </w:tc>
        <w:tc>
          <w:tcPr>
            <w:tcW w:w="1491" w:type="dxa"/>
          </w:tcPr>
          <w:p w14:paraId="35F27D34"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–0.06</w:t>
            </w:r>
          </w:p>
        </w:tc>
        <w:tc>
          <w:tcPr>
            <w:tcW w:w="1490" w:type="dxa"/>
            <w:noWrap/>
          </w:tcPr>
          <w:p w14:paraId="32B9FF7F"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r w:rsidR="00E34267" w:rsidRPr="00F30882" w14:paraId="084DAB5C" w14:textId="77777777" w:rsidTr="00E34267">
        <w:trPr>
          <w:cantSplit/>
          <w:trHeight w:val="300"/>
        </w:trPr>
        <w:tc>
          <w:tcPr>
            <w:tcW w:w="2778" w:type="dxa"/>
            <w:tcBorders>
              <w:bottom w:val="nil"/>
            </w:tcBorders>
          </w:tcPr>
          <w:p w14:paraId="134ECC7A"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MRI surgery rates</w:t>
            </w:r>
          </w:p>
        </w:tc>
        <w:tc>
          <w:tcPr>
            <w:tcW w:w="2154" w:type="dxa"/>
          </w:tcPr>
          <w:p w14:paraId="510711BA"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U 95% CI</w:t>
            </w:r>
          </w:p>
        </w:tc>
        <w:tc>
          <w:tcPr>
            <w:tcW w:w="1329" w:type="dxa"/>
            <w:noWrap/>
          </w:tcPr>
          <w:p w14:paraId="173FE94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$2,311</w:t>
            </w:r>
          </w:p>
        </w:tc>
        <w:tc>
          <w:tcPr>
            <w:tcW w:w="1491" w:type="dxa"/>
          </w:tcPr>
          <w:p w14:paraId="09E456E8"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–0.037</w:t>
            </w:r>
          </w:p>
        </w:tc>
        <w:tc>
          <w:tcPr>
            <w:tcW w:w="1490" w:type="dxa"/>
            <w:noWrap/>
          </w:tcPr>
          <w:p w14:paraId="17E6B22A"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r w:rsidR="00E34267" w:rsidRPr="00F30882" w14:paraId="62039F03" w14:textId="77777777" w:rsidTr="00E34267">
        <w:trPr>
          <w:cantSplit/>
          <w:trHeight w:val="300"/>
        </w:trPr>
        <w:tc>
          <w:tcPr>
            <w:tcW w:w="2778" w:type="dxa"/>
            <w:tcBorders>
              <w:top w:val="nil"/>
              <w:bottom w:val="single" w:sz="4" w:space="0" w:color="auto"/>
            </w:tcBorders>
          </w:tcPr>
          <w:p w14:paraId="26B3A172"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2154" w:type="dxa"/>
          </w:tcPr>
          <w:p w14:paraId="54454EA8"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L 95% CI</w:t>
            </w:r>
          </w:p>
        </w:tc>
        <w:tc>
          <w:tcPr>
            <w:tcW w:w="1329" w:type="dxa"/>
            <w:noWrap/>
          </w:tcPr>
          <w:p w14:paraId="01E75E5F"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–$658</w:t>
            </w:r>
          </w:p>
        </w:tc>
        <w:tc>
          <w:tcPr>
            <w:tcW w:w="1491" w:type="dxa"/>
          </w:tcPr>
          <w:p w14:paraId="241C2619"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0.016</w:t>
            </w:r>
          </w:p>
        </w:tc>
        <w:tc>
          <w:tcPr>
            <w:tcW w:w="1490" w:type="dxa"/>
            <w:noWrap/>
          </w:tcPr>
          <w:p w14:paraId="66EE60C7"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Dominant</w:t>
            </w:r>
          </w:p>
        </w:tc>
      </w:tr>
      <w:tr w:rsidR="00E34267" w:rsidRPr="00F30882" w14:paraId="2E1E7E7E" w14:textId="77777777" w:rsidTr="00E34267">
        <w:trPr>
          <w:cantSplit/>
          <w:trHeight w:val="300"/>
        </w:trPr>
        <w:tc>
          <w:tcPr>
            <w:tcW w:w="2778" w:type="dxa"/>
            <w:tcBorders>
              <w:bottom w:val="nil"/>
            </w:tcBorders>
          </w:tcPr>
          <w:p w14:paraId="3FF8256F" w14:textId="77777777" w:rsidR="00E34267" w:rsidRPr="007A2975" w:rsidRDefault="00E34267" w:rsidP="00E34267">
            <w:pPr>
              <w:keepNext/>
              <w:spacing w:before="40"/>
              <w:rPr>
                <w:rFonts w:ascii="Arial" w:hAnsi="Arial" w:cs="Arial"/>
                <w:sz w:val="20"/>
              </w:rPr>
            </w:pPr>
            <w:r w:rsidRPr="007A2975">
              <w:rPr>
                <w:rFonts w:ascii="Arial" w:hAnsi="Arial" w:cs="Arial"/>
                <w:sz w:val="20"/>
              </w:rPr>
              <w:t>No-MRI surgery rates</w:t>
            </w:r>
          </w:p>
        </w:tc>
        <w:tc>
          <w:tcPr>
            <w:tcW w:w="2154" w:type="dxa"/>
          </w:tcPr>
          <w:p w14:paraId="2DC0EA05"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U 95% CI</w:t>
            </w:r>
          </w:p>
        </w:tc>
        <w:tc>
          <w:tcPr>
            <w:tcW w:w="1329" w:type="dxa"/>
            <w:noWrap/>
          </w:tcPr>
          <w:p w14:paraId="5CDE7B5C"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-$61</w:t>
            </w:r>
          </w:p>
        </w:tc>
        <w:tc>
          <w:tcPr>
            <w:tcW w:w="1491" w:type="dxa"/>
          </w:tcPr>
          <w:p w14:paraId="5E2F6571"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0.011</w:t>
            </w:r>
          </w:p>
        </w:tc>
        <w:tc>
          <w:tcPr>
            <w:tcW w:w="1490" w:type="dxa"/>
            <w:noWrap/>
          </w:tcPr>
          <w:p w14:paraId="5B5384E7"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Dominant</w:t>
            </w:r>
          </w:p>
        </w:tc>
      </w:tr>
      <w:tr w:rsidR="00E34267" w:rsidRPr="00F30882" w14:paraId="2A66D4CF" w14:textId="77777777" w:rsidTr="00E34267">
        <w:trPr>
          <w:cantSplit/>
          <w:trHeight w:val="300"/>
        </w:trPr>
        <w:tc>
          <w:tcPr>
            <w:tcW w:w="2778" w:type="dxa"/>
            <w:tcBorders>
              <w:top w:val="nil"/>
              <w:bottom w:val="single" w:sz="4" w:space="0" w:color="auto"/>
            </w:tcBorders>
          </w:tcPr>
          <w:p w14:paraId="62E762D1" w14:textId="77777777" w:rsidR="00E34267" w:rsidRPr="007A2975" w:rsidRDefault="00E34267" w:rsidP="00E34267">
            <w:pPr>
              <w:keepNext/>
              <w:spacing w:after="40"/>
              <w:rPr>
                <w:rFonts w:ascii="Arial" w:hAnsi="Arial" w:cs="Arial"/>
                <w:sz w:val="20"/>
              </w:rPr>
            </w:pPr>
            <w:r w:rsidRPr="007A2975">
              <w:rPr>
                <w:rFonts w:ascii="Arial" w:hAnsi="Arial" w:cs="Arial"/>
                <w:sz w:val="20"/>
              </w:rPr>
              <w:t>-</w:t>
            </w:r>
          </w:p>
        </w:tc>
        <w:tc>
          <w:tcPr>
            <w:tcW w:w="2154" w:type="dxa"/>
          </w:tcPr>
          <w:p w14:paraId="61C6CADC"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L 95% CI</w:t>
            </w:r>
          </w:p>
        </w:tc>
        <w:tc>
          <w:tcPr>
            <w:tcW w:w="1329" w:type="dxa"/>
            <w:noWrap/>
          </w:tcPr>
          <w:p w14:paraId="22613915"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$1,556</w:t>
            </w:r>
          </w:p>
        </w:tc>
        <w:tc>
          <w:tcPr>
            <w:tcW w:w="1491" w:type="dxa"/>
          </w:tcPr>
          <w:p w14:paraId="06D7A855"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–0.019</w:t>
            </w:r>
          </w:p>
        </w:tc>
        <w:tc>
          <w:tcPr>
            <w:tcW w:w="1490" w:type="dxa"/>
            <w:noWrap/>
          </w:tcPr>
          <w:p w14:paraId="1A618638"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r w:rsidR="00E34267" w:rsidRPr="00F30882" w14:paraId="16E9F885" w14:textId="77777777" w:rsidTr="00E34267">
        <w:trPr>
          <w:cantSplit/>
          <w:trHeight w:val="300"/>
        </w:trPr>
        <w:tc>
          <w:tcPr>
            <w:tcW w:w="2778" w:type="dxa"/>
            <w:tcBorders>
              <w:bottom w:val="nil"/>
            </w:tcBorders>
          </w:tcPr>
          <w:p w14:paraId="45FEC118"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MRI / No-MRI surgery rates</w:t>
            </w:r>
          </w:p>
        </w:tc>
        <w:tc>
          <w:tcPr>
            <w:tcW w:w="2154" w:type="dxa"/>
          </w:tcPr>
          <w:p w14:paraId="5942A2E3"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 xml:space="preserve">U 95% CI / L 95% CI </w:t>
            </w:r>
          </w:p>
        </w:tc>
        <w:tc>
          <w:tcPr>
            <w:tcW w:w="1329" w:type="dxa"/>
            <w:noWrap/>
          </w:tcPr>
          <w:p w14:paraId="6C6FD141"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$3,076</w:t>
            </w:r>
          </w:p>
        </w:tc>
        <w:tc>
          <w:tcPr>
            <w:tcW w:w="1491" w:type="dxa"/>
          </w:tcPr>
          <w:p w14:paraId="18BB8EF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–0.049</w:t>
            </w:r>
          </w:p>
        </w:tc>
        <w:tc>
          <w:tcPr>
            <w:tcW w:w="1490" w:type="dxa"/>
            <w:noWrap/>
          </w:tcPr>
          <w:p w14:paraId="6E6795C7"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r w:rsidR="00E34267" w:rsidRPr="00F30882" w14:paraId="7AB8CFCE" w14:textId="77777777" w:rsidTr="00E34267">
        <w:trPr>
          <w:cantSplit/>
          <w:trHeight w:val="300"/>
        </w:trPr>
        <w:tc>
          <w:tcPr>
            <w:tcW w:w="2778" w:type="dxa"/>
            <w:tcBorders>
              <w:top w:val="nil"/>
              <w:bottom w:val="single" w:sz="4" w:space="0" w:color="auto"/>
            </w:tcBorders>
          </w:tcPr>
          <w:p w14:paraId="28EFB84C"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2154" w:type="dxa"/>
          </w:tcPr>
          <w:p w14:paraId="0F7DF502"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L 95% CI / U 95% CI</w:t>
            </w:r>
          </w:p>
        </w:tc>
        <w:tc>
          <w:tcPr>
            <w:tcW w:w="1329" w:type="dxa"/>
            <w:noWrap/>
          </w:tcPr>
          <w:p w14:paraId="6E2D067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–$1,509</w:t>
            </w:r>
          </w:p>
        </w:tc>
        <w:tc>
          <w:tcPr>
            <w:tcW w:w="1491" w:type="dxa"/>
          </w:tcPr>
          <w:p w14:paraId="505D308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0.034</w:t>
            </w:r>
          </w:p>
        </w:tc>
        <w:tc>
          <w:tcPr>
            <w:tcW w:w="1490" w:type="dxa"/>
            <w:noWrap/>
          </w:tcPr>
          <w:p w14:paraId="221AD70D"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Dominant</w:t>
            </w:r>
          </w:p>
        </w:tc>
      </w:tr>
      <w:tr w:rsidR="00E34267" w:rsidRPr="00F30882" w14:paraId="0FC58BB8" w14:textId="77777777" w:rsidTr="00E34267">
        <w:trPr>
          <w:cantSplit/>
          <w:trHeight w:val="300"/>
        </w:trPr>
        <w:tc>
          <w:tcPr>
            <w:tcW w:w="2778" w:type="dxa"/>
          </w:tcPr>
          <w:p w14:paraId="1F0919FC"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Second surgery disutility</w:t>
            </w:r>
          </w:p>
        </w:tc>
        <w:tc>
          <w:tcPr>
            <w:tcW w:w="2154" w:type="dxa"/>
          </w:tcPr>
          <w:p w14:paraId="3B368DAC"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0.04</w:t>
            </w:r>
          </w:p>
        </w:tc>
        <w:tc>
          <w:tcPr>
            <w:tcW w:w="1329" w:type="dxa"/>
            <w:noWrap/>
          </w:tcPr>
          <w:p w14:paraId="36E5D10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$790</w:t>
            </w:r>
          </w:p>
        </w:tc>
        <w:tc>
          <w:tcPr>
            <w:tcW w:w="1491" w:type="dxa"/>
          </w:tcPr>
          <w:p w14:paraId="2990052E"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–0.002</w:t>
            </w:r>
          </w:p>
        </w:tc>
        <w:tc>
          <w:tcPr>
            <w:tcW w:w="1490" w:type="dxa"/>
            <w:noWrap/>
          </w:tcPr>
          <w:p w14:paraId="15238C2E"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r w:rsidR="00E34267" w:rsidRPr="00F30882" w14:paraId="38E8F14E" w14:textId="77777777" w:rsidTr="00E34267">
        <w:trPr>
          <w:cantSplit/>
          <w:trHeight w:val="300"/>
        </w:trPr>
        <w:tc>
          <w:tcPr>
            <w:tcW w:w="2778" w:type="dxa"/>
            <w:tcBorders>
              <w:right w:val="nil"/>
            </w:tcBorders>
            <w:shd w:val="clear" w:color="auto" w:fill="D9D9D9" w:themeFill="background1" w:themeFillShade="D9"/>
          </w:tcPr>
          <w:p w14:paraId="288DBE81"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 xml:space="preserve">Young women </w:t>
            </w:r>
          </w:p>
        </w:tc>
        <w:tc>
          <w:tcPr>
            <w:tcW w:w="2154" w:type="dxa"/>
            <w:tcBorders>
              <w:left w:val="nil"/>
              <w:right w:val="nil"/>
            </w:tcBorders>
            <w:shd w:val="clear" w:color="auto" w:fill="D9D9D9" w:themeFill="background1" w:themeFillShade="D9"/>
          </w:tcPr>
          <w:p w14:paraId="60D2183A"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329" w:type="dxa"/>
            <w:tcBorders>
              <w:left w:val="nil"/>
              <w:right w:val="nil"/>
            </w:tcBorders>
            <w:shd w:val="clear" w:color="auto" w:fill="D9D9D9" w:themeFill="background1" w:themeFillShade="D9"/>
            <w:noWrap/>
          </w:tcPr>
          <w:p w14:paraId="76F86034"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491" w:type="dxa"/>
            <w:tcBorders>
              <w:left w:val="nil"/>
              <w:right w:val="nil"/>
            </w:tcBorders>
            <w:shd w:val="clear" w:color="auto" w:fill="D9D9D9" w:themeFill="background1" w:themeFillShade="D9"/>
          </w:tcPr>
          <w:p w14:paraId="318FA3C0" w14:textId="77777777" w:rsidR="00E34267" w:rsidRPr="007A2975" w:rsidRDefault="00E34267" w:rsidP="00E34267">
            <w:pPr>
              <w:keepNext/>
              <w:spacing w:before="40" w:after="40"/>
              <w:jc w:val="center"/>
              <w:rPr>
                <w:rFonts w:ascii="Arial" w:hAnsi="Arial" w:cs="Arial"/>
                <w:sz w:val="20"/>
              </w:rPr>
            </w:pPr>
            <w:r w:rsidRPr="007A2975">
              <w:rPr>
                <w:rFonts w:ascii="Arial" w:hAnsi="Arial" w:cs="Arial"/>
                <w:sz w:val="20"/>
              </w:rPr>
              <w:t>-</w:t>
            </w:r>
          </w:p>
        </w:tc>
        <w:tc>
          <w:tcPr>
            <w:tcW w:w="1490" w:type="dxa"/>
            <w:tcBorders>
              <w:left w:val="nil"/>
              <w:right w:val="single" w:sz="4" w:space="0" w:color="auto"/>
            </w:tcBorders>
            <w:shd w:val="clear" w:color="auto" w:fill="D9D9D9" w:themeFill="background1" w:themeFillShade="D9"/>
            <w:noWrap/>
          </w:tcPr>
          <w:p w14:paraId="6E89D623" w14:textId="77777777" w:rsidR="00E34267" w:rsidRPr="007A2975" w:rsidRDefault="00E34267" w:rsidP="00E34267">
            <w:pPr>
              <w:keepNext/>
              <w:spacing w:before="40" w:after="40"/>
              <w:jc w:val="center"/>
              <w:rPr>
                <w:rFonts w:ascii="Arial" w:hAnsi="Arial" w:cs="Arial"/>
                <w:sz w:val="20"/>
              </w:rPr>
            </w:pPr>
            <w:r w:rsidRPr="007A2975">
              <w:rPr>
                <w:rFonts w:ascii="Arial" w:hAnsi="Arial" w:cs="Arial"/>
                <w:sz w:val="20"/>
              </w:rPr>
              <w:t>-</w:t>
            </w:r>
          </w:p>
        </w:tc>
      </w:tr>
      <w:tr w:rsidR="00E34267" w:rsidRPr="00F30882" w14:paraId="2C995355" w14:textId="77777777" w:rsidTr="00E34267">
        <w:trPr>
          <w:cantSplit/>
          <w:trHeight w:val="300"/>
        </w:trPr>
        <w:tc>
          <w:tcPr>
            <w:tcW w:w="2778" w:type="dxa"/>
            <w:tcBorders>
              <w:bottom w:val="single" w:sz="4" w:space="0" w:color="auto"/>
            </w:tcBorders>
          </w:tcPr>
          <w:p w14:paraId="5B7E0916"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Base-case</w:t>
            </w:r>
          </w:p>
        </w:tc>
        <w:tc>
          <w:tcPr>
            <w:tcW w:w="2154" w:type="dxa"/>
          </w:tcPr>
          <w:p w14:paraId="0D2F8356"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N/A</w:t>
            </w:r>
          </w:p>
        </w:tc>
        <w:tc>
          <w:tcPr>
            <w:tcW w:w="1329" w:type="dxa"/>
            <w:noWrap/>
          </w:tcPr>
          <w:p w14:paraId="72CE34C2" w14:textId="77777777" w:rsidR="00E34267" w:rsidRPr="007A2975" w:rsidRDefault="00E34267" w:rsidP="00E34267">
            <w:pPr>
              <w:keepNext/>
              <w:spacing w:before="40" w:after="40"/>
              <w:jc w:val="right"/>
              <w:rPr>
                <w:rFonts w:ascii="Arial" w:hAnsi="Arial" w:cs="Arial"/>
                <w:b/>
                <w:sz w:val="20"/>
              </w:rPr>
            </w:pPr>
            <w:r w:rsidRPr="007A2975">
              <w:rPr>
                <w:rFonts w:ascii="Arial" w:hAnsi="Arial" w:cs="Arial"/>
                <w:b/>
                <w:sz w:val="20"/>
              </w:rPr>
              <w:t>$536</w:t>
            </w:r>
          </w:p>
        </w:tc>
        <w:tc>
          <w:tcPr>
            <w:tcW w:w="1491" w:type="dxa"/>
          </w:tcPr>
          <w:p w14:paraId="6BCAF15B" w14:textId="77777777" w:rsidR="00E34267" w:rsidRPr="007A2975" w:rsidRDefault="00E34267" w:rsidP="00E34267">
            <w:pPr>
              <w:keepNext/>
              <w:spacing w:before="40" w:after="40"/>
              <w:jc w:val="right"/>
              <w:rPr>
                <w:rFonts w:ascii="Arial" w:hAnsi="Arial" w:cs="Arial"/>
                <w:b/>
                <w:sz w:val="20"/>
              </w:rPr>
            </w:pPr>
            <w:r w:rsidRPr="007A2975">
              <w:rPr>
                <w:rFonts w:ascii="Arial" w:hAnsi="Arial" w:cs="Arial"/>
                <w:b/>
                <w:sz w:val="20"/>
              </w:rPr>
              <w:t>–0.001</w:t>
            </w:r>
          </w:p>
        </w:tc>
        <w:tc>
          <w:tcPr>
            <w:tcW w:w="1490" w:type="dxa"/>
            <w:noWrap/>
          </w:tcPr>
          <w:p w14:paraId="639A2C10" w14:textId="77777777" w:rsidR="00E34267" w:rsidRPr="007A2975" w:rsidRDefault="00E34267" w:rsidP="00E34267">
            <w:pPr>
              <w:keepNext/>
              <w:spacing w:before="40" w:after="40"/>
              <w:jc w:val="right"/>
              <w:rPr>
                <w:rFonts w:ascii="Arial" w:hAnsi="Arial" w:cs="Arial"/>
                <w:b/>
                <w:sz w:val="20"/>
              </w:rPr>
            </w:pPr>
            <w:r w:rsidRPr="007A2975">
              <w:rPr>
                <w:rFonts w:ascii="Arial" w:hAnsi="Arial" w:cs="Arial"/>
                <w:b/>
                <w:sz w:val="20"/>
              </w:rPr>
              <w:t>Dominated</w:t>
            </w:r>
          </w:p>
        </w:tc>
      </w:tr>
      <w:tr w:rsidR="00E34267" w:rsidRPr="00F30882" w14:paraId="06A49C3D" w14:textId="77777777" w:rsidTr="00E34267">
        <w:trPr>
          <w:cantSplit/>
          <w:trHeight w:val="300"/>
        </w:trPr>
        <w:tc>
          <w:tcPr>
            <w:tcW w:w="2778" w:type="dxa"/>
            <w:tcBorders>
              <w:bottom w:val="nil"/>
            </w:tcBorders>
          </w:tcPr>
          <w:p w14:paraId="111E9E7A"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MRI surgery rates</w:t>
            </w:r>
          </w:p>
        </w:tc>
        <w:tc>
          <w:tcPr>
            <w:tcW w:w="2154" w:type="dxa"/>
          </w:tcPr>
          <w:p w14:paraId="5EB26371"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U 95% CI</w:t>
            </w:r>
          </w:p>
        </w:tc>
        <w:tc>
          <w:tcPr>
            <w:tcW w:w="1329" w:type="dxa"/>
            <w:noWrap/>
          </w:tcPr>
          <w:p w14:paraId="7C9DDDEF"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$1,071</w:t>
            </w:r>
          </w:p>
        </w:tc>
        <w:tc>
          <w:tcPr>
            <w:tcW w:w="1491" w:type="dxa"/>
          </w:tcPr>
          <w:p w14:paraId="4F580BA4"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–0.009</w:t>
            </w:r>
          </w:p>
        </w:tc>
        <w:tc>
          <w:tcPr>
            <w:tcW w:w="1490" w:type="dxa"/>
            <w:noWrap/>
          </w:tcPr>
          <w:p w14:paraId="7FC3691E"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r w:rsidR="00E34267" w:rsidRPr="00F30882" w14:paraId="2CA084C9" w14:textId="77777777" w:rsidTr="00E34267">
        <w:trPr>
          <w:cantSplit/>
          <w:trHeight w:val="300"/>
        </w:trPr>
        <w:tc>
          <w:tcPr>
            <w:tcW w:w="2778" w:type="dxa"/>
            <w:tcBorders>
              <w:top w:val="nil"/>
              <w:bottom w:val="single" w:sz="4" w:space="0" w:color="auto"/>
            </w:tcBorders>
          </w:tcPr>
          <w:p w14:paraId="740A78D8"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2154" w:type="dxa"/>
            <w:tcBorders>
              <w:bottom w:val="single" w:sz="4" w:space="0" w:color="auto"/>
            </w:tcBorders>
          </w:tcPr>
          <w:p w14:paraId="50CAE882"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L 95% CI</w:t>
            </w:r>
          </w:p>
        </w:tc>
        <w:tc>
          <w:tcPr>
            <w:tcW w:w="1329" w:type="dxa"/>
            <w:tcBorders>
              <w:bottom w:val="single" w:sz="4" w:space="0" w:color="auto"/>
            </w:tcBorders>
            <w:noWrap/>
          </w:tcPr>
          <w:p w14:paraId="1346AEC0"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$49</w:t>
            </w:r>
          </w:p>
        </w:tc>
        <w:tc>
          <w:tcPr>
            <w:tcW w:w="1491" w:type="dxa"/>
            <w:tcBorders>
              <w:bottom w:val="single" w:sz="4" w:space="0" w:color="auto"/>
            </w:tcBorders>
          </w:tcPr>
          <w:p w14:paraId="19AAC854"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0.006</w:t>
            </w:r>
          </w:p>
        </w:tc>
        <w:tc>
          <w:tcPr>
            <w:tcW w:w="1490" w:type="dxa"/>
            <w:noWrap/>
          </w:tcPr>
          <w:p w14:paraId="47D40A6B"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$8,746</w:t>
            </w:r>
          </w:p>
        </w:tc>
      </w:tr>
      <w:tr w:rsidR="00E34267" w:rsidRPr="00F30882" w14:paraId="68F69E2C" w14:textId="77777777" w:rsidTr="00E34267">
        <w:trPr>
          <w:cantSplit/>
          <w:trHeight w:val="300"/>
        </w:trPr>
        <w:tc>
          <w:tcPr>
            <w:tcW w:w="2778" w:type="dxa"/>
            <w:tcBorders>
              <w:bottom w:val="nil"/>
            </w:tcBorders>
          </w:tcPr>
          <w:p w14:paraId="2512EBA9" w14:textId="77777777" w:rsidR="00E34267" w:rsidRPr="007A2975" w:rsidRDefault="00E34267" w:rsidP="00E34267">
            <w:pPr>
              <w:keepNext/>
              <w:spacing w:before="40"/>
              <w:rPr>
                <w:rFonts w:ascii="Arial" w:hAnsi="Arial" w:cs="Arial"/>
                <w:sz w:val="20"/>
              </w:rPr>
            </w:pPr>
            <w:r w:rsidRPr="007A2975">
              <w:rPr>
                <w:rFonts w:ascii="Arial" w:hAnsi="Arial" w:cs="Arial"/>
                <w:sz w:val="20"/>
              </w:rPr>
              <w:t>No-MRI surgery rates</w:t>
            </w:r>
          </w:p>
        </w:tc>
        <w:tc>
          <w:tcPr>
            <w:tcW w:w="2154" w:type="dxa"/>
            <w:tcBorders>
              <w:bottom w:val="single" w:sz="4" w:space="0" w:color="auto"/>
            </w:tcBorders>
          </w:tcPr>
          <w:p w14:paraId="61E787A9"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U 95% CI</w:t>
            </w:r>
          </w:p>
        </w:tc>
        <w:tc>
          <w:tcPr>
            <w:tcW w:w="1329" w:type="dxa"/>
            <w:tcBorders>
              <w:bottom w:val="single" w:sz="4" w:space="0" w:color="auto"/>
            </w:tcBorders>
            <w:noWrap/>
          </w:tcPr>
          <w:p w14:paraId="0A4C535C"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-$94</w:t>
            </w:r>
          </w:p>
        </w:tc>
        <w:tc>
          <w:tcPr>
            <w:tcW w:w="1491" w:type="dxa"/>
            <w:tcBorders>
              <w:bottom w:val="single" w:sz="4" w:space="0" w:color="auto"/>
            </w:tcBorders>
          </w:tcPr>
          <w:p w14:paraId="2D26B8A7"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0.006</w:t>
            </w:r>
          </w:p>
        </w:tc>
        <w:tc>
          <w:tcPr>
            <w:tcW w:w="1490" w:type="dxa"/>
            <w:noWrap/>
          </w:tcPr>
          <w:p w14:paraId="4186BC67"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Dominant</w:t>
            </w:r>
          </w:p>
        </w:tc>
      </w:tr>
      <w:tr w:rsidR="00E34267" w:rsidRPr="00F30882" w14:paraId="1F1C8E13" w14:textId="77777777" w:rsidTr="00E34267">
        <w:trPr>
          <w:cantSplit/>
          <w:trHeight w:val="300"/>
        </w:trPr>
        <w:tc>
          <w:tcPr>
            <w:tcW w:w="2778" w:type="dxa"/>
            <w:tcBorders>
              <w:top w:val="nil"/>
              <w:bottom w:val="single" w:sz="4" w:space="0" w:color="auto"/>
            </w:tcBorders>
          </w:tcPr>
          <w:p w14:paraId="581EE742" w14:textId="77777777" w:rsidR="00E34267" w:rsidRPr="007A2975" w:rsidRDefault="00E34267" w:rsidP="00E34267">
            <w:pPr>
              <w:keepNext/>
              <w:spacing w:after="40"/>
              <w:rPr>
                <w:rFonts w:ascii="Arial" w:hAnsi="Arial" w:cs="Arial"/>
                <w:sz w:val="20"/>
              </w:rPr>
            </w:pPr>
            <w:r w:rsidRPr="007A2975">
              <w:rPr>
                <w:rFonts w:ascii="Arial" w:hAnsi="Arial" w:cs="Arial"/>
                <w:sz w:val="20"/>
              </w:rPr>
              <w:t>-</w:t>
            </w:r>
          </w:p>
        </w:tc>
        <w:tc>
          <w:tcPr>
            <w:tcW w:w="2154" w:type="dxa"/>
            <w:tcBorders>
              <w:bottom w:val="single" w:sz="4" w:space="0" w:color="auto"/>
            </w:tcBorders>
          </w:tcPr>
          <w:p w14:paraId="349AB0AF"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L 95% CI</w:t>
            </w:r>
          </w:p>
        </w:tc>
        <w:tc>
          <w:tcPr>
            <w:tcW w:w="1329" w:type="dxa"/>
            <w:tcBorders>
              <w:bottom w:val="single" w:sz="4" w:space="0" w:color="auto"/>
            </w:tcBorders>
            <w:noWrap/>
          </w:tcPr>
          <w:p w14:paraId="2D78FE05"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$1,138</w:t>
            </w:r>
          </w:p>
        </w:tc>
        <w:tc>
          <w:tcPr>
            <w:tcW w:w="1491" w:type="dxa"/>
            <w:tcBorders>
              <w:bottom w:val="single" w:sz="4" w:space="0" w:color="auto"/>
            </w:tcBorders>
          </w:tcPr>
          <w:p w14:paraId="15B5D47E"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–0.009</w:t>
            </w:r>
          </w:p>
        </w:tc>
        <w:tc>
          <w:tcPr>
            <w:tcW w:w="1490" w:type="dxa"/>
            <w:noWrap/>
          </w:tcPr>
          <w:p w14:paraId="7BA5B4F8"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r w:rsidR="00E34267" w:rsidRPr="00F30882" w14:paraId="75786D47" w14:textId="77777777" w:rsidTr="00E34267">
        <w:trPr>
          <w:cantSplit/>
          <w:trHeight w:val="300"/>
        </w:trPr>
        <w:tc>
          <w:tcPr>
            <w:tcW w:w="2778" w:type="dxa"/>
            <w:tcBorders>
              <w:bottom w:val="nil"/>
            </w:tcBorders>
          </w:tcPr>
          <w:p w14:paraId="25832BAC"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MRI / no-MRI surgery rates</w:t>
            </w:r>
          </w:p>
        </w:tc>
        <w:tc>
          <w:tcPr>
            <w:tcW w:w="2154" w:type="dxa"/>
            <w:tcBorders>
              <w:bottom w:val="single" w:sz="4" w:space="0" w:color="auto"/>
            </w:tcBorders>
          </w:tcPr>
          <w:p w14:paraId="342F24E0"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 xml:space="preserve">U 95% CI / L 95% CI </w:t>
            </w:r>
          </w:p>
        </w:tc>
        <w:tc>
          <w:tcPr>
            <w:tcW w:w="1329" w:type="dxa"/>
            <w:tcBorders>
              <w:bottom w:val="single" w:sz="4" w:space="0" w:color="auto"/>
            </w:tcBorders>
            <w:noWrap/>
          </w:tcPr>
          <w:p w14:paraId="0FA6727B"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$1,673</w:t>
            </w:r>
          </w:p>
        </w:tc>
        <w:tc>
          <w:tcPr>
            <w:tcW w:w="1491" w:type="dxa"/>
            <w:tcBorders>
              <w:bottom w:val="single" w:sz="4" w:space="0" w:color="auto"/>
            </w:tcBorders>
          </w:tcPr>
          <w:p w14:paraId="7F8288A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–0.016</w:t>
            </w:r>
          </w:p>
        </w:tc>
        <w:tc>
          <w:tcPr>
            <w:tcW w:w="1490" w:type="dxa"/>
            <w:noWrap/>
          </w:tcPr>
          <w:p w14:paraId="4DC0B8A5"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Dominated</w:t>
            </w:r>
          </w:p>
        </w:tc>
      </w:tr>
      <w:tr w:rsidR="00E34267" w:rsidRPr="00F30882" w14:paraId="05F0C09C" w14:textId="77777777" w:rsidTr="00E34267">
        <w:trPr>
          <w:cantSplit/>
          <w:trHeight w:val="300"/>
        </w:trPr>
        <w:tc>
          <w:tcPr>
            <w:tcW w:w="2778" w:type="dxa"/>
            <w:tcBorders>
              <w:top w:val="nil"/>
              <w:bottom w:val="single" w:sz="4" w:space="0" w:color="auto"/>
            </w:tcBorders>
          </w:tcPr>
          <w:p w14:paraId="280526BE"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2154" w:type="dxa"/>
            <w:tcBorders>
              <w:bottom w:val="single" w:sz="4" w:space="0" w:color="auto"/>
            </w:tcBorders>
          </w:tcPr>
          <w:p w14:paraId="68AC1ADE"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L 95% CI / U 95% CI</w:t>
            </w:r>
          </w:p>
        </w:tc>
        <w:tc>
          <w:tcPr>
            <w:tcW w:w="1329" w:type="dxa"/>
            <w:tcBorders>
              <w:bottom w:val="single" w:sz="4" w:space="0" w:color="auto"/>
            </w:tcBorders>
            <w:noWrap/>
          </w:tcPr>
          <w:p w14:paraId="2D8F9A4E"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–$582</w:t>
            </w:r>
          </w:p>
        </w:tc>
        <w:tc>
          <w:tcPr>
            <w:tcW w:w="1491" w:type="dxa"/>
            <w:tcBorders>
              <w:bottom w:val="single" w:sz="4" w:space="0" w:color="auto"/>
            </w:tcBorders>
          </w:tcPr>
          <w:p w14:paraId="791F6C23"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0.013</w:t>
            </w:r>
          </w:p>
        </w:tc>
        <w:tc>
          <w:tcPr>
            <w:tcW w:w="1490" w:type="dxa"/>
            <w:noWrap/>
          </w:tcPr>
          <w:p w14:paraId="458477B2"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Dominant</w:t>
            </w:r>
          </w:p>
        </w:tc>
      </w:tr>
      <w:tr w:rsidR="00E34267" w:rsidRPr="00F30882" w14:paraId="2F39B7BE" w14:textId="77777777" w:rsidTr="00E34267">
        <w:trPr>
          <w:cantSplit/>
          <w:trHeight w:val="300"/>
        </w:trPr>
        <w:tc>
          <w:tcPr>
            <w:tcW w:w="2778" w:type="dxa"/>
            <w:tcBorders>
              <w:bottom w:val="single" w:sz="4" w:space="0" w:color="auto"/>
            </w:tcBorders>
          </w:tcPr>
          <w:p w14:paraId="0019C517"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Second surgery disutility</w:t>
            </w:r>
          </w:p>
        </w:tc>
        <w:tc>
          <w:tcPr>
            <w:tcW w:w="2154" w:type="dxa"/>
            <w:tcBorders>
              <w:bottom w:val="single" w:sz="4" w:space="0" w:color="auto"/>
            </w:tcBorders>
          </w:tcPr>
          <w:p w14:paraId="77AAC178"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0.04</w:t>
            </w:r>
          </w:p>
        </w:tc>
        <w:tc>
          <w:tcPr>
            <w:tcW w:w="1329" w:type="dxa"/>
            <w:tcBorders>
              <w:bottom w:val="single" w:sz="4" w:space="0" w:color="auto"/>
            </w:tcBorders>
            <w:noWrap/>
          </w:tcPr>
          <w:p w14:paraId="6CCD08AF"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$536</w:t>
            </w:r>
          </w:p>
        </w:tc>
        <w:tc>
          <w:tcPr>
            <w:tcW w:w="1491" w:type="dxa"/>
            <w:tcBorders>
              <w:bottom w:val="single" w:sz="4" w:space="0" w:color="auto"/>
            </w:tcBorders>
          </w:tcPr>
          <w:p w14:paraId="10D32560"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0.003</w:t>
            </w:r>
          </w:p>
        </w:tc>
        <w:tc>
          <w:tcPr>
            <w:tcW w:w="1490" w:type="dxa"/>
            <w:noWrap/>
          </w:tcPr>
          <w:p w14:paraId="0F4D9AD6" w14:textId="77777777" w:rsidR="00E34267" w:rsidRPr="007A2975" w:rsidRDefault="00E34267" w:rsidP="00E34267">
            <w:pPr>
              <w:keepNext/>
              <w:spacing w:before="40" w:after="40"/>
              <w:jc w:val="right"/>
              <w:rPr>
                <w:rFonts w:ascii="Arial" w:hAnsi="Arial" w:cs="Arial"/>
                <w:sz w:val="20"/>
              </w:rPr>
            </w:pPr>
            <w:r w:rsidRPr="007A2975">
              <w:rPr>
                <w:rFonts w:ascii="Arial" w:hAnsi="Arial" w:cs="Arial"/>
                <w:sz w:val="20"/>
              </w:rPr>
              <w:t>$169,143</w:t>
            </w:r>
          </w:p>
        </w:tc>
      </w:tr>
    </w:tbl>
    <w:p w14:paraId="544AD01C" w14:textId="77777777" w:rsidR="00E34267" w:rsidRPr="00E34267" w:rsidRDefault="00E34267" w:rsidP="00E34267">
      <w:pPr>
        <w:rPr>
          <w:rFonts w:ascii="Arial Narrow" w:hAnsi="Arial Narrow"/>
          <w:color w:val="000000"/>
          <w:sz w:val="18"/>
          <w:szCs w:val="18"/>
        </w:rPr>
      </w:pPr>
      <w:r w:rsidRPr="00E34267">
        <w:rPr>
          <w:rFonts w:ascii="Arial Narrow" w:hAnsi="Arial Narrow"/>
          <w:color w:val="000000"/>
          <w:sz w:val="18"/>
          <w:szCs w:val="18"/>
        </w:rPr>
        <w:t>Abbreviations: CI = confidence interval; ICER = incremental cost-effectiveness ratio; L = lower; MRI = magnetic resonance imaging; NA = not applicable; QALY = quality-adjusted life year; U = upper</w:t>
      </w:r>
    </w:p>
    <w:p w14:paraId="551EA514" w14:textId="77777777" w:rsidR="00E34267" w:rsidRPr="00E34267" w:rsidRDefault="00E34267" w:rsidP="00E34267">
      <w:pPr>
        <w:rPr>
          <w:rFonts w:ascii="Arial Narrow" w:hAnsi="Arial Narrow"/>
          <w:sz w:val="18"/>
          <w:szCs w:val="18"/>
        </w:rPr>
      </w:pPr>
      <w:r w:rsidRPr="00E34267">
        <w:rPr>
          <w:vertAlign w:val="superscript"/>
        </w:rPr>
        <w:t>†</w:t>
      </w:r>
      <w:r w:rsidRPr="00E34267">
        <w:rPr>
          <w:rFonts w:ascii="Arial Narrow" w:hAnsi="Arial Narrow"/>
          <w:sz w:val="18"/>
          <w:szCs w:val="18"/>
        </w:rPr>
        <w:t>Fortune-Greeley et al. (2014)</w:t>
      </w:r>
    </w:p>
    <w:p w14:paraId="13AFC11E" w14:textId="77777777" w:rsidR="00E34267" w:rsidRPr="00E34267" w:rsidRDefault="00E34267" w:rsidP="00E34267">
      <w:pPr>
        <w:rPr>
          <w:rFonts w:ascii="Arial Narrow" w:hAnsi="Arial Narrow"/>
          <w:sz w:val="18"/>
          <w:szCs w:val="18"/>
        </w:rPr>
      </w:pPr>
    </w:p>
    <w:p w14:paraId="58904F00" w14:textId="77777777" w:rsidR="00E34267" w:rsidRPr="00E34267" w:rsidRDefault="00E34267" w:rsidP="00E34267">
      <w:r w:rsidRPr="00E34267">
        <w:t>The deterministic sensitivity analysis results indicated that the models are highly sensitive to changes in the surgery rates. The addition of a disutility for patients undergoing a second surgery had little effect on the cost-effectiveness profile of MRI.</w:t>
      </w:r>
    </w:p>
    <w:p w14:paraId="33338832" w14:textId="77777777" w:rsidR="00E34267" w:rsidRPr="00E34267" w:rsidRDefault="00E34267" w:rsidP="00E34267"/>
    <w:p w14:paraId="5AFCADCB" w14:textId="77777777" w:rsidR="00E34267" w:rsidRPr="00E34267" w:rsidRDefault="00E34267" w:rsidP="00E34267">
      <w:pPr>
        <w:rPr>
          <w:rFonts w:ascii="Arial" w:hAnsi="Arial" w:cs="Arial"/>
          <w:b/>
          <w:szCs w:val="24"/>
        </w:rPr>
      </w:pPr>
      <w:r w:rsidRPr="00E34267">
        <w:t xml:space="preserve">A probabilistic sensitivity analysis was also performed, varying only the surgery rates and utility weights while keeping costs fixed. All included parameters were characterised by beta distributions, either directly from the published proportions and uncertainty ranges, or calculated from odds ratios. The cost-effectiveness plane for the lobular breast cancer population and associated cost-effectiveness acceptability curve </w:t>
      </w:r>
      <w:r w:rsidR="005211BA">
        <w:t xml:space="preserve">demonstrated that </w:t>
      </w:r>
      <w:r w:rsidRPr="00E34267">
        <w:t>MRI is not the most cost-effective option at any willingness-to-pay threshold level for women with lobular breast cancer.</w:t>
      </w:r>
      <w:r w:rsidR="005211BA">
        <w:t xml:space="preserve"> However, i</w:t>
      </w:r>
      <w:r w:rsidRPr="00E34267">
        <w:t xml:space="preserve">t appears that MRI has a slightly improved cost-effectiveness profile in young women; </w:t>
      </w:r>
      <w:r w:rsidR="005211BA">
        <w:t>although</w:t>
      </w:r>
      <w:r w:rsidRPr="00E34267">
        <w:t>, it is still not the most cost-effective option at any threshold.</w:t>
      </w:r>
    </w:p>
    <w:p w14:paraId="2AA43777" w14:textId="77777777" w:rsidR="00BC1364" w:rsidRPr="0075468E" w:rsidRDefault="00BC1364" w:rsidP="00DD2858">
      <w:pPr>
        <w:rPr>
          <w:szCs w:val="24"/>
        </w:rPr>
      </w:pPr>
    </w:p>
    <w:p w14:paraId="78F0873A" w14:textId="77777777" w:rsidR="00BC1364" w:rsidRDefault="00BC1364" w:rsidP="007B32D1">
      <w:pPr>
        <w:pStyle w:val="Heading1"/>
        <w:numPr>
          <w:ilvl w:val="0"/>
          <w:numId w:val="23"/>
        </w:numPr>
        <w:ind w:hanging="720"/>
      </w:pPr>
      <w:r w:rsidRPr="008D5885">
        <w:t>Financial/budgetary impacts</w:t>
      </w:r>
    </w:p>
    <w:p w14:paraId="3E80A259" w14:textId="77777777" w:rsidR="00BC1364" w:rsidRDefault="00BC1364" w:rsidP="00D340DE">
      <w:pPr>
        <w:pStyle w:val="Default"/>
      </w:pPr>
    </w:p>
    <w:p w14:paraId="67E107EC" w14:textId="77777777" w:rsidR="00E34267" w:rsidRPr="00E34267" w:rsidRDefault="00E34267" w:rsidP="00E34267">
      <w:pPr>
        <w:tabs>
          <w:tab w:val="left" w:pos="720"/>
          <w:tab w:val="left" w:pos="1140"/>
        </w:tabs>
        <w:spacing w:before="120"/>
        <w:rPr>
          <w:rFonts w:ascii="Arial" w:hAnsi="Arial" w:cs="Arial"/>
          <w:color w:val="0066FF"/>
          <w:szCs w:val="24"/>
          <w:u w:val="single"/>
        </w:rPr>
      </w:pPr>
      <w:r w:rsidRPr="00E34267">
        <w:rPr>
          <w:bCs/>
          <w:szCs w:val="24"/>
          <w:u w:val="single"/>
        </w:rPr>
        <w:t>Method and approach</w:t>
      </w:r>
    </w:p>
    <w:p w14:paraId="3EF9CF89" w14:textId="77777777" w:rsidR="00E34267" w:rsidRPr="00E34267" w:rsidRDefault="00E34267" w:rsidP="00E34267">
      <w:pPr>
        <w:rPr>
          <w:szCs w:val="24"/>
        </w:rPr>
      </w:pPr>
      <w:r w:rsidRPr="00E34267">
        <w:rPr>
          <w:szCs w:val="24"/>
        </w:rPr>
        <w:t xml:space="preserve">A top-down approach was taken to determine the number of patients who would be eligible for MRI upon its introduction. The baseline figures were taken from the Australian Institute for Health and Welfare (2012) projections of breast cancer incidence over the next 5 years. To narrow these projections down to the populations of interest, epidemiological estimates of the proportions of breast cancer diagnoses that fall into each of the populations under </w:t>
      </w:r>
      <w:r w:rsidRPr="00E34267">
        <w:rPr>
          <w:szCs w:val="24"/>
        </w:rPr>
        <w:lastRenderedPageBreak/>
        <w:t xml:space="preserve">evaluation were identified from the literature review performed in the Assessment Report. Steps were taken to avoid double counting of women who would be eligible under more than one population. </w:t>
      </w:r>
    </w:p>
    <w:p w14:paraId="109B9CB4" w14:textId="77777777" w:rsidR="00E34267" w:rsidRPr="00E34267" w:rsidRDefault="00E34267" w:rsidP="00E34267">
      <w:pPr>
        <w:rPr>
          <w:szCs w:val="24"/>
        </w:rPr>
      </w:pPr>
    </w:p>
    <w:p w14:paraId="3CD76861" w14:textId="77777777" w:rsidR="00E34267" w:rsidRPr="00E34267" w:rsidRDefault="00E34267" w:rsidP="00E34267">
      <w:pPr>
        <w:rPr>
          <w:szCs w:val="24"/>
          <w:u w:val="single"/>
        </w:rPr>
      </w:pPr>
      <w:r w:rsidRPr="00E34267">
        <w:rPr>
          <w:bCs/>
          <w:szCs w:val="24"/>
          <w:u w:val="single"/>
        </w:rPr>
        <w:t>Key assumptions</w:t>
      </w:r>
    </w:p>
    <w:p w14:paraId="2ECC138D" w14:textId="77777777" w:rsidR="00E34267" w:rsidRPr="00E34267" w:rsidRDefault="00E34267" w:rsidP="00E34267">
      <w:pPr>
        <w:rPr>
          <w:szCs w:val="24"/>
        </w:rPr>
      </w:pPr>
      <w:r w:rsidRPr="00E34267">
        <w:rPr>
          <w:szCs w:val="24"/>
        </w:rPr>
        <w:t>MRI is an additional test for all eligible women. Eligible patients in all populations are assigned the cost of one MRI, except for the neoadjuvant chemotherapy population, where patients are assigned two MRIs.</w:t>
      </w:r>
    </w:p>
    <w:p w14:paraId="6616D88B" w14:textId="77777777" w:rsidR="00E34267" w:rsidRPr="00E34267" w:rsidRDefault="00E34267" w:rsidP="00E34267">
      <w:pPr>
        <w:rPr>
          <w:szCs w:val="24"/>
        </w:rPr>
      </w:pPr>
    </w:p>
    <w:p w14:paraId="157E41E9" w14:textId="77777777" w:rsidR="00E34267" w:rsidRPr="00E34267" w:rsidRDefault="00E34267" w:rsidP="00E34267">
      <w:pPr>
        <w:rPr>
          <w:szCs w:val="24"/>
        </w:rPr>
      </w:pPr>
      <w:r w:rsidRPr="00E34267">
        <w:rPr>
          <w:szCs w:val="24"/>
        </w:rPr>
        <w:t>To account for additional diagnostic imaging of women who have additional positive findings on MRI, the following rate of additional diagnostics are included (Gonzalez et al. 2014):</w:t>
      </w:r>
    </w:p>
    <w:p w14:paraId="27B35353" w14:textId="77777777" w:rsidR="00E34267" w:rsidRPr="00E34267" w:rsidRDefault="00E34267" w:rsidP="00E34267">
      <w:pPr>
        <w:numPr>
          <w:ilvl w:val="0"/>
          <w:numId w:val="37"/>
        </w:numPr>
        <w:spacing w:after="240"/>
        <w:ind w:left="851"/>
        <w:contextualSpacing/>
        <w:rPr>
          <w:rFonts w:eastAsia="Calibri"/>
          <w:szCs w:val="24"/>
        </w:rPr>
      </w:pPr>
      <w:r w:rsidRPr="00E34267">
        <w:rPr>
          <w:rFonts w:eastAsia="Calibri"/>
          <w:szCs w:val="24"/>
        </w:rPr>
        <w:t>25% of patients received a second-look ultrasound</w:t>
      </w:r>
    </w:p>
    <w:p w14:paraId="25905C2A" w14:textId="77777777" w:rsidR="00E34267" w:rsidRPr="00E34267" w:rsidRDefault="00E34267" w:rsidP="00E34267">
      <w:pPr>
        <w:numPr>
          <w:ilvl w:val="0"/>
          <w:numId w:val="37"/>
        </w:numPr>
        <w:spacing w:after="240"/>
        <w:ind w:left="851"/>
        <w:contextualSpacing/>
        <w:rPr>
          <w:rFonts w:eastAsia="Calibri"/>
          <w:szCs w:val="24"/>
        </w:rPr>
      </w:pPr>
      <w:r w:rsidRPr="00E34267">
        <w:rPr>
          <w:rFonts w:eastAsia="Calibri"/>
          <w:szCs w:val="24"/>
        </w:rPr>
        <w:t>20% of patients received an ultrasound-guided biopsy</w:t>
      </w:r>
    </w:p>
    <w:p w14:paraId="2E2C75E6" w14:textId="77777777" w:rsidR="00E34267" w:rsidRPr="00E34267" w:rsidRDefault="00E34267" w:rsidP="00E34267">
      <w:pPr>
        <w:numPr>
          <w:ilvl w:val="0"/>
          <w:numId w:val="37"/>
        </w:numPr>
        <w:spacing w:after="240"/>
        <w:ind w:left="851"/>
        <w:contextualSpacing/>
        <w:rPr>
          <w:rFonts w:eastAsia="Calibri"/>
          <w:szCs w:val="24"/>
        </w:rPr>
      </w:pPr>
      <w:r w:rsidRPr="00E34267">
        <w:rPr>
          <w:rFonts w:eastAsia="Calibri"/>
          <w:szCs w:val="24"/>
        </w:rPr>
        <w:t>2.5% of patients received an MRI-guided biopsy.</w:t>
      </w:r>
    </w:p>
    <w:p w14:paraId="7AB3CCB2" w14:textId="77777777" w:rsidR="00E34267" w:rsidRPr="00E34267" w:rsidRDefault="00E34267" w:rsidP="00E34267">
      <w:pPr>
        <w:spacing w:after="240"/>
        <w:ind w:left="851"/>
        <w:contextualSpacing/>
        <w:rPr>
          <w:rFonts w:eastAsia="Calibri"/>
          <w:szCs w:val="24"/>
        </w:rPr>
      </w:pPr>
    </w:p>
    <w:p w14:paraId="5EC0C831" w14:textId="77777777" w:rsidR="00E34267" w:rsidRPr="00E34267" w:rsidRDefault="00E34267" w:rsidP="00E34267">
      <w:pPr>
        <w:rPr>
          <w:szCs w:val="24"/>
        </w:rPr>
      </w:pPr>
      <w:r w:rsidRPr="00E34267">
        <w:rPr>
          <w:szCs w:val="24"/>
        </w:rPr>
        <w:t>The change in the following surgery rates due to MRI are included for the two populations for which a significant change in the surgery rates was identified (</w:t>
      </w:r>
      <w:proofErr w:type="spellStart"/>
      <w:r w:rsidRPr="00E34267">
        <w:rPr>
          <w:szCs w:val="24"/>
        </w:rPr>
        <w:t>ie</w:t>
      </w:r>
      <w:proofErr w:type="spellEnd"/>
      <w:r w:rsidRPr="00E34267">
        <w:rPr>
          <w:szCs w:val="24"/>
        </w:rPr>
        <w:t xml:space="preserve"> women aged ≤50 years and women with lobular breast cancer):</w:t>
      </w:r>
    </w:p>
    <w:p w14:paraId="24CCDFA3" w14:textId="77777777" w:rsidR="00E34267" w:rsidRPr="00E34267" w:rsidRDefault="00E34267" w:rsidP="00E34267">
      <w:pPr>
        <w:numPr>
          <w:ilvl w:val="0"/>
          <w:numId w:val="38"/>
        </w:numPr>
        <w:spacing w:after="240"/>
        <w:ind w:left="851"/>
        <w:contextualSpacing/>
        <w:rPr>
          <w:rFonts w:eastAsia="Calibri"/>
          <w:szCs w:val="24"/>
        </w:rPr>
      </w:pPr>
      <w:r w:rsidRPr="00E34267">
        <w:rPr>
          <w:rFonts w:eastAsia="Calibri"/>
          <w:szCs w:val="24"/>
        </w:rPr>
        <w:t>initial mastectomy</w:t>
      </w:r>
    </w:p>
    <w:p w14:paraId="62AC2FE7" w14:textId="77777777" w:rsidR="00E34267" w:rsidRPr="00E34267" w:rsidRDefault="00E34267" w:rsidP="00E34267">
      <w:pPr>
        <w:numPr>
          <w:ilvl w:val="0"/>
          <w:numId w:val="38"/>
        </w:numPr>
        <w:spacing w:after="240"/>
        <w:ind w:left="851"/>
        <w:contextualSpacing/>
        <w:rPr>
          <w:rFonts w:eastAsia="Calibri"/>
          <w:szCs w:val="24"/>
        </w:rPr>
      </w:pPr>
      <w:r w:rsidRPr="00E34267">
        <w:rPr>
          <w:rFonts w:eastAsia="Calibri"/>
          <w:szCs w:val="24"/>
        </w:rPr>
        <w:t>repeat breast-conserving surgery</w:t>
      </w:r>
    </w:p>
    <w:p w14:paraId="02B699E6" w14:textId="77777777" w:rsidR="00E34267" w:rsidRPr="00E34267" w:rsidRDefault="00E34267" w:rsidP="00E34267">
      <w:pPr>
        <w:numPr>
          <w:ilvl w:val="0"/>
          <w:numId w:val="38"/>
        </w:numPr>
        <w:spacing w:after="240"/>
        <w:ind w:left="850" w:hanging="357"/>
        <w:rPr>
          <w:rFonts w:eastAsia="Calibri"/>
          <w:szCs w:val="24"/>
        </w:rPr>
      </w:pPr>
      <w:proofErr w:type="gramStart"/>
      <w:r w:rsidRPr="00E34267">
        <w:rPr>
          <w:rFonts w:eastAsia="Calibri"/>
          <w:szCs w:val="24"/>
        </w:rPr>
        <w:t>conversion</w:t>
      </w:r>
      <w:proofErr w:type="gramEnd"/>
      <w:r w:rsidRPr="00E34267">
        <w:rPr>
          <w:rFonts w:eastAsia="Calibri"/>
          <w:szCs w:val="24"/>
        </w:rPr>
        <w:t xml:space="preserve"> to mastectomy.</w:t>
      </w:r>
    </w:p>
    <w:p w14:paraId="323AAC07" w14:textId="77777777" w:rsidR="00E34267" w:rsidRPr="00E34267" w:rsidRDefault="00E34267" w:rsidP="00E34267">
      <w:pPr>
        <w:rPr>
          <w:szCs w:val="24"/>
        </w:rPr>
      </w:pPr>
      <w:r w:rsidRPr="00E34267">
        <w:rPr>
          <w:szCs w:val="24"/>
        </w:rPr>
        <w:t>Costs were based on information contained in the final protocol for Application 1333, relevant MBS item numbers, and public and private AR-DRGs for minor and major breast surgery.</w:t>
      </w:r>
    </w:p>
    <w:p w14:paraId="0FE6471D" w14:textId="77777777" w:rsidR="00E34267" w:rsidRPr="00E34267" w:rsidRDefault="00E34267" w:rsidP="00E34267">
      <w:pPr>
        <w:rPr>
          <w:szCs w:val="24"/>
        </w:rPr>
      </w:pPr>
    </w:p>
    <w:p w14:paraId="1042E15B" w14:textId="77777777" w:rsidR="00E34267" w:rsidRPr="00E34267" w:rsidRDefault="00E34267" w:rsidP="00E34267">
      <w:pPr>
        <w:rPr>
          <w:bCs/>
          <w:szCs w:val="24"/>
          <w:u w:val="single"/>
        </w:rPr>
      </w:pPr>
      <w:r w:rsidRPr="00E34267">
        <w:rPr>
          <w:bCs/>
          <w:szCs w:val="24"/>
          <w:u w:val="single"/>
        </w:rPr>
        <w:t>Results</w:t>
      </w:r>
    </w:p>
    <w:p w14:paraId="70CC0DE9" w14:textId="77777777" w:rsidR="00E34267" w:rsidRPr="00E34267" w:rsidRDefault="00E34267" w:rsidP="00DA075F">
      <w:pPr>
        <w:spacing w:after="200"/>
        <w:rPr>
          <w:szCs w:val="24"/>
        </w:rPr>
      </w:pPr>
      <w:r w:rsidRPr="00E34267">
        <w:rPr>
          <w:szCs w:val="24"/>
        </w:rPr>
        <w:t xml:space="preserve">The estimated number of patients in each population who will be eligible for MRI is presented in Table 7. In total, 9,272 patients are estimated to be eligible in 2016, increasing to 10,017 in 2020. This represents over 55% of new breast cancer diagnoses. </w:t>
      </w:r>
    </w:p>
    <w:p w14:paraId="5F3EAA24" w14:textId="77777777" w:rsidR="00E34267" w:rsidRPr="00F30882" w:rsidRDefault="00E34267" w:rsidP="00E34267">
      <w:pPr>
        <w:keepNext/>
        <w:tabs>
          <w:tab w:val="left" w:pos="1134"/>
        </w:tabs>
        <w:spacing w:before="40" w:after="40"/>
        <w:ind w:left="1134" w:hanging="1134"/>
        <w:rPr>
          <w:rFonts w:ascii="Arial" w:hAnsi="Arial" w:cs="Arial"/>
          <w:b/>
          <w:bCs/>
          <w:sz w:val="20"/>
        </w:rPr>
      </w:pPr>
      <w:bookmarkStart w:id="27" w:name="_Ref405886471"/>
      <w:bookmarkStart w:id="28" w:name="_Toc408487940"/>
      <w:bookmarkStart w:id="29" w:name="_Toc405984008"/>
      <w:r w:rsidRPr="00F30882">
        <w:rPr>
          <w:rFonts w:ascii="Arial" w:hAnsi="Arial" w:cs="Arial"/>
          <w:b/>
          <w:bCs/>
          <w:sz w:val="20"/>
        </w:rPr>
        <w:t>Table</w:t>
      </w:r>
      <w:bookmarkEnd w:id="27"/>
      <w:r w:rsidRPr="00F30882">
        <w:rPr>
          <w:rFonts w:ascii="Arial" w:hAnsi="Arial" w:cs="Arial"/>
          <w:b/>
          <w:bCs/>
          <w:sz w:val="20"/>
        </w:rPr>
        <w:t xml:space="preserve"> 7</w:t>
      </w:r>
      <w:r w:rsidRPr="00F30882">
        <w:rPr>
          <w:rFonts w:ascii="Arial" w:hAnsi="Arial" w:cs="Arial"/>
          <w:b/>
          <w:bCs/>
          <w:sz w:val="20"/>
        </w:rPr>
        <w:tab/>
        <w:t>Estimation of the number of eligible women, by population</w:t>
      </w:r>
      <w:bookmarkEnd w:id="28"/>
      <w:r w:rsidRPr="00F30882">
        <w:rPr>
          <w:rFonts w:ascii="Arial" w:hAnsi="Arial" w:cs="Arial"/>
          <w:b/>
          <w:bCs/>
          <w:sz w:val="20"/>
        </w:rPr>
        <w:t xml:space="preserve"> </w:t>
      </w:r>
      <w:bookmarkEnd w:id="29"/>
    </w:p>
    <w:tbl>
      <w:tblPr>
        <w:tblStyle w:val="TableGrid3"/>
        <w:tblW w:w="5043" w:type="pct"/>
        <w:tblLook w:val="04A0" w:firstRow="1" w:lastRow="0" w:firstColumn="1" w:lastColumn="0" w:noHBand="0" w:noVBand="1"/>
        <w:tblCaption w:val="Estimation of the number of eligible women, by population "/>
      </w:tblPr>
      <w:tblGrid>
        <w:gridCol w:w="5282"/>
        <w:gridCol w:w="786"/>
        <w:gridCol w:w="786"/>
        <w:gridCol w:w="786"/>
        <w:gridCol w:w="786"/>
        <w:gridCol w:w="896"/>
      </w:tblGrid>
      <w:tr w:rsidR="00E34267" w:rsidRPr="00F30882" w14:paraId="431D4F6B" w14:textId="77777777" w:rsidTr="00E34267">
        <w:trPr>
          <w:cantSplit/>
          <w:trHeight w:val="315"/>
          <w:tblHeader/>
        </w:trPr>
        <w:tc>
          <w:tcPr>
            <w:tcW w:w="5282" w:type="dxa"/>
            <w:noWrap/>
            <w:hideMark/>
          </w:tcPr>
          <w:p w14:paraId="021202B8"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Description</w:t>
            </w:r>
          </w:p>
        </w:tc>
        <w:tc>
          <w:tcPr>
            <w:tcW w:w="786" w:type="dxa"/>
            <w:noWrap/>
            <w:hideMark/>
          </w:tcPr>
          <w:p w14:paraId="07FF05F1"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2016</w:t>
            </w:r>
          </w:p>
        </w:tc>
        <w:tc>
          <w:tcPr>
            <w:tcW w:w="786" w:type="dxa"/>
            <w:noWrap/>
            <w:hideMark/>
          </w:tcPr>
          <w:p w14:paraId="5D93B1C3"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2017</w:t>
            </w:r>
          </w:p>
        </w:tc>
        <w:tc>
          <w:tcPr>
            <w:tcW w:w="786" w:type="dxa"/>
            <w:noWrap/>
            <w:hideMark/>
          </w:tcPr>
          <w:p w14:paraId="0617740E"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2018</w:t>
            </w:r>
          </w:p>
        </w:tc>
        <w:tc>
          <w:tcPr>
            <w:tcW w:w="786" w:type="dxa"/>
            <w:noWrap/>
            <w:hideMark/>
          </w:tcPr>
          <w:p w14:paraId="4CCBE8B2"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2019</w:t>
            </w:r>
          </w:p>
        </w:tc>
        <w:tc>
          <w:tcPr>
            <w:tcW w:w="896" w:type="dxa"/>
            <w:noWrap/>
            <w:hideMark/>
          </w:tcPr>
          <w:p w14:paraId="45AAC390"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2020</w:t>
            </w:r>
          </w:p>
        </w:tc>
      </w:tr>
      <w:tr w:rsidR="00E34267" w:rsidRPr="00F30882" w14:paraId="20026982" w14:textId="77777777" w:rsidTr="00E34267">
        <w:trPr>
          <w:cantSplit/>
          <w:trHeight w:val="300"/>
        </w:trPr>
        <w:tc>
          <w:tcPr>
            <w:tcW w:w="5282" w:type="dxa"/>
            <w:noWrap/>
            <w:hideMark/>
          </w:tcPr>
          <w:p w14:paraId="567C891F" w14:textId="77777777" w:rsidR="00E34267" w:rsidRPr="007A2975" w:rsidRDefault="00E34267" w:rsidP="00E34267">
            <w:pPr>
              <w:keepNext/>
              <w:spacing w:before="60" w:after="60"/>
              <w:rPr>
                <w:rFonts w:ascii="Arial" w:eastAsia="Calibri" w:hAnsi="Arial" w:cs="Arial"/>
                <w:sz w:val="20"/>
              </w:rPr>
            </w:pPr>
            <w:r w:rsidRPr="007A2975">
              <w:rPr>
                <w:rFonts w:ascii="Arial" w:eastAsia="Calibri" w:hAnsi="Arial" w:cs="Arial"/>
                <w:sz w:val="20"/>
              </w:rPr>
              <w:t>Neoadjuvant chemotherapy</w:t>
            </w:r>
          </w:p>
        </w:tc>
        <w:tc>
          <w:tcPr>
            <w:tcW w:w="786" w:type="dxa"/>
            <w:noWrap/>
          </w:tcPr>
          <w:p w14:paraId="02A54E85"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2,390</w:t>
            </w:r>
          </w:p>
        </w:tc>
        <w:tc>
          <w:tcPr>
            <w:tcW w:w="786" w:type="dxa"/>
            <w:noWrap/>
          </w:tcPr>
          <w:p w14:paraId="1AC1F925"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 xml:space="preserve">2,438 </w:t>
            </w:r>
          </w:p>
        </w:tc>
        <w:tc>
          <w:tcPr>
            <w:tcW w:w="786" w:type="dxa"/>
            <w:noWrap/>
          </w:tcPr>
          <w:p w14:paraId="1E7FB618"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 xml:space="preserve">2,486 </w:t>
            </w:r>
          </w:p>
        </w:tc>
        <w:tc>
          <w:tcPr>
            <w:tcW w:w="786" w:type="dxa"/>
            <w:noWrap/>
          </w:tcPr>
          <w:p w14:paraId="2479834C"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 xml:space="preserve">2,534 </w:t>
            </w:r>
          </w:p>
        </w:tc>
        <w:tc>
          <w:tcPr>
            <w:tcW w:w="896" w:type="dxa"/>
            <w:noWrap/>
          </w:tcPr>
          <w:p w14:paraId="64AEC683"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2,582</w:t>
            </w:r>
          </w:p>
        </w:tc>
      </w:tr>
      <w:tr w:rsidR="00E34267" w:rsidRPr="00F30882" w14:paraId="30BF9FC6" w14:textId="77777777" w:rsidTr="00E34267">
        <w:trPr>
          <w:cantSplit/>
          <w:trHeight w:val="300"/>
        </w:trPr>
        <w:tc>
          <w:tcPr>
            <w:tcW w:w="5282" w:type="dxa"/>
            <w:noWrap/>
          </w:tcPr>
          <w:p w14:paraId="17965282" w14:textId="77777777" w:rsidR="00E34267" w:rsidRPr="007A2975" w:rsidRDefault="00E34267" w:rsidP="00E34267">
            <w:pPr>
              <w:keepNext/>
              <w:spacing w:before="60" w:after="60"/>
              <w:rPr>
                <w:rFonts w:ascii="Arial" w:eastAsia="Calibri" w:hAnsi="Arial" w:cs="Arial"/>
                <w:sz w:val="20"/>
              </w:rPr>
            </w:pPr>
            <w:r w:rsidRPr="007A2975">
              <w:rPr>
                <w:rFonts w:ascii="Arial" w:eastAsia="Calibri" w:hAnsi="Arial" w:cs="Arial"/>
                <w:sz w:val="20"/>
              </w:rPr>
              <w:t xml:space="preserve">Lobular breast cancer </w:t>
            </w:r>
          </w:p>
          <w:p w14:paraId="7CE7F421" w14:textId="77777777" w:rsidR="00E34267" w:rsidRPr="007A2975" w:rsidRDefault="00E34267" w:rsidP="00E34267">
            <w:pPr>
              <w:keepNext/>
              <w:spacing w:before="60" w:after="60"/>
              <w:rPr>
                <w:rFonts w:ascii="Arial" w:eastAsia="Calibri" w:hAnsi="Arial" w:cs="Arial"/>
                <w:sz w:val="20"/>
              </w:rPr>
            </w:pPr>
          </w:p>
        </w:tc>
        <w:tc>
          <w:tcPr>
            <w:tcW w:w="786" w:type="dxa"/>
            <w:noWrap/>
          </w:tcPr>
          <w:p w14:paraId="698D8AF3"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1,705</w:t>
            </w:r>
          </w:p>
        </w:tc>
        <w:tc>
          <w:tcPr>
            <w:tcW w:w="786" w:type="dxa"/>
            <w:noWrap/>
          </w:tcPr>
          <w:p w14:paraId="76187AF2"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1,739</w:t>
            </w:r>
          </w:p>
        </w:tc>
        <w:tc>
          <w:tcPr>
            <w:tcW w:w="786" w:type="dxa"/>
            <w:noWrap/>
          </w:tcPr>
          <w:p w14:paraId="24317A9F"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1,773</w:t>
            </w:r>
          </w:p>
        </w:tc>
        <w:tc>
          <w:tcPr>
            <w:tcW w:w="786" w:type="dxa"/>
            <w:noWrap/>
          </w:tcPr>
          <w:p w14:paraId="1939DE09"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1,807</w:t>
            </w:r>
          </w:p>
        </w:tc>
        <w:tc>
          <w:tcPr>
            <w:tcW w:w="896" w:type="dxa"/>
            <w:noWrap/>
          </w:tcPr>
          <w:p w14:paraId="5C07C28E"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1,841</w:t>
            </w:r>
          </w:p>
        </w:tc>
      </w:tr>
      <w:tr w:rsidR="00E34267" w:rsidRPr="00F30882" w14:paraId="15F227C8" w14:textId="77777777" w:rsidTr="00E34267">
        <w:trPr>
          <w:cantSplit/>
          <w:trHeight w:val="300"/>
        </w:trPr>
        <w:tc>
          <w:tcPr>
            <w:tcW w:w="5282" w:type="dxa"/>
            <w:noWrap/>
          </w:tcPr>
          <w:p w14:paraId="42612EC5" w14:textId="77777777" w:rsidR="00E34267" w:rsidRPr="007A2975" w:rsidRDefault="00E34267" w:rsidP="00E34267">
            <w:pPr>
              <w:keepNext/>
              <w:spacing w:before="60" w:after="60"/>
              <w:rPr>
                <w:rFonts w:ascii="Arial" w:eastAsia="Calibri" w:hAnsi="Arial" w:cs="Arial"/>
                <w:sz w:val="20"/>
              </w:rPr>
            </w:pPr>
            <w:r w:rsidRPr="007A2975">
              <w:rPr>
                <w:rFonts w:ascii="Arial" w:eastAsia="Calibri" w:hAnsi="Arial" w:cs="Arial"/>
                <w:sz w:val="20"/>
              </w:rPr>
              <w:t xml:space="preserve">≤50 years or dense breasts, minus double counting </w:t>
            </w:r>
          </w:p>
        </w:tc>
        <w:tc>
          <w:tcPr>
            <w:tcW w:w="786" w:type="dxa"/>
            <w:noWrap/>
            <w:vAlign w:val="center"/>
          </w:tcPr>
          <w:p w14:paraId="254C0C1E"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5,018</w:t>
            </w:r>
          </w:p>
        </w:tc>
        <w:tc>
          <w:tcPr>
            <w:tcW w:w="786" w:type="dxa"/>
            <w:noWrap/>
            <w:vAlign w:val="center"/>
          </w:tcPr>
          <w:p w14:paraId="7179987D"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5,119</w:t>
            </w:r>
          </w:p>
        </w:tc>
        <w:tc>
          <w:tcPr>
            <w:tcW w:w="786" w:type="dxa"/>
            <w:noWrap/>
            <w:vAlign w:val="center"/>
          </w:tcPr>
          <w:p w14:paraId="60DBD916"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5,220</w:t>
            </w:r>
          </w:p>
        </w:tc>
        <w:tc>
          <w:tcPr>
            <w:tcW w:w="786" w:type="dxa"/>
            <w:noWrap/>
            <w:vAlign w:val="center"/>
          </w:tcPr>
          <w:p w14:paraId="6D240D90"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5,321</w:t>
            </w:r>
          </w:p>
        </w:tc>
        <w:tc>
          <w:tcPr>
            <w:tcW w:w="896" w:type="dxa"/>
            <w:noWrap/>
            <w:vAlign w:val="center"/>
          </w:tcPr>
          <w:p w14:paraId="1B292EB9"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5,422</w:t>
            </w:r>
          </w:p>
        </w:tc>
      </w:tr>
      <w:tr w:rsidR="00E34267" w:rsidRPr="00F30882" w14:paraId="2E2AF589" w14:textId="77777777" w:rsidTr="00E34267">
        <w:trPr>
          <w:cantSplit/>
          <w:trHeight w:val="300"/>
        </w:trPr>
        <w:tc>
          <w:tcPr>
            <w:tcW w:w="5282" w:type="dxa"/>
            <w:noWrap/>
          </w:tcPr>
          <w:p w14:paraId="05ECDC75" w14:textId="77777777" w:rsidR="00E34267" w:rsidRPr="007A2975" w:rsidRDefault="00E34267" w:rsidP="00E34267">
            <w:pPr>
              <w:keepNext/>
              <w:spacing w:before="60" w:after="60"/>
              <w:rPr>
                <w:rFonts w:ascii="Arial" w:eastAsia="Calibri" w:hAnsi="Arial" w:cs="Arial"/>
                <w:sz w:val="20"/>
              </w:rPr>
            </w:pPr>
            <w:r w:rsidRPr="007A2975">
              <w:rPr>
                <w:rFonts w:ascii="Arial" w:eastAsia="Calibri" w:hAnsi="Arial" w:cs="Arial"/>
                <w:sz w:val="20"/>
              </w:rPr>
              <w:t xml:space="preserve">Occult primary breast cancer </w:t>
            </w:r>
          </w:p>
        </w:tc>
        <w:tc>
          <w:tcPr>
            <w:tcW w:w="786" w:type="dxa"/>
            <w:noWrap/>
          </w:tcPr>
          <w:p w14:paraId="6AD21BD7"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159</w:t>
            </w:r>
          </w:p>
        </w:tc>
        <w:tc>
          <w:tcPr>
            <w:tcW w:w="786" w:type="dxa"/>
            <w:noWrap/>
          </w:tcPr>
          <w:p w14:paraId="1982EECF"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163</w:t>
            </w:r>
          </w:p>
        </w:tc>
        <w:tc>
          <w:tcPr>
            <w:tcW w:w="786" w:type="dxa"/>
            <w:noWrap/>
          </w:tcPr>
          <w:p w14:paraId="4F103DA9"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166</w:t>
            </w:r>
          </w:p>
        </w:tc>
        <w:tc>
          <w:tcPr>
            <w:tcW w:w="786" w:type="dxa"/>
            <w:noWrap/>
          </w:tcPr>
          <w:p w14:paraId="3D1A5AA8"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169</w:t>
            </w:r>
          </w:p>
        </w:tc>
        <w:tc>
          <w:tcPr>
            <w:tcW w:w="896" w:type="dxa"/>
            <w:noWrap/>
          </w:tcPr>
          <w:p w14:paraId="3714A5D7"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172</w:t>
            </w:r>
          </w:p>
        </w:tc>
      </w:tr>
      <w:tr w:rsidR="00E34267" w:rsidRPr="00F30882" w14:paraId="286A3006" w14:textId="77777777" w:rsidTr="00E34267">
        <w:trPr>
          <w:cantSplit/>
          <w:trHeight w:val="300"/>
        </w:trPr>
        <w:tc>
          <w:tcPr>
            <w:tcW w:w="5282" w:type="dxa"/>
            <w:noWrap/>
          </w:tcPr>
          <w:p w14:paraId="411A46BC" w14:textId="77777777" w:rsidR="00E34267" w:rsidRPr="007A2975" w:rsidRDefault="00E34267" w:rsidP="00E34267">
            <w:pPr>
              <w:keepNext/>
              <w:spacing w:before="60" w:after="60"/>
              <w:rPr>
                <w:rFonts w:ascii="Arial" w:eastAsia="Calibri" w:hAnsi="Arial" w:cs="Arial"/>
                <w:b/>
                <w:sz w:val="20"/>
              </w:rPr>
            </w:pPr>
            <w:r w:rsidRPr="007A2975">
              <w:rPr>
                <w:rFonts w:ascii="Arial" w:eastAsia="Calibri" w:hAnsi="Arial" w:cs="Arial"/>
                <w:b/>
                <w:sz w:val="20"/>
              </w:rPr>
              <w:t>Total</w:t>
            </w:r>
          </w:p>
        </w:tc>
        <w:tc>
          <w:tcPr>
            <w:tcW w:w="786" w:type="dxa"/>
            <w:noWrap/>
            <w:vAlign w:val="center"/>
          </w:tcPr>
          <w:p w14:paraId="28187C74" w14:textId="77777777" w:rsidR="00E34267" w:rsidRPr="007A2975" w:rsidRDefault="00E34267" w:rsidP="00E34267">
            <w:pPr>
              <w:keepNext/>
              <w:spacing w:before="60" w:after="60"/>
              <w:jc w:val="right"/>
              <w:rPr>
                <w:rFonts w:ascii="Arial" w:eastAsia="Calibri" w:hAnsi="Arial" w:cs="Arial"/>
                <w:b/>
                <w:sz w:val="20"/>
              </w:rPr>
            </w:pPr>
            <w:r w:rsidRPr="007A2975">
              <w:rPr>
                <w:rFonts w:ascii="Arial" w:eastAsia="Calibri" w:hAnsi="Arial" w:cs="Arial"/>
                <w:b/>
                <w:sz w:val="20"/>
              </w:rPr>
              <w:t>9,272</w:t>
            </w:r>
          </w:p>
        </w:tc>
        <w:tc>
          <w:tcPr>
            <w:tcW w:w="786" w:type="dxa"/>
            <w:noWrap/>
            <w:vAlign w:val="center"/>
          </w:tcPr>
          <w:p w14:paraId="4E6B4608" w14:textId="77777777" w:rsidR="00E34267" w:rsidRPr="007A2975" w:rsidRDefault="00E34267" w:rsidP="00E34267">
            <w:pPr>
              <w:keepNext/>
              <w:spacing w:before="60" w:after="60"/>
              <w:jc w:val="right"/>
              <w:rPr>
                <w:rFonts w:ascii="Arial" w:eastAsia="Calibri" w:hAnsi="Arial" w:cs="Arial"/>
                <w:b/>
                <w:sz w:val="20"/>
              </w:rPr>
            </w:pPr>
            <w:r w:rsidRPr="007A2975">
              <w:rPr>
                <w:rFonts w:ascii="Arial" w:eastAsia="Calibri" w:hAnsi="Arial" w:cs="Arial"/>
                <w:b/>
                <w:sz w:val="20"/>
              </w:rPr>
              <w:t>9,458</w:t>
            </w:r>
          </w:p>
        </w:tc>
        <w:tc>
          <w:tcPr>
            <w:tcW w:w="786" w:type="dxa"/>
            <w:noWrap/>
            <w:vAlign w:val="center"/>
          </w:tcPr>
          <w:p w14:paraId="046A7D39" w14:textId="77777777" w:rsidR="00E34267" w:rsidRPr="007A2975" w:rsidRDefault="00E34267" w:rsidP="00E34267">
            <w:pPr>
              <w:keepNext/>
              <w:spacing w:before="60" w:after="60"/>
              <w:jc w:val="right"/>
              <w:rPr>
                <w:rFonts w:ascii="Arial" w:eastAsia="Calibri" w:hAnsi="Arial" w:cs="Arial"/>
                <w:b/>
                <w:sz w:val="20"/>
              </w:rPr>
            </w:pPr>
            <w:r w:rsidRPr="007A2975">
              <w:rPr>
                <w:rFonts w:ascii="Arial" w:eastAsia="Calibri" w:hAnsi="Arial" w:cs="Arial"/>
                <w:b/>
                <w:sz w:val="20"/>
              </w:rPr>
              <w:t>9,644</w:t>
            </w:r>
          </w:p>
        </w:tc>
        <w:tc>
          <w:tcPr>
            <w:tcW w:w="786" w:type="dxa"/>
            <w:noWrap/>
            <w:vAlign w:val="center"/>
          </w:tcPr>
          <w:p w14:paraId="04529ECB" w14:textId="77777777" w:rsidR="00E34267" w:rsidRPr="007A2975" w:rsidRDefault="00E34267" w:rsidP="00E34267">
            <w:pPr>
              <w:keepNext/>
              <w:spacing w:before="60" w:after="60"/>
              <w:jc w:val="right"/>
              <w:rPr>
                <w:rFonts w:ascii="Arial" w:eastAsia="Calibri" w:hAnsi="Arial" w:cs="Arial"/>
                <w:b/>
                <w:sz w:val="20"/>
              </w:rPr>
            </w:pPr>
            <w:r w:rsidRPr="007A2975">
              <w:rPr>
                <w:rFonts w:ascii="Arial" w:eastAsia="Calibri" w:hAnsi="Arial" w:cs="Arial"/>
                <w:b/>
                <w:sz w:val="20"/>
              </w:rPr>
              <w:t>9,831</w:t>
            </w:r>
          </w:p>
        </w:tc>
        <w:tc>
          <w:tcPr>
            <w:tcW w:w="896" w:type="dxa"/>
            <w:noWrap/>
            <w:vAlign w:val="center"/>
          </w:tcPr>
          <w:p w14:paraId="70A2963A" w14:textId="77777777" w:rsidR="00E34267" w:rsidRPr="007A2975" w:rsidRDefault="00E34267" w:rsidP="00E34267">
            <w:pPr>
              <w:keepNext/>
              <w:spacing w:before="60" w:after="60"/>
              <w:jc w:val="right"/>
              <w:rPr>
                <w:rFonts w:ascii="Arial" w:eastAsia="Calibri" w:hAnsi="Arial" w:cs="Arial"/>
                <w:b/>
                <w:sz w:val="20"/>
              </w:rPr>
            </w:pPr>
            <w:r w:rsidRPr="007A2975">
              <w:rPr>
                <w:rFonts w:ascii="Arial" w:eastAsia="Calibri" w:hAnsi="Arial" w:cs="Arial"/>
                <w:b/>
                <w:sz w:val="20"/>
              </w:rPr>
              <w:t>10,017</w:t>
            </w:r>
          </w:p>
        </w:tc>
      </w:tr>
    </w:tbl>
    <w:p w14:paraId="0CC120E3" w14:textId="77777777" w:rsidR="00E34267" w:rsidRPr="00E34267" w:rsidRDefault="00E34267" w:rsidP="00E34267">
      <w:pPr>
        <w:keepNext/>
        <w:keepLines/>
        <w:rPr>
          <w:rFonts w:ascii="Arial Narrow" w:hAnsi="Arial Narrow"/>
          <w:color w:val="000000"/>
          <w:sz w:val="16"/>
          <w:szCs w:val="16"/>
        </w:rPr>
      </w:pPr>
      <w:r w:rsidRPr="00E34267">
        <w:rPr>
          <w:rFonts w:ascii="Arial Narrow" w:hAnsi="Arial Narrow"/>
          <w:color w:val="000000"/>
          <w:sz w:val="16"/>
          <w:szCs w:val="16"/>
        </w:rPr>
        <w:t>Note: rounding has been applied.</w:t>
      </w:r>
    </w:p>
    <w:p w14:paraId="68175B9C" w14:textId="77777777" w:rsidR="00E34267" w:rsidRPr="00E34267" w:rsidRDefault="00E34267" w:rsidP="00E34267">
      <w:pPr>
        <w:rPr>
          <w:szCs w:val="24"/>
        </w:rPr>
      </w:pPr>
    </w:p>
    <w:p w14:paraId="632263E2" w14:textId="77777777" w:rsidR="00E34267" w:rsidRPr="00E34267" w:rsidRDefault="00E34267" w:rsidP="00E34267">
      <w:pPr>
        <w:rPr>
          <w:szCs w:val="24"/>
        </w:rPr>
      </w:pPr>
      <w:r w:rsidRPr="00E34267">
        <w:rPr>
          <w:szCs w:val="24"/>
        </w:rPr>
        <w:t>The total cost of the requested MBS listing for MRI imaging in the eligible populations is presented in Table 8.</w:t>
      </w:r>
    </w:p>
    <w:p w14:paraId="395ECABD" w14:textId="77777777" w:rsidR="00E34267" w:rsidRPr="00E34267" w:rsidRDefault="00E34267" w:rsidP="00E34267">
      <w:pPr>
        <w:rPr>
          <w:szCs w:val="24"/>
        </w:rPr>
      </w:pPr>
    </w:p>
    <w:p w14:paraId="0494953F" w14:textId="77777777" w:rsidR="00E34267" w:rsidRPr="00F30882" w:rsidRDefault="00E34267" w:rsidP="00E34267">
      <w:pPr>
        <w:keepNext/>
        <w:tabs>
          <w:tab w:val="left" w:pos="1134"/>
        </w:tabs>
        <w:spacing w:before="40" w:after="40"/>
        <w:ind w:left="1134" w:hanging="1134"/>
        <w:rPr>
          <w:rFonts w:ascii="Arial" w:hAnsi="Arial" w:cs="Arial"/>
          <w:b/>
          <w:bCs/>
          <w:sz w:val="20"/>
        </w:rPr>
      </w:pPr>
      <w:bookmarkStart w:id="30" w:name="_Ref405888011"/>
      <w:bookmarkStart w:id="31" w:name="_Toc405984009"/>
      <w:bookmarkStart w:id="32" w:name="_Toc408487941"/>
      <w:r w:rsidRPr="00F30882">
        <w:rPr>
          <w:rFonts w:ascii="Arial" w:hAnsi="Arial" w:cs="Arial"/>
          <w:b/>
          <w:bCs/>
          <w:sz w:val="20"/>
        </w:rPr>
        <w:lastRenderedPageBreak/>
        <w:t xml:space="preserve">Table </w:t>
      </w:r>
      <w:bookmarkEnd w:id="30"/>
      <w:r w:rsidRPr="00F30882">
        <w:rPr>
          <w:rFonts w:ascii="Arial" w:hAnsi="Arial" w:cs="Arial"/>
          <w:b/>
          <w:bCs/>
          <w:sz w:val="20"/>
        </w:rPr>
        <w:t>8</w:t>
      </w:r>
      <w:r w:rsidRPr="00F30882">
        <w:rPr>
          <w:rFonts w:ascii="Arial" w:hAnsi="Arial" w:cs="Arial"/>
          <w:b/>
          <w:bCs/>
          <w:sz w:val="20"/>
        </w:rPr>
        <w:tab/>
        <w:t>Financial impact of MRI</w:t>
      </w:r>
      <w:bookmarkEnd w:id="31"/>
      <w:r w:rsidRPr="00F30882">
        <w:rPr>
          <w:rFonts w:ascii="Arial" w:hAnsi="Arial" w:cs="Arial"/>
          <w:b/>
          <w:bCs/>
          <w:sz w:val="20"/>
        </w:rPr>
        <w:t xml:space="preserve"> in all populations</w:t>
      </w:r>
      <w:bookmarkEnd w:id="32"/>
    </w:p>
    <w:tbl>
      <w:tblPr>
        <w:tblStyle w:val="TableGrid3"/>
        <w:tblW w:w="5000" w:type="pct"/>
        <w:tblLook w:val="04A0" w:firstRow="1" w:lastRow="0" w:firstColumn="1" w:lastColumn="0" w:noHBand="0" w:noVBand="1"/>
        <w:tblCaption w:val="Financial impact of MRI in all populations"/>
      </w:tblPr>
      <w:tblGrid>
        <w:gridCol w:w="1809"/>
        <w:gridCol w:w="1348"/>
        <w:gridCol w:w="1217"/>
        <w:gridCol w:w="1217"/>
        <w:gridCol w:w="1217"/>
        <w:gridCol w:w="1217"/>
        <w:gridCol w:w="1217"/>
      </w:tblGrid>
      <w:tr w:rsidR="00E34267" w:rsidRPr="00F30882" w14:paraId="42DD43BB" w14:textId="77777777" w:rsidTr="00E34267">
        <w:trPr>
          <w:cantSplit/>
          <w:trHeight w:val="315"/>
          <w:tblHeader/>
        </w:trPr>
        <w:tc>
          <w:tcPr>
            <w:tcW w:w="1809" w:type="dxa"/>
            <w:tcBorders>
              <w:bottom w:val="single" w:sz="4" w:space="0" w:color="auto"/>
            </w:tcBorders>
            <w:noWrap/>
            <w:hideMark/>
          </w:tcPr>
          <w:p w14:paraId="532E4A88"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Population</w:t>
            </w:r>
          </w:p>
        </w:tc>
        <w:tc>
          <w:tcPr>
            <w:tcW w:w="1560" w:type="dxa"/>
            <w:tcBorders>
              <w:bottom w:val="single" w:sz="4" w:space="0" w:color="auto"/>
            </w:tcBorders>
          </w:tcPr>
          <w:p w14:paraId="31EE2989"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Item</w:t>
            </w:r>
          </w:p>
        </w:tc>
        <w:tc>
          <w:tcPr>
            <w:tcW w:w="1131" w:type="dxa"/>
            <w:tcBorders>
              <w:bottom w:val="single" w:sz="4" w:space="0" w:color="auto"/>
            </w:tcBorders>
            <w:noWrap/>
            <w:hideMark/>
          </w:tcPr>
          <w:p w14:paraId="18BC365A"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2016</w:t>
            </w:r>
          </w:p>
        </w:tc>
        <w:tc>
          <w:tcPr>
            <w:tcW w:w="1131" w:type="dxa"/>
            <w:tcBorders>
              <w:bottom w:val="single" w:sz="4" w:space="0" w:color="auto"/>
            </w:tcBorders>
            <w:noWrap/>
            <w:hideMark/>
          </w:tcPr>
          <w:p w14:paraId="077DDC69"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2017</w:t>
            </w:r>
          </w:p>
        </w:tc>
        <w:tc>
          <w:tcPr>
            <w:tcW w:w="1131" w:type="dxa"/>
            <w:tcBorders>
              <w:bottom w:val="single" w:sz="4" w:space="0" w:color="auto"/>
            </w:tcBorders>
            <w:noWrap/>
            <w:hideMark/>
          </w:tcPr>
          <w:p w14:paraId="027D6717"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2018</w:t>
            </w:r>
          </w:p>
        </w:tc>
        <w:tc>
          <w:tcPr>
            <w:tcW w:w="1131" w:type="dxa"/>
            <w:tcBorders>
              <w:bottom w:val="single" w:sz="4" w:space="0" w:color="auto"/>
            </w:tcBorders>
            <w:noWrap/>
            <w:hideMark/>
          </w:tcPr>
          <w:p w14:paraId="1FE880A6"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2019</w:t>
            </w:r>
          </w:p>
        </w:tc>
        <w:tc>
          <w:tcPr>
            <w:tcW w:w="1131" w:type="dxa"/>
            <w:tcBorders>
              <w:bottom w:val="single" w:sz="4" w:space="0" w:color="auto"/>
            </w:tcBorders>
            <w:noWrap/>
            <w:hideMark/>
          </w:tcPr>
          <w:p w14:paraId="359C28FD"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2020</w:t>
            </w:r>
          </w:p>
        </w:tc>
      </w:tr>
      <w:tr w:rsidR="00E34267" w:rsidRPr="00F30882" w14:paraId="1A0D5BCF" w14:textId="77777777" w:rsidTr="00E34267">
        <w:trPr>
          <w:cantSplit/>
          <w:trHeight w:val="300"/>
        </w:trPr>
        <w:tc>
          <w:tcPr>
            <w:tcW w:w="1809" w:type="dxa"/>
            <w:tcBorders>
              <w:bottom w:val="nil"/>
            </w:tcBorders>
            <w:noWrap/>
            <w:hideMark/>
          </w:tcPr>
          <w:p w14:paraId="3D7C4443"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Neoadjuvant chemotherapy</w:t>
            </w:r>
          </w:p>
        </w:tc>
        <w:tc>
          <w:tcPr>
            <w:tcW w:w="1560" w:type="dxa"/>
            <w:tcBorders>
              <w:bottom w:val="nil"/>
            </w:tcBorders>
          </w:tcPr>
          <w:p w14:paraId="63538452"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Eligible patients</w:t>
            </w:r>
          </w:p>
        </w:tc>
        <w:tc>
          <w:tcPr>
            <w:tcW w:w="1131" w:type="dxa"/>
            <w:tcBorders>
              <w:bottom w:val="nil"/>
            </w:tcBorders>
            <w:noWrap/>
          </w:tcPr>
          <w:p w14:paraId="160830A8"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2,390</w:t>
            </w:r>
          </w:p>
        </w:tc>
        <w:tc>
          <w:tcPr>
            <w:tcW w:w="1131" w:type="dxa"/>
            <w:tcBorders>
              <w:bottom w:val="nil"/>
            </w:tcBorders>
            <w:noWrap/>
          </w:tcPr>
          <w:p w14:paraId="533F61F7"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2,438</w:t>
            </w:r>
          </w:p>
        </w:tc>
        <w:tc>
          <w:tcPr>
            <w:tcW w:w="1131" w:type="dxa"/>
            <w:tcBorders>
              <w:bottom w:val="nil"/>
            </w:tcBorders>
            <w:noWrap/>
          </w:tcPr>
          <w:p w14:paraId="419E1EC4"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2,486</w:t>
            </w:r>
          </w:p>
        </w:tc>
        <w:tc>
          <w:tcPr>
            <w:tcW w:w="1131" w:type="dxa"/>
            <w:tcBorders>
              <w:bottom w:val="nil"/>
            </w:tcBorders>
            <w:noWrap/>
          </w:tcPr>
          <w:p w14:paraId="6A0F1D77"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2,534</w:t>
            </w:r>
          </w:p>
        </w:tc>
        <w:tc>
          <w:tcPr>
            <w:tcW w:w="1131" w:type="dxa"/>
            <w:tcBorders>
              <w:bottom w:val="nil"/>
            </w:tcBorders>
            <w:noWrap/>
          </w:tcPr>
          <w:p w14:paraId="60EA5D62"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2,582</w:t>
            </w:r>
          </w:p>
        </w:tc>
      </w:tr>
      <w:tr w:rsidR="00E34267" w:rsidRPr="00F30882" w14:paraId="4BA02A38" w14:textId="77777777" w:rsidTr="00E34267">
        <w:trPr>
          <w:cantSplit/>
          <w:trHeight w:val="300"/>
        </w:trPr>
        <w:tc>
          <w:tcPr>
            <w:tcW w:w="1809" w:type="dxa"/>
            <w:tcBorders>
              <w:top w:val="nil"/>
              <w:bottom w:val="nil"/>
            </w:tcBorders>
            <w:noWrap/>
          </w:tcPr>
          <w:p w14:paraId="0D87DA8F"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560" w:type="dxa"/>
            <w:tcBorders>
              <w:top w:val="nil"/>
              <w:bottom w:val="nil"/>
            </w:tcBorders>
          </w:tcPr>
          <w:p w14:paraId="2FD868EE"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MRIs</w:t>
            </w:r>
          </w:p>
        </w:tc>
        <w:tc>
          <w:tcPr>
            <w:tcW w:w="1131" w:type="dxa"/>
            <w:tcBorders>
              <w:top w:val="nil"/>
              <w:bottom w:val="nil"/>
            </w:tcBorders>
            <w:noWrap/>
          </w:tcPr>
          <w:p w14:paraId="1C3E4928"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4,779</w:t>
            </w:r>
          </w:p>
        </w:tc>
        <w:tc>
          <w:tcPr>
            <w:tcW w:w="1131" w:type="dxa"/>
            <w:tcBorders>
              <w:top w:val="nil"/>
              <w:bottom w:val="nil"/>
            </w:tcBorders>
            <w:noWrap/>
          </w:tcPr>
          <w:p w14:paraId="1C893D14"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4,875</w:t>
            </w:r>
          </w:p>
        </w:tc>
        <w:tc>
          <w:tcPr>
            <w:tcW w:w="1131" w:type="dxa"/>
            <w:tcBorders>
              <w:top w:val="nil"/>
              <w:bottom w:val="nil"/>
            </w:tcBorders>
            <w:noWrap/>
          </w:tcPr>
          <w:p w14:paraId="57F8EEEC"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4,971</w:t>
            </w:r>
          </w:p>
        </w:tc>
        <w:tc>
          <w:tcPr>
            <w:tcW w:w="1131" w:type="dxa"/>
            <w:tcBorders>
              <w:top w:val="nil"/>
              <w:bottom w:val="nil"/>
            </w:tcBorders>
            <w:noWrap/>
          </w:tcPr>
          <w:p w14:paraId="03F2B898"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5,067</w:t>
            </w:r>
          </w:p>
        </w:tc>
        <w:tc>
          <w:tcPr>
            <w:tcW w:w="1131" w:type="dxa"/>
            <w:tcBorders>
              <w:top w:val="nil"/>
              <w:bottom w:val="nil"/>
            </w:tcBorders>
            <w:noWrap/>
          </w:tcPr>
          <w:p w14:paraId="11A03F11"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5,163</w:t>
            </w:r>
          </w:p>
        </w:tc>
      </w:tr>
      <w:tr w:rsidR="00E34267" w:rsidRPr="00F30882" w14:paraId="7CB8E0C5" w14:textId="77777777" w:rsidTr="00E34267">
        <w:trPr>
          <w:cantSplit/>
          <w:trHeight w:val="300"/>
        </w:trPr>
        <w:tc>
          <w:tcPr>
            <w:tcW w:w="1809" w:type="dxa"/>
            <w:tcBorders>
              <w:top w:val="nil"/>
              <w:bottom w:val="single" w:sz="4" w:space="0" w:color="auto"/>
            </w:tcBorders>
            <w:noWrap/>
          </w:tcPr>
          <w:p w14:paraId="5A808547"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560" w:type="dxa"/>
            <w:tcBorders>
              <w:top w:val="nil"/>
              <w:bottom w:val="single" w:sz="4" w:space="0" w:color="auto"/>
            </w:tcBorders>
          </w:tcPr>
          <w:p w14:paraId="0F85D3F5"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Cost</w:t>
            </w:r>
          </w:p>
        </w:tc>
        <w:tc>
          <w:tcPr>
            <w:tcW w:w="1131" w:type="dxa"/>
            <w:tcBorders>
              <w:top w:val="nil"/>
              <w:bottom w:val="single" w:sz="4" w:space="0" w:color="auto"/>
            </w:tcBorders>
            <w:noWrap/>
          </w:tcPr>
          <w:p w14:paraId="1C210558"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$2,802,884</w:t>
            </w:r>
          </w:p>
        </w:tc>
        <w:tc>
          <w:tcPr>
            <w:tcW w:w="1131" w:type="dxa"/>
            <w:tcBorders>
              <w:top w:val="nil"/>
              <w:bottom w:val="single" w:sz="4" w:space="0" w:color="auto"/>
            </w:tcBorders>
            <w:noWrap/>
          </w:tcPr>
          <w:p w14:paraId="39D6C24F"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$2,859,188</w:t>
            </w:r>
          </w:p>
        </w:tc>
        <w:tc>
          <w:tcPr>
            <w:tcW w:w="1131" w:type="dxa"/>
            <w:tcBorders>
              <w:top w:val="nil"/>
              <w:bottom w:val="single" w:sz="4" w:space="0" w:color="auto"/>
            </w:tcBorders>
            <w:noWrap/>
          </w:tcPr>
          <w:p w14:paraId="7EE91328"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$2,915,492</w:t>
            </w:r>
          </w:p>
        </w:tc>
        <w:tc>
          <w:tcPr>
            <w:tcW w:w="1131" w:type="dxa"/>
            <w:tcBorders>
              <w:top w:val="nil"/>
              <w:bottom w:val="single" w:sz="4" w:space="0" w:color="auto"/>
            </w:tcBorders>
            <w:noWrap/>
          </w:tcPr>
          <w:p w14:paraId="4E90EA27"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$2,971,796</w:t>
            </w:r>
          </w:p>
        </w:tc>
        <w:tc>
          <w:tcPr>
            <w:tcW w:w="1131" w:type="dxa"/>
            <w:tcBorders>
              <w:top w:val="nil"/>
              <w:bottom w:val="single" w:sz="4" w:space="0" w:color="auto"/>
            </w:tcBorders>
            <w:noWrap/>
          </w:tcPr>
          <w:p w14:paraId="2873C77D"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$3,028,100</w:t>
            </w:r>
          </w:p>
        </w:tc>
      </w:tr>
      <w:tr w:rsidR="00E34267" w:rsidRPr="00F30882" w14:paraId="3764D56A" w14:textId="77777777" w:rsidTr="00E34267">
        <w:trPr>
          <w:cantSplit/>
          <w:trHeight w:val="300"/>
        </w:trPr>
        <w:tc>
          <w:tcPr>
            <w:tcW w:w="1809" w:type="dxa"/>
            <w:tcBorders>
              <w:bottom w:val="nil"/>
            </w:tcBorders>
            <w:noWrap/>
          </w:tcPr>
          <w:p w14:paraId="5B93E804"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Lobular breast cancer</w:t>
            </w:r>
          </w:p>
        </w:tc>
        <w:tc>
          <w:tcPr>
            <w:tcW w:w="1560" w:type="dxa"/>
            <w:tcBorders>
              <w:bottom w:val="nil"/>
            </w:tcBorders>
          </w:tcPr>
          <w:p w14:paraId="5438C46F"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Eligible patients</w:t>
            </w:r>
          </w:p>
        </w:tc>
        <w:tc>
          <w:tcPr>
            <w:tcW w:w="1131" w:type="dxa"/>
            <w:tcBorders>
              <w:bottom w:val="nil"/>
            </w:tcBorders>
            <w:noWrap/>
          </w:tcPr>
          <w:p w14:paraId="20D4AE24"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1,705</w:t>
            </w:r>
          </w:p>
        </w:tc>
        <w:tc>
          <w:tcPr>
            <w:tcW w:w="1131" w:type="dxa"/>
            <w:tcBorders>
              <w:bottom w:val="nil"/>
            </w:tcBorders>
            <w:noWrap/>
          </w:tcPr>
          <w:p w14:paraId="1A29706D"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1,739</w:t>
            </w:r>
          </w:p>
        </w:tc>
        <w:tc>
          <w:tcPr>
            <w:tcW w:w="1131" w:type="dxa"/>
            <w:tcBorders>
              <w:bottom w:val="nil"/>
            </w:tcBorders>
            <w:noWrap/>
          </w:tcPr>
          <w:p w14:paraId="42CAB4CD"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1,773</w:t>
            </w:r>
          </w:p>
        </w:tc>
        <w:tc>
          <w:tcPr>
            <w:tcW w:w="1131" w:type="dxa"/>
            <w:tcBorders>
              <w:bottom w:val="nil"/>
            </w:tcBorders>
            <w:noWrap/>
          </w:tcPr>
          <w:p w14:paraId="758706F1"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1,807</w:t>
            </w:r>
          </w:p>
        </w:tc>
        <w:tc>
          <w:tcPr>
            <w:tcW w:w="1131" w:type="dxa"/>
            <w:tcBorders>
              <w:bottom w:val="nil"/>
            </w:tcBorders>
            <w:noWrap/>
          </w:tcPr>
          <w:p w14:paraId="58225006"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1,841</w:t>
            </w:r>
          </w:p>
        </w:tc>
      </w:tr>
      <w:tr w:rsidR="00E34267" w:rsidRPr="00F30882" w14:paraId="1AD37104" w14:textId="77777777" w:rsidTr="00E34267">
        <w:trPr>
          <w:cantSplit/>
          <w:trHeight w:val="300"/>
        </w:trPr>
        <w:tc>
          <w:tcPr>
            <w:tcW w:w="1809" w:type="dxa"/>
            <w:tcBorders>
              <w:top w:val="nil"/>
              <w:bottom w:val="nil"/>
            </w:tcBorders>
            <w:noWrap/>
          </w:tcPr>
          <w:p w14:paraId="325C182E"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560" w:type="dxa"/>
            <w:tcBorders>
              <w:top w:val="nil"/>
              <w:bottom w:val="nil"/>
            </w:tcBorders>
          </w:tcPr>
          <w:p w14:paraId="121859EE"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MRIs</w:t>
            </w:r>
          </w:p>
        </w:tc>
        <w:tc>
          <w:tcPr>
            <w:tcW w:w="1131" w:type="dxa"/>
            <w:tcBorders>
              <w:top w:val="nil"/>
              <w:bottom w:val="nil"/>
            </w:tcBorders>
            <w:noWrap/>
          </w:tcPr>
          <w:p w14:paraId="4B3EC24C"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1,705</w:t>
            </w:r>
          </w:p>
        </w:tc>
        <w:tc>
          <w:tcPr>
            <w:tcW w:w="1131" w:type="dxa"/>
            <w:tcBorders>
              <w:top w:val="nil"/>
              <w:bottom w:val="nil"/>
            </w:tcBorders>
            <w:noWrap/>
          </w:tcPr>
          <w:p w14:paraId="41B0B859"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1,739</w:t>
            </w:r>
          </w:p>
        </w:tc>
        <w:tc>
          <w:tcPr>
            <w:tcW w:w="1131" w:type="dxa"/>
            <w:tcBorders>
              <w:top w:val="nil"/>
              <w:bottom w:val="nil"/>
            </w:tcBorders>
            <w:noWrap/>
          </w:tcPr>
          <w:p w14:paraId="339D06E6"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1,773</w:t>
            </w:r>
          </w:p>
        </w:tc>
        <w:tc>
          <w:tcPr>
            <w:tcW w:w="1131" w:type="dxa"/>
            <w:tcBorders>
              <w:top w:val="nil"/>
              <w:bottom w:val="nil"/>
            </w:tcBorders>
            <w:noWrap/>
          </w:tcPr>
          <w:p w14:paraId="2A1E73DB"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1,807</w:t>
            </w:r>
          </w:p>
        </w:tc>
        <w:tc>
          <w:tcPr>
            <w:tcW w:w="1131" w:type="dxa"/>
            <w:tcBorders>
              <w:top w:val="nil"/>
              <w:bottom w:val="nil"/>
            </w:tcBorders>
            <w:noWrap/>
          </w:tcPr>
          <w:p w14:paraId="6D4F6B47"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1,841</w:t>
            </w:r>
          </w:p>
        </w:tc>
      </w:tr>
      <w:tr w:rsidR="00E34267" w:rsidRPr="00F30882" w14:paraId="233C4BFC" w14:textId="77777777" w:rsidTr="00E34267">
        <w:trPr>
          <w:cantSplit/>
          <w:trHeight w:val="300"/>
        </w:trPr>
        <w:tc>
          <w:tcPr>
            <w:tcW w:w="1809" w:type="dxa"/>
            <w:tcBorders>
              <w:top w:val="nil"/>
              <w:bottom w:val="single" w:sz="4" w:space="0" w:color="auto"/>
            </w:tcBorders>
            <w:noWrap/>
          </w:tcPr>
          <w:p w14:paraId="3CA3616C"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560" w:type="dxa"/>
            <w:tcBorders>
              <w:top w:val="nil"/>
              <w:bottom w:val="single" w:sz="4" w:space="0" w:color="auto"/>
            </w:tcBorders>
          </w:tcPr>
          <w:p w14:paraId="62DD4433"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Cost</w:t>
            </w:r>
          </w:p>
        </w:tc>
        <w:tc>
          <w:tcPr>
            <w:tcW w:w="1131" w:type="dxa"/>
            <w:tcBorders>
              <w:top w:val="nil"/>
              <w:bottom w:val="single" w:sz="4" w:space="0" w:color="auto"/>
            </w:tcBorders>
            <w:noWrap/>
          </w:tcPr>
          <w:p w14:paraId="5D8E3BCE"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$999,695</w:t>
            </w:r>
          </w:p>
        </w:tc>
        <w:tc>
          <w:tcPr>
            <w:tcW w:w="1131" w:type="dxa"/>
            <w:tcBorders>
              <w:top w:val="nil"/>
              <w:bottom w:val="single" w:sz="4" w:space="0" w:color="auto"/>
            </w:tcBorders>
            <w:noWrap/>
          </w:tcPr>
          <w:p w14:paraId="34994187"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$1,019,777</w:t>
            </w:r>
          </w:p>
        </w:tc>
        <w:tc>
          <w:tcPr>
            <w:tcW w:w="1131" w:type="dxa"/>
            <w:tcBorders>
              <w:top w:val="nil"/>
              <w:bottom w:val="single" w:sz="4" w:space="0" w:color="auto"/>
            </w:tcBorders>
            <w:noWrap/>
          </w:tcPr>
          <w:p w14:paraId="76739CE6"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$1,039,859</w:t>
            </w:r>
          </w:p>
        </w:tc>
        <w:tc>
          <w:tcPr>
            <w:tcW w:w="1131" w:type="dxa"/>
            <w:tcBorders>
              <w:top w:val="nil"/>
              <w:bottom w:val="single" w:sz="4" w:space="0" w:color="auto"/>
            </w:tcBorders>
            <w:noWrap/>
          </w:tcPr>
          <w:p w14:paraId="4C5720FC"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$1,059,940</w:t>
            </w:r>
          </w:p>
        </w:tc>
        <w:tc>
          <w:tcPr>
            <w:tcW w:w="1131" w:type="dxa"/>
            <w:tcBorders>
              <w:top w:val="nil"/>
              <w:bottom w:val="single" w:sz="4" w:space="0" w:color="auto"/>
            </w:tcBorders>
            <w:noWrap/>
          </w:tcPr>
          <w:p w14:paraId="45994015"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$1,080,022</w:t>
            </w:r>
          </w:p>
        </w:tc>
      </w:tr>
      <w:tr w:rsidR="00E34267" w:rsidRPr="00F30882" w14:paraId="69CDD734" w14:textId="77777777" w:rsidTr="00E34267">
        <w:trPr>
          <w:cantSplit/>
          <w:trHeight w:val="300"/>
        </w:trPr>
        <w:tc>
          <w:tcPr>
            <w:tcW w:w="1809" w:type="dxa"/>
            <w:tcBorders>
              <w:bottom w:val="nil"/>
            </w:tcBorders>
            <w:noWrap/>
            <w:hideMark/>
          </w:tcPr>
          <w:p w14:paraId="5B3BBAAB"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Aged ≤50 years or dense breasts</w:t>
            </w:r>
          </w:p>
        </w:tc>
        <w:tc>
          <w:tcPr>
            <w:tcW w:w="1560" w:type="dxa"/>
            <w:tcBorders>
              <w:bottom w:val="nil"/>
            </w:tcBorders>
          </w:tcPr>
          <w:p w14:paraId="1D750DD6"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Eligible patients</w:t>
            </w:r>
          </w:p>
        </w:tc>
        <w:tc>
          <w:tcPr>
            <w:tcW w:w="1131" w:type="dxa"/>
            <w:tcBorders>
              <w:bottom w:val="nil"/>
            </w:tcBorders>
            <w:noWrap/>
          </w:tcPr>
          <w:p w14:paraId="2EA08ACF"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5,018</w:t>
            </w:r>
          </w:p>
        </w:tc>
        <w:tc>
          <w:tcPr>
            <w:tcW w:w="1131" w:type="dxa"/>
            <w:tcBorders>
              <w:bottom w:val="nil"/>
            </w:tcBorders>
            <w:noWrap/>
          </w:tcPr>
          <w:p w14:paraId="5FF9E64A"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5,119</w:t>
            </w:r>
          </w:p>
        </w:tc>
        <w:tc>
          <w:tcPr>
            <w:tcW w:w="1131" w:type="dxa"/>
            <w:tcBorders>
              <w:bottom w:val="nil"/>
            </w:tcBorders>
            <w:noWrap/>
          </w:tcPr>
          <w:p w14:paraId="11047C7A"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5,220</w:t>
            </w:r>
          </w:p>
        </w:tc>
        <w:tc>
          <w:tcPr>
            <w:tcW w:w="1131" w:type="dxa"/>
            <w:tcBorders>
              <w:bottom w:val="nil"/>
            </w:tcBorders>
            <w:noWrap/>
          </w:tcPr>
          <w:p w14:paraId="742814C1"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5,321</w:t>
            </w:r>
          </w:p>
        </w:tc>
        <w:tc>
          <w:tcPr>
            <w:tcW w:w="1131" w:type="dxa"/>
            <w:tcBorders>
              <w:bottom w:val="nil"/>
            </w:tcBorders>
            <w:noWrap/>
          </w:tcPr>
          <w:p w14:paraId="40B13868"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5,422</w:t>
            </w:r>
          </w:p>
        </w:tc>
      </w:tr>
      <w:tr w:rsidR="00E34267" w:rsidRPr="00F30882" w14:paraId="0BA52D5F" w14:textId="77777777" w:rsidTr="00E34267">
        <w:trPr>
          <w:cantSplit/>
          <w:trHeight w:val="300"/>
        </w:trPr>
        <w:tc>
          <w:tcPr>
            <w:tcW w:w="1809" w:type="dxa"/>
            <w:tcBorders>
              <w:top w:val="nil"/>
              <w:bottom w:val="nil"/>
            </w:tcBorders>
            <w:noWrap/>
          </w:tcPr>
          <w:p w14:paraId="18C5D589"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560" w:type="dxa"/>
            <w:tcBorders>
              <w:top w:val="nil"/>
              <w:bottom w:val="nil"/>
            </w:tcBorders>
          </w:tcPr>
          <w:p w14:paraId="789DB4F8"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MRIs</w:t>
            </w:r>
          </w:p>
        </w:tc>
        <w:tc>
          <w:tcPr>
            <w:tcW w:w="1131" w:type="dxa"/>
            <w:tcBorders>
              <w:top w:val="nil"/>
              <w:bottom w:val="nil"/>
            </w:tcBorders>
            <w:noWrap/>
          </w:tcPr>
          <w:p w14:paraId="553483E1"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5,018</w:t>
            </w:r>
          </w:p>
        </w:tc>
        <w:tc>
          <w:tcPr>
            <w:tcW w:w="1131" w:type="dxa"/>
            <w:tcBorders>
              <w:top w:val="nil"/>
              <w:bottom w:val="nil"/>
            </w:tcBorders>
            <w:noWrap/>
          </w:tcPr>
          <w:p w14:paraId="5AB43D42"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5,119</w:t>
            </w:r>
          </w:p>
        </w:tc>
        <w:tc>
          <w:tcPr>
            <w:tcW w:w="1131" w:type="dxa"/>
            <w:tcBorders>
              <w:top w:val="nil"/>
              <w:bottom w:val="nil"/>
            </w:tcBorders>
            <w:noWrap/>
          </w:tcPr>
          <w:p w14:paraId="4F9EE3BE"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5,220</w:t>
            </w:r>
          </w:p>
        </w:tc>
        <w:tc>
          <w:tcPr>
            <w:tcW w:w="1131" w:type="dxa"/>
            <w:tcBorders>
              <w:top w:val="nil"/>
              <w:bottom w:val="nil"/>
            </w:tcBorders>
            <w:noWrap/>
          </w:tcPr>
          <w:p w14:paraId="1D93D6E7"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5,321</w:t>
            </w:r>
          </w:p>
        </w:tc>
        <w:tc>
          <w:tcPr>
            <w:tcW w:w="1131" w:type="dxa"/>
            <w:tcBorders>
              <w:top w:val="nil"/>
              <w:bottom w:val="nil"/>
            </w:tcBorders>
            <w:noWrap/>
          </w:tcPr>
          <w:p w14:paraId="4BA81E74"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5,422</w:t>
            </w:r>
          </w:p>
        </w:tc>
      </w:tr>
      <w:tr w:rsidR="00E34267" w:rsidRPr="00F30882" w14:paraId="41FC5C8D" w14:textId="77777777" w:rsidTr="00E34267">
        <w:trPr>
          <w:cantSplit/>
          <w:trHeight w:val="300"/>
        </w:trPr>
        <w:tc>
          <w:tcPr>
            <w:tcW w:w="1809" w:type="dxa"/>
            <w:tcBorders>
              <w:top w:val="nil"/>
              <w:bottom w:val="single" w:sz="4" w:space="0" w:color="auto"/>
            </w:tcBorders>
            <w:noWrap/>
          </w:tcPr>
          <w:p w14:paraId="5ACA5832"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560" w:type="dxa"/>
            <w:tcBorders>
              <w:top w:val="nil"/>
              <w:bottom w:val="single" w:sz="4" w:space="0" w:color="auto"/>
            </w:tcBorders>
          </w:tcPr>
          <w:p w14:paraId="1FA66955"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Cost</w:t>
            </w:r>
          </w:p>
        </w:tc>
        <w:tc>
          <w:tcPr>
            <w:tcW w:w="1131" w:type="dxa"/>
            <w:tcBorders>
              <w:top w:val="nil"/>
              <w:bottom w:val="single" w:sz="4" w:space="0" w:color="auto"/>
            </w:tcBorders>
            <w:noWrap/>
          </w:tcPr>
          <w:p w14:paraId="4E239C53"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$2,943,330</w:t>
            </w:r>
          </w:p>
        </w:tc>
        <w:tc>
          <w:tcPr>
            <w:tcW w:w="1131" w:type="dxa"/>
            <w:tcBorders>
              <w:top w:val="nil"/>
              <w:bottom w:val="single" w:sz="4" w:space="0" w:color="auto"/>
            </w:tcBorders>
            <w:noWrap/>
          </w:tcPr>
          <w:p w14:paraId="4730E9B4"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$3,002,455</w:t>
            </w:r>
          </w:p>
        </w:tc>
        <w:tc>
          <w:tcPr>
            <w:tcW w:w="1131" w:type="dxa"/>
            <w:tcBorders>
              <w:top w:val="nil"/>
              <w:bottom w:val="single" w:sz="4" w:space="0" w:color="auto"/>
            </w:tcBorders>
            <w:noWrap/>
          </w:tcPr>
          <w:p w14:paraId="3A827828"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$3,061,580</w:t>
            </w:r>
          </w:p>
        </w:tc>
        <w:tc>
          <w:tcPr>
            <w:tcW w:w="1131" w:type="dxa"/>
            <w:tcBorders>
              <w:top w:val="nil"/>
              <w:bottom w:val="single" w:sz="4" w:space="0" w:color="auto"/>
            </w:tcBorders>
            <w:noWrap/>
          </w:tcPr>
          <w:p w14:paraId="3A48613C"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$3,120,706</w:t>
            </w:r>
          </w:p>
        </w:tc>
        <w:tc>
          <w:tcPr>
            <w:tcW w:w="1131" w:type="dxa"/>
            <w:tcBorders>
              <w:top w:val="nil"/>
              <w:bottom w:val="single" w:sz="4" w:space="0" w:color="auto"/>
            </w:tcBorders>
            <w:noWrap/>
          </w:tcPr>
          <w:p w14:paraId="05C71850"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$3,179,831</w:t>
            </w:r>
          </w:p>
        </w:tc>
      </w:tr>
      <w:tr w:rsidR="00E34267" w:rsidRPr="00F30882" w14:paraId="39E75390" w14:textId="77777777" w:rsidTr="00E34267">
        <w:trPr>
          <w:cantSplit/>
          <w:trHeight w:val="300"/>
        </w:trPr>
        <w:tc>
          <w:tcPr>
            <w:tcW w:w="1809" w:type="dxa"/>
            <w:tcBorders>
              <w:bottom w:val="nil"/>
            </w:tcBorders>
            <w:noWrap/>
          </w:tcPr>
          <w:p w14:paraId="09775C80"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Occult primary breast cancer</w:t>
            </w:r>
          </w:p>
        </w:tc>
        <w:tc>
          <w:tcPr>
            <w:tcW w:w="1560" w:type="dxa"/>
            <w:tcBorders>
              <w:bottom w:val="nil"/>
            </w:tcBorders>
          </w:tcPr>
          <w:p w14:paraId="432454B8"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Eligible patients</w:t>
            </w:r>
          </w:p>
        </w:tc>
        <w:tc>
          <w:tcPr>
            <w:tcW w:w="1131" w:type="dxa"/>
            <w:tcBorders>
              <w:bottom w:val="nil"/>
            </w:tcBorders>
            <w:noWrap/>
          </w:tcPr>
          <w:p w14:paraId="63D2F5DA"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159</w:t>
            </w:r>
          </w:p>
        </w:tc>
        <w:tc>
          <w:tcPr>
            <w:tcW w:w="1131" w:type="dxa"/>
            <w:tcBorders>
              <w:bottom w:val="nil"/>
            </w:tcBorders>
            <w:noWrap/>
          </w:tcPr>
          <w:p w14:paraId="2F2E9253"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163</w:t>
            </w:r>
          </w:p>
        </w:tc>
        <w:tc>
          <w:tcPr>
            <w:tcW w:w="1131" w:type="dxa"/>
            <w:tcBorders>
              <w:bottom w:val="nil"/>
            </w:tcBorders>
            <w:noWrap/>
          </w:tcPr>
          <w:p w14:paraId="28B043BC"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166</w:t>
            </w:r>
          </w:p>
        </w:tc>
        <w:tc>
          <w:tcPr>
            <w:tcW w:w="1131" w:type="dxa"/>
            <w:tcBorders>
              <w:bottom w:val="nil"/>
            </w:tcBorders>
            <w:noWrap/>
          </w:tcPr>
          <w:p w14:paraId="0D234503"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169</w:t>
            </w:r>
          </w:p>
        </w:tc>
        <w:tc>
          <w:tcPr>
            <w:tcW w:w="1131" w:type="dxa"/>
            <w:tcBorders>
              <w:bottom w:val="nil"/>
            </w:tcBorders>
            <w:noWrap/>
          </w:tcPr>
          <w:p w14:paraId="1D1B4308" w14:textId="77777777" w:rsidR="00E34267" w:rsidRPr="007A2975" w:rsidRDefault="00E34267" w:rsidP="00E34267">
            <w:pPr>
              <w:spacing w:before="60" w:after="60"/>
              <w:jc w:val="right"/>
              <w:rPr>
                <w:rFonts w:ascii="Arial" w:eastAsia="Calibri" w:hAnsi="Arial" w:cs="Arial"/>
                <w:color w:val="000000"/>
                <w:sz w:val="20"/>
              </w:rPr>
            </w:pPr>
            <w:r w:rsidRPr="007A2975">
              <w:rPr>
                <w:rFonts w:ascii="Arial" w:eastAsia="Calibri" w:hAnsi="Arial" w:cs="Arial"/>
                <w:sz w:val="20"/>
              </w:rPr>
              <w:t>172</w:t>
            </w:r>
          </w:p>
        </w:tc>
      </w:tr>
      <w:tr w:rsidR="00E34267" w:rsidRPr="00F30882" w14:paraId="1D250620" w14:textId="77777777" w:rsidTr="00E34267">
        <w:trPr>
          <w:cantSplit/>
          <w:trHeight w:val="300"/>
        </w:trPr>
        <w:tc>
          <w:tcPr>
            <w:tcW w:w="1809" w:type="dxa"/>
            <w:tcBorders>
              <w:top w:val="nil"/>
              <w:bottom w:val="nil"/>
            </w:tcBorders>
            <w:noWrap/>
          </w:tcPr>
          <w:p w14:paraId="7A7D83FD"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560" w:type="dxa"/>
            <w:tcBorders>
              <w:top w:val="nil"/>
              <w:bottom w:val="nil"/>
            </w:tcBorders>
          </w:tcPr>
          <w:p w14:paraId="3C3D8875"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MRIs</w:t>
            </w:r>
          </w:p>
        </w:tc>
        <w:tc>
          <w:tcPr>
            <w:tcW w:w="1131" w:type="dxa"/>
            <w:tcBorders>
              <w:top w:val="nil"/>
              <w:bottom w:val="nil"/>
            </w:tcBorders>
            <w:noWrap/>
          </w:tcPr>
          <w:p w14:paraId="1FA8BA9C"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159</w:t>
            </w:r>
          </w:p>
        </w:tc>
        <w:tc>
          <w:tcPr>
            <w:tcW w:w="1131" w:type="dxa"/>
            <w:tcBorders>
              <w:top w:val="nil"/>
              <w:bottom w:val="nil"/>
            </w:tcBorders>
            <w:noWrap/>
          </w:tcPr>
          <w:p w14:paraId="270BBECD"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163</w:t>
            </w:r>
          </w:p>
        </w:tc>
        <w:tc>
          <w:tcPr>
            <w:tcW w:w="1131" w:type="dxa"/>
            <w:tcBorders>
              <w:top w:val="nil"/>
              <w:bottom w:val="nil"/>
            </w:tcBorders>
            <w:noWrap/>
          </w:tcPr>
          <w:p w14:paraId="08A386EF"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166</w:t>
            </w:r>
          </w:p>
        </w:tc>
        <w:tc>
          <w:tcPr>
            <w:tcW w:w="1131" w:type="dxa"/>
            <w:tcBorders>
              <w:top w:val="nil"/>
              <w:bottom w:val="nil"/>
            </w:tcBorders>
            <w:noWrap/>
          </w:tcPr>
          <w:p w14:paraId="047C24BE"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169</w:t>
            </w:r>
          </w:p>
        </w:tc>
        <w:tc>
          <w:tcPr>
            <w:tcW w:w="1131" w:type="dxa"/>
            <w:tcBorders>
              <w:top w:val="nil"/>
              <w:bottom w:val="nil"/>
            </w:tcBorders>
            <w:noWrap/>
          </w:tcPr>
          <w:p w14:paraId="299A3D0E"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172</w:t>
            </w:r>
          </w:p>
        </w:tc>
      </w:tr>
      <w:tr w:rsidR="00E34267" w:rsidRPr="00F30882" w14:paraId="37065F12" w14:textId="77777777" w:rsidTr="00E34267">
        <w:trPr>
          <w:cantSplit/>
          <w:trHeight w:val="300"/>
        </w:trPr>
        <w:tc>
          <w:tcPr>
            <w:tcW w:w="1809" w:type="dxa"/>
            <w:tcBorders>
              <w:top w:val="nil"/>
              <w:bottom w:val="single" w:sz="4" w:space="0" w:color="auto"/>
            </w:tcBorders>
            <w:noWrap/>
          </w:tcPr>
          <w:p w14:paraId="3068AA68"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w:t>
            </w:r>
          </w:p>
        </w:tc>
        <w:tc>
          <w:tcPr>
            <w:tcW w:w="1560" w:type="dxa"/>
            <w:tcBorders>
              <w:top w:val="nil"/>
              <w:bottom w:val="single" w:sz="4" w:space="0" w:color="auto"/>
            </w:tcBorders>
          </w:tcPr>
          <w:p w14:paraId="3A5E14C6" w14:textId="77777777" w:rsidR="00E34267" w:rsidRPr="007A2975" w:rsidRDefault="00E34267" w:rsidP="00E34267">
            <w:pPr>
              <w:keepNext/>
              <w:spacing w:before="40" w:after="40"/>
              <w:rPr>
                <w:rFonts w:ascii="Arial" w:hAnsi="Arial" w:cs="Arial"/>
                <w:sz w:val="20"/>
              </w:rPr>
            </w:pPr>
            <w:r w:rsidRPr="007A2975">
              <w:rPr>
                <w:rFonts w:ascii="Arial" w:hAnsi="Arial" w:cs="Arial"/>
                <w:sz w:val="20"/>
              </w:rPr>
              <w:t>Cost</w:t>
            </w:r>
          </w:p>
        </w:tc>
        <w:tc>
          <w:tcPr>
            <w:tcW w:w="1131" w:type="dxa"/>
            <w:tcBorders>
              <w:top w:val="nil"/>
              <w:bottom w:val="single" w:sz="4" w:space="0" w:color="auto"/>
            </w:tcBorders>
            <w:noWrap/>
          </w:tcPr>
          <w:p w14:paraId="464FC439"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$93,429</w:t>
            </w:r>
          </w:p>
        </w:tc>
        <w:tc>
          <w:tcPr>
            <w:tcW w:w="1131" w:type="dxa"/>
            <w:tcBorders>
              <w:top w:val="nil"/>
              <w:bottom w:val="single" w:sz="4" w:space="0" w:color="auto"/>
            </w:tcBorders>
            <w:noWrap/>
          </w:tcPr>
          <w:p w14:paraId="7D27A5CE"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$95,306</w:t>
            </w:r>
          </w:p>
        </w:tc>
        <w:tc>
          <w:tcPr>
            <w:tcW w:w="1131" w:type="dxa"/>
            <w:tcBorders>
              <w:top w:val="nil"/>
              <w:bottom w:val="single" w:sz="4" w:space="0" w:color="auto"/>
            </w:tcBorders>
            <w:noWrap/>
          </w:tcPr>
          <w:p w14:paraId="7510CDA3"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$97,183</w:t>
            </w:r>
          </w:p>
        </w:tc>
        <w:tc>
          <w:tcPr>
            <w:tcW w:w="1131" w:type="dxa"/>
            <w:tcBorders>
              <w:top w:val="nil"/>
              <w:bottom w:val="single" w:sz="4" w:space="0" w:color="auto"/>
            </w:tcBorders>
            <w:noWrap/>
          </w:tcPr>
          <w:p w14:paraId="20ADE585"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$99,060</w:t>
            </w:r>
          </w:p>
        </w:tc>
        <w:tc>
          <w:tcPr>
            <w:tcW w:w="1131" w:type="dxa"/>
            <w:tcBorders>
              <w:top w:val="nil"/>
              <w:bottom w:val="single" w:sz="4" w:space="0" w:color="auto"/>
            </w:tcBorders>
            <w:noWrap/>
          </w:tcPr>
          <w:p w14:paraId="4A4AEA2B"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$100,937</w:t>
            </w:r>
          </w:p>
        </w:tc>
      </w:tr>
      <w:tr w:rsidR="00E34267" w:rsidRPr="00F30882" w14:paraId="6FAA09BC" w14:textId="77777777" w:rsidTr="00E34267">
        <w:trPr>
          <w:cantSplit/>
          <w:trHeight w:val="315"/>
        </w:trPr>
        <w:tc>
          <w:tcPr>
            <w:tcW w:w="1809" w:type="dxa"/>
            <w:tcBorders>
              <w:bottom w:val="nil"/>
            </w:tcBorders>
            <w:noWrap/>
            <w:hideMark/>
          </w:tcPr>
          <w:p w14:paraId="0A79FB27"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All eligible patients</w:t>
            </w:r>
          </w:p>
        </w:tc>
        <w:tc>
          <w:tcPr>
            <w:tcW w:w="1560" w:type="dxa"/>
            <w:tcBorders>
              <w:bottom w:val="nil"/>
            </w:tcBorders>
          </w:tcPr>
          <w:p w14:paraId="04A4B0D5"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Eligible patients</w:t>
            </w:r>
          </w:p>
        </w:tc>
        <w:tc>
          <w:tcPr>
            <w:tcW w:w="1131" w:type="dxa"/>
            <w:tcBorders>
              <w:bottom w:val="nil"/>
            </w:tcBorders>
            <w:noWrap/>
          </w:tcPr>
          <w:p w14:paraId="3D208E8E"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9,272</w:t>
            </w:r>
          </w:p>
        </w:tc>
        <w:tc>
          <w:tcPr>
            <w:tcW w:w="1131" w:type="dxa"/>
            <w:tcBorders>
              <w:bottom w:val="nil"/>
            </w:tcBorders>
            <w:noWrap/>
          </w:tcPr>
          <w:p w14:paraId="2509B9C0"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9,458</w:t>
            </w:r>
          </w:p>
        </w:tc>
        <w:tc>
          <w:tcPr>
            <w:tcW w:w="1131" w:type="dxa"/>
            <w:tcBorders>
              <w:bottom w:val="nil"/>
            </w:tcBorders>
            <w:noWrap/>
          </w:tcPr>
          <w:p w14:paraId="0127BE44"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9,644</w:t>
            </w:r>
          </w:p>
        </w:tc>
        <w:tc>
          <w:tcPr>
            <w:tcW w:w="1131" w:type="dxa"/>
            <w:tcBorders>
              <w:bottom w:val="nil"/>
            </w:tcBorders>
            <w:noWrap/>
          </w:tcPr>
          <w:p w14:paraId="6CBADD10"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9,831</w:t>
            </w:r>
          </w:p>
        </w:tc>
        <w:tc>
          <w:tcPr>
            <w:tcW w:w="1131" w:type="dxa"/>
            <w:tcBorders>
              <w:bottom w:val="nil"/>
            </w:tcBorders>
            <w:noWrap/>
          </w:tcPr>
          <w:p w14:paraId="57BFAF04"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10,017</w:t>
            </w:r>
          </w:p>
        </w:tc>
      </w:tr>
      <w:tr w:rsidR="00E34267" w:rsidRPr="00F30882" w14:paraId="37963A49" w14:textId="77777777" w:rsidTr="00E34267">
        <w:trPr>
          <w:cantSplit/>
          <w:trHeight w:val="315"/>
        </w:trPr>
        <w:tc>
          <w:tcPr>
            <w:tcW w:w="1809" w:type="dxa"/>
            <w:tcBorders>
              <w:top w:val="nil"/>
              <w:bottom w:val="nil"/>
            </w:tcBorders>
            <w:noWrap/>
          </w:tcPr>
          <w:p w14:paraId="694476F7"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w:t>
            </w:r>
          </w:p>
        </w:tc>
        <w:tc>
          <w:tcPr>
            <w:tcW w:w="1560" w:type="dxa"/>
            <w:tcBorders>
              <w:top w:val="nil"/>
              <w:bottom w:val="nil"/>
            </w:tcBorders>
          </w:tcPr>
          <w:p w14:paraId="0294E3BC"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MRIs</w:t>
            </w:r>
          </w:p>
        </w:tc>
        <w:tc>
          <w:tcPr>
            <w:tcW w:w="1131" w:type="dxa"/>
            <w:tcBorders>
              <w:top w:val="nil"/>
              <w:bottom w:val="nil"/>
            </w:tcBorders>
            <w:noWrap/>
          </w:tcPr>
          <w:p w14:paraId="24F15C65"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11,661</w:t>
            </w:r>
          </w:p>
        </w:tc>
        <w:tc>
          <w:tcPr>
            <w:tcW w:w="1131" w:type="dxa"/>
            <w:tcBorders>
              <w:top w:val="nil"/>
              <w:bottom w:val="nil"/>
            </w:tcBorders>
            <w:noWrap/>
          </w:tcPr>
          <w:p w14:paraId="5A7251E7"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11,896</w:t>
            </w:r>
          </w:p>
        </w:tc>
        <w:tc>
          <w:tcPr>
            <w:tcW w:w="1131" w:type="dxa"/>
            <w:tcBorders>
              <w:top w:val="nil"/>
              <w:bottom w:val="nil"/>
            </w:tcBorders>
            <w:noWrap/>
          </w:tcPr>
          <w:p w14:paraId="6EBCF923"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12,130</w:t>
            </w:r>
          </w:p>
        </w:tc>
        <w:tc>
          <w:tcPr>
            <w:tcW w:w="1131" w:type="dxa"/>
            <w:tcBorders>
              <w:top w:val="nil"/>
              <w:bottom w:val="nil"/>
            </w:tcBorders>
            <w:noWrap/>
          </w:tcPr>
          <w:p w14:paraId="62AE94F8"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12,364</w:t>
            </w:r>
          </w:p>
        </w:tc>
        <w:tc>
          <w:tcPr>
            <w:tcW w:w="1131" w:type="dxa"/>
            <w:tcBorders>
              <w:top w:val="nil"/>
              <w:bottom w:val="nil"/>
            </w:tcBorders>
            <w:noWrap/>
          </w:tcPr>
          <w:p w14:paraId="5E95E59A"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12,598</w:t>
            </w:r>
          </w:p>
        </w:tc>
      </w:tr>
      <w:tr w:rsidR="00E34267" w:rsidRPr="00F30882" w14:paraId="73C29287" w14:textId="77777777" w:rsidTr="00E34267">
        <w:trPr>
          <w:cantSplit/>
          <w:trHeight w:val="315"/>
        </w:trPr>
        <w:tc>
          <w:tcPr>
            <w:tcW w:w="1809" w:type="dxa"/>
            <w:tcBorders>
              <w:top w:val="nil"/>
            </w:tcBorders>
            <w:noWrap/>
          </w:tcPr>
          <w:p w14:paraId="1946C73B"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w:t>
            </w:r>
          </w:p>
        </w:tc>
        <w:tc>
          <w:tcPr>
            <w:tcW w:w="1560" w:type="dxa"/>
            <w:tcBorders>
              <w:top w:val="nil"/>
            </w:tcBorders>
          </w:tcPr>
          <w:p w14:paraId="4B55EB90"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Cost</w:t>
            </w:r>
          </w:p>
        </w:tc>
        <w:tc>
          <w:tcPr>
            <w:tcW w:w="1131" w:type="dxa"/>
            <w:tcBorders>
              <w:top w:val="nil"/>
            </w:tcBorders>
            <w:noWrap/>
          </w:tcPr>
          <w:p w14:paraId="3A3AD7F1"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$6,839,338</w:t>
            </w:r>
          </w:p>
        </w:tc>
        <w:tc>
          <w:tcPr>
            <w:tcW w:w="1131" w:type="dxa"/>
            <w:tcBorders>
              <w:top w:val="nil"/>
            </w:tcBorders>
            <w:noWrap/>
          </w:tcPr>
          <w:p w14:paraId="7E7B1037"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$6,976,726</w:t>
            </w:r>
          </w:p>
        </w:tc>
        <w:tc>
          <w:tcPr>
            <w:tcW w:w="1131" w:type="dxa"/>
            <w:tcBorders>
              <w:top w:val="nil"/>
            </w:tcBorders>
            <w:noWrap/>
          </w:tcPr>
          <w:p w14:paraId="5229FBC0"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$7,114,114</w:t>
            </w:r>
          </w:p>
        </w:tc>
        <w:tc>
          <w:tcPr>
            <w:tcW w:w="1131" w:type="dxa"/>
            <w:tcBorders>
              <w:top w:val="nil"/>
            </w:tcBorders>
            <w:noWrap/>
          </w:tcPr>
          <w:p w14:paraId="2FABD2A3"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$7,251,501</w:t>
            </w:r>
          </w:p>
        </w:tc>
        <w:tc>
          <w:tcPr>
            <w:tcW w:w="1131" w:type="dxa"/>
            <w:tcBorders>
              <w:top w:val="nil"/>
            </w:tcBorders>
            <w:noWrap/>
          </w:tcPr>
          <w:p w14:paraId="6DBC818B"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sz w:val="20"/>
              </w:rPr>
              <w:t>$7,388,889</w:t>
            </w:r>
          </w:p>
        </w:tc>
      </w:tr>
    </w:tbl>
    <w:p w14:paraId="0A7C2794" w14:textId="77777777" w:rsidR="00E34267" w:rsidRPr="00E34267" w:rsidRDefault="00E34267" w:rsidP="00E34267">
      <w:pPr>
        <w:keepLines/>
        <w:rPr>
          <w:rFonts w:ascii="Arial Narrow" w:hAnsi="Arial Narrow"/>
          <w:color w:val="000000"/>
          <w:sz w:val="16"/>
          <w:szCs w:val="16"/>
        </w:rPr>
      </w:pPr>
      <w:r w:rsidRPr="00E34267">
        <w:rPr>
          <w:rFonts w:ascii="Arial Narrow" w:hAnsi="Arial Narrow"/>
          <w:color w:val="000000"/>
          <w:sz w:val="16"/>
          <w:szCs w:val="16"/>
        </w:rPr>
        <w:t>Abbreviation: MRI = magnetic resonance imaging</w:t>
      </w:r>
    </w:p>
    <w:p w14:paraId="580706D8" w14:textId="77777777" w:rsidR="00E34267" w:rsidRPr="00E34267" w:rsidRDefault="00E34267" w:rsidP="00DA075F">
      <w:pPr>
        <w:rPr>
          <w:rFonts w:ascii="Arial Narrow" w:hAnsi="Arial Narrow"/>
          <w:color w:val="000000"/>
          <w:sz w:val="16"/>
          <w:szCs w:val="16"/>
        </w:rPr>
      </w:pPr>
      <w:r w:rsidRPr="00E34267">
        <w:rPr>
          <w:rFonts w:ascii="Arial Narrow" w:hAnsi="Arial Narrow"/>
          <w:color w:val="000000"/>
          <w:sz w:val="16"/>
          <w:szCs w:val="16"/>
        </w:rPr>
        <w:t>Note: rounding has been applied.</w:t>
      </w:r>
    </w:p>
    <w:p w14:paraId="209E8182" w14:textId="77777777" w:rsidR="006F5CB4" w:rsidRDefault="006F5CB4" w:rsidP="006F5CB4">
      <w:pPr>
        <w:rPr>
          <w:szCs w:val="24"/>
        </w:rPr>
      </w:pPr>
    </w:p>
    <w:p w14:paraId="7BDB276C" w14:textId="77777777" w:rsidR="00E34267" w:rsidRPr="00E34267" w:rsidRDefault="00E34267" w:rsidP="006F5CB4">
      <w:pPr>
        <w:rPr>
          <w:szCs w:val="24"/>
        </w:rPr>
      </w:pPr>
      <w:r w:rsidRPr="00E34267">
        <w:rPr>
          <w:szCs w:val="24"/>
        </w:rPr>
        <w:t>The following additional changes in costs are captured in the financial-impact calculations:</w:t>
      </w:r>
    </w:p>
    <w:p w14:paraId="21845A37" w14:textId="77777777" w:rsidR="00E34267" w:rsidRPr="00E34267" w:rsidRDefault="00E34267" w:rsidP="00E34267">
      <w:pPr>
        <w:numPr>
          <w:ilvl w:val="0"/>
          <w:numId w:val="36"/>
        </w:numPr>
        <w:spacing w:after="240"/>
        <w:contextualSpacing/>
        <w:rPr>
          <w:rFonts w:eastAsia="Calibri"/>
          <w:szCs w:val="24"/>
        </w:rPr>
      </w:pPr>
      <w:r w:rsidRPr="00E34267">
        <w:rPr>
          <w:rFonts w:eastAsia="Calibri"/>
          <w:szCs w:val="24"/>
        </w:rPr>
        <w:t xml:space="preserve">the cost of additional diagnostics after a positive MRI </w:t>
      </w:r>
    </w:p>
    <w:p w14:paraId="6D85ACBF" w14:textId="77777777" w:rsidR="00E34267" w:rsidRPr="00E34267" w:rsidRDefault="00E34267" w:rsidP="00E34267">
      <w:pPr>
        <w:numPr>
          <w:ilvl w:val="0"/>
          <w:numId w:val="36"/>
        </w:numPr>
        <w:spacing w:after="240"/>
        <w:contextualSpacing/>
        <w:rPr>
          <w:rFonts w:eastAsia="Calibri"/>
          <w:szCs w:val="24"/>
        </w:rPr>
      </w:pPr>
      <w:r w:rsidRPr="00E34267">
        <w:rPr>
          <w:rFonts w:eastAsia="Calibri"/>
          <w:szCs w:val="24"/>
        </w:rPr>
        <w:t xml:space="preserve">the cost of the change in private surgeries </w:t>
      </w:r>
    </w:p>
    <w:p w14:paraId="3C410124" w14:textId="77777777" w:rsidR="00E34267" w:rsidRPr="00E34267" w:rsidRDefault="00E34267" w:rsidP="00E34267">
      <w:pPr>
        <w:numPr>
          <w:ilvl w:val="0"/>
          <w:numId w:val="36"/>
        </w:numPr>
        <w:spacing w:after="240"/>
        <w:ind w:left="714" w:hanging="357"/>
        <w:rPr>
          <w:rFonts w:eastAsia="Calibri"/>
          <w:szCs w:val="24"/>
        </w:rPr>
      </w:pPr>
      <w:r w:rsidRPr="00E34267">
        <w:rPr>
          <w:rFonts w:eastAsia="Calibri"/>
          <w:szCs w:val="24"/>
        </w:rPr>
        <w:t xml:space="preserve">the cost of the change in public surgeries </w:t>
      </w:r>
    </w:p>
    <w:p w14:paraId="24D58F55" w14:textId="77777777" w:rsidR="00E34267" w:rsidRPr="00E34267" w:rsidRDefault="00E34267" w:rsidP="00E34267">
      <w:pPr>
        <w:rPr>
          <w:szCs w:val="24"/>
        </w:rPr>
      </w:pPr>
      <w:r w:rsidRPr="00E34267">
        <w:rPr>
          <w:szCs w:val="24"/>
        </w:rPr>
        <w:t>The total financial impact to the MBS (including the cost of MRI, additional diagnostics and private surgeries) is presented in Table 9.</w:t>
      </w:r>
    </w:p>
    <w:p w14:paraId="2FE86DC5" w14:textId="77777777" w:rsidR="00E34267" w:rsidRPr="00E34267" w:rsidRDefault="00E34267" w:rsidP="00E34267">
      <w:pPr>
        <w:rPr>
          <w:szCs w:val="24"/>
        </w:rPr>
      </w:pPr>
    </w:p>
    <w:p w14:paraId="02C7F9C2" w14:textId="77777777" w:rsidR="00E34267" w:rsidRPr="00F30882" w:rsidRDefault="00E34267" w:rsidP="00E34267">
      <w:pPr>
        <w:keepNext/>
        <w:tabs>
          <w:tab w:val="left" w:pos="1134"/>
        </w:tabs>
        <w:spacing w:before="40" w:after="40"/>
        <w:ind w:left="1134" w:hanging="1134"/>
        <w:rPr>
          <w:rFonts w:ascii="Arial" w:hAnsi="Arial" w:cs="Arial"/>
          <w:b/>
          <w:bCs/>
          <w:sz w:val="20"/>
        </w:rPr>
      </w:pPr>
      <w:bookmarkStart w:id="33" w:name="_Ref405888625"/>
      <w:bookmarkStart w:id="34" w:name="_Toc405984010"/>
      <w:bookmarkStart w:id="35" w:name="_Toc408487942"/>
      <w:r w:rsidRPr="00F30882">
        <w:rPr>
          <w:rFonts w:ascii="Arial" w:hAnsi="Arial" w:cs="Arial"/>
          <w:b/>
          <w:bCs/>
          <w:sz w:val="20"/>
        </w:rPr>
        <w:t xml:space="preserve">Table </w:t>
      </w:r>
      <w:bookmarkEnd w:id="33"/>
      <w:r w:rsidRPr="00F30882">
        <w:rPr>
          <w:rFonts w:ascii="Arial" w:hAnsi="Arial" w:cs="Arial"/>
          <w:b/>
          <w:bCs/>
          <w:sz w:val="20"/>
        </w:rPr>
        <w:t xml:space="preserve">9 </w:t>
      </w:r>
      <w:r w:rsidRPr="00F30882">
        <w:rPr>
          <w:rFonts w:ascii="Arial" w:hAnsi="Arial" w:cs="Arial"/>
          <w:b/>
          <w:bCs/>
          <w:sz w:val="20"/>
        </w:rPr>
        <w:tab/>
        <w:t>Estimated total cost to the MBS of the requested listing</w:t>
      </w:r>
      <w:bookmarkEnd w:id="34"/>
      <w:bookmarkEnd w:id="35"/>
    </w:p>
    <w:tbl>
      <w:tblPr>
        <w:tblStyle w:val="TableGrid3"/>
        <w:tblW w:w="5000" w:type="pct"/>
        <w:tblLook w:val="04A0" w:firstRow="1" w:lastRow="0" w:firstColumn="1" w:lastColumn="0" w:noHBand="0" w:noVBand="1"/>
        <w:tblCaption w:val="Estimated total cost to the MBS of the requested listing"/>
      </w:tblPr>
      <w:tblGrid>
        <w:gridCol w:w="2910"/>
        <w:gridCol w:w="1267"/>
        <w:gridCol w:w="1267"/>
        <w:gridCol w:w="1266"/>
        <w:gridCol w:w="1266"/>
        <w:gridCol w:w="1266"/>
      </w:tblGrid>
      <w:tr w:rsidR="00E34267" w:rsidRPr="00F30882" w14:paraId="5FFC14D5" w14:textId="77777777" w:rsidTr="00E34267">
        <w:trPr>
          <w:cantSplit/>
          <w:trHeight w:val="300"/>
          <w:tblHeader/>
        </w:trPr>
        <w:tc>
          <w:tcPr>
            <w:tcW w:w="1574" w:type="pct"/>
            <w:tcBorders>
              <w:bottom w:val="single" w:sz="4" w:space="0" w:color="auto"/>
            </w:tcBorders>
            <w:noWrap/>
            <w:hideMark/>
          </w:tcPr>
          <w:p w14:paraId="4CC53D20"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Population</w:t>
            </w:r>
          </w:p>
        </w:tc>
        <w:tc>
          <w:tcPr>
            <w:tcW w:w="685" w:type="pct"/>
            <w:tcBorders>
              <w:bottom w:val="single" w:sz="4" w:space="0" w:color="auto"/>
            </w:tcBorders>
            <w:noWrap/>
            <w:hideMark/>
          </w:tcPr>
          <w:p w14:paraId="45C6D090"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2016</w:t>
            </w:r>
          </w:p>
        </w:tc>
        <w:tc>
          <w:tcPr>
            <w:tcW w:w="685" w:type="pct"/>
            <w:tcBorders>
              <w:bottom w:val="single" w:sz="4" w:space="0" w:color="auto"/>
            </w:tcBorders>
            <w:noWrap/>
            <w:hideMark/>
          </w:tcPr>
          <w:p w14:paraId="773C1048"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2017</w:t>
            </w:r>
          </w:p>
        </w:tc>
        <w:tc>
          <w:tcPr>
            <w:tcW w:w="685" w:type="pct"/>
            <w:tcBorders>
              <w:bottom w:val="single" w:sz="4" w:space="0" w:color="auto"/>
            </w:tcBorders>
            <w:noWrap/>
            <w:hideMark/>
          </w:tcPr>
          <w:p w14:paraId="5649908B"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2018</w:t>
            </w:r>
          </w:p>
        </w:tc>
        <w:tc>
          <w:tcPr>
            <w:tcW w:w="685" w:type="pct"/>
            <w:tcBorders>
              <w:bottom w:val="single" w:sz="4" w:space="0" w:color="auto"/>
            </w:tcBorders>
            <w:noWrap/>
            <w:hideMark/>
          </w:tcPr>
          <w:p w14:paraId="5F3AFE09" w14:textId="77777777" w:rsidR="00E34267" w:rsidRPr="007A2975" w:rsidRDefault="00E34267" w:rsidP="00E34267">
            <w:pPr>
              <w:keepNext/>
              <w:spacing w:before="40" w:after="40"/>
              <w:jc w:val="center"/>
              <w:rPr>
                <w:rFonts w:ascii="Arial" w:hAnsi="Arial" w:cs="Arial"/>
                <w:b/>
                <w:sz w:val="20"/>
              </w:rPr>
            </w:pPr>
            <w:r w:rsidRPr="007A2975">
              <w:rPr>
                <w:rFonts w:ascii="Arial" w:hAnsi="Arial" w:cs="Arial"/>
                <w:b/>
                <w:sz w:val="20"/>
              </w:rPr>
              <w:t>2019</w:t>
            </w:r>
          </w:p>
        </w:tc>
        <w:tc>
          <w:tcPr>
            <w:tcW w:w="685" w:type="pct"/>
            <w:tcBorders>
              <w:bottom w:val="single" w:sz="4" w:space="0" w:color="auto"/>
            </w:tcBorders>
            <w:noWrap/>
            <w:hideMark/>
          </w:tcPr>
          <w:p w14:paraId="75307B6E" w14:textId="77777777" w:rsidR="00E34267" w:rsidRPr="007A2975" w:rsidRDefault="00E34267" w:rsidP="00E34267">
            <w:pPr>
              <w:keepNext/>
              <w:tabs>
                <w:tab w:val="center" w:pos="340"/>
              </w:tabs>
              <w:spacing w:before="40" w:after="40"/>
              <w:jc w:val="center"/>
              <w:rPr>
                <w:rFonts w:ascii="Arial" w:hAnsi="Arial" w:cs="Arial"/>
                <w:b/>
                <w:sz w:val="20"/>
              </w:rPr>
            </w:pPr>
            <w:r w:rsidRPr="007A2975">
              <w:rPr>
                <w:rFonts w:ascii="Arial" w:hAnsi="Arial" w:cs="Arial"/>
                <w:b/>
                <w:sz w:val="20"/>
              </w:rPr>
              <w:t>2020</w:t>
            </w:r>
          </w:p>
        </w:tc>
      </w:tr>
      <w:tr w:rsidR="00E34267" w:rsidRPr="00F30882" w14:paraId="74C722EB" w14:textId="77777777" w:rsidTr="00E34267">
        <w:trPr>
          <w:cantSplit/>
          <w:trHeight w:val="300"/>
        </w:trPr>
        <w:tc>
          <w:tcPr>
            <w:tcW w:w="1574" w:type="pct"/>
            <w:tcBorders>
              <w:bottom w:val="nil"/>
            </w:tcBorders>
            <w:noWrap/>
            <w:vAlign w:val="center"/>
          </w:tcPr>
          <w:p w14:paraId="64B8228B" w14:textId="77777777" w:rsidR="00E34267" w:rsidRPr="007A2975" w:rsidRDefault="00E34267" w:rsidP="00E34267">
            <w:pPr>
              <w:spacing w:before="60" w:after="60"/>
              <w:rPr>
                <w:rFonts w:ascii="Arial" w:eastAsia="Calibri" w:hAnsi="Arial" w:cs="Arial"/>
                <w:sz w:val="20"/>
              </w:rPr>
            </w:pPr>
            <w:r w:rsidRPr="007A2975">
              <w:rPr>
                <w:rFonts w:ascii="Arial" w:eastAsia="Calibri" w:hAnsi="Arial" w:cs="Arial"/>
                <w:sz w:val="20"/>
              </w:rPr>
              <w:t>Neoadjuvant chemotherapy</w:t>
            </w:r>
          </w:p>
        </w:tc>
        <w:tc>
          <w:tcPr>
            <w:tcW w:w="685" w:type="pct"/>
            <w:tcBorders>
              <w:bottom w:val="nil"/>
            </w:tcBorders>
            <w:noWrap/>
            <w:vAlign w:val="center"/>
          </w:tcPr>
          <w:p w14:paraId="07120F4F"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$3,149,642</w:t>
            </w:r>
          </w:p>
        </w:tc>
        <w:tc>
          <w:tcPr>
            <w:tcW w:w="685" w:type="pct"/>
            <w:tcBorders>
              <w:bottom w:val="nil"/>
            </w:tcBorders>
            <w:noWrap/>
            <w:vAlign w:val="center"/>
          </w:tcPr>
          <w:p w14:paraId="5AE1F0E3"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$3,212,911</w:t>
            </w:r>
          </w:p>
        </w:tc>
        <w:tc>
          <w:tcPr>
            <w:tcW w:w="685" w:type="pct"/>
            <w:tcBorders>
              <w:bottom w:val="nil"/>
            </w:tcBorders>
            <w:noWrap/>
            <w:vAlign w:val="center"/>
          </w:tcPr>
          <w:p w14:paraId="28E30E3B"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$3,276,181</w:t>
            </w:r>
          </w:p>
        </w:tc>
        <w:tc>
          <w:tcPr>
            <w:tcW w:w="685" w:type="pct"/>
            <w:tcBorders>
              <w:bottom w:val="nil"/>
            </w:tcBorders>
            <w:noWrap/>
            <w:vAlign w:val="center"/>
          </w:tcPr>
          <w:p w14:paraId="29A5B824"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$3,339,451</w:t>
            </w:r>
          </w:p>
        </w:tc>
        <w:tc>
          <w:tcPr>
            <w:tcW w:w="685" w:type="pct"/>
            <w:tcBorders>
              <w:bottom w:val="nil"/>
            </w:tcBorders>
            <w:noWrap/>
            <w:vAlign w:val="center"/>
          </w:tcPr>
          <w:p w14:paraId="5595F439"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$3,402,720</w:t>
            </w:r>
          </w:p>
        </w:tc>
      </w:tr>
      <w:tr w:rsidR="00E34267" w:rsidRPr="00F30882" w14:paraId="52415FA2" w14:textId="77777777" w:rsidTr="00E34267">
        <w:trPr>
          <w:cantSplit/>
          <w:trHeight w:val="300"/>
        </w:trPr>
        <w:tc>
          <w:tcPr>
            <w:tcW w:w="1574" w:type="pct"/>
            <w:tcBorders>
              <w:top w:val="nil"/>
              <w:bottom w:val="nil"/>
            </w:tcBorders>
            <w:noWrap/>
            <w:vAlign w:val="center"/>
          </w:tcPr>
          <w:p w14:paraId="16938703" w14:textId="77777777" w:rsidR="00E34267" w:rsidRPr="007A2975" w:rsidRDefault="00E34267" w:rsidP="00E34267">
            <w:pPr>
              <w:spacing w:before="60" w:after="60"/>
              <w:rPr>
                <w:rFonts w:ascii="Arial" w:eastAsia="Calibri" w:hAnsi="Arial" w:cs="Arial"/>
                <w:sz w:val="20"/>
              </w:rPr>
            </w:pPr>
            <w:r w:rsidRPr="007A2975">
              <w:rPr>
                <w:rFonts w:ascii="Arial" w:eastAsia="Calibri" w:hAnsi="Arial" w:cs="Arial"/>
                <w:sz w:val="20"/>
              </w:rPr>
              <w:t>Lobular breast cancer</w:t>
            </w:r>
          </w:p>
        </w:tc>
        <w:tc>
          <w:tcPr>
            <w:tcW w:w="685" w:type="pct"/>
            <w:tcBorders>
              <w:top w:val="nil"/>
              <w:bottom w:val="nil"/>
            </w:tcBorders>
            <w:noWrap/>
            <w:vAlign w:val="center"/>
          </w:tcPr>
          <w:p w14:paraId="34AF3876"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$1,247,725</w:t>
            </w:r>
          </w:p>
        </w:tc>
        <w:tc>
          <w:tcPr>
            <w:tcW w:w="685" w:type="pct"/>
            <w:tcBorders>
              <w:top w:val="nil"/>
              <w:bottom w:val="nil"/>
            </w:tcBorders>
            <w:noWrap/>
            <w:vAlign w:val="center"/>
          </w:tcPr>
          <w:p w14:paraId="4115CD73"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$1,272,789</w:t>
            </w:r>
          </w:p>
        </w:tc>
        <w:tc>
          <w:tcPr>
            <w:tcW w:w="685" w:type="pct"/>
            <w:tcBorders>
              <w:top w:val="nil"/>
              <w:bottom w:val="nil"/>
            </w:tcBorders>
            <w:noWrap/>
            <w:vAlign w:val="center"/>
          </w:tcPr>
          <w:p w14:paraId="7C7792A9"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$1,297,853</w:t>
            </w:r>
          </w:p>
        </w:tc>
        <w:tc>
          <w:tcPr>
            <w:tcW w:w="685" w:type="pct"/>
            <w:tcBorders>
              <w:top w:val="nil"/>
              <w:bottom w:val="nil"/>
            </w:tcBorders>
            <w:noWrap/>
            <w:vAlign w:val="center"/>
          </w:tcPr>
          <w:p w14:paraId="12424E17"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$1,322,917</w:t>
            </w:r>
          </w:p>
        </w:tc>
        <w:tc>
          <w:tcPr>
            <w:tcW w:w="685" w:type="pct"/>
            <w:tcBorders>
              <w:top w:val="nil"/>
              <w:bottom w:val="nil"/>
            </w:tcBorders>
            <w:noWrap/>
            <w:vAlign w:val="center"/>
          </w:tcPr>
          <w:p w14:paraId="14BA8307"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$1,347,982</w:t>
            </w:r>
          </w:p>
        </w:tc>
      </w:tr>
      <w:tr w:rsidR="00E34267" w:rsidRPr="00F30882" w14:paraId="273E5DE8" w14:textId="77777777" w:rsidTr="00E34267">
        <w:trPr>
          <w:cantSplit/>
          <w:trHeight w:val="300"/>
        </w:trPr>
        <w:tc>
          <w:tcPr>
            <w:tcW w:w="1574" w:type="pct"/>
            <w:tcBorders>
              <w:top w:val="nil"/>
              <w:bottom w:val="nil"/>
            </w:tcBorders>
            <w:noWrap/>
            <w:vAlign w:val="center"/>
          </w:tcPr>
          <w:p w14:paraId="30FEBD9E" w14:textId="77777777" w:rsidR="00E34267" w:rsidRPr="007A2975" w:rsidRDefault="00E34267" w:rsidP="00E34267">
            <w:pPr>
              <w:spacing w:before="60" w:after="60"/>
              <w:rPr>
                <w:rFonts w:ascii="Arial" w:eastAsia="Calibri" w:hAnsi="Arial" w:cs="Arial"/>
                <w:sz w:val="20"/>
              </w:rPr>
            </w:pPr>
            <w:r w:rsidRPr="007A2975">
              <w:rPr>
                <w:rFonts w:ascii="Arial" w:eastAsia="Calibri" w:hAnsi="Arial" w:cs="Arial"/>
                <w:sz w:val="20"/>
              </w:rPr>
              <w:t>≤50 years or dense breasts</w:t>
            </w:r>
          </w:p>
        </w:tc>
        <w:tc>
          <w:tcPr>
            <w:tcW w:w="685" w:type="pct"/>
            <w:tcBorders>
              <w:top w:val="nil"/>
              <w:bottom w:val="nil"/>
            </w:tcBorders>
            <w:noWrap/>
            <w:vAlign w:val="center"/>
          </w:tcPr>
          <w:p w14:paraId="37BD223A"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$3,728,866</w:t>
            </w:r>
          </w:p>
        </w:tc>
        <w:tc>
          <w:tcPr>
            <w:tcW w:w="685" w:type="pct"/>
            <w:tcBorders>
              <w:top w:val="nil"/>
              <w:bottom w:val="nil"/>
            </w:tcBorders>
            <w:noWrap/>
            <w:vAlign w:val="center"/>
          </w:tcPr>
          <w:p w14:paraId="6DD6DE03"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$3,803,771</w:t>
            </w:r>
          </w:p>
        </w:tc>
        <w:tc>
          <w:tcPr>
            <w:tcW w:w="685" w:type="pct"/>
            <w:tcBorders>
              <w:top w:val="nil"/>
              <w:bottom w:val="nil"/>
            </w:tcBorders>
            <w:noWrap/>
            <w:vAlign w:val="center"/>
          </w:tcPr>
          <w:p w14:paraId="67101C36"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$3,878,676</w:t>
            </w:r>
          </w:p>
        </w:tc>
        <w:tc>
          <w:tcPr>
            <w:tcW w:w="685" w:type="pct"/>
            <w:tcBorders>
              <w:top w:val="nil"/>
              <w:bottom w:val="nil"/>
            </w:tcBorders>
            <w:noWrap/>
            <w:vAlign w:val="center"/>
          </w:tcPr>
          <w:p w14:paraId="70173F05"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$3,953,581</w:t>
            </w:r>
          </w:p>
        </w:tc>
        <w:tc>
          <w:tcPr>
            <w:tcW w:w="685" w:type="pct"/>
            <w:tcBorders>
              <w:top w:val="nil"/>
              <w:bottom w:val="nil"/>
            </w:tcBorders>
            <w:noWrap/>
            <w:vAlign w:val="center"/>
          </w:tcPr>
          <w:p w14:paraId="46D9A93D"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$4,028,486</w:t>
            </w:r>
          </w:p>
        </w:tc>
      </w:tr>
      <w:tr w:rsidR="00E34267" w:rsidRPr="00F30882" w14:paraId="62715DA2" w14:textId="77777777" w:rsidTr="00E34267">
        <w:trPr>
          <w:cantSplit/>
          <w:trHeight w:val="300"/>
        </w:trPr>
        <w:tc>
          <w:tcPr>
            <w:tcW w:w="1574" w:type="pct"/>
            <w:tcBorders>
              <w:top w:val="nil"/>
            </w:tcBorders>
            <w:noWrap/>
            <w:vAlign w:val="center"/>
          </w:tcPr>
          <w:p w14:paraId="1EA55178" w14:textId="77777777" w:rsidR="00E34267" w:rsidRPr="007A2975" w:rsidRDefault="00E34267" w:rsidP="00E34267">
            <w:pPr>
              <w:spacing w:before="60" w:after="60"/>
              <w:rPr>
                <w:rFonts w:ascii="Arial" w:eastAsia="Calibri" w:hAnsi="Arial" w:cs="Arial"/>
                <w:sz w:val="20"/>
              </w:rPr>
            </w:pPr>
            <w:r w:rsidRPr="007A2975">
              <w:rPr>
                <w:rFonts w:ascii="Arial" w:eastAsia="Calibri" w:hAnsi="Arial" w:cs="Arial"/>
                <w:sz w:val="20"/>
              </w:rPr>
              <w:t>Occult primary breast cancer</w:t>
            </w:r>
          </w:p>
        </w:tc>
        <w:tc>
          <w:tcPr>
            <w:tcW w:w="685" w:type="pct"/>
            <w:tcBorders>
              <w:top w:val="nil"/>
            </w:tcBorders>
            <w:noWrap/>
            <w:vAlign w:val="center"/>
          </w:tcPr>
          <w:p w14:paraId="4733274F"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$116,547</w:t>
            </w:r>
          </w:p>
        </w:tc>
        <w:tc>
          <w:tcPr>
            <w:tcW w:w="685" w:type="pct"/>
            <w:tcBorders>
              <w:top w:val="nil"/>
            </w:tcBorders>
            <w:noWrap/>
            <w:vAlign w:val="center"/>
          </w:tcPr>
          <w:p w14:paraId="1077DCD1"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$118,888</w:t>
            </w:r>
          </w:p>
        </w:tc>
        <w:tc>
          <w:tcPr>
            <w:tcW w:w="685" w:type="pct"/>
            <w:tcBorders>
              <w:top w:val="nil"/>
            </w:tcBorders>
            <w:noWrap/>
            <w:vAlign w:val="center"/>
          </w:tcPr>
          <w:p w14:paraId="615EEC9B"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$121,229</w:t>
            </w:r>
          </w:p>
        </w:tc>
        <w:tc>
          <w:tcPr>
            <w:tcW w:w="685" w:type="pct"/>
            <w:tcBorders>
              <w:top w:val="nil"/>
            </w:tcBorders>
            <w:noWrap/>
            <w:vAlign w:val="center"/>
          </w:tcPr>
          <w:p w14:paraId="11A7D65F"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$123,570</w:t>
            </w:r>
          </w:p>
        </w:tc>
        <w:tc>
          <w:tcPr>
            <w:tcW w:w="685" w:type="pct"/>
            <w:tcBorders>
              <w:top w:val="nil"/>
            </w:tcBorders>
            <w:noWrap/>
            <w:vAlign w:val="center"/>
          </w:tcPr>
          <w:p w14:paraId="6ED7A8BD" w14:textId="77777777" w:rsidR="00E34267" w:rsidRPr="007A2975" w:rsidRDefault="00E34267" w:rsidP="00E34267">
            <w:pPr>
              <w:spacing w:before="60" w:after="60"/>
              <w:jc w:val="right"/>
              <w:rPr>
                <w:rFonts w:ascii="Arial" w:eastAsia="Calibri" w:hAnsi="Arial" w:cs="Arial"/>
                <w:sz w:val="20"/>
              </w:rPr>
            </w:pPr>
            <w:r w:rsidRPr="007A2975">
              <w:rPr>
                <w:rFonts w:ascii="Arial" w:eastAsia="Calibri" w:hAnsi="Arial" w:cs="Arial"/>
                <w:sz w:val="20"/>
              </w:rPr>
              <w:t>$125,911</w:t>
            </w:r>
          </w:p>
        </w:tc>
      </w:tr>
      <w:tr w:rsidR="00E34267" w:rsidRPr="00F30882" w14:paraId="150AD2B1" w14:textId="77777777" w:rsidTr="00E34267">
        <w:trPr>
          <w:cantSplit/>
          <w:trHeight w:val="300"/>
        </w:trPr>
        <w:tc>
          <w:tcPr>
            <w:tcW w:w="1574" w:type="pct"/>
            <w:noWrap/>
            <w:vAlign w:val="center"/>
          </w:tcPr>
          <w:p w14:paraId="3221FD2C" w14:textId="77777777" w:rsidR="00E34267" w:rsidRPr="007A2975" w:rsidRDefault="00E34267" w:rsidP="00E34267">
            <w:pPr>
              <w:spacing w:before="60" w:after="60"/>
              <w:rPr>
                <w:rFonts w:ascii="Arial" w:eastAsia="Calibri" w:hAnsi="Arial" w:cs="Arial"/>
                <w:b/>
                <w:bCs/>
                <w:sz w:val="20"/>
              </w:rPr>
            </w:pPr>
            <w:r w:rsidRPr="007A2975">
              <w:rPr>
                <w:rFonts w:ascii="Arial" w:eastAsia="Calibri" w:hAnsi="Arial" w:cs="Arial"/>
                <w:b/>
                <w:bCs/>
                <w:sz w:val="20"/>
              </w:rPr>
              <w:t>Total cost</w:t>
            </w:r>
          </w:p>
        </w:tc>
        <w:tc>
          <w:tcPr>
            <w:tcW w:w="685" w:type="pct"/>
            <w:noWrap/>
            <w:vAlign w:val="center"/>
          </w:tcPr>
          <w:p w14:paraId="5CFA5B59"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bCs/>
                <w:sz w:val="20"/>
              </w:rPr>
              <w:t>$8,242,779</w:t>
            </w:r>
          </w:p>
        </w:tc>
        <w:tc>
          <w:tcPr>
            <w:tcW w:w="685" w:type="pct"/>
            <w:noWrap/>
            <w:vAlign w:val="center"/>
          </w:tcPr>
          <w:p w14:paraId="0B8F416C"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bCs/>
                <w:sz w:val="20"/>
              </w:rPr>
              <w:t>$8,408,359</w:t>
            </w:r>
          </w:p>
        </w:tc>
        <w:tc>
          <w:tcPr>
            <w:tcW w:w="685" w:type="pct"/>
            <w:noWrap/>
            <w:vAlign w:val="center"/>
          </w:tcPr>
          <w:p w14:paraId="11CD88C8"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bCs/>
                <w:sz w:val="20"/>
              </w:rPr>
              <w:t>$8,573,939</w:t>
            </w:r>
          </w:p>
        </w:tc>
        <w:tc>
          <w:tcPr>
            <w:tcW w:w="685" w:type="pct"/>
            <w:noWrap/>
            <w:vAlign w:val="center"/>
          </w:tcPr>
          <w:p w14:paraId="15050B25"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bCs/>
                <w:sz w:val="20"/>
              </w:rPr>
              <w:t>$8,739,519</w:t>
            </w:r>
          </w:p>
        </w:tc>
        <w:tc>
          <w:tcPr>
            <w:tcW w:w="685" w:type="pct"/>
            <w:noWrap/>
            <w:vAlign w:val="center"/>
          </w:tcPr>
          <w:p w14:paraId="7D893D8A" w14:textId="77777777" w:rsidR="00E34267" w:rsidRPr="007A2975" w:rsidRDefault="00E34267" w:rsidP="00E34267">
            <w:pPr>
              <w:spacing w:before="60" w:after="60"/>
              <w:jc w:val="right"/>
              <w:rPr>
                <w:rFonts w:ascii="Arial" w:eastAsia="Calibri" w:hAnsi="Arial" w:cs="Arial"/>
                <w:b/>
                <w:bCs/>
                <w:sz w:val="20"/>
              </w:rPr>
            </w:pPr>
            <w:r w:rsidRPr="007A2975">
              <w:rPr>
                <w:rFonts w:ascii="Arial" w:eastAsia="Calibri" w:hAnsi="Arial" w:cs="Arial"/>
                <w:b/>
                <w:bCs/>
                <w:sz w:val="20"/>
              </w:rPr>
              <w:t>$8,905,099</w:t>
            </w:r>
          </w:p>
        </w:tc>
      </w:tr>
    </w:tbl>
    <w:p w14:paraId="5B419801" w14:textId="77777777" w:rsidR="00E34267" w:rsidRPr="00E34267" w:rsidRDefault="00E34267" w:rsidP="00DA075F">
      <w:pPr>
        <w:keepLines/>
        <w:rPr>
          <w:rFonts w:ascii="Arial Narrow" w:hAnsi="Arial Narrow"/>
          <w:color w:val="000000"/>
          <w:sz w:val="16"/>
          <w:szCs w:val="16"/>
        </w:rPr>
      </w:pPr>
      <w:r w:rsidRPr="00E34267">
        <w:rPr>
          <w:rFonts w:ascii="Arial Narrow" w:hAnsi="Arial Narrow"/>
          <w:color w:val="000000"/>
          <w:sz w:val="16"/>
          <w:szCs w:val="16"/>
        </w:rPr>
        <w:t>Abbreviation: MBS = Medicare Benefits Schedule</w:t>
      </w:r>
      <w:r w:rsidR="006F5CB4">
        <w:rPr>
          <w:rFonts w:ascii="Arial Narrow" w:hAnsi="Arial Narrow"/>
          <w:color w:val="000000"/>
          <w:sz w:val="16"/>
          <w:szCs w:val="16"/>
        </w:rPr>
        <w:t xml:space="preserve">; </w:t>
      </w:r>
      <w:r w:rsidRPr="00E34267">
        <w:rPr>
          <w:rFonts w:ascii="Arial Narrow" w:hAnsi="Arial Narrow"/>
          <w:color w:val="000000"/>
          <w:sz w:val="16"/>
          <w:szCs w:val="16"/>
        </w:rPr>
        <w:t>Note: rounding has been applied.</w:t>
      </w:r>
    </w:p>
    <w:p w14:paraId="7E71580B" w14:textId="77777777" w:rsidR="006F5CB4" w:rsidRDefault="006F5CB4" w:rsidP="00E34267">
      <w:pPr>
        <w:rPr>
          <w:szCs w:val="24"/>
        </w:rPr>
      </w:pPr>
    </w:p>
    <w:p w14:paraId="5D4B9D99" w14:textId="77777777" w:rsidR="00E34267" w:rsidRPr="00E34267" w:rsidRDefault="00E34267" w:rsidP="00E34267">
      <w:pPr>
        <w:rPr>
          <w:szCs w:val="24"/>
        </w:rPr>
      </w:pPr>
      <w:r w:rsidRPr="00E34267">
        <w:rPr>
          <w:szCs w:val="24"/>
        </w:rPr>
        <w:t>The financial impact to state and territory governments (the cost of public surgeries) is presented in Table 10.</w:t>
      </w:r>
    </w:p>
    <w:p w14:paraId="38E9DD4F" w14:textId="77777777" w:rsidR="00E34267" w:rsidRPr="00E34267" w:rsidRDefault="00E34267" w:rsidP="00E34267">
      <w:pPr>
        <w:rPr>
          <w:szCs w:val="24"/>
        </w:rPr>
      </w:pPr>
    </w:p>
    <w:p w14:paraId="7EDBFAA9" w14:textId="77777777" w:rsidR="00F30882" w:rsidRDefault="00F30882">
      <w:pPr>
        <w:rPr>
          <w:rFonts w:ascii="Arial" w:hAnsi="Arial" w:cs="Arial"/>
          <w:b/>
          <w:bCs/>
          <w:sz w:val="20"/>
        </w:rPr>
      </w:pPr>
      <w:bookmarkStart w:id="36" w:name="_Ref405888840"/>
      <w:bookmarkStart w:id="37" w:name="_Toc405984011"/>
      <w:bookmarkStart w:id="38" w:name="_Toc408487943"/>
      <w:r>
        <w:rPr>
          <w:rFonts w:ascii="Arial" w:hAnsi="Arial" w:cs="Arial"/>
          <w:b/>
          <w:bCs/>
          <w:sz w:val="20"/>
        </w:rPr>
        <w:br w:type="page"/>
      </w:r>
    </w:p>
    <w:p w14:paraId="582C12DD" w14:textId="77777777" w:rsidR="00E34267" w:rsidRPr="00F30882" w:rsidRDefault="00E34267" w:rsidP="00E34267">
      <w:pPr>
        <w:keepNext/>
        <w:tabs>
          <w:tab w:val="left" w:pos="1134"/>
        </w:tabs>
        <w:spacing w:before="40" w:after="40"/>
        <w:ind w:left="1134" w:hanging="1134"/>
        <w:rPr>
          <w:rFonts w:ascii="Arial" w:hAnsi="Arial" w:cs="Arial"/>
          <w:b/>
          <w:bCs/>
          <w:sz w:val="20"/>
        </w:rPr>
      </w:pPr>
      <w:r w:rsidRPr="00F30882">
        <w:rPr>
          <w:rFonts w:ascii="Arial" w:hAnsi="Arial" w:cs="Arial"/>
          <w:b/>
          <w:bCs/>
          <w:sz w:val="20"/>
        </w:rPr>
        <w:lastRenderedPageBreak/>
        <w:t xml:space="preserve">Table </w:t>
      </w:r>
      <w:bookmarkEnd w:id="36"/>
      <w:r w:rsidRPr="00F30882">
        <w:rPr>
          <w:rFonts w:ascii="Arial" w:hAnsi="Arial" w:cs="Arial"/>
          <w:b/>
          <w:bCs/>
          <w:sz w:val="20"/>
        </w:rPr>
        <w:t>10</w:t>
      </w:r>
      <w:r w:rsidRPr="00F30882">
        <w:rPr>
          <w:rFonts w:ascii="Arial" w:hAnsi="Arial" w:cs="Arial"/>
          <w:b/>
          <w:bCs/>
          <w:sz w:val="20"/>
        </w:rPr>
        <w:tab/>
        <w:t>Estimated total cost to state and territory government</w:t>
      </w:r>
      <w:bookmarkEnd w:id="37"/>
      <w:r w:rsidRPr="00F30882">
        <w:rPr>
          <w:rFonts w:ascii="Arial" w:hAnsi="Arial" w:cs="Arial"/>
          <w:b/>
          <w:bCs/>
          <w:sz w:val="20"/>
        </w:rPr>
        <w:t>s</w:t>
      </w:r>
      <w:bookmarkEnd w:id="38"/>
    </w:p>
    <w:tbl>
      <w:tblPr>
        <w:tblStyle w:val="TableGrid3"/>
        <w:tblW w:w="5000" w:type="pct"/>
        <w:tblLook w:val="04A0" w:firstRow="1" w:lastRow="0" w:firstColumn="1" w:lastColumn="0" w:noHBand="0" w:noVBand="1"/>
        <w:tblCaption w:val="Estimated total cost to state and territory governments"/>
      </w:tblPr>
      <w:tblGrid>
        <w:gridCol w:w="2882"/>
        <w:gridCol w:w="1272"/>
        <w:gridCol w:w="1272"/>
        <w:gridCol w:w="1272"/>
        <w:gridCol w:w="1272"/>
        <w:gridCol w:w="1272"/>
      </w:tblGrid>
      <w:tr w:rsidR="00E34267" w:rsidRPr="00F30882" w14:paraId="06CB0E80" w14:textId="77777777" w:rsidTr="00E34267">
        <w:trPr>
          <w:cantSplit/>
          <w:trHeight w:val="315"/>
          <w:tblHeader/>
        </w:trPr>
        <w:tc>
          <w:tcPr>
            <w:tcW w:w="2882" w:type="dxa"/>
            <w:tcBorders>
              <w:bottom w:val="single" w:sz="4" w:space="0" w:color="auto"/>
            </w:tcBorders>
            <w:noWrap/>
            <w:hideMark/>
          </w:tcPr>
          <w:p w14:paraId="2DDC90A9" w14:textId="77777777" w:rsidR="00E34267" w:rsidRPr="007A2975" w:rsidRDefault="00E34267" w:rsidP="00E34267">
            <w:pPr>
              <w:spacing w:before="40" w:after="40"/>
              <w:rPr>
                <w:rFonts w:ascii="Arial" w:hAnsi="Arial" w:cs="Arial"/>
                <w:b/>
                <w:sz w:val="20"/>
              </w:rPr>
            </w:pPr>
            <w:r w:rsidRPr="007A2975">
              <w:rPr>
                <w:rFonts w:ascii="Arial" w:hAnsi="Arial" w:cs="Arial"/>
                <w:b/>
                <w:sz w:val="20"/>
              </w:rPr>
              <w:t>Population</w:t>
            </w:r>
          </w:p>
        </w:tc>
        <w:tc>
          <w:tcPr>
            <w:tcW w:w="1272" w:type="dxa"/>
            <w:tcBorders>
              <w:bottom w:val="single" w:sz="4" w:space="0" w:color="auto"/>
            </w:tcBorders>
            <w:noWrap/>
            <w:hideMark/>
          </w:tcPr>
          <w:p w14:paraId="01A67E36" w14:textId="77777777" w:rsidR="00E34267" w:rsidRPr="007A2975" w:rsidRDefault="00E34267" w:rsidP="00E34267">
            <w:pPr>
              <w:spacing w:before="40" w:after="40"/>
              <w:jc w:val="center"/>
              <w:rPr>
                <w:rFonts w:ascii="Arial" w:hAnsi="Arial" w:cs="Arial"/>
                <w:b/>
                <w:sz w:val="20"/>
              </w:rPr>
            </w:pPr>
            <w:r w:rsidRPr="007A2975">
              <w:rPr>
                <w:rFonts w:ascii="Arial" w:hAnsi="Arial" w:cs="Arial"/>
                <w:b/>
                <w:sz w:val="20"/>
              </w:rPr>
              <w:t>2016</w:t>
            </w:r>
          </w:p>
        </w:tc>
        <w:tc>
          <w:tcPr>
            <w:tcW w:w="1272" w:type="dxa"/>
            <w:tcBorders>
              <w:bottom w:val="single" w:sz="4" w:space="0" w:color="auto"/>
            </w:tcBorders>
            <w:noWrap/>
            <w:hideMark/>
          </w:tcPr>
          <w:p w14:paraId="6B4496C9" w14:textId="77777777" w:rsidR="00E34267" w:rsidRPr="007A2975" w:rsidRDefault="00E34267" w:rsidP="00E34267">
            <w:pPr>
              <w:spacing w:before="40" w:after="40"/>
              <w:jc w:val="center"/>
              <w:rPr>
                <w:rFonts w:ascii="Arial" w:hAnsi="Arial" w:cs="Arial"/>
                <w:b/>
                <w:sz w:val="20"/>
              </w:rPr>
            </w:pPr>
            <w:r w:rsidRPr="007A2975">
              <w:rPr>
                <w:rFonts w:ascii="Arial" w:hAnsi="Arial" w:cs="Arial"/>
                <w:b/>
                <w:sz w:val="20"/>
              </w:rPr>
              <w:t>2017</w:t>
            </w:r>
          </w:p>
        </w:tc>
        <w:tc>
          <w:tcPr>
            <w:tcW w:w="1272" w:type="dxa"/>
            <w:tcBorders>
              <w:bottom w:val="single" w:sz="4" w:space="0" w:color="auto"/>
            </w:tcBorders>
            <w:noWrap/>
            <w:hideMark/>
          </w:tcPr>
          <w:p w14:paraId="41598D90" w14:textId="77777777" w:rsidR="00E34267" w:rsidRPr="007A2975" w:rsidRDefault="00E34267" w:rsidP="00E34267">
            <w:pPr>
              <w:spacing w:before="40" w:after="40"/>
              <w:jc w:val="center"/>
              <w:rPr>
                <w:rFonts w:ascii="Arial" w:hAnsi="Arial" w:cs="Arial"/>
                <w:b/>
                <w:sz w:val="20"/>
              </w:rPr>
            </w:pPr>
            <w:r w:rsidRPr="007A2975">
              <w:rPr>
                <w:rFonts w:ascii="Arial" w:hAnsi="Arial" w:cs="Arial"/>
                <w:b/>
                <w:sz w:val="20"/>
              </w:rPr>
              <w:t>2018</w:t>
            </w:r>
          </w:p>
        </w:tc>
        <w:tc>
          <w:tcPr>
            <w:tcW w:w="1272" w:type="dxa"/>
            <w:tcBorders>
              <w:bottom w:val="single" w:sz="4" w:space="0" w:color="auto"/>
            </w:tcBorders>
            <w:noWrap/>
            <w:hideMark/>
          </w:tcPr>
          <w:p w14:paraId="2398ABF3" w14:textId="77777777" w:rsidR="00E34267" w:rsidRPr="007A2975" w:rsidRDefault="00E34267" w:rsidP="00E34267">
            <w:pPr>
              <w:spacing w:before="40" w:after="40"/>
              <w:jc w:val="center"/>
              <w:rPr>
                <w:rFonts w:ascii="Arial" w:hAnsi="Arial" w:cs="Arial"/>
                <w:b/>
                <w:sz w:val="20"/>
              </w:rPr>
            </w:pPr>
            <w:r w:rsidRPr="007A2975">
              <w:rPr>
                <w:rFonts w:ascii="Arial" w:hAnsi="Arial" w:cs="Arial"/>
                <w:b/>
                <w:sz w:val="20"/>
              </w:rPr>
              <w:t>2019</w:t>
            </w:r>
          </w:p>
        </w:tc>
        <w:tc>
          <w:tcPr>
            <w:tcW w:w="1272" w:type="dxa"/>
            <w:tcBorders>
              <w:bottom w:val="single" w:sz="4" w:space="0" w:color="auto"/>
            </w:tcBorders>
            <w:noWrap/>
            <w:hideMark/>
          </w:tcPr>
          <w:p w14:paraId="33094C90" w14:textId="77777777" w:rsidR="00E34267" w:rsidRPr="007A2975" w:rsidRDefault="00E34267" w:rsidP="00E34267">
            <w:pPr>
              <w:tabs>
                <w:tab w:val="center" w:pos="340"/>
              </w:tabs>
              <w:spacing w:before="40" w:after="40"/>
              <w:jc w:val="center"/>
              <w:rPr>
                <w:rFonts w:ascii="Arial" w:hAnsi="Arial" w:cs="Arial"/>
                <w:b/>
                <w:sz w:val="20"/>
              </w:rPr>
            </w:pPr>
            <w:r w:rsidRPr="007A2975">
              <w:rPr>
                <w:rFonts w:ascii="Arial" w:hAnsi="Arial" w:cs="Arial"/>
                <w:b/>
                <w:sz w:val="20"/>
              </w:rPr>
              <w:t>2020</w:t>
            </w:r>
          </w:p>
        </w:tc>
      </w:tr>
      <w:tr w:rsidR="00E34267" w:rsidRPr="00F30882" w14:paraId="64C73938" w14:textId="77777777" w:rsidTr="00E34267">
        <w:trPr>
          <w:cantSplit/>
          <w:trHeight w:val="315"/>
        </w:trPr>
        <w:tc>
          <w:tcPr>
            <w:tcW w:w="2882" w:type="dxa"/>
            <w:tcBorders>
              <w:bottom w:val="nil"/>
            </w:tcBorders>
            <w:noWrap/>
            <w:vAlign w:val="center"/>
          </w:tcPr>
          <w:p w14:paraId="36F80457" w14:textId="77777777" w:rsidR="00E34267" w:rsidRPr="007A2975" w:rsidRDefault="00E34267" w:rsidP="00E34267">
            <w:pPr>
              <w:spacing w:before="60" w:after="60"/>
              <w:rPr>
                <w:rFonts w:ascii="Arial" w:eastAsia="Calibri" w:hAnsi="Arial" w:cs="Arial"/>
                <w:sz w:val="20"/>
              </w:rPr>
            </w:pPr>
            <w:r w:rsidRPr="007A2975">
              <w:rPr>
                <w:rFonts w:ascii="Arial" w:eastAsia="Calibri" w:hAnsi="Arial" w:cs="Arial"/>
                <w:sz w:val="20"/>
              </w:rPr>
              <w:t xml:space="preserve">Lobular breast cancer </w:t>
            </w:r>
          </w:p>
        </w:tc>
        <w:tc>
          <w:tcPr>
            <w:tcW w:w="1272" w:type="dxa"/>
            <w:tcBorders>
              <w:bottom w:val="nil"/>
            </w:tcBorders>
            <w:noWrap/>
            <w:vAlign w:val="center"/>
          </w:tcPr>
          <w:p w14:paraId="63CB4E27"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$298,960</w:t>
            </w:r>
          </w:p>
        </w:tc>
        <w:tc>
          <w:tcPr>
            <w:tcW w:w="1272" w:type="dxa"/>
            <w:tcBorders>
              <w:bottom w:val="nil"/>
            </w:tcBorders>
            <w:noWrap/>
            <w:vAlign w:val="center"/>
          </w:tcPr>
          <w:p w14:paraId="09821220"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$304,966</w:t>
            </w:r>
          </w:p>
        </w:tc>
        <w:tc>
          <w:tcPr>
            <w:tcW w:w="1272" w:type="dxa"/>
            <w:tcBorders>
              <w:bottom w:val="nil"/>
            </w:tcBorders>
            <w:noWrap/>
            <w:vAlign w:val="center"/>
          </w:tcPr>
          <w:p w14:paraId="5DFE14F0"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$310,971</w:t>
            </w:r>
          </w:p>
        </w:tc>
        <w:tc>
          <w:tcPr>
            <w:tcW w:w="1272" w:type="dxa"/>
            <w:tcBorders>
              <w:bottom w:val="nil"/>
            </w:tcBorders>
            <w:noWrap/>
            <w:vAlign w:val="center"/>
          </w:tcPr>
          <w:p w14:paraId="777627AE"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$316,977</w:t>
            </w:r>
          </w:p>
        </w:tc>
        <w:tc>
          <w:tcPr>
            <w:tcW w:w="1272" w:type="dxa"/>
            <w:tcBorders>
              <w:bottom w:val="nil"/>
            </w:tcBorders>
            <w:noWrap/>
            <w:vAlign w:val="center"/>
          </w:tcPr>
          <w:p w14:paraId="0ADD3F04"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$322,982</w:t>
            </w:r>
          </w:p>
        </w:tc>
      </w:tr>
      <w:tr w:rsidR="00E34267" w:rsidRPr="00F30882" w14:paraId="06A95066" w14:textId="77777777" w:rsidTr="00E34267">
        <w:trPr>
          <w:cantSplit/>
          <w:trHeight w:val="315"/>
        </w:trPr>
        <w:tc>
          <w:tcPr>
            <w:tcW w:w="2882" w:type="dxa"/>
            <w:tcBorders>
              <w:top w:val="nil"/>
            </w:tcBorders>
            <w:noWrap/>
            <w:vAlign w:val="center"/>
          </w:tcPr>
          <w:p w14:paraId="49EAFF19" w14:textId="77777777" w:rsidR="00E34267" w:rsidRPr="007A2975" w:rsidRDefault="00E34267" w:rsidP="00E34267">
            <w:pPr>
              <w:spacing w:before="60" w:after="60"/>
              <w:rPr>
                <w:rFonts w:ascii="Arial" w:eastAsia="Calibri" w:hAnsi="Arial" w:cs="Arial"/>
                <w:sz w:val="20"/>
              </w:rPr>
            </w:pPr>
            <w:r w:rsidRPr="007A2975">
              <w:rPr>
                <w:rFonts w:ascii="Arial" w:eastAsia="Calibri" w:hAnsi="Arial" w:cs="Arial"/>
                <w:sz w:val="20"/>
              </w:rPr>
              <w:t>≤50 years or dense breasts</w:t>
            </w:r>
          </w:p>
        </w:tc>
        <w:tc>
          <w:tcPr>
            <w:tcW w:w="1272" w:type="dxa"/>
            <w:tcBorders>
              <w:top w:val="nil"/>
            </w:tcBorders>
            <w:noWrap/>
            <w:vAlign w:val="center"/>
          </w:tcPr>
          <w:p w14:paraId="57492F2F"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$1,067,962</w:t>
            </w:r>
          </w:p>
        </w:tc>
        <w:tc>
          <w:tcPr>
            <w:tcW w:w="1272" w:type="dxa"/>
            <w:tcBorders>
              <w:top w:val="nil"/>
            </w:tcBorders>
            <w:noWrap/>
            <w:vAlign w:val="center"/>
          </w:tcPr>
          <w:p w14:paraId="2DA3F465"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$1,089,415</w:t>
            </w:r>
          </w:p>
        </w:tc>
        <w:tc>
          <w:tcPr>
            <w:tcW w:w="1272" w:type="dxa"/>
            <w:tcBorders>
              <w:top w:val="nil"/>
            </w:tcBorders>
            <w:noWrap/>
            <w:vAlign w:val="center"/>
          </w:tcPr>
          <w:p w14:paraId="05E383C3"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$1,110,869</w:t>
            </w:r>
          </w:p>
        </w:tc>
        <w:tc>
          <w:tcPr>
            <w:tcW w:w="1272" w:type="dxa"/>
            <w:tcBorders>
              <w:top w:val="nil"/>
            </w:tcBorders>
            <w:noWrap/>
            <w:vAlign w:val="center"/>
          </w:tcPr>
          <w:p w14:paraId="044284BE"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$1,132,322</w:t>
            </w:r>
          </w:p>
        </w:tc>
        <w:tc>
          <w:tcPr>
            <w:tcW w:w="1272" w:type="dxa"/>
            <w:tcBorders>
              <w:top w:val="nil"/>
            </w:tcBorders>
            <w:noWrap/>
            <w:vAlign w:val="center"/>
          </w:tcPr>
          <w:p w14:paraId="06EB29A5" w14:textId="77777777" w:rsidR="00E34267" w:rsidRPr="007A2975" w:rsidRDefault="00E34267" w:rsidP="00E34267">
            <w:pPr>
              <w:keepNext/>
              <w:spacing w:before="60" w:after="60"/>
              <w:jc w:val="right"/>
              <w:rPr>
                <w:rFonts w:ascii="Arial" w:eastAsia="Calibri" w:hAnsi="Arial" w:cs="Arial"/>
                <w:sz w:val="20"/>
              </w:rPr>
            </w:pPr>
            <w:r w:rsidRPr="007A2975">
              <w:rPr>
                <w:rFonts w:ascii="Arial" w:eastAsia="Calibri" w:hAnsi="Arial" w:cs="Arial"/>
                <w:sz w:val="20"/>
              </w:rPr>
              <w:t>$1,153,775</w:t>
            </w:r>
          </w:p>
        </w:tc>
      </w:tr>
      <w:tr w:rsidR="00E34267" w:rsidRPr="00F30882" w14:paraId="141BB86A" w14:textId="77777777" w:rsidTr="00E34267">
        <w:trPr>
          <w:cantSplit/>
          <w:trHeight w:val="315"/>
        </w:trPr>
        <w:tc>
          <w:tcPr>
            <w:tcW w:w="2882" w:type="dxa"/>
            <w:noWrap/>
            <w:vAlign w:val="center"/>
          </w:tcPr>
          <w:p w14:paraId="287E0809" w14:textId="77777777" w:rsidR="00E34267" w:rsidRPr="007A2975" w:rsidRDefault="00E34267" w:rsidP="00E34267">
            <w:pPr>
              <w:spacing w:before="60" w:after="60"/>
              <w:rPr>
                <w:rFonts w:ascii="Arial" w:eastAsia="Calibri" w:hAnsi="Arial" w:cs="Arial"/>
                <w:b/>
                <w:bCs/>
                <w:sz w:val="20"/>
              </w:rPr>
            </w:pPr>
            <w:r w:rsidRPr="007A2975">
              <w:rPr>
                <w:rFonts w:ascii="Arial" w:eastAsia="Calibri" w:hAnsi="Arial" w:cs="Arial"/>
                <w:b/>
                <w:bCs/>
                <w:sz w:val="20"/>
              </w:rPr>
              <w:t>Total cost</w:t>
            </w:r>
          </w:p>
        </w:tc>
        <w:tc>
          <w:tcPr>
            <w:tcW w:w="1272" w:type="dxa"/>
            <w:noWrap/>
            <w:vAlign w:val="center"/>
          </w:tcPr>
          <w:p w14:paraId="060716D7" w14:textId="77777777" w:rsidR="00E34267" w:rsidRPr="007A2975" w:rsidRDefault="00E34267" w:rsidP="00E34267">
            <w:pPr>
              <w:keepNext/>
              <w:spacing w:before="60" w:after="60"/>
              <w:jc w:val="right"/>
              <w:rPr>
                <w:rFonts w:ascii="Arial" w:eastAsia="Calibri" w:hAnsi="Arial" w:cs="Arial"/>
                <w:b/>
                <w:bCs/>
                <w:sz w:val="20"/>
              </w:rPr>
            </w:pPr>
            <w:r w:rsidRPr="007A2975">
              <w:rPr>
                <w:rFonts w:ascii="Arial" w:eastAsia="Calibri" w:hAnsi="Arial" w:cs="Arial"/>
                <w:b/>
                <w:bCs/>
                <w:sz w:val="20"/>
              </w:rPr>
              <w:t>$1,366,922</w:t>
            </w:r>
          </w:p>
        </w:tc>
        <w:tc>
          <w:tcPr>
            <w:tcW w:w="1272" w:type="dxa"/>
            <w:noWrap/>
            <w:vAlign w:val="center"/>
          </w:tcPr>
          <w:p w14:paraId="5903FA37" w14:textId="77777777" w:rsidR="00E34267" w:rsidRPr="007A2975" w:rsidRDefault="00E34267" w:rsidP="00E34267">
            <w:pPr>
              <w:keepNext/>
              <w:spacing w:before="60" w:after="60"/>
              <w:jc w:val="right"/>
              <w:rPr>
                <w:rFonts w:ascii="Arial" w:eastAsia="Calibri" w:hAnsi="Arial" w:cs="Arial"/>
                <w:b/>
                <w:bCs/>
                <w:sz w:val="20"/>
              </w:rPr>
            </w:pPr>
            <w:r w:rsidRPr="007A2975">
              <w:rPr>
                <w:rFonts w:ascii="Arial" w:eastAsia="Calibri" w:hAnsi="Arial" w:cs="Arial"/>
                <w:b/>
                <w:bCs/>
                <w:sz w:val="20"/>
              </w:rPr>
              <w:t>$1,394,381</w:t>
            </w:r>
          </w:p>
        </w:tc>
        <w:tc>
          <w:tcPr>
            <w:tcW w:w="1272" w:type="dxa"/>
            <w:noWrap/>
            <w:vAlign w:val="center"/>
          </w:tcPr>
          <w:p w14:paraId="08A2EE18" w14:textId="77777777" w:rsidR="00E34267" w:rsidRPr="007A2975" w:rsidRDefault="00E34267" w:rsidP="00E34267">
            <w:pPr>
              <w:keepNext/>
              <w:spacing w:before="60" w:after="60"/>
              <w:jc w:val="right"/>
              <w:rPr>
                <w:rFonts w:ascii="Arial" w:eastAsia="Calibri" w:hAnsi="Arial" w:cs="Arial"/>
                <w:b/>
                <w:bCs/>
                <w:sz w:val="20"/>
              </w:rPr>
            </w:pPr>
            <w:r w:rsidRPr="007A2975">
              <w:rPr>
                <w:rFonts w:ascii="Arial" w:eastAsia="Calibri" w:hAnsi="Arial" w:cs="Arial"/>
                <w:b/>
                <w:bCs/>
                <w:sz w:val="20"/>
              </w:rPr>
              <w:t>$1,421,840</w:t>
            </w:r>
          </w:p>
        </w:tc>
        <w:tc>
          <w:tcPr>
            <w:tcW w:w="1272" w:type="dxa"/>
            <w:noWrap/>
            <w:vAlign w:val="center"/>
          </w:tcPr>
          <w:p w14:paraId="6D94C796" w14:textId="77777777" w:rsidR="00E34267" w:rsidRPr="007A2975" w:rsidRDefault="00E34267" w:rsidP="00E34267">
            <w:pPr>
              <w:keepNext/>
              <w:spacing w:before="60" w:after="60"/>
              <w:jc w:val="right"/>
              <w:rPr>
                <w:rFonts w:ascii="Arial" w:eastAsia="Calibri" w:hAnsi="Arial" w:cs="Arial"/>
                <w:b/>
                <w:bCs/>
                <w:sz w:val="20"/>
              </w:rPr>
            </w:pPr>
            <w:r w:rsidRPr="007A2975">
              <w:rPr>
                <w:rFonts w:ascii="Arial" w:eastAsia="Calibri" w:hAnsi="Arial" w:cs="Arial"/>
                <w:b/>
                <w:bCs/>
                <w:sz w:val="20"/>
              </w:rPr>
              <w:t>$1,449,298</w:t>
            </w:r>
          </w:p>
        </w:tc>
        <w:tc>
          <w:tcPr>
            <w:tcW w:w="1272" w:type="dxa"/>
            <w:noWrap/>
            <w:vAlign w:val="center"/>
          </w:tcPr>
          <w:p w14:paraId="7FB9C085" w14:textId="77777777" w:rsidR="00E34267" w:rsidRPr="007A2975" w:rsidRDefault="00E34267" w:rsidP="00E34267">
            <w:pPr>
              <w:keepNext/>
              <w:spacing w:before="60" w:after="60"/>
              <w:jc w:val="right"/>
              <w:rPr>
                <w:rFonts w:ascii="Arial" w:eastAsia="Calibri" w:hAnsi="Arial" w:cs="Arial"/>
                <w:b/>
                <w:bCs/>
                <w:sz w:val="20"/>
              </w:rPr>
            </w:pPr>
            <w:r w:rsidRPr="007A2975">
              <w:rPr>
                <w:rFonts w:ascii="Arial" w:eastAsia="Calibri" w:hAnsi="Arial" w:cs="Arial"/>
                <w:b/>
                <w:bCs/>
                <w:sz w:val="20"/>
              </w:rPr>
              <w:t>$1,476,757</w:t>
            </w:r>
          </w:p>
        </w:tc>
      </w:tr>
    </w:tbl>
    <w:p w14:paraId="067E64FF" w14:textId="77777777" w:rsidR="00E34267" w:rsidRPr="00E34267" w:rsidRDefault="00E34267" w:rsidP="00E34267">
      <w:pPr>
        <w:keepNext/>
        <w:keepLines/>
        <w:rPr>
          <w:rFonts w:ascii="Arial Narrow" w:hAnsi="Arial Narrow"/>
          <w:color w:val="000000"/>
          <w:sz w:val="16"/>
          <w:szCs w:val="16"/>
        </w:rPr>
      </w:pPr>
      <w:r w:rsidRPr="00E34267">
        <w:rPr>
          <w:rFonts w:ascii="Arial Narrow" w:hAnsi="Arial Narrow"/>
          <w:color w:val="000000"/>
          <w:sz w:val="16"/>
          <w:szCs w:val="16"/>
        </w:rPr>
        <w:t>Note: rounding has been applied.</w:t>
      </w:r>
    </w:p>
    <w:p w14:paraId="39F53DBD" w14:textId="77777777" w:rsidR="00E34267" w:rsidRPr="00E34267" w:rsidRDefault="00E34267" w:rsidP="00E34267">
      <w:pPr>
        <w:rPr>
          <w:szCs w:val="24"/>
        </w:rPr>
      </w:pPr>
    </w:p>
    <w:p w14:paraId="104E50DB" w14:textId="77777777" w:rsidR="00E34267" w:rsidRPr="00E34267" w:rsidRDefault="00E34267" w:rsidP="00E34267">
      <w:pPr>
        <w:rPr>
          <w:szCs w:val="24"/>
        </w:rPr>
      </w:pPr>
      <w:r w:rsidRPr="00E34267">
        <w:rPr>
          <w:szCs w:val="24"/>
        </w:rPr>
        <w:t>The overall financial impact to government is presented in Table 11.</w:t>
      </w:r>
    </w:p>
    <w:p w14:paraId="2780A931" w14:textId="77777777" w:rsidR="00E34267" w:rsidRPr="00E34267" w:rsidRDefault="00E34267" w:rsidP="00E34267">
      <w:pPr>
        <w:rPr>
          <w:szCs w:val="24"/>
        </w:rPr>
      </w:pPr>
    </w:p>
    <w:p w14:paraId="0DE78928" w14:textId="77777777" w:rsidR="00E34267" w:rsidRPr="00F30882" w:rsidRDefault="00E34267" w:rsidP="00E34267">
      <w:pPr>
        <w:keepNext/>
        <w:tabs>
          <w:tab w:val="left" w:pos="1134"/>
        </w:tabs>
        <w:spacing w:before="40" w:after="40"/>
        <w:ind w:left="1134" w:hanging="1134"/>
        <w:rPr>
          <w:rFonts w:ascii="Arial" w:hAnsi="Arial" w:cs="Arial"/>
          <w:b/>
          <w:bCs/>
          <w:sz w:val="20"/>
        </w:rPr>
      </w:pPr>
      <w:bookmarkStart w:id="39" w:name="_Ref405888927"/>
      <w:bookmarkStart w:id="40" w:name="_Toc405984012"/>
      <w:bookmarkStart w:id="41" w:name="_Toc408487944"/>
      <w:r w:rsidRPr="00F30882">
        <w:rPr>
          <w:rFonts w:ascii="Arial" w:hAnsi="Arial" w:cs="Arial"/>
          <w:b/>
          <w:bCs/>
          <w:sz w:val="20"/>
        </w:rPr>
        <w:t xml:space="preserve">Table </w:t>
      </w:r>
      <w:bookmarkEnd w:id="39"/>
      <w:r w:rsidRPr="00F30882">
        <w:rPr>
          <w:rFonts w:ascii="Arial" w:hAnsi="Arial" w:cs="Arial"/>
          <w:b/>
          <w:bCs/>
          <w:sz w:val="20"/>
        </w:rPr>
        <w:t>11</w:t>
      </w:r>
      <w:r w:rsidRPr="00F30882">
        <w:rPr>
          <w:rFonts w:ascii="Arial" w:hAnsi="Arial" w:cs="Arial"/>
          <w:b/>
          <w:bCs/>
          <w:sz w:val="20"/>
        </w:rPr>
        <w:tab/>
        <w:t>Estimated total cost to government health budgets</w:t>
      </w:r>
      <w:bookmarkEnd w:id="40"/>
      <w:bookmarkEnd w:id="41"/>
    </w:p>
    <w:tbl>
      <w:tblPr>
        <w:tblStyle w:val="TableGrid3"/>
        <w:tblW w:w="5043" w:type="pct"/>
        <w:tblLook w:val="04A0" w:firstRow="1" w:lastRow="0" w:firstColumn="1" w:lastColumn="0" w:noHBand="0" w:noVBand="1"/>
        <w:tblCaption w:val="Estimated total cost to government health budgets"/>
      </w:tblPr>
      <w:tblGrid>
        <w:gridCol w:w="2706"/>
        <w:gridCol w:w="1291"/>
        <w:gridCol w:w="1280"/>
        <w:gridCol w:w="1263"/>
        <w:gridCol w:w="1407"/>
        <w:gridCol w:w="1375"/>
      </w:tblGrid>
      <w:tr w:rsidR="00E34267" w:rsidRPr="00F30882" w14:paraId="44668EC6" w14:textId="77777777" w:rsidTr="00E34267">
        <w:trPr>
          <w:cantSplit/>
          <w:trHeight w:val="315"/>
          <w:tblHeader/>
        </w:trPr>
        <w:tc>
          <w:tcPr>
            <w:tcW w:w="2706" w:type="dxa"/>
            <w:tcBorders>
              <w:bottom w:val="single" w:sz="4" w:space="0" w:color="auto"/>
            </w:tcBorders>
            <w:noWrap/>
            <w:hideMark/>
          </w:tcPr>
          <w:p w14:paraId="06857A88" w14:textId="77777777" w:rsidR="00E34267" w:rsidRPr="007A2975" w:rsidRDefault="00E34267" w:rsidP="00E34267">
            <w:pPr>
              <w:keepNext/>
              <w:spacing w:before="40" w:after="40"/>
              <w:rPr>
                <w:rFonts w:ascii="Arial" w:hAnsi="Arial" w:cs="Arial"/>
                <w:b/>
                <w:sz w:val="20"/>
              </w:rPr>
            </w:pPr>
            <w:r w:rsidRPr="007A2975">
              <w:rPr>
                <w:rFonts w:ascii="Arial" w:hAnsi="Arial" w:cs="Arial"/>
                <w:b/>
                <w:sz w:val="20"/>
              </w:rPr>
              <w:t>Costs</w:t>
            </w:r>
          </w:p>
        </w:tc>
        <w:tc>
          <w:tcPr>
            <w:tcW w:w="1291" w:type="dxa"/>
            <w:tcBorders>
              <w:bottom w:val="single" w:sz="4" w:space="0" w:color="auto"/>
            </w:tcBorders>
            <w:noWrap/>
            <w:hideMark/>
          </w:tcPr>
          <w:p w14:paraId="49BA7352" w14:textId="77777777" w:rsidR="00E34267" w:rsidRPr="007A2975" w:rsidRDefault="00E34267" w:rsidP="00E34267">
            <w:pPr>
              <w:spacing w:before="40" w:after="40"/>
              <w:jc w:val="center"/>
              <w:rPr>
                <w:rFonts w:ascii="Arial" w:hAnsi="Arial" w:cs="Arial"/>
                <w:b/>
                <w:sz w:val="20"/>
              </w:rPr>
            </w:pPr>
            <w:r w:rsidRPr="007A2975">
              <w:rPr>
                <w:rFonts w:ascii="Arial" w:hAnsi="Arial" w:cs="Arial"/>
                <w:b/>
                <w:sz w:val="20"/>
              </w:rPr>
              <w:t>2016</w:t>
            </w:r>
          </w:p>
        </w:tc>
        <w:tc>
          <w:tcPr>
            <w:tcW w:w="1280" w:type="dxa"/>
            <w:tcBorders>
              <w:bottom w:val="single" w:sz="4" w:space="0" w:color="auto"/>
            </w:tcBorders>
            <w:noWrap/>
            <w:hideMark/>
          </w:tcPr>
          <w:p w14:paraId="10E6E84F" w14:textId="77777777" w:rsidR="00E34267" w:rsidRPr="007A2975" w:rsidRDefault="00E34267" w:rsidP="00E34267">
            <w:pPr>
              <w:spacing w:before="40" w:after="40"/>
              <w:jc w:val="center"/>
              <w:rPr>
                <w:rFonts w:ascii="Arial" w:hAnsi="Arial" w:cs="Arial"/>
                <w:b/>
                <w:sz w:val="20"/>
              </w:rPr>
            </w:pPr>
            <w:r w:rsidRPr="007A2975">
              <w:rPr>
                <w:rFonts w:ascii="Arial" w:hAnsi="Arial" w:cs="Arial"/>
                <w:b/>
                <w:sz w:val="20"/>
              </w:rPr>
              <w:t>2017</w:t>
            </w:r>
          </w:p>
        </w:tc>
        <w:tc>
          <w:tcPr>
            <w:tcW w:w="1263" w:type="dxa"/>
            <w:tcBorders>
              <w:bottom w:val="single" w:sz="4" w:space="0" w:color="auto"/>
            </w:tcBorders>
            <w:noWrap/>
            <w:hideMark/>
          </w:tcPr>
          <w:p w14:paraId="056AD82C" w14:textId="77777777" w:rsidR="00E34267" w:rsidRPr="007A2975" w:rsidRDefault="00E34267" w:rsidP="00E34267">
            <w:pPr>
              <w:spacing w:before="40" w:after="40"/>
              <w:jc w:val="center"/>
              <w:rPr>
                <w:rFonts w:ascii="Arial" w:hAnsi="Arial" w:cs="Arial"/>
                <w:b/>
                <w:sz w:val="20"/>
              </w:rPr>
            </w:pPr>
            <w:r w:rsidRPr="007A2975">
              <w:rPr>
                <w:rFonts w:ascii="Arial" w:hAnsi="Arial" w:cs="Arial"/>
                <w:b/>
                <w:sz w:val="20"/>
              </w:rPr>
              <w:t>2018</w:t>
            </w:r>
          </w:p>
        </w:tc>
        <w:tc>
          <w:tcPr>
            <w:tcW w:w="1407" w:type="dxa"/>
            <w:tcBorders>
              <w:bottom w:val="single" w:sz="4" w:space="0" w:color="auto"/>
            </w:tcBorders>
            <w:noWrap/>
            <w:hideMark/>
          </w:tcPr>
          <w:p w14:paraId="6EF3CFAC" w14:textId="77777777" w:rsidR="00E34267" w:rsidRPr="007A2975" w:rsidRDefault="00E34267" w:rsidP="00E34267">
            <w:pPr>
              <w:spacing w:before="40" w:after="40"/>
              <w:jc w:val="center"/>
              <w:rPr>
                <w:rFonts w:ascii="Arial" w:hAnsi="Arial" w:cs="Arial"/>
                <w:b/>
                <w:sz w:val="20"/>
              </w:rPr>
            </w:pPr>
            <w:r w:rsidRPr="007A2975">
              <w:rPr>
                <w:rFonts w:ascii="Arial" w:hAnsi="Arial" w:cs="Arial"/>
                <w:b/>
                <w:sz w:val="20"/>
              </w:rPr>
              <w:t>2019</w:t>
            </w:r>
          </w:p>
        </w:tc>
        <w:tc>
          <w:tcPr>
            <w:tcW w:w="1375" w:type="dxa"/>
            <w:tcBorders>
              <w:bottom w:val="single" w:sz="4" w:space="0" w:color="auto"/>
            </w:tcBorders>
            <w:noWrap/>
            <w:hideMark/>
          </w:tcPr>
          <w:p w14:paraId="1A72E276" w14:textId="77777777" w:rsidR="00E34267" w:rsidRPr="007A2975" w:rsidRDefault="00E34267" w:rsidP="00E34267">
            <w:pPr>
              <w:tabs>
                <w:tab w:val="center" w:pos="340"/>
              </w:tabs>
              <w:spacing w:before="40" w:after="40"/>
              <w:jc w:val="center"/>
              <w:rPr>
                <w:rFonts w:ascii="Arial" w:hAnsi="Arial" w:cs="Arial"/>
                <w:b/>
                <w:sz w:val="20"/>
              </w:rPr>
            </w:pPr>
            <w:r w:rsidRPr="007A2975">
              <w:rPr>
                <w:rFonts w:ascii="Arial" w:hAnsi="Arial" w:cs="Arial"/>
                <w:b/>
                <w:sz w:val="20"/>
              </w:rPr>
              <w:t>2020</w:t>
            </w:r>
          </w:p>
        </w:tc>
      </w:tr>
      <w:tr w:rsidR="00E34267" w:rsidRPr="00F30882" w14:paraId="7BC7B3B4" w14:textId="77777777" w:rsidTr="00E34267">
        <w:trPr>
          <w:cantSplit/>
          <w:trHeight w:val="300"/>
        </w:trPr>
        <w:tc>
          <w:tcPr>
            <w:tcW w:w="2706" w:type="dxa"/>
            <w:tcBorders>
              <w:bottom w:val="nil"/>
            </w:tcBorders>
            <w:noWrap/>
            <w:hideMark/>
          </w:tcPr>
          <w:p w14:paraId="2D802DD4" w14:textId="77777777" w:rsidR="00E34267" w:rsidRPr="007A2975" w:rsidRDefault="00E34267" w:rsidP="00E34267">
            <w:pPr>
              <w:spacing w:before="60" w:after="60"/>
              <w:rPr>
                <w:rFonts w:ascii="Arial" w:eastAsia="Calibri" w:hAnsi="Arial" w:cs="Arial"/>
                <w:sz w:val="20"/>
              </w:rPr>
            </w:pPr>
            <w:r w:rsidRPr="007A2975">
              <w:rPr>
                <w:rFonts w:ascii="Arial" w:eastAsia="Calibri" w:hAnsi="Arial" w:cs="Arial"/>
                <w:sz w:val="20"/>
              </w:rPr>
              <w:t>Cost to the MBS</w:t>
            </w:r>
          </w:p>
        </w:tc>
        <w:tc>
          <w:tcPr>
            <w:tcW w:w="1291" w:type="dxa"/>
            <w:tcBorders>
              <w:bottom w:val="nil"/>
            </w:tcBorders>
            <w:noWrap/>
            <w:vAlign w:val="center"/>
          </w:tcPr>
          <w:p w14:paraId="296AE713"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$8,242,779</w:t>
            </w:r>
          </w:p>
        </w:tc>
        <w:tc>
          <w:tcPr>
            <w:tcW w:w="1280" w:type="dxa"/>
            <w:tcBorders>
              <w:bottom w:val="nil"/>
            </w:tcBorders>
            <w:noWrap/>
            <w:vAlign w:val="center"/>
          </w:tcPr>
          <w:p w14:paraId="052F7B34"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$8,408,359</w:t>
            </w:r>
          </w:p>
        </w:tc>
        <w:tc>
          <w:tcPr>
            <w:tcW w:w="1263" w:type="dxa"/>
            <w:tcBorders>
              <w:bottom w:val="nil"/>
            </w:tcBorders>
            <w:noWrap/>
            <w:vAlign w:val="center"/>
          </w:tcPr>
          <w:p w14:paraId="09962F51"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$8,573,939</w:t>
            </w:r>
          </w:p>
        </w:tc>
        <w:tc>
          <w:tcPr>
            <w:tcW w:w="1407" w:type="dxa"/>
            <w:tcBorders>
              <w:bottom w:val="nil"/>
            </w:tcBorders>
            <w:noWrap/>
            <w:vAlign w:val="center"/>
          </w:tcPr>
          <w:p w14:paraId="61A1FD75"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$8,739,519</w:t>
            </w:r>
          </w:p>
        </w:tc>
        <w:tc>
          <w:tcPr>
            <w:tcW w:w="1375" w:type="dxa"/>
            <w:tcBorders>
              <w:bottom w:val="nil"/>
            </w:tcBorders>
            <w:noWrap/>
            <w:vAlign w:val="center"/>
          </w:tcPr>
          <w:p w14:paraId="1E8552D7"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$8,905,099</w:t>
            </w:r>
          </w:p>
        </w:tc>
      </w:tr>
      <w:tr w:rsidR="00E34267" w:rsidRPr="00F30882" w14:paraId="3DB96D75" w14:textId="77777777" w:rsidTr="00E34267">
        <w:trPr>
          <w:cantSplit/>
          <w:trHeight w:val="300"/>
        </w:trPr>
        <w:tc>
          <w:tcPr>
            <w:tcW w:w="2706" w:type="dxa"/>
            <w:tcBorders>
              <w:top w:val="nil"/>
            </w:tcBorders>
            <w:noWrap/>
            <w:hideMark/>
          </w:tcPr>
          <w:p w14:paraId="37460A09" w14:textId="77777777" w:rsidR="00E34267" w:rsidRPr="007A2975" w:rsidRDefault="00E34267" w:rsidP="00E34267">
            <w:pPr>
              <w:spacing w:before="60" w:after="60"/>
              <w:rPr>
                <w:rFonts w:ascii="Arial" w:eastAsia="Calibri" w:hAnsi="Arial" w:cs="Arial"/>
                <w:sz w:val="20"/>
              </w:rPr>
            </w:pPr>
            <w:r w:rsidRPr="007A2975">
              <w:rPr>
                <w:rFonts w:ascii="Arial" w:eastAsia="Calibri" w:hAnsi="Arial" w:cs="Arial"/>
                <w:sz w:val="20"/>
              </w:rPr>
              <w:t>Cost to state and territory governments</w:t>
            </w:r>
          </w:p>
        </w:tc>
        <w:tc>
          <w:tcPr>
            <w:tcW w:w="1291" w:type="dxa"/>
            <w:tcBorders>
              <w:top w:val="nil"/>
            </w:tcBorders>
            <w:noWrap/>
            <w:vAlign w:val="center"/>
          </w:tcPr>
          <w:p w14:paraId="14FBC8AC"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$1,366,922</w:t>
            </w:r>
          </w:p>
        </w:tc>
        <w:tc>
          <w:tcPr>
            <w:tcW w:w="1280" w:type="dxa"/>
            <w:tcBorders>
              <w:top w:val="nil"/>
            </w:tcBorders>
            <w:noWrap/>
            <w:vAlign w:val="center"/>
          </w:tcPr>
          <w:p w14:paraId="1A4E3A50"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$1,394,381</w:t>
            </w:r>
          </w:p>
        </w:tc>
        <w:tc>
          <w:tcPr>
            <w:tcW w:w="1263" w:type="dxa"/>
            <w:tcBorders>
              <w:top w:val="nil"/>
            </w:tcBorders>
            <w:noWrap/>
            <w:vAlign w:val="center"/>
          </w:tcPr>
          <w:p w14:paraId="461FE202"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$1,421,840</w:t>
            </w:r>
          </w:p>
        </w:tc>
        <w:tc>
          <w:tcPr>
            <w:tcW w:w="1407" w:type="dxa"/>
            <w:tcBorders>
              <w:top w:val="nil"/>
            </w:tcBorders>
            <w:noWrap/>
            <w:vAlign w:val="center"/>
          </w:tcPr>
          <w:p w14:paraId="502E437D"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$1,449,298</w:t>
            </w:r>
          </w:p>
        </w:tc>
        <w:tc>
          <w:tcPr>
            <w:tcW w:w="1375" w:type="dxa"/>
            <w:tcBorders>
              <w:top w:val="nil"/>
            </w:tcBorders>
            <w:noWrap/>
            <w:vAlign w:val="center"/>
          </w:tcPr>
          <w:p w14:paraId="19DFE74E" w14:textId="77777777" w:rsidR="00E34267" w:rsidRPr="007A2975" w:rsidRDefault="00E34267" w:rsidP="00E34267">
            <w:pPr>
              <w:spacing w:before="40" w:after="40"/>
              <w:jc w:val="right"/>
              <w:rPr>
                <w:rFonts w:ascii="Arial" w:hAnsi="Arial" w:cs="Arial"/>
                <w:sz w:val="20"/>
              </w:rPr>
            </w:pPr>
            <w:r w:rsidRPr="007A2975">
              <w:rPr>
                <w:rFonts w:ascii="Arial" w:hAnsi="Arial" w:cs="Arial"/>
                <w:sz w:val="20"/>
              </w:rPr>
              <w:t>$1,476,757</w:t>
            </w:r>
          </w:p>
        </w:tc>
      </w:tr>
      <w:tr w:rsidR="00E34267" w:rsidRPr="00F30882" w14:paraId="3D83F9E4" w14:textId="77777777" w:rsidTr="00E34267">
        <w:trPr>
          <w:cantSplit/>
          <w:trHeight w:val="315"/>
        </w:trPr>
        <w:tc>
          <w:tcPr>
            <w:tcW w:w="2706" w:type="dxa"/>
            <w:noWrap/>
            <w:hideMark/>
          </w:tcPr>
          <w:p w14:paraId="0DA8FE58" w14:textId="77777777" w:rsidR="00E34267" w:rsidRPr="007A2975" w:rsidRDefault="00E34267" w:rsidP="00E34267">
            <w:pPr>
              <w:spacing w:before="60" w:after="60"/>
              <w:rPr>
                <w:rFonts w:ascii="Arial" w:eastAsia="Calibri" w:hAnsi="Arial" w:cs="Arial"/>
                <w:b/>
                <w:sz w:val="20"/>
              </w:rPr>
            </w:pPr>
            <w:r w:rsidRPr="007A2975">
              <w:rPr>
                <w:rFonts w:ascii="Arial" w:eastAsia="Calibri" w:hAnsi="Arial" w:cs="Arial"/>
                <w:b/>
                <w:sz w:val="20"/>
              </w:rPr>
              <w:t>Total cost</w:t>
            </w:r>
          </w:p>
        </w:tc>
        <w:tc>
          <w:tcPr>
            <w:tcW w:w="1291" w:type="dxa"/>
            <w:noWrap/>
            <w:vAlign w:val="center"/>
          </w:tcPr>
          <w:p w14:paraId="27322B78" w14:textId="77777777" w:rsidR="00E34267" w:rsidRPr="007A2975" w:rsidRDefault="00E34267" w:rsidP="00E34267">
            <w:pPr>
              <w:spacing w:before="40" w:after="40"/>
              <w:jc w:val="right"/>
              <w:rPr>
                <w:rFonts w:ascii="Arial" w:hAnsi="Arial" w:cs="Arial"/>
                <w:b/>
                <w:bCs/>
                <w:sz w:val="20"/>
              </w:rPr>
            </w:pPr>
            <w:r w:rsidRPr="007A2975">
              <w:rPr>
                <w:rFonts w:ascii="Arial" w:hAnsi="Arial" w:cs="Arial"/>
                <w:b/>
                <w:bCs/>
                <w:sz w:val="20"/>
              </w:rPr>
              <w:t>$9,609,702</w:t>
            </w:r>
          </w:p>
        </w:tc>
        <w:tc>
          <w:tcPr>
            <w:tcW w:w="1280" w:type="dxa"/>
            <w:noWrap/>
            <w:vAlign w:val="center"/>
          </w:tcPr>
          <w:p w14:paraId="4ABA6898" w14:textId="77777777" w:rsidR="00E34267" w:rsidRPr="007A2975" w:rsidRDefault="00E34267" w:rsidP="00E34267">
            <w:pPr>
              <w:spacing w:before="40" w:after="40"/>
              <w:jc w:val="right"/>
              <w:rPr>
                <w:rFonts w:ascii="Arial" w:hAnsi="Arial" w:cs="Arial"/>
                <w:b/>
                <w:bCs/>
                <w:sz w:val="20"/>
              </w:rPr>
            </w:pPr>
            <w:r w:rsidRPr="007A2975">
              <w:rPr>
                <w:rFonts w:ascii="Arial" w:hAnsi="Arial" w:cs="Arial"/>
                <w:b/>
                <w:bCs/>
                <w:sz w:val="20"/>
              </w:rPr>
              <w:t>$9,802,740</w:t>
            </w:r>
          </w:p>
        </w:tc>
        <w:tc>
          <w:tcPr>
            <w:tcW w:w="1263" w:type="dxa"/>
            <w:noWrap/>
            <w:vAlign w:val="center"/>
          </w:tcPr>
          <w:p w14:paraId="6C4B6C6D" w14:textId="77777777" w:rsidR="00E34267" w:rsidRPr="007A2975" w:rsidRDefault="00E34267" w:rsidP="00E34267">
            <w:pPr>
              <w:spacing w:before="40" w:after="40"/>
              <w:jc w:val="right"/>
              <w:rPr>
                <w:rFonts w:ascii="Arial" w:hAnsi="Arial" w:cs="Arial"/>
                <w:b/>
                <w:bCs/>
                <w:sz w:val="20"/>
              </w:rPr>
            </w:pPr>
            <w:r w:rsidRPr="007A2975">
              <w:rPr>
                <w:rFonts w:ascii="Arial" w:hAnsi="Arial" w:cs="Arial"/>
                <w:b/>
                <w:bCs/>
                <w:sz w:val="20"/>
              </w:rPr>
              <w:t>$9,995,779</w:t>
            </w:r>
          </w:p>
        </w:tc>
        <w:tc>
          <w:tcPr>
            <w:tcW w:w="1407" w:type="dxa"/>
            <w:noWrap/>
            <w:vAlign w:val="center"/>
          </w:tcPr>
          <w:p w14:paraId="248B904E" w14:textId="77777777" w:rsidR="00E34267" w:rsidRPr="007A2975" w:rsidRDefault="00E34267" w:rsidP="00E34267">
            <w:pPr>
              <w:spacing w:before="40" w:after="40"/>
              <w:jc w:val="right"/>
              <w:rPr>
                <w:rFonts w:ascii="Arial" w:hAnsi="Arial" w:cs="Arial"/>
                <w:b/>
                <w:bCs/>
                <w:sz w:val="20"/>
              </w:rPr>
            </w:pPr>
            <w:r w:rsidRPr="007A2975">
              <w:rPr>
                <w:rFonts w:ascii="Arial" w:hAnsi="Arial" w:cs="Arial"/>
                <w:b/>
                <w:bCs/>
                <w:sz w:val="20"/>
              </w:rPr>
              <w:t>$10,188,817</w:t>
            </w:r>
          </w:p>
        </w:tc>
        <w:tc>
          <w:tcPr>
            <w:tcW w:w="1375" w:type="dxa"/>
            <w:noWrap/>
            <w:vAlign w:val="center"/>
          </w:tcPr>
          <w:p w14:paraId="192BB9CF" w14:textId="77777777" w:rsidR="00E34267" w:rsidRPr="007A2975" w:rsidRDefault="00E34267" w:rsidP="00E34267">
            <w:pPr>
              <w:spacing w:before="40" w:after="40"/>
              <w:jc w:val="right"/>
              <w:rPr>
                <w:rFonts w:ascii="Arial" w:hAnsi="Arial" w:cs="Arial"/>
                <w:b/>
                <w:bCs/>
                <w:sz w:val="20"/>
              </w:rPr>
            </w:pPr>
            <w:r w:rsidRPr="007A2975">
              <w:rPr>
                <w:rFonts w:ascii="Arial" w:hAnsi="Arial" w:cs="Arial"/>
                <w:b/>
                <w:bCs/>
                <w:sz w:val="20"/>
              </w:rPr>
              <w:t>$10,381,856</w:t>
            </w:r>
          </w:p>
        </w:tc>
      </w:tr>
    </w:tbl>
    <w:p w14:paraId="0B166271" w14:textId="77777777" w:rsidR="00E34267" w:rsidRPr="00E34267" w:rsidRDefault="00E34267" w:rsidP="00E34267">
      <w:pPr>
        <w:keepLines/>
        <w:rPr>
          <w:rFonts w:ascii="Arial Narrow" w:hAnsi="Arial Narrow"/>
          <w:color w:val="000000"/>
          <w:sz w:val="16"/>
          <w:szCs w:val="16"/>
        </w:rPr>
      </w:pPr>
      <w:r w:rsidRPr="00E34267">
        <w:rPr>
          <w:rFonts w:ascii="Arial Narrow" w:hAnsi="Arial Narrow"/>
          <w:color w:val="000000"/>
          <w:sz w:val="16"/>
          <w:szCs w:val="16"/>
        </w:rPr>
        <w:t>Abbreviation: MBS = Medicare Benefits Schedule</w:t>
      </w:r>
    </w:p>
    <w:p w14:paraId="74CB4EE2" w14:textId="77777777" w:rsidR="00E34267" w:rsidRPr="00E34267" w:rsidRDefault="00E34267" w:rsidP="00E34267">
      <w:pPr>
        <w:spacing w:after="360"/>
        <w:rPr>
          <w:rFonts w:ascii="Arial Narrow" w:hAnsi="Arial Narrow"/>
          <w:color w:val="000000"/>
          <w:sz w:val="16"/>
          <w:szCs w:val="16"/>
        </w:rPr>
      </w:pPr>
      <w:r w:rsidRPr="00E34267">
        <w:rPr>
          <w:rFonts w:ascii="Arial Narrow" w:hAnsi="Arial Narrow"/>
          <w:color w:val="000000"/>
          <w:sz w:val="16"/>
          <w:szCs w:val="16"/>
        </w:rPr>
        <w:t>Note: rounding has been applied.</w:t>
      </w:r>
    </w:p>
    <w:p w14:paraId="369E1908" w14:textId="77777777" w:rsidR="00E34267" w:rsidRPr="00E34267" w:rsidRDefault="00E34267" w:rsidP="00E34267">
      <w:pPr>
        <w:rPr>
          <w:szCs w:val="24"/>
        </w:rPr>
      </w:pPr>
      <w:r w:rsidRPr="00E34267">
        <w:rPr>
          <w:szCs w:val="24"/>
        </w:rPr>
        <w:t xml:space="preserve">The addition of MRI is associated with a significant financial impact on government health budgets of $9,609,702 in 2016, rising to $10,381,856 in 2020. The cost of performing the MRI imaging under the requested MBS item is the largest contributor to this financial impact. </w:t>
      </w:r>
    </w:p>
    <w:p w14:paraId="6A331528" w14:textId="77777777" w:rsidR="00E34267" w:rsidRPr="00E34267" w:rsidRDefault="00E34267" w:rsidP="00E34267">
      <w:pPr>
        <w:rPr>
          <w:szCs w:val="24"/>
        </w:rPr>
      </w:pPr>
    </w:p>
    <w:p w14:paraId="44BF83C9" w14:textId="77777777" w:rsidR="00E34267" w:rsidRPr="00E34267" w:rsidRDefault="00E34267" w:rsidP="00E34267">
      <w:pPr>
        <w:rPr>
          <w:szCs w:val="24"/>
        </w:rPr>
      </w:pPr>
      <w:r w:rsidRPr="00E34267">
        <w:rPr>
          <w:szCs w:val="24"/>
        </w:rPr>
        <w:t>As more women are receiving expensive mastectomies, the change in surgery rates increases the financial impact, as does the additional diagnostics performed after a positive MRI.</w:t>
      </w:r>
    </w:p>
    <w:p w14:paraId="022F9136" w14:textId="77777777" w:rsidR="00E34267" w:rsidRPr="00E34267" w:rsidRDefault="00E34267" w:rsidP="00E34267">
      <w:pPr>
        <w:rPr>
          <w:szCs w:val="24"/>
        </w:rPr>
      </w:pPr>
      <w:r w:rsidRPr="00E34267">
        <w:rPr>
          <w:szCs w:val="24"/>
        </w:rPr>
        <w:t xml:space="preserve">Sensitivity analyses were performed, varying the change in surgery rates between the extremes of their 95% confidence intervals. </w:t>
      </w:r>
    </w:p>
    <w:p w14:paraId="75E27A43" w14:textId="77777777" w:rsidR="00BC1364" w:rsidRDefault="00BC1364" w:rsidP="00D340DE">
      <w:pPr>
        <w:rPr>
          <w:b/>
          <w:szCs w:val="24"/>
        </w:rPr>
      </w:pPr>
    </w:p>
    <w:p w14:paraId="0C795EA5" w14:textId="77777777" w:rsidR="006A0D97" w:rsidRDefault="006A0D97" w:rsidP="006F5CB4">
      <w:pPr>
        <w:pStyle w:val="Heading1"/>
        <w:numPr>
          <w:ilvl w:val="0"/>
          <w:numId w:val="23"/>
        </w:numPr>
        <w:ind w:hanging="720"/>
      </w:pPr>
      <w:r w:rsidRPr="006A0D97">
        <w:t>Key issues from ESC for MSAC</w:t>
      </w:r>
    </w:p>
    <w:p w14:paraId="2730A58D" w14:textId="77777777" w:rsidR="006A0D97" w:rsidRDefault="006A0D97" w:rsidP="006F5CB4"/>
    <w:p w14:paraId="104BE240" w14:textId="77777777" w:rsidR="00E34267" w:rsidRPr="00E34267" w:rsidRDefault="00E34267" w:rsidP="00DA075F">
      <w:pPr>
        <w:tabs>
          <w:tab w:val="left" w:pos="720"/>
          <w:tab w:val="left" w:pos="1140"/>
        </w:tabs>
        <w:rPr>
          <w:szCs w:val="24"/>
        </w:rPr>
      </w:pPr>
      <w:r w:rsidRPr="00E34267">
        <w:rPr>
          <w:szCs w:val="24"/>
        </w:rPr>
        <w:t>ESC agreed that the standard comparator is mammography with ultrasound used to complement mammography if mammographic findings are indeterminate.</w:t>
      </w:r>
    </w:p>
    <w:p w14:paraId="4A33646D" w14:textId="77777777" w:rsidR="00E34267" w:rsidRPr="00E34267" w:rsidRDefault="00E34267" w:rsidP="00DA075F">
      <w:pPr>
        <w:tabs>
          <w:tab w:val="left" w:pos="720"/>
          <w:tab w:val="left" w:pos="1140"/>
        </w:tabs>
        <w:rPr>
          <w:szCs w:val="24"/>
        </w:rPr>
      </w:pPr>
      <w:r w:rsidRPr="00E34267">
        <w:rPr>
          <w:szCs w:val="24"/>
        </w:rPr>
        <w:t xml:space="preserve">ESC noted that for many of the proposed indications, the assessment was unable to find sufficient evidence to make a conclusion of the effectiveness of MRI compared to mammography and ultrasound. In the detection of residual breast cancer following neoadjuvant treatment, it was suggested in the assessment report that MRI would be expected to assist in surgical planning, but again there was insufficient evidence to conclude that MRI improves a women’s selection for breast conserving surgery following neoadjuvant chemotherapy. For women diagnosed with invasive lobular breast cancer, MRI as an additional test in </w:t>
      </w:r>
      <w:proofErr w:type="spellStart"/>
      <w:r w:rsidRPr="00E34267">
        <w:rPr>
          <w:szCs w:val="24"/>
        </w:rPr>
        <w:t>presurgical</w:t>
      </w:r>
      <w:proofErr w:type="spellEnd"/>
      <w:r w:rsidRPr="00E34267">
        <w:rPr>
          <w:szCs w:val="24"/>
        </w:rPr>
        <w:t xml:space="preserve"> planning reduces the odds of having a re-operation. </w:t>
      </w:r>
    </w:p>
    <w:p w14:paraId="30A085C3" w14:textId="77777777" w:rsidR="00E34267" w:rsidRPr="00E34267" w:rsidRDefault="00E34267" w:rsidP="00DA075F">
      <w:pPr>
        <w:tabs>
          <w:tab w:val="left" w:pos="720"/>
          <w:tab w:val="left" w:pos="1140"/>
        </w:tabs>
        <w:rPr>
          <w:szCs w:val="24"/>
        </w:rPr>
      </w:pPr>
      <w:r w:rsidRPr="00E34267">
        <w:rPr>
          <w:szCs w:val="24"/>
        </w:rPr>
        <w:t xml:space="preserve">ESC noted for MRI guided biopsy, that repeat ultrasound can often identify lesions and reduce the need for this indication. </w:t>
      </w:r>
    </w:p>
    <w:p w14:paraId="19384D5A" w14:textId="77777777" w:rsidR="00E34267" w:rsidRPr="00E34267" w:rsidRDefault="00E34267" w:rsidP="006F5CB4">
      <w:pPr>
        <w:ind w:left="720"/>
        <w:contextualSpacing/>
        <w:rPr>
          <w:rFonts w:ascii="Arial" w:hAnsi="Arial" w:cs="Arial"/>
          <w:szCs w:val="24"/>
          <w:u w:val="single"/>
        </w:rPr>
      </w:pPr>
    </w:p>
    <w:p w14:paraId="1FFC426D" w14:textId="77777777" w:rsidR="00E34267" w:rsidRPr="00E34267" w:rsidRDefault="00E34267" w:rsidP="00DA075F">
      <w:pPr>
        <w:rPr>
          <w:szCs w:val="24"/>
        </w:rPr>
      </w:pPr>
      <w:r w:rsidRPr="00E34267">
        <w:rPr>
          <w:szCs w:val="24"/>
        </w:rPr>
        <w:t>ESC noted it was unclear how MRI affects neoadjuvant decision making as intended for T2 (in a small breast) and T3 tumours for breast conserving surgery and to downstage to surgically operable in T4 tumours.</w:t>
      </w:r>
      <w:r w:rsidR="00DD76FC">
        <w:rPr>
          <w:szCs w:val="24"/>
        </w:rPr>
        <w:t xml:space="preserve"> </w:t>
      </w:r>
      <w:r w:rsidRPr="00E34267">
        <w:rPr>
          <w:szCs w:val="24"/>
        </w:rPr>
        <w:t xml:space="preserve">ESC also noted that </w:t>
      </w:r>
      <w:r w:rsidR="00DD76FC">
        <w:rPr>
          <w:szCs w:val="24"/>
        </w:rPr>
        <w:t>l</w:t>
      </w:r>
      <w:r w:rsidRPr="00E34267">
        <w:rPr>
          <w:szCs w:val="24"/>
        </w:rPr>
        <w:t xml:space="preserve">obular tumours are often multifocal and contralateral and are usually not suitable for </w:t>
      </w:r>
      <w:r w:rsidR="00DD76FC">
        <w:rPr>
          <w:szCs w:val="24"/>
        </w:rPr>
        <w:t>b</w:t>
      </w:r>
      <w:r w:rsidRPr="00E34267">
        <w:rPr>
          <w:szCs w:val="24"/>
        </w:rPr>
        <w:t xml:space="preserve">reast </w:t>
      </w:r>
      <w:r w:rsidR="00DD76FC">
        <w:rPr>
          <w:szCs w:val="24"/>
        </w:rPr>
        <w:t>c</w:t>
      </w:r>
      <w:r w:rsidRPr="00E34267">
        <w:rPr>
          <w:szCs w:val="24"/>
        </w:rPr>
        <w:t>ancer surgery - this uncertain impact for MRI as RT would normally be for whole breast.</w:t>
      </w:r>
    </w:p>
    <w:p w14:paraId="2B8D0313" w14:textId="77777777" w:rsidR="00DD76FC" w:rsidRDefault="00DD76FC" w:rsidP="00DA075F">
      <w:pPr>
        <w:rPr>
          <w:szCs w:val="24"/>
          <w:lang w:eastAsia="en-US"/>
        </w:rPr>
      </w:pPr>
    </w:p>
    <w:p w14:paraId="5BBBC193" w14:textId="77777777" w:rsidR="00E34267" w:rsidRPr="00E34267" w:rsidRDefault="00E34267" w:rsidP="00DA075F">
      <w:pPr>
        <w:rPr>
          <w:szCs w:val="24"/>
        </w:rPr>
      </w:pPr>
      <w:r w:rsidRPr="00E34267">
        <w:rPr>
          <w:szCs w:val="24"/>
          <w:lang w:eastAsia="en-US"/>
        </w:rPr>
        <w:t>ESC noted the economic evaluation was missing the cost component</w:t>
      </w:r>
      <w:r w:rsidR="00DD76FC">
        <w:rPr>
          <w:szCs w:val="24"/>
        </w:rPr>
        <w:t xml:space="preserve"> and </w:t>
      </w:r>
      <w:r w:rsidRPr="00E34267">
        <w:rPr>
          <w:szCs w:val="24"/>
        </w:rPr>
        <w:t>only three economic studies were presented in the assessment:</w:t>
      </w:r>
    </w:p>
    <w:p w14:paraId="4CFDFDCB" w14:textId="77777777" w:rsidR="00E34267" w:rsidRPr="00E34267" w:rsidRDefault="00E34267" w:rsidP="00DA075F">
      <w:pPr>
        <w:numPr>
          <w:ilvl w:val="0"/>
          <w:numId w:val="39"/>
        </w:numPr>
        <w:tabs>
          <w:tab w:val="left" w:pos="720"/>
        </w:tabs>
        <w:contextualSpacing/>
        <w:rPr>
          <w:szCs w:val="24"/>
        </w:rPr>
      </w:pPr>
      <w:r w:rsidRPr="00E34267">
        <w:rPr>
          <w:szCs w:val="24"/>
        </w:rPr>
        <w:lastRenderedPageBreak/>
        <w:t>A cost minimisation analysis for women with dense breasts concluded long term savings because the alternative was surgical biopsy – savings came by avoiding surgical biopsies</w:t>
      </w:r>
    </w:p>
    <w:p w14:paraId="46FE22F9" w14:textId="77777777" w:rsidR="00E34267" w:rsidRPr="00E34267" w:rsidRDefault="00DD76FC" w:rsidP="00DA075F">
      <w:pPr>
        <w:numPr>
          <w:ilvl w:val="0"/>
          <w:numId w:val="39"/>
        </w:numPr>
        <w:tabs>
          <w:tab w:val="left" w:pos="720"/>
        </w:tabs>
        <w:contextualSpacing/>
        <w:rPr>
          <w:szCs w:val="24"/>
        </w:rPr>
      </w:pPr>
      <w:r>
        <w:rPr>
          <w:szCs w:val="24"/>
        </w:rPr>
        <w:t xml:space="preserve">The </w:t>
      </w:r>
      <w:r w:rsidR="00E34267" w:rsidRPr="00E34267">
        <w:rPr>
          <w:szCs w:val="24"/>
        </w:rPr>
        <w:t xml:space="preserve">COMICE trial examined effectiveness and cost effectiveness of MRI in women with primary breast cancer scheduled for wide local excision. </w:t>
      </w:r>
    </w:p>
    <w:p w14:paraId="1E907636" w14:textId="77777777" w:rsidR="00E34267" w:rsidRPr="00E34267" w:rsidRDefault="00E34267" w:rsidP="00DA075F">
      <w:pPr>
        <w:numPr>
          <w:ilvl w:val="0"/>
          <w:numId w:val="39"/>
        </w:numPr>
        <w:tabs>
          <w:tab w:val="left" w:pos="720"/>
        </w:tabs>
        <w:contextualSpacing/>
        <w:rPr>
          <w:szCs w:val="24"/>
        </w:rPr>
      </w:pPr>
      <w:r w:rsidRPr="00E34267">
        <w:rPr>
          <w:szCs w:val="24"/>
        </w:rPr>
        <w:t>A decision analysis to assess impact for women with early stage breast cancer who were eligible for breast conserving therapy</w:t>
      </w:r>
      <w:r w:rsidR="00DD76FC">
        <w:rPr>
          <w:szCs w:val="24"/>
        </w:rPr>
        <w:t>.</w:t>
      </w:r>
    </w:p>
    <w:p w14:paraId="2713C199" w14:textId="77777777" w:rsidR="00E34267" w:rsidRPr="00E34267" w:rsidRDefault="00E34267" w:rsidP="00DA075F">
      <w:pPr>
        <w:rPr>
          <w:szCs w:val="24"/>
        </w:rPr>
      </w:pPr>
    </w:p>
    <w:p w14:paraId="3BF6C51A" w14:textId="77777777" w:rsidR="00E34267" w:rsidRPr="00E34267" w:rsidRDefault="00E34267" w:rsidP="00DA075F">
      <w:pPr>
        <w:rPr>
          <w:szCs w:val="24"/>
          <w:lang w:eastAsia="en-US"/>
        </w:rPr>
      </w:pPr>
      <w:r w:rsidRPr="00E34267">
        <w:rPr>
          <w:szCs w:val="24"/>
        </w:rPr>
        <w:t xml:space="preserve">ESC noted the </w:t>
      </w:r>
      <w:r w:rsidRPr="00E34267">
        <w:rPr>
          <w:szCs w:val="24"/>
          <w:lang w:eastAsia="en-US"/>
        </w:rPr>
        <w:t>analyses were sensitive to surgery rates and eligible patient numbers. In almost all cases MRI was not dominant. One alternative has an ICER of $169K and one $9k for young women. ESC was concerned that the loss of QALYs with MRI comes from earlier and more mastectomies, while the effectiveness analysis for both lobular type breast cancer and cancer in women aged ≤ 50 years showed no significant evidence of change in overall mastectomy rates.</w:t>
      </w:r>
    </w:p>
    <w:p w14:paraId="04F44AF8" w14:textId="77777777" w:rsidR="00E34267" w:rsidRPr="00E34267" w:rsidRDefault="00E34267" w:rsidP="006F5CB4">
      <w:pPr>
        <w:contextualSpacing/>
        <w:rPr>
          <w:rFonts w:ascii="Arial" w:hAnsi="Arial" w:cs="Arial"/>
          <w:szCs w:val="24"/>
          <w:u w:val="single"/>
        </w:rPr>
      </w:pPr>
    </w:p>
    <w:p w14:paraId="2AECBB60" w14:textId="77777777" w:rsidR="00E34267" w:rsidRPr="00E34267" w:rsidRDefault="00E34267" w:rsidP="00DA075F">
      <w:pPr>
        <w:rPr>
          <w:szCs w:val="24"/>
          <w:lang w:eastAsia="en-US"/>
        </w:rPr>
      </w:pPr>
      <w:r w:rsidRPr="00E34267">
        <w:rPr>
          <w:szCs w:val="24"/>
          <w:lang w:eastAsia="en-US"/>
        </w:rPr>
        <w:t>ESC noted there was some overlap between groups which leads to uncertainty in the financial/budgetary analysis. For example some women may be eligible for neo adjuvant therapy and have dense breasts). Women with material discrepancy in estimated tumour size between mammography and ultrasound, or with suspicious/malignant calcifications are not identified as there are no estimates of the population sizes. The proportion of these women also included in other categories is also unknown.</w:t>
      </w:r>
    </w:p>
    <w:p w14:paraId="56DD1CF4" w14:textId="77777777" w:rsidR="00DD76FC" w:rsidRDefault="00DD76FC" w:rsidP="00DA075F">
      <w:pPr>
        <w:tabs>
          <w:tab w:val="left" w:pos="720"/>
          <w:tab w:val="left" w:pos="1140"/>
        </w:tabs>
        <w:rPr>
          <w:sz w:val="22"/>
          <w:szCs w:val="22"/>
          <w:lang w:eastAsia="en-US"/>
        </w:rPr>
      </w:pPr>
    </w:p>
    <w:p w14:paraId="7BAC96A0" w14:textId="77777777" w:rsidR="00E34267" w:rsidRPr="0078365F" w:rsidRDefault="00E34267" w:rsidP="00DA075F">
      <w:pPr>
        <w:tabs>
          <w:tab w:val="left" w:pos="720"/>
          <w:tab w:val="left" w:pos="1140"/>
        </w:tabs>
        <w:rPr>
          <w:szCs w:val="24"/>
          <w:lang w:eastAsia="en-US"/>
        </w:rPr>
      </w:pPr>
      <w:r w:rsidRPr="0078365F">
        <w:rPr>
          <w:szCs w:val="24"/>
          <w:lang w:eastAsia="en-US"/>
        </w:rPr>
        <w:t>ESC noted that the unit costs of MRI are estimated from $690 compared to the mammography of one breast fee of $27.  Breast ultrasound costs ranges from $17 to $98.</w:t>
      </w:r>
      <w:r w:rsidRPr="00D66CDE">
        <w:rPr>
          <w:rFonts w:ascii="Arial" w:hAnsi="Arial" w:cs="Arial"/>
          <w:szCs w:val="24"/>
        </w:rPr>
        <w:t xml:space="preserve"> </w:t>
      </w:r>
    </w:p>
    <w:p w14:paraId="271B7E19" w14:textId="77777777" w:rsidR="00DD76FC" w:rsidRDefault="00DD76FC" w:rsidP="00DA075F">
      <w:pPr>
        <w:tabs>
          <w:tab w:val="left" w:pos="720"/>
        </w:tabs>
        <w:rPr>
          <w:szCs w:val="24"/>
        </w:rPr>
      </w:pPr>
    </w:p>
    <w:p w14:paraId="64C1563A" w14:textId="77777777" w:rsidR="00E34267" w:rsidRPr="00E34267" w:rsidRDefault="00E34267" w:rsidP="00DA075F">
      <w:pPr>
        <w:tabs>
          <w:tab w:val="left" w:pos="720"/>
        </w:tabs>
        <w:rPr>
          <w:szCs w:val="24"/>
        </w:rPr>
      </w:pPr>
      <w:r w:rsidRPr="00E34267">
        <w:rPr>
          <w:szCs w:val="24"/>
        </w:rPr>
        <w:t>ESC noted</w:t>
      </w:r>
      <w:r w:rsidRPr="00E34267">
        <w:rPr>
          <w:snapToGrid w:val="0"/>
          <w:lang w:val="en-US" w:eastAsia="en-US"/>
        </w:rPr>
        <w:t>, there were insufficient data to inform the size of two of the subpopulations of population 3, and they were excluded from the financial impact analysis.</w:t>
      </w:r>
      <w:r w:rsidRPr="00E34267" w:rsidDel="005D7952">
        <w:rPr>
          <w:snapToGrid w:val="0"/>
          <w:lang w:val="en-US" w:eastAsia="en-US"/>
        </w:rPr>
        <w:t xml:space="preserve"> </w:t>
      </w:r>
    </w:p>
    <w:p w14:paraId="6815E468" w14:textId="77777777" w:rsidR="00E34267" w:rsidRPr="00E34267" w:rsidRDefault="00E34267" w:rsidP="006F5CB4">
      <w:pPr>
        <w:ind w:left="720"/>
        <w:contextualSpacing/>
        <w:rPr>
          <w:szCs w:val="24"/>
        </w:rPr>
      </w:pPr>
    </w:p>
    <w:p w14:paraId="2AE854DB" w14:textId="77777777" w:rsidR="00E34267" w:rsidRPr="00E34267" w:rsidRDefault="00E34267" w:rsidP="00DA075F">
      <w:pPr>
        <w:rPr>
          <w:snapToGrid w:val="0"/>
          <w:szCs w:val="24"/>
          <w:lang w:val="en-US" w:eastAsia="en-US"/>
        </w:rPr>
      </w:pPr>
      <w:r w:rsidRPr="00E34267">
        <w:rPr>
          <w:szCs w:val="24"/>
          <w:lang w:eastAsia="en-US"/>
        </w:rPr>
        <w:t>The Department was concerned about the proposed item descriptor for women newly diagnosed with breast cancer. ESC considered it was appropriate to remove the word ‘newly’ diagnosed from the descriptor.</w:t>
      </w:r>
    </w:p>
    <w:p w14:paraId="2E0C1EB1" w14:textId="77777777" w:rsidR="006A0D97" w:rsidRPr="006A0D97" w:rsidRDefault="006A0D97" w:rsidP="006F5CB4"/>
    <w:p w14:paraId="22022A91" w14:textId="77777777" w:rsidR="00BC1364" w:rsidRDefault="00BC1364" w:rsidP="006F5CB4">
      <w:pPr>
        <w:pStyle w:val="Heading1"/>
        <w:numPr>
          <w:ilvl w:val="0"/>
          <w:numId w:val="23"/>
        </w:numPr>
        <w:ind w:hanging="720"/>
      </w:pPr>
      <w:r w:rsidRPr="008D5885">
        <w:t>Other significant factors</w:t>
      </w:r>
    </w:p>
    <w:p w14:paraId="4827D457" w14:textId="77777777" w:rsidR="00D90A38" w:rsidRDefault="00D90A38" w:rsidP="00DD2858">
      <w:pPr>
        <w:rPr>
          <w:szCs w:val="24"/>
        </w:rPr>
      </w:pPr>
    </w:p>
    <w:p w14:paraId="3B09FB60" w14:textId="77777777" w:rsidR="00BC1364" w:rsidRPr="00DA075F" w:rsidRDefault="00BC1364" w:rsidP="00DD2858">
      <w:pPr>
        <w:rPr>
          <w:szCs w:val="24"/>
        </w:rPr>
      </w:pPr>
      <w:r w:rsidRPr="00DA075F">
        <w:rPr>
          <w:szCs w:val="24"/>
        </w:rPr>
        <w:t>Nil</w:t>
      </w:r>
    </w:p>
    <w:p w14:paraId="08FD6FB0" w14:textId="77777777" w:rsidR="00BC1364" w:rsidRPr="00707064" w:rsidRDefault="00BC1364" w:rsidP="00DD2858">
      <w:pPr>
        <w:tabs>
          <w:tab w:val="left" w:pos="720"/>
        </w:tabs>
        <w:ind w:left="709" w:hanging="709"/>
        <w:rPr>
          <w:szCs w:val="24"/>
        </w:rPr>
      </w:pPr>
    </w:p>
    <w:p w14:paraId="7DB2764B" w14:textId="77777777" w:rsidR="00BC1364" w:rsidRDefault="00BC1364" w:rsidP="007B32D1">
      <w:pPr>
        <w:pStyle w:val="Heading1"/>
        <w:numPr>
          <w:ilvl w:val="0"/>
          <w:numId w:val="23"/>
        </w:numPr>
        <w:ind w:hanging="720"/>
      </w:pPr>
      <w:r w:rsidRPr="008D5885">
        <w:t xml:space="preserve">Applicant’s comments on MSAC’s </w:t>
      </w:r>
      <w:r w:rsidR="00DA56AA">
        <w:t>Public Summary Document</w:t>
      </w:r>
    </w:p>
    <w:p w14:paraId="427126C3" w14:textId="77777777" w:rsidR="00BC1364" w:rsidRDefault="00BC1364" w:rsidP="00230D6B">
      <w:pPr>
        <w:tabs>
          <w:tab w:val="left" w:pos="720"/>
        </w:tabs>
        <w:ind w:left="709" w:hanging="709"/>
        <w:rPr>
          <w:b/>
          <w:szCs w:val="24"/>
        </w:rPr>
      </w:pPr>
    </w:p>
    <w:p w14:paraId="47423666" w14:textId="171FDB7D" w:rsidR="000F75DF" w:rsidRPr="001C5C35" w:rsidRDefault="00F30882" w:rsidP="000F75DF">
      <w:r w:rsidRPr="007A2975">
        <w:t>The applicants are disappointed the public summary document fails to address the clinical need for a small but significant number of women diagnosed with breast cancer in whom there is difficulty in estimating the lesion size from conventional assessment techniques, an</w:t>
      </w:r>
      <w:r w:rsidR="00B8750E" w:rsidRPr="007A2975">
        <w:t>d</w:t>
      </w:r>
      <w:r w:rsidRPr="007A2975">
        <w:t xml:space="preserve"> in whom the experienced multidisciplinary breast team feel the addition of breast MRI will lead to better surgical planning with less uncertainly, less repeat operations needed and thus a superior outcomes both in terms of amount of surgery and poor </w:t>
      </w:r>
      <w:proofErr w:type="spellStart"/>
      <w:r w:rsidRPr="007A2975">
        <w:t>cosmesis</w:t>
      </w:r>
      <w:proofErr w:type="spellEnd"/>
      <w:r w:rsidRPr="007A2975">
        <w:t xml:space="preserve"> from repeated excisions. The summary evidence does not highlight the (albeit small volume) evidence supporting this</w:t>
      </w:r>
      <w:r w:rsidR="00374D8B" w:rsidRPr="007A2975">
        <w:t>,</w:t>
      </w:r>
      <w:r w:rsidRPr="007A2975">
        <w:t xml:space="preserve"> nor the difficult</w:t>
      </w:r>
      <w:r w:rsidR="009673F4" w:rsidRPr="007A2975">
        <w:t>y</w:t>
      </w:r>
      <w:r w:rsidRPr="007A2975">
        <w:t xml:space="preserve"> in </w:t>
      </w:r>
      <w:r w:rsidR="00374D8B" w:rsidRPr="007A2975">
        <w:t>collecting</w:t>
      </w:r>
      <w:r w:rsidRPr="007A2975">
        <w:t xml:space="preserve"> more such data, nor does it highlight the inadequacies of trials and meta-analyses done to date which simply do not address this issue. Moreover</w:t>
      </w:r>
      <w:r w:rsidR="00374D8B" w:rsidRPr="007A2975">
        <w:t>,</w:t>
      </w:r>
      <w:r w:rsidRPr="007A2975">
        <w:t xml:space="preserve"> the applicants wish to point out the economic analyses vastly overinflates the potential patient numbers likely to be referred for MRI, and the huge support for this procedure in the expert surgical community in Australia and in the patient community.</w:t>
      </w:r>
    </w:p>
    <w:p w14:paraId="522DBF3F" w14:textId="77777777" w:rsidR="00BC1364" w:rsidRDefault="00BC1364" w:rsidP="00230D6B">
      <w:pPr>
        <w:rPr>
          <w:b/>
          <w:szCs w:val="24"/>
        </w:rPr>
      </w:pPr>
    </w:p>
    <w:p w14:paraId="400EA5B5" w14:textId="77777777" w:rsidR="00BC1364" w:rsidRDefault="00271F18" w:rsidP="007B32D1">
      <w:pPr>
        <w:pStyle w:val="Heading1"/>
        <w:numPr>
          <w:ilvl w:val="0"/>
          <w:numId w:val="23"/>
        </w:numPr>
        <w:ind w:hanging="720"/>
      </w:pPr>
      <w:r>
        <w:lastRenderedPageBreak/>
        <w:t>Further information on MSAC</w:t>
      </w:r>
    </w:p>
    <w:p w14:paraId="0CF7F815" w14:textId="77777777" w:rsidR="00BC1364" w:rsidRDefault="00BC1364" w:rsidP="00DD2858">
      <w:pPr>
        <w:tabs>
          <w:tab w:val="left" w:pos="720"/>
        </w:tabs>
        <w:ind w:left="709" w:hanging="709"/>
        <w:rPr>
          <w:b/>
          <w:szCs w:val="24"/>
        </w:rPr>
      </w:pPr>
    </w:p>
    <w:p w14:paraId="1FF5039D" w14:textId="77777777" w:rsidR="001C7A53"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6" w:tooltip="This is a link to the MSAC website" w:history="1">
        <w:r w:rsidR="00BC1364" w:rsidRPr="00DD2858">
          <w:rPr>
            <w:rStyle w:val="Hyperlink"/>
            <w:color w:val="auto"/>
            <w:szCs w:val="24"/>
          </w:rPr>
          <w:t>www.msac.gov.au</w:t>
        </w:r>
      </w:hyperlink>
      <w:r w:rsidR="00DA075F">
        <w:rPr>
          <w:szCs w:val="24"/>
        </w:rPr>
        <w:t xml:space="preserve">. </w:t>
      </w:r>
    </w:p>
    <w:sectPr w:rsidR="001C7A53" w:rsidRPr="00DD2858" w:rsidSect="00271F18">
      <w:footerReference w:type="default" r:id="rId17"/>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34199D" w15:done="0"/>
  <w15:commentEx w15:paraId="50C75A60" w15:done="0"/>
  <w15:commentEx w15:paraId="0AE2F3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E78A7" w14:textId="77777777" w:rsidR="000779A8" w:rsidRDefault="000779A8" w:rsidP="00065623">
      <w:r>
        <w:separator/>
      </w:r>
    </w:p>
  </w:endnote>
  <w:endnote w:type="continuationSeparator" w:id="0">
    <w:p w14:paraId="104E5A18" w14:textId="77777777" w:rsidR="000779A8" w:rsidRDefault="000779A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5F336C32" w14:textId="77777777" w:rsidR="00FD15E6" w:rsidRDefault="00FD15E6">
        <w:pPr>
          <w:pStyle w:val="Footer"/>
          <w:jc w:val="right"/>
        </w:pPr>
        <w:r>
          <w:fldChar w:fldCharType="begin"/>
        </w:r>
        <w:r>
          <w:instrText xml:space="preserve"> PAGE   \* MERGEFORMAT </w:instrText>
        </w:r>
        <w:r>
          <w:fldChar w:fldCharType="separate"/>
        </w:r>
        <w:r w:rsidR="000F51FC">
          <w:rPr>
            <w:noProof/>
          </w:rPr>
          <w:t>1</w:t>
        </w:r>
        <w:r>
          <w:rPr>
            <w:noProof/>
          </w:rPr>
          <w:fldChar w:fldCharType="end"/>
        </w:r>
      </w:p>
    </w:sdtContent>
  </w:sdt>
  <w:p w14:paraId="52CA98B9" w14:textId="77777777" w:rsidR="00FD15E6" w:rsidRDefault="00FD1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FA297" w14:textId="77777777" w:rsidR="000779A8" w:rsidRDefault="000779A8" w:rsidP="00065623">
      <w:r>
        <w:separator/>
      </w:r>
    </w:p>
  </w:footnote>
  <w:footnote w:type="continuationSeparator" w:id="0">
    <w:p w14:paraId="26707386" w14:textId="77777777" w:rsidR="000779A8" w:rsidRDefault="000779A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E951190"/>
    <w:multiLevelType w:val="multilevel"/>
    <w:tmpl w:val="C9149A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04E2E07"/>
    <w:multiLevelType w:val="hybridMultilevel"/>
    <w:tmpl w:val="1200D0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48449C0"/>
    <w:multiLevelType w:val="hybridMultilevel"/>
    <w:tmpl w:val="074E7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BB0D76"/>
    <w:multiLevelType w:val="multilevel"/>
    <w:tmpl w:val="43D0E96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1176D0C"/>
    <w:multiLevelType w:val="hybridMultilevel"/>
    <w:tmpl w:val="6F34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F94DBF"/>
    <w:multiLevelType w:val="hybridMultilevel"/>
    <w:tmpl w:val="DA3E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916EA8"/>
    <w:multiLevelType w:val="hybridMultilevel"/>
    <w:tmpl w:val="FDE4A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4C3DE5"/>
    <w:multiLevelType w:val="hybridMultilevel"/>
    <w:tmpl w:val="915A9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6A33CE"/>
    <w:multiLevelType w:val="hybridMultilevel"/>
    <w:tmpl w:val="3BBC18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DE45E8"/>
    <w:multiLevelType w:val="hybridMultilevel"/>
    <w:tmpl w:val="29C84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974F33"/>
    <w:multiLevelType w:val="hybridMultilevel"/>
    <w:tmpl w:val="3BDE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6250A9D"/>
    <w:multiLevelType w:val="hybridMultilevel"/>
    <w:tmpl w:val="9BAC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034277"/>
    <w:multiLevelType w:val="hybridMultilevel"/>
    <w:tmpl w:val="2C60A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D56715A"/>
    <w:multiLevelType w:val="multilevel"/>
    <w:tmpl w:val="CB46FAD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D7C1B88"/>
    <w:multiLevelType w:val="hybridMultilevel"/>
    <w:tmpl w:val="B6A0C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0445000"/>
    <w:multiLevelType w:val="hybridMultilevel"/>
    <w:tmpl w:val="A84E5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BE559E"/>
    <w:multiLevelType w:val="hybridMultilevel"/>
    <w:tmpl w:val="9E26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7E054A46"/>
    <w:multiLevelType w:val="hybridMultilevel"/>
    <w:tmpl w:val="254E8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1"/>
  </w:num>
  <w:num w:numId="4">
    <w:abstractNumId w:val="27"/>
  </w:num>
  <w:num w:numId="5">
    <w:abstractNumId w:val="19"/>
  </w:num>
  <w:num w:numId="6">
    <w:abstractNumId w:val="26"/>
  </w:num>
  <w:num w:numId="7">
    <w:abstractNumId w:val="35"/>
  </w:num>
  <w:num w:numId="8">
    <w:abstractNumId w:val="21"/>
  </w:num>
  <w:num w:numId="9">
    <w:abstractNumId w:val="42"/>
  </w:num>
  <w:num w:numId="10">
    <w:abstractNumId w:val="0"/>
  </w:num>
  <w:num w:numId="11">
    <w:abstractNumId w:val="32"/>
  </w:num>
  <w:num w:numId="12">
    <w:abstractNumId w:val="36"/>
  </w:num>
  <w:num w:numId="13">
    <w:abstractNumId w:val="7"/>
  </w:num>
  <w:num w:numId="14">
    <w:abstractNumId w:val="40"/>
  </w:num>
  <w:num w:numId="15">
    <w:abstractNumId w:val="30"/>
  </w:num>
  <w:num w:numId="16">
    <w:abstractNumId w:val="37"/>
  </w:num>
  <w:num w:numId="17">
    <w:abstractNumId w:val="22"/>
  </w:num>
  <w:num w:numId="18">
    <w:abstractNumId w:val="23"/>
  </w:num>
  <w:num w:numId="19">
    <w:abstractNumId w:val="39"/>
  </w:num>
  <w:num w:numId="20">
    <w:abstractNumId w:val="38"/>
  </w:num>
  <w:num w:numId="21">
    <w:abstractNumId w:val="4"/>
  </w:num>
  <w:num w:numId="22">
    <w:abstractNumId w:val="17"/>
  </w:num>
  <w:num w:numId="23">
    <w:abstractNumId w:val="3"/>
  </w:num>
  <w:num w:numId="24">
    <w:abstractNumId w:val="11"/>
  </w:num>
  <w:num w:numId="25">
    <w:abstractNumId w:val="8"/>
  </w:num>
  <w:num w:numId="26">
    <w:abstractNumId w:val="29"/>
  </w:num>
  <w:num w:numId="27">
    <w:abstractNumId w:val="9"/>
  </w:num>
  <w:num w:numId="28">
    <w:abstractNumId w:val="33"/>
  </w:num>
  <w:num w:numId="29">
    <w:abstractNumId w:val="2"/>
  </w:num>
  <w:num w:numId="30">
    <w:abstractNumId w:val="16"/>
  </w:num>
  <w:num w:numId="31">
    <w:abstractNumId w:val="31"/>
  </w:num>
  <w:num w:numId="32">
    <w:abstractNumId w:val="15"/>
  </w:num>
  <w:num w:numId="33">
    <w:abstractNumId w:val="34"/>
  </w:num>
  <w:num w:numId="34">
    <w:abstractNumId w:val="41"/>
  </w:num>
  <w:num w:numId="35">
    <w:abstractNumId w:val="18"/>
  </w:num>
  <w:num w:numId="36">
    <w:abstractNumId w:val="28"/>
  </w:num>
  <w:num w:numId="37">
    <w:abstractNumId w:val="5"/>
  </w:num>
  <w:num w:numId="38">
    <w:abstractNumId w:val="25"/>
  </w:num>
  <w:num w:numId="39">
    <w:abstractNumId w:val="12"/>
  </w:num>
  <w:num w:numId="40">
    <w:abstractNumId w:val="6"/>
  </w:num>
  <w:num w:numId="41">
    <w:abstractNumId w:val="20"/>
  </w:num>
  <w:num w:numId="42">
    <w:abstractNumId w:val="14"/>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0047253">
    <w15:presenceInfo w15:providerId="None" w15:userId="00047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3960"/>
    <w:rsid w:val="00047606"/>
    <w:rsid w:val="00065623"/>
    <w:rsid w:val="000756B9"/>
    <w:rsid w:val="000779A8"/>
    <w:rsid w:val="00096B67"/>
    <w:rsid w:val="00096DAF"/>
    <w:rsid w:val="000B7205"/>
    <w:rsid w:val="000C2F47"/>
    <w:rsid w:val="000D60D3"/>
    <w:rsid w:val="000D6C00"/>
    <w:rsid w:val="000E4E04"/>
    <w:rsid w:val="000E68A5"/>
    <w:rsid w:val="000F14B4"/>
    <w:rsid w:val="000F51FC"/>
    <w:rsid w:val="000F75DF"/>
    <w:rsid w:val="001328FA"/>
    <w:rsid w:val="00136233"/>
    <w:rsid w:val="00142C0A"/>
    <w:rsid w:val="00146C5A"/>
    <w:rsid w:val="00147AAF"/>
    <w:rsid w:val="001552C0"/>
    <w:rsid w:val="00162C3A"/>
    <w:rsid w:val="001640B1"/>
    <w:rsid w:val="0018435E"/>
    <w:rsid w:val="00186A41"/>
    <w:rsid w:val="001B5A0A"/>
    <w:rsid w:val="001C5C35"/>
    <w:rsid w:val="001C7A53"/>
    <w:rsid w:val="001E00C9"/>
    <w:rsid w:val="001E5E8B"/>
    <w:rsid w:val="001F45BA"/>
    <w:rsid w:val="002041A1"/>
    <w:rsid w:val="002054F0"/>
    <w:rsid w:val="00230D6B"/>
    <w:rsid w:val="00232068"/>
    <w:rsid w:val="002330F2"/>
    <w:rsid w:val="00243D9E"/>
    <w:rsid w:val="00253B66"/>
    <w:rsid w:val="00255EB2"/>
    <w:rsid w:val="00261DF1"/>
    <w:rsid w:val="00271F18"/>
    <w:rsid w:val="00282779"/>
    <w:rsid w:val="0028334D"/>
    <w:rsid w:val="00291D90"/>
    <w:rsid w:val="002925DE"/>
    <w:rsid w:val="00296FB0"/>
    <w:rsid w:val="002A1703"/>
    <w:rsid w:val="002A5419"/>
    <w:rsid w:val="002B7FFA"/>
    <w:rsid w:val="002C2BCF"/>
    <w:rsid w:val="002D1341"/>
    <w:rsid w:val="002F279D"/>
    <w:rsid w:val="002F43B8"/>
    <w:rsid w:val="0034554D"/>
    <w:rsid w:val="00352224"/>
    <w:rsid w:val="003671E6"/>
    <w:rsid w:val="00374D8B"/>
    <w:rsid w:val="00384272"/>
    <w:rsid w:val="00386D67"/>
    <w:rsid w:val="003945B8"/>
    <w:rsid w:val="003D7F29"/>
    <w:rsid w:val="003F2C0B"/>
    <w:rsid w:val="00405A6B"/>
    <w:rsid w:val="00406C45"/>
    <w:rsid w:val="00407B1F"/>
    <w:rsid w:val="00414C57"/>
    <w:rsid w:val="0041758C"/>
    <w:rsid w:val="004256EF"/>
    <w:rsid w:val="004539DE"/>
    <w:rsid w:val="004A2CF1"/>
    <w:rsid w:val="004C3035"/>
    <w:rsid w:val="004C307F"/>
    <w:rsid w:val="004E32E0"/>
    <w:rsid w:val="004E4BA8"/>
    <w:rsid w:val="004F340F"/>
    <w:rsid w:val="004F7B7C"/>
    <w:rsid w:val="005211BA"/>
    <w:rsid w:val="0052243D"/>
    <w:rsid w:val="00532435"/>
    <w:rsid w:val="00550354"/>
    <w:rsid w:val="00571236"/>
    <w:rsid w:val="00587EC8"/>
    <w:rsid w:val="00590F17"/>
    <w:rsid w:val="005953A1"/>
    <w:rsid w:val="005A66EA"/>
    <w:rsid w:val="005B7D2C"/>
    <w:rsid w:val="005D0332"/>
    <w:rsid w:val="005D0D8C"/>
    <w:rsid w:val="00632A0D"/>
    <w:rsid w:val="0065557E"/>
    <w:rsid w:val="00693965"/>
    <w:rsid w:val="00695111"/>
    <w:rsid w:val="006A0D97"/>
    <w:rsid w:val="006B1F86"/>
    <w:rsid w:val="006B6061"/>
    <w:rsid w:val="006C0A91"/>
    <w:rsid w:val="006D5EDE"/>
    <w:rsid w:val="006D7320"/>
    <w:rsid w:val="006E03C9"/>
    <w:rsid w:val="006E5889"/>
    <w:rsid w:val="006F5CB4"/>
    <w:rsid w:val="007054BB"/>
    <w:rsid w:val="00707064"/>
    <w:rsid w:val="00730683"/>
    <w:rsid w:val="0075261F"/>
    <w:rsid w:val="0075468E"/>
    <w:rsid w:val="007665D8"/>
    <w:rsid w:val="00766E36"/>
    <w:rsid w:val="007765F4"/>
    <w:rsid w:val="00776633"/>
    <w:rsid w:val="0078365F"/>
    <w:rsid w:val="00784D53"/>
    <w:rsid w:val="00797797"/>
    <w:rsid w:val="007A2975"/>
    <w:rsid w:val="007A63C9"/>
    <w:rsid w:val="007B32D1"/>
    <w:rsid w:val="007B7095"/>
    <w:rsid w:val="007B7D7D"/>
    <w:rsid w:val="007D24E1"/>
    <w:rsid w:val="007D63D3"/>
    <w:rsid w:val="007F4CE9"/>
    <w:rsid w:val="007F4E20"/>
    <w:rsid w:val="00822C7E"/>
    <w:rsid w:val="00847060"/>
    <w:rsid w:val="00856A33"/>
    <w:rsid w:val="0087495C"/>
    <w:rsid w:val="00892620"/>
    <w:rsid w:val="008C7D37"/>
    <w:rsid w:val="008D5885"/>
    <w:rsid w:val="008F61E8"/>
    <w:rsid w:val="00923FA2"/>
    <w:rsid w:val="0092594B"/>
    <w:rsid w:val="0096060D"/>
    <w:rsid w:val="00961BAB"/>
    <w:rsid w:val="009632E9"/>
    <w:rsid w:val="009673F4"/>
    <w:rsid w:val="00970BE0"/>
    <w:rsid w:val="00971365"/>
    <w:rsid w:val="00974A50"/>
    <w:rsid w:val="0097585A"/>
    <w:rsid w:val="00983C1C"/>
    <w:rsid w:val="00990B07"/>
    <w:rsid w:val="009924B0"/>
    <w:rsid w:val="009942C9"/>
    <w:rsid w:val="009B35C4"/>
    <w:rsid w:val="009C630A"/>
    <w:rsid w:val="009E0D98"/>
    <w:rsid w:val="00A068A1"/>
    <w:rsid w:val="00A1207D"/>
    <w:rsid w:val="00A12FD8"/>
    <w:rsid w:val="00A346FC"/>
    <w:rsid w:val="00A84F93"/>
    <w:rsid w:val="00AB1AC5"/>
    <w:rsid w:val="00AB3BFC"/>
    <w:rsid w:val="00AC4F2E"/>
    <w:rsid w:val="00AD04B3"/>
    <w:rsid w:val="00AD0C37"/>
    <w:rsid w:val="00AD385F"/>
    <w:rsid w:val="00AD3CC0"/>
    <w:rsid w:val="00AE6E2A"/>
    <w:rsid w:val="00AF13D6"/>
    <w:rsid w:val="00B31E9C"/>
    <w:rsid w:val="00B35595"/>
    <w:rsid w:val="00B43B48"/>
    <w:rsid w:val="00B51C6D"/>
    <w:rsid w:val="00B53D10"/>
    <w:rsid w:val="00B85E0A"/>
    <w:rsid w:val="00B86D64"/>
    <w:rsid w:val="00B8750E"/>
    <w:rsid w:val="00BA4AC5"/>
    <w:rsid w:val="00BC1364"/>
    <w:rsid w:val="00BC7DE9"/>
    <w:rsid w:val="00BF479B"/>
    <w:rsid w:val="00C01570"/>
    <w:rsid w:val="00C02577"/>
    <w:rsid w:val="00C204FB"/>
    <w:rsid w:val="00C20BEE"/>
    <w:rsid w:val="00C2158D"/>
    <w:rsid w:val="00C42B09"/>
    <w:rsid w:val="00C67DD2"/>
    <w:rsid w:val="00C725CB"/>
    <w:rsid w:val="00C76F5C"/>
    <w:rsid w:val="00C96BAD"/>
    <w:rsid w:val="00CA6944"/>
    <w:rsid w:val="00CB0F8E"/>
    <w:rsid w:val="00CB7E7D"/>
    <w:rsid w:val="00CC2911"/>
    <w:rsid w:val="00CF0C6D"/>
    <w:rsid w:val="00CF7307"/>
    <w:rsid w:val="00CF7C68"/>
    <w:rsid w:val="00CF7E62"/>
    <w:rsid w:val="00D124FA"/>
    <w:rsid w:val="00D30B71"/>
    <w:rsid w:val="00D31308"/>
    <w:rsid w:val="00D340DE"/>
    <w:rsid w:val="00D55723"/>
    <w:rsid w:val="00D57D7A"/>
    <w:rsid w:val="00D62FAD"/>
    <w:rsid w:val="00D66CDE"/>
    <w:rsid w:val="00D70450"/>
    <w:rsid w:val="00D83BFD"/>
    <w:rsid w:val="00D90A38"/>
    <w:rsid w:val="00D94671"/>
    <w:rsid w:val="00DA0515"/>
    <w:rsid w:val="00DA075F"/>
    <w:rsid w:val="00DA171E"/>
    <w:rsid w:val="00DA56AA"/>
    <w:rsid w:val="00DB5833"/>
    <w:rsid w:val="00DC2E35"/>
    <w:rsid w:val="00DD2858"/>
    <w:rsid w:val="00DD6A32"/>
    <w:rsid w:val="00DD76FC"/>
    <w:rsid w:val="00DE2B74"/>
    <w:rsid w:val="00DF000F"/>
    <w:rsid w:val="00E03E33"/>
    <w:rsid w:val="00E34267"/>
    <w:rsid w:val="00E3642A"/>
    <w:rsid w:val="00E415C4"/>
    <w:rsid w:val="00E437AA"/>
    <w:rsid w:val="00E50016"/>
    <w:rsid w:val="00E50EAA"/>
    <w:rsid w:val="00E636D5"/>
    <w:rsid w:val="00E656D6"/>
    <w:rsid w:val="00E977EE"/>
    <w:rsid w:val="00EA67A2"/>
    <w:rsid w:val="00EC2F4B"/>
    <w:rsid w:val="00EC4F98"/>
    <w:rsid w:val="00F12F02"/>
    <w:rsid w:val="00F17DB6"/>
    <w:rsid w:val="00F30882"/>
    <w:rsid w:val="00F345C2"/>
    <w:rsid w:val="00F3506A"/>
    <w:rsid w:val="00F35134"/>
    <w:rsid w:val="00F41812"/>
    <w:rsid w:val="00F54FDB"/>
    <w:rsid w:val="00F73333"/>
    <w:rsid w:val="00F95D8F"/>
    <w:rsid w:val="00FB350A"/>
    <w:rsid w:val="00FD15E6"/>
    <w:rsid w:val="00FD1DCA"/>
    <w:rsid w:val="00FE731D"/>
    <w:rsid w:val="00FF48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7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E34267"/>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426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4267"/>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4267"/>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6FB0"/>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00C9"/>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locked/>
    <w:rsid w:val="00E34267"/>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3426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4267"/>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34267"/>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6FB0"/>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00C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41559">
      <w:bodyDiv w:val="1"/>
      <w:marLeft w:val="0"/>
      <w:marRight w:val="0"/>
      <w:marTop w:val="0"/>
      <w:marBottom w:val="0"/>
      <w:divBdr>
        <w:top w:val="none" w:sz="0" w:space="0" w:color="auto"/>
        <w:left w:val="none" w:sz="0" w:space="0" w:color="auto"/>
        <w:bottom w:val="none" w:sz="0" w:space="0" w:color="auto"/>
        <w:right w:val="none" w:sz="0" w:space="0" w:color="auto"/>
      </w:divBdr>
    </w:div>
    <w:div w:id="948699175">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t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Relationship Id="rId5" Type="http://schemas.openxmlformats.org/officeDocument/2006/relationships/settings" Target="settings.xml"/><Relationship Id="rId15" Type="http://schemas.openxmlformats.org/officeDocument/2006/relationships/image" Target="media/image6.tif"/><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ti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0223-884A-4747-A1D5-C6FB8FF4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26</Pages>
  <Words>8817</Words>
  <Characters>50257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6</cp:revision>
  <cp:lastPrinted>2014-01-23T05:11:00Z</cp:lastPrinted>
  <dcterms:created xsi:type="dcterms:W3CDTF">2015-08-25T00:24:00Z</dcterms:created>
  <dcterms:modified xsi:type="dcterms:W3CDTF">2015-08-25T00:48:00Z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