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80" w:rsidRPr="00F637B3" w:rsidRDefault="00E44B80" w:rsidP="00B032C7">
      <w:pPr>
        <w:spacing w:before="0"/>
        <w:jc w:val="center"/>
        <w:rPr>
          <w:b/>
          <w:szCs w:val="20"/>
        </w:rPr>
      </w:pPr>
      <w:bookmarkStart w:id="0" w:name="_GoBack"/>
      <w:bookmarkEnd w:id="0"/>
      <w:r w:rsidRPr="00F637B3">
        <w:rPr>
          <w:b/>
          <w:noProof/>
          <w:szCs w:val="20"/>
          <w:lang w:eastAsia="en-AU"/>
        </w:rPr>
        <w:drawing>
          <wp:inline distT="0" distB="0" distL="0" distR="0" wp14:anchorId="3712ADFF" wp14:editId="62A9DFBC">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rsidR="008B2610" w:rsidRPr="006F20CF" w:rsidRDefault="008B2610" w:rsidP="00B032C7">
      <w:pPr>
        <w:pStyle w:val="Title"/>
        <w:spacing w:before="0" w:after="120"/>
      </w:pPr>
      <w:r w:rsidRPr="001906CD">
        <w:t>Application Form</w:t>
      </w:r>
    </w:p>
    <w:p w:rsidR="00E44B80" w:rsidRPr="00D73646" w:rsidRDefault="00E44B80" w:rsidP="00B032C7">
      <w:pPr>
        <w:pStyle w:val="Title"/>
        <w:spacing w:before="0" w:after="120"/>
        <w:rPr>
          <w:sz w:val="28"/>
          <w:szCs w:val="28"/>
        </w:rPr>
      </w:pPr>
      <w:r w:rsidRPr="00D73646">
        <w:rPr>
          <w:sz w:val="28"/>
          <w:szCs w:val="28"/>
        </w:rPr>
        <w:t>(</w:t>
      </w:r>
      <w:r w:rsidR="001906CD" w:rsidRPr="00D73646">
        <w:rPr>
          <w:sz w:val="28"/>
          <w:szCs w:val="28"/>
        </w:rPr>
        <w:t>New and Amended</w:t>
      </w:r>
      <w:r w:rsidR="00EB0182">
        <w:rPr>
          <w:sz w:val="28"/>
          <w:szCs w:val="28"/>
        </w:rPr>
        <w:t xml:space="preserve"> </w:t>
      </w:r>
      <w:r w:rsidR="003433D1" w:rsidRPr="00D73646">
        <w:rPr>
          <w:sz w:val="28"/>
          <w:szCs w:val="28"/>
        </w:rPr>
        <w:t>Requests for Public Funding</w:t>
      </w:r>
      <w:r w:rsidR="008B2610" w:rsidRPr="00D73646">
        <w:rPr>
          <w:sz w:val="28"/>
          <w:szCs w:val="28"/>
        </w:rPr>
        <w:t>)</w:t>
      </w:r>
    </w:p>
    <w:p w:rsidR="00EB0182" w:rsidRDefault="003013A9" w:rsidP="00B032C7">
      <w:pPr>
        <w:spacing w:before="0"/>
        <w:jc w:val="center"/>
        <w:rPr>
          <w:rFonts w:ascii="Arial" w:hAnsi="Arial" w:cs="Arial"/>
          <w:b/>
          <w:sz w:val="52"/>
          <w:szCs w:val="52"/>
        </w:rPr>
      </w:pPr>
      <w:r w:rsidRPr="00D73646">
        <w:rPr>
          <w:sz w:val="28"/>
          <w:szCs w:val="28"/>
        </w:rPr>
        <w:t xml:space="preserve">(Version </w:t>
      </w:r>
      <w:r w:rsidR="0005089D">
        <w:rPr>
          <w:sz w:val="28"/>
          <w:szCs w:val="28"/>
        </w:rPr>
        <w:t>2.</w:t>
      </w:r>
      <w:r w:rsidR="00FF1A00">
        <w:rPr>
          <w:sz w:val="28"/>
          <w:szCs w:val="28"/>
        </w:rPr>
        <w:t>5</w:t>
      </w:r>
      <w:r w:rsidR="00EB0182">
        <w:rPr>
          <w:sz w:val="28"/>
          <w:szCs w:val="28"/>
        </w:rPr>
        <w:t>)</w:t>
      </w:r>
    </w:p>
    <w:p w:rsidR="00E44B80" w:rsidRPr="00154B00" w:rsidRDefault="00300EEB" w:rsidP="00B032C7">
      <w:pPr>
        <w:spacing w:before="0"/>
      </w:pPr>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rsidR="008B2610" w:rsidRDefault="008B2610" w:rsidP="00B032C7">
      <w:pPr>
        <w:spacing w:before="0"/>
      </w:pPr>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rsidR="00EB0182" w:rsidRDefault="00EB0182" w:rsidP="00B032C7">
      <w:pPr>
        <w:spacing w:before="0"/>
        <w:jc w:val="both"/>
        <w:rPr>
          <w:szCs w:val="20"/>
        </w:rPr>
      </w:pPr>
      <w:r>
        <w:rPr>
          <w:szCs w:val="20"/>
        </w:rPr>
        <w:t xml:space="preserve">The application form will be disseminated to professional bodies / organisations and consumer organisations that have </w:t>
      </w:r>
      <w:r w:rsidR="004A68EF">
        <w:rPr>
          <w:szCs w:val="20"/>
        </w:rPr>
        <w:t xml:space="preserve">will </w:t>
      </w:r>
      <w:r>
        <w:rPr>
          <w:szCs w:val="20"/>
        </w:rPr>
        <w:t xml:space="preserve">be identified in Part 5, and any additional groups that the Department </w:t>
      </w:r>
      <w:r w:rsidR="004A68EF">
        <w:rPr>
          <w:szCs w:val="20"/>
        </w:rPr>
        <w:t>deem</w:t>
      </w:r>
      <w:r>
        <w:rPr>
          <w:szCs w:val="20"/>
        </w:rPr>
        <w:t xml:space="preserve"> should be consulted with.</w:t>
      </w:r>
      <w:r w:rsidR="004A68EF">
        <w:rPr>
          <w:szCs w:val="20"/>
        </w:rPr>
        <w:t xml:space="preserve">  </w:t>
      </w:r>
      <w:r>
        <w:rPr>
          <w:szCs w:val="20"/>
        </w:rPr>
        <w:t>The application form, with relevant material can be redacted if requested by the Applicant.</w:t>
      </w:r>
    </w:p>
    <w:p w:rsidR="008B2610" w:rsidRPr="00154B00" w:rsidRDefault="009F5758" w:rsidP="00B032C7">
      <w:pPr>
        <w:spacing w:before="0"/>
      </w:pPr>
      <w:r w:rsidRPr="00154B00">
        <w:t>Should you require any further assistance, d</w:t>
      </w:r>
      <w:r w:rsidR="008B2610" w:rsidRPr="00154B00">
        <w:t>epartmental staff are available through the contact numbers and email below to discuss</w:t>
      </w:r>
      <w:r w:rsidRPr="00154B00">
        <w:t xml:space="preserve"> the application form, or any other component of the Medical Services Advisory Committee process.</w:t>
      </w:r>
    </w:p>
    <w:p w:rsidR="008B2610" w:rsidRPr="00154B00" w:rsidRDefault="009F5758" w:rsidP="00B032C7">
      <w:pPr>
        <w:spacing w:before="0"/>
      </w:pPr>
      <w:r w:rsidRPr="00154B00">
        <w:t>Phone:  +61 2 6289 7550</w:t>
      </w:r>
    </w:p>
    <w:p w:rsidR="009F5758" w:rsidRPr="00154B00" w:rsidRDefault="009F5758" w:rsidP="00B032C7">
      <w:pPr>
        <w:spacing w:before="0"/>
      </w:pPr>
      <w:r w:rsidRPr="00154B00">
        <w:t>Fax:  +61 2 6289 5540</w:t>
      </w:r>
    </w:p>
    <w:p w:rsidR="009F5758" w:rsidRPr="00154B00" w:rsidRDefault="009F5758" w:rsidP="00B032C7">
      <w:pPr>
        <w:spacing w:before="0"/>
      </w:pPr>
      <w:r w:rsidRPr="00154B00">
        <w:t xml:space="preserve">Email:  </w:t>
      </w:r>
      <w:hyperlink r:id="rId10" w:tooltip="click here to email the Department of Health HTA Team" w:history="1">
        <w:r w:rsidRPr="00154B00">
          <w:rPr>
            <w:rStyle w:val="Hyperlink"/>
            <w:szCs w:val="20"/>
          </w:rPr>
          <w:t>hta@health.gov.au</w:t>
        </w:r>
      </w:hyperlink>
    </w:p>
    <w:p w:rsidR="009F5758" w:rsidRPr="00154B00" w:rsidRDefault="009F5758" w:rsidP="00B032C7">
      <w:pPr>
        <w:spacing w:before="0"/>
      </w:pPr>
      <w:r w:rsidRPr="00154B00">
        <w:t xml:space="preserve">Website:  </w:t>
      </w:r>
      <w:hyperlink r:id="rId11"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rsidR="001D77ED" w:rsidRPr="003F7CB9" w:rsidRDefault="00D73646" w:rsidP="00B032C7">
      <w:pPr>
        <w:spacing w:before="0"/>
      </w:pPr>
      <w:bookmarkStart w:id="1" w:name="_Toc443555803"/>
      <w:r>
        <w:rPr>
          <w:rStyle w:val="IntenseReference"/>
        </w:rPr>
        <w:br w:type="page"/>
      </w:r>
      <w:bookmarkEnd w:id="1"/>
    </w:p>
    <w:p w:rsidR="00E04FB3" w:rsidRPr="00C776B1" w:rsidRDefault="00494011" w:rsidP="00B032C7">
      <w:pPr>
        <w:pStyle w:val="Heading1"/>
        <w:spacing w:after="120" w:line="240" w:lineRule="auto"/>
      </w:pPr>
      <w:r>
        <w:lastRenderedPageBreak/>
        <w:t>PART 1</w:t>
      </w:r>
      <w:r w:rsidR="00F93784">
        <w:t xml:space="preserve"> – </w:t>
      </w:r>
      <w:r w:rsidR="00E04FB3" w:rsidRPr="00C776B1">
        <w:t>APPLICANT DETAILS</w:t>
      </w:r>
    </w:p>
    <w:p w:rsidR="00392F00" w:rsidRDefault="00D57F88" w:rsidP="00B032C7">
      <w:pPr>
        <w:pStyle w:val="Heading2"/>
        <w:spacing w:before="0"/>
      </w:pPr>
      <w:r w:rsidRPr="00A8732C">
        <w:t>Applicant d</w:t>
      </w:r>
      <w:r w:rsidR="00392F00" w:rsidRPr="00A8732C">
        <w:t>etails</w:t>
      </w:r>
      <w:r w:rsidR="000D066E" w:rsidRPr="00A8732C">
        <w:t xml:space="preserve"> (primary and alternative contacts)</w:t>
      </w:r>
    </w:p>
    <w:p w:rsidR="00C171FB" w:rsidRDefault="00C171FB" w:rsidP="00B032C7">
      <w:pPr>
        <w:pBdr>
          <w:top w:val="single" w:sz="4" w:space="1" w:color="auto"/>
          <w:left w:val="single" w:sz="4" w:space="4" w:color="auto"/>
          <w:bottom w:val="single" w:sz="4" w:space="1" w:color="auto"/>
          <w:right w:val="single" w:sz="4" w:space="4" w:color="auto"/>
        </w:pBdr>
        <w:spacing w:before="0"/>
      </w:pPr>
      <w:r>
        <w:t xml:space="preserve">Corporation / partnership details (where relevant): </w:t>
      </w:r>
    </w:p>
    <w:p w:rsidR="00C171FB" w:rsidRDefault="00C171FB" w:rsidP="00B032C7">
      <w:pPr>
        <w:pBdr>
          <w:top w:val="single" w:sz="4" w:space="1" w:color="auto"/>
          <w:left w:val="single" w:sz="4" w:space="4" w:color="auto"/>
          <w:bottom w:val="single" w:sz="4" w:space="1" w:color="auto"/>
          <w:right w:val="single" w:sz="4" w:space="4" w:color="auto"/>
        </w:pBdr>
        <w:spacing w:before="0"/>
      </w:pPr>
      <w:r>
        <w:t xml:space="preserve">Corporation name: </w:t>
      </w:r>
      <w:r w:rsidR="00B032C7">
        <w:t>Merck Sharp &amp; Dohme (Australia) Pty Limited</w:t>
      </w:r>
    </w:p>
    <w:p w:rsidR="00C171FB" w:rsidRDefault="00C171FB" w:rsidP="00B032C7">
      <w:pPr>
        <w:pBdr>
          <w:top w:val="single" w:sz="4" w:space="1" w:color="auto"/>
          <w:left w:val="single" w:sz="4" w:space="4" w:color="auto"/>
          <w:bottom w:val="single" w:sz="4" w:space="1" w:color="auto"/>
          <w:right w:val="single" w:sz="4" w:space="4" w:color="auto"/>
        </w:pBdr>
        <w:spacing w:before="0"/>
      </w:pPr>
      <w:r>
        <w:t xml:space="preserve">ABN: </w:t>
      </w:r>
      <w:r w:rsidR="00B032C7" w:rsidRPr="00B032C7">
        <w:rPr>
          <w:b/>
        </w:rPr>
        <w:t>redacted</w:t>
      </w:r>
    </w:p>
    <w:p w:rsidR="00C171FB" w:rsidRPr="00C171FB" w:rsidRDefault="00C171FB" w:rsidP="00B032C7">
      <w:pPr>
        <w:pBdr>
          <w:top w:val="single" w:sz="4" w:space="1" w:color="auto"/>
          <w:left w:val="single" w:sz="4" w:space="4" w:color="auto"/>
          <w:bottom w:val="single" w:sz="4" w:space="1" w:color="auto"/>
          <w:right w:val="single" w:sz="4" w:space="4" w:color="auto"/>
        </w:pBdr>
        <w:spacing w:before="0"/>
      </w:pPr>
      <w:r>
        <w:t xml:space="preserve">Business trading name: </w:t>
      </w:r>
      <w:r w:rsidR="00B032C7" w:rsidRPr="00B032C7">
        <w:rPr>
          <w:b/>
        </w:rPr>
        <w:t>redacted</w:t>
      </w:r>
    </w:p>
    <w:p w:rsidR="00C171FB" w:rsidRPr="00C171FB" w:rsidRDefault="00C171FB" w:rsidP="00B032C7">
      <w:pPr>
        <w:spacing w:before="0"/>
        <w:rPr>
          <w:b/>
        </w:rPr>
      </w:pPr>
      <w:r>
        <w:rPr>
          <w:b/>
        </w:rPr>
        <w:t xml:space="preserve">Primary contact name: </w:t>
      </w:r>
    </w:p>
    <w:p w:rsidR="00C171FB" w:rsidRDefault="00C171FB" w:rsidP="00B032C7">
      <w:pPr>
        <w:pBdr>
          <w:top w:val="single" w:sz="4" w:space="1" w:color="auto"/>
          <w:left w:val="single" w:sz="4" w:space="4" w:color="auto"/>
          <w:bottom w:val="single" w:sz="4" w:space="1" w:color="auto"/>
          <w:right w:val="single" w:sz="4" w:space="4" w:color="auto"/>
        </w:pBdr>
        <w:spacing w:before="0"/>
      </w:pPr>
      <w:r>
        <w:t>Primary contact numbers</w:t>
      </w:r>
    </w:p>
    <w:p w:rsidR="00C171FB" w:rsidRDefault="00C171FB" w:rsidP="00B032C7">
      <w:pPr>
        <w:pBdr>
          <w:top w:val="single" w:sz="4" w:space="1" w:color="auto"/>
          <w:left w:val="single" w:sz="4" w:space="4" w:color="auto"/>
          <w:bottom w:val="single" w:sz="4" w:space="1" w:color="auto"/>
          <w:right w:val="single" w:sz="4" w:space="4" w:color="auto"/>
        </w:pBdr>
        <w:spacing w:before="0"/>
      </w:pPr>
      <w:r>
        <w:t xml:space="preserve">Business: </w:t>
      </w:r>
      <w:r w:rsidR="00B032C7" w:rsidRPr="00B032C7">
        <w:rPr>
          <w:b/>
        </w:rPr>
        <w:t>redacted</w:t>
      </w:r>
    </w:p>
    <w:p w:rsidR="00C171FB" w:rsidRDefault="00C171FB" w:rsidP="00B032C7">
      <w:pPr>
        <w:pBdr>
          <w:top w:val="single" w:sz="4" w:space="1" w:color="auto"/>
          <w:left w:val="single" w:sz="4" w:space="4" w:color="auto"/>
          <w:bottom w:val="single" w:sz="4" w:space="1" w:color="auto"/>
          <w:right w:val="single" w:sz="4" w:space="4" w:color="auto"/>
        </w:pBdr>
        <w:spacing w:before="0"/>
      </w:pPr>
      <w:r>
        <w:t>Mobile:</w:t>
      </w:r>
      <w:r>
        <w:tab/>
      </w:r>
      <w:r w:rsidR="00B032C7" w:rsidRPr="00B032C7">
        <w:rPr>
          <w:b/>
        </w:rPr>
        <w:t>redacted</w:t>
      </w:r>
    </w:p>
    <w:p w:rsidR="00C171FB" w:rsidRPr="00B032C7" w:rsidRDefault="00C171FB" w:rsidP="00B032C7">
      <w:pPr>
        <w:pBdr>
          <w:top w:val="single" w:sz="4" w:space="1" w:color="auto"/>
          <w:left w:val="single" w:sz="4" w:space="4" w:color="auto"/>
          <w:bottom w:val="single" w:sz="4" w:space="1" w:color="auto"/>
          <w:right w:val="single" w:sz="4" w:space="4" w:color="auto"/>
        </w:pBdr>
        <w:spacing w:before="0"/>
      </w:pPr>
      <w:r>
        <w:t xml:space="preserve">Email: </w:t>
      </w:r>
      <w:r w:rsidR="00B032C7" w:rsidRPr="00B032C7">
        <w:rPr>
          <w:b/>
        </w:rPr>
        <w:t>redacted</w:t>
      </w:r>
    </w:p>
    <w:p w:rsidR="00C171FB" w:rsidRPr="00C171FB" w:rsidRDefault="00C171FB" w:rsidP="00B032C7">
      <w:pPr>
        <w:spacing w:before="0"/>
        <w:rPr>
          <w:b/>
        </w:rPr>
      </w:pPr>
      <w:r>
        <w:rPr>
          <w:b/>
        </w:rPr>
        <w:t xml:space="preserve">Alternative contact name: </w:t>
      </w:r>
    </w:p>
    <w:p w:rsidR="00C171FB" w:rsidRDefault="00C171FB" w:rsidP="00B032C7">
      <w:pPr>
        <w:pBdr>
          <w:top w:val="single" w:sz="4" w:space="1" w:color="auto"/>
          <w:left w:val="single" w:sz="4" w:space="4" w:color="auto"/>
          <w:bottom w:val="single" w:sz="4" w:space="1" w:color="auto"/>
          <w:right w:val="single" w:sz="4" w:space="4" w:color="auto"/>
        </w:pBdr>
        <w:spacing w:before="0"/>
      </w:pPr>
      <w:r>
        <w:t>Alternative contact numbers</w:t>
      </w:r>
      <w:r>
        <w:tab/>
      </w:r>
    </w:p>
    <w:p w:rsidR="00C171FB" w:rsidRDefault="00C171FB" w:rsidP="00B032C7">
      <w:pPr>
        <w:pBdr>
          <w:top w:val="single" w:sz="4" w:space="1" w:color="auto"/>
          <w:left w:val="single" w:sz="4" w:space="4" w:color="auto"/>
          <w:bottom w:val="single" w:sz="4" w:space="1" w:color="auto"/>
          <w:right w:val="single" w:sz="4" w:space="4" w:color="auto"/>
        </w:pBdr>
        <w:spacing w:before="0"/>
      </w:pPr>
      <w:r>
        <w:t xml:space="preserve">Business: </w:t>
      </w:r>
      <w:r w:rsidR="00B032C7" w:rsidRPr="00B032C7">
        <w:rPr>
          <w:b/>
        </w:rPr>
        <w:t>redacted</w:t>
      </w:r>
    </w:p>
    <w:p w:rsidR="00C171FB" w:rsidRDefault="00C171FB" w:rsidP="00B032C7">
      <w:pPr>
        <w:pBdr>
          <w:top w:val="single" w:sz="4" w:space="1" w:color="auto"/>
          <w:left w:val="single" w:sz="4" w:space="4" w:color="auto"/>
          <w:bottom w:val="single" w:sz="4" w:space="1" w:color="auto"/>
          <w:right w:val="single" w:sz="4" w:space="4" w:color="auto"/>
        </w:pBdr>
        <w:spacing w:before="0"/>
      </w:pPr>
      <w:r>
        <w:t xml:space="preserve">Mobile: </w:t>
      </w:r>
      <w:r w:rsidR="00B032C7" w:rsidRPr="00B032C7">
        <w:rPr>
          <w:b/>
        </w:rPr>
        <w:t>redacted</w:t>
      </w:r>
    </w:p>
    <w:p w:rsidR="00C171FB" w:rsidRDefault="00C171FB" w:rsidP="00B032C7">
      <w:pPr>
        <w:pBdr>
          <w:top w:val="single" w:sz="4" w:space="1" w:color="auto"/>
          <w:left w:val="single" w:sz="4" w:space="4" w:color="auto"/>
          <w:bottom w:val="single" w:sz="4" w:space="1" w:color="auto"/>
          <w:right w:val="single" w:sz="4" w:space="4" w:color="auto"/>
        </w:pBdr>
        <w:spacing w:before="0"/>
      </w:pPr>
      <w:r>
        <w:t xml:space="preserve">Email: </w:t>
      </w:r>
      <w:r w:rsidR="00B032C7" w:rsidRPr="00B032C7">
        <w:rPr>
          <w:b/>
        </w:rPr>
        <w:t>redacted</w:t>
      </w:r>
    </w:p>
    <w:p w:rsidR="00F34AEC" w:rsidRPr="00154B00" w:rsidRDefault="00F34AEC" w:rsidP="00B032C7">
      <w:pPr>
        <w:pStyle w:val="Heading2"/>
        <w:spacing w:before="0"/>
      </w:pPr>
      <w:r>
        <w:t>(a) Are you a consultant acting on behalf of an Applicant?</w:t>
      </w:r>
    </w:p>
    <w:p w:rsidR="00F34AEC" w:rsidRDefault="00F34AEC" w:rsidP="00B032C7">
      <w:pPr>
        <w:spacing w:before="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AF6981">
        <w:rPr>
          <w:szCs w:val="20"/>
        </w:rPr>
      </w:r>
      <w:r w:rsidR="00AF6981">
        <w:rPr>
          <w:szCs w:val="20"/>
        </w:rPr>
        <w:fldChar w:fldCharType="separate"/>
      </w:r>
      <w:r w:rsidRPr="00753C44">
        <w:rPr>
          <w:szCs w:val="20"/>
        </w:rPr>
        <w:fldChar w:fldCharType="end"/>
      </w:r>
      <w:r>
        <w:rPr>
          <w:szCs w:val="20"/>
        </w:rPr>
        <w:t xml:space="preserve"> Yes</w:t>
      </w:r>
    </w:p>
    <w:p w:rsidR="00F34AEC" w:rsidRPr="00B032C7" w:rsidRDefault="00B032C7" w:rsidP="00B032C7">
      <w:pPr>
        <w:spacing w:before="0"/>
        <w:ind w:left="426"/>
        <w:rPr>
          <w:szCs w:val="20"/>
        </w:rPr>
      </w:pPr>
      <w:r>
        <w:rPr>
          <w:szCs w:val="20"/>
        </w:rPr>
        <w:fldChar w:fldCharType="begin">
          <w:ffData>
            <w:name w:val="Check2"/>
            <w:enabled/>
            <w:calcOnExit w:val="0"/>
            <w:checkBox>
              <w:sizeAuto/>
              <w:default w:val="1"/>
            </w:checkBox>
          </w:ffData>
        </w:fldChar>
      </w:r>
      <w:bookmarkStart w:id="2" w:name="Check2"/>
      <w:r>
        <w:rPr>
          <w:szCs w:val="20"/>
        </w:rPr>
        <w:instrText xml:space="preserve"> FORMCHECKBOX </w:instrText>
      </w:r>
      <w:r w:rsidR="00AF6981">
        <w:rPr>
          <w:szCs w:val="20"/>
        </w:rPr>
      </w:r>
      <w:r w:rsidR="00AF6981">
        <w:rPr>
          <w:szCs w:val="20"/>
        </w:rPr>
        <w:fldChar w:fldCharType="separate"/>
      </w:r>
      <w:r>
        <w:rPr>
          <w:szCs w:val="20"/>
        </w:rPr>
        <w:fldChar w:fldCharType="end"/>
      </w:r>
      <w:bookmarkEnd w:id="2"/>
      <w:r w:rsidR="00F34AEC">
        <w:rPr>
          <w:szCs w:val="20"/>
        </w:rPr>
        <w:t xml:space="preserve"> No</w:t>
      </w:r>
      <w:r w:rsidR="00352047">
        <w:rPr>
          <w:szCs w:val="20"/>
        </w:rPr>
        <w:t xml:space="preserve"> </w:t>
      </w:r>
    </w:p>
    <w:p w:rsidR="00F34AEC" w:rsidRPr="002F55EF" w:rsidRDefault="00F34AEC" w:rsidP="00B032C7">
      <w:pPr>
        <w:spacing w:before="0"/>
        <w:ind w:firstLine="360"/>
        <w:rPr>
          <w:b/>
        </w:rPr>
      </w:pPr>
      <w:r w:rsidRPr="002F55EF">
        <w:rPr>
          <w:b/>
        </w:rPr>
        <w:t>(b) If yes, what is the Applicant(s) name that you are acting on behalf of?</w:t>
      </w:r>
    </w:p>
    <w:p w:rsidR="00F34AEC" w:rsidRPr="00C171FB" w:rsidRDefault="00F34AEC" w:rsidP="00B032C7">
      <w:pPr>
        <w:spacing w:before="0"/>
        <w:ind w:left="284"/>
        <w:rPr>
          <w:noProof/>
        </w:rPr>
      </w:pPr>
      <w:r>
        <w:rPr>
          <w:noProof/>
        </w:rPr>
        <w:t>Insert relevant Applicant(s) name here.</w:t>
      </w:r>
    </w:p>
    <w:p w:rsidR="00534C5F" w:rsidRPr="00154B00" w:rsidRDefault="00494011" w:rsidP="00B032C7">
      <w:pPr>
        <w:pStyle w:val="Heading2"/>
        <w:spacing w:before="0"/>
      </w:pPr>
      <w:r>
        <w:t xml:space="preserve">(a) </w:t>
      </w:r>
      <w:r w:rsidR="00534C5F">
        <w:t>Are you a lobbyist acting on behalf of an Applicant?</w:t>
      </w:r>
    </w:p>
    <w:p w:rsidR="00A6491A" w:rsidRDefault="00A6491A" w:rsidP="00B032C7">
      <w:pPr>
        <w:spacing w:before="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AF6981">
        <w:rPr>
          <w:szCs w:val="20"/>
        </w:rPr>
      </w:r>
      <w:r w:rsidR="00AF6981">
        <w:rPr>
          <w:szCs w:val="20"/>
        </w:rPr>
        <w:fldChar w:fldCharType="separate"/>
      </w:r>
      <w:r w:rsidRPr="00753C44">
        <w:rPr>
          <w:szCs w:val="20"/>
        </w:rPr>
        <w:fldChar w:fldCharType="end"/>
      </w:r>
      <w:r>
        <w:rPr>
          <w:szCs w:val="20"/>
        </w:rPr>
        <w:t xml:space="preserve"> Yes</w:t>
      </w:r>
    </w:p>
    <w:p w:rsidR="00A6491A" w:rsidRPr="00753C44" w:rsidRDefault="00A6491A" w:rsidP="00B032C7">
      <w:pPr>
        <w:spacing w:before="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F6981">
        <w:rPr>
          <w:szCs w:val="20"/>
        </w:rPr>
      </w:r>
      <w:r w:rsidR="00AF6981">
        <w:rPr>
          <w:szCs w:val="20"/>
        </w:rPr>
        <w:fldChar w:fldCharType="separate"/>
      </w:r>
      <w:r w:rsidRPr="00753C44">
        <w:rPr>
          <w:szCs w:val="20"/>
        </w:rPr>
        <w:fldChar w:fldCharType="end"/>
      </w:r>
      <w:r>
        <w:rPr>
          <w:szCs w:val="20"/>
        </w:rPr>
        <w:t xml:space="preserve"> No</w:t>
      </w:r>
      <w:r w:rsidRPr="00753C44">
        <w:rPr>
          <w:szCs w:val="20"/>
        </w:rPr>
        <w:t xml:space="preserve">  </w:t>
      </w:r>
    </w:p>
    <w:p w:rsidR="00534C5F" w:rsidRPr="00154B00" w:rsidRDefault="00534C5F" w:rsidP="00B032C7">
      <w:pPr>
        <w:pStyle w:val="Heading2"/>
        <w:numPr>
          <w:ilvl w:val="0"/>
          <w:numId w:val="23"/>
        </w:numPr>
        <w:spacing w:before="0"/>
      </w:pPr>
      <w:r w:rsidRPr="00154B00">
        <w:t xml:space="preserve">If yes, </w:t>
      </w:r>
      <w:r>
        <w:t xml:space="preserve">are </w:t>
      </w:r>
      <w:r w:rsidRPr="00FE33A6">
        <w:t>you</w:t>
      </w:r>
      <w:r>
        <w:t xml:space="preserve"> listed on the Register of Lobbyists?</w:t>
      </w:r>
    </w:p>
    <w:p w:rsidR="00A6491A" w:rsidRDefault="00A6491A" w:rsidP="00B032C7">
      <w:pPr>
        <w:spacing w:before="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AF6981">
        <w:rPr>
          <w:szCs w:val="20"/>
        </w:rPr>
      </w:r>
      <w:r w:rsidR="00AF6981">
        <w:rPr>
          <w:szCs w:val="20"/>
        </w:rPr>
        <w:fldChar w:fldCharType="separate"/>
      </w:r>
      <w:r w:rsidRPr="00753C44">
        <w:rPr>
          <w:szCs w:val="20"/>
        </w:rPr>
        <w:fldChar w:fldCharType="end"/>
      </w:r>
      <w:r>
        <w:rPr>
          <w:szCs w:val="20"/>
        </w:rPr>
        <w:t xml:space="preserve"> Yes</w:t>
      </w:r>
    </w:p>
    <w:p w:rsidR="00A6491A" w:rsidRPr="00753C44" w:rsidRDefault="00A6491A" w:rsidP="00B032C7">
      <w:pPr>
        <w:spacing w:before="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F6981">
        <w:rPr>
          <w:szCs w:val="20"/>
        </w:rPr>
      </w:r>
      <w:r w:rsidR="00AF6981">
        <w:rPr>
          <w:szCs w:val="20"/>
        </w:rPr>
        <w:fldChar w:fldCharType="separate"/>
      </w:r>
      <w:r w:rsidRPr="00753C44">
        <w:rPr>
          <w:szCs w:val="20"/>
        </w:rPr>
        <w:fldChar w:fldCharType="end"/>
      </w:r>
      <w:r>
        <w:rPr>
          <w:szCs w:val="20"/>
        </w:rPr>
        <w:t xml:space="preserve"> No</w:t>
      </w:r>
      <w:r w:rsidRPr="00753C44">
        <w:rPr>
          <w:szCs w:val="20"/>
        </w:rPr>
        <w:t xml:space="preserve">  </w:t>
      </w:r>
    </w:p>
    <w:p w:rsidR="00E04FB3" w:rsidRDefault="00E04FB3" w:rsidP="00B032C7">
      <w:pPr>
        <w:spacing w:before="0"/>
        <w:ind w:left="426"/>
        <w:rPr>
          <w:b/>
          <w:szCs w:val="20"/>
        </w:rPr>
      </w:pPr>
      <w:r w:rsidRPr="00154B00">
        <w:rPr>
          <w:b/>
          <w:szCs w:val="20"/>
        </w:rPr>
        <w:br w:type="page"/>
      </w:r>
    </w:p>
    <w:p w:rsidR="00D57F88" w:rsidRPr="00C776B1" w:rsidRDefault="00730C04" w:rsidP="00B032C7">
      <w:pPr>
        <w:pStyle w:val="Heading1"/>
        <w:spacing w:after="120" w:line="240" w:lineRule="auto"/>
      </w:pPr>
      <w:r>
        <w:lastRenderedPageBreak/>
        <w:t>PART 2</w:t>
      </w:r>
      <w:r w:rsidR="00F93784">
        <w:t xml:space="preserve"> – </w:t>
      </w:r>
      <w:r w:rsidR="00E04FB3" w:rsidRPr="00C776B1">
        <w:t>INFORMATION ABOUT THE PROPOSED MEDICAL SERVICE</w:t>
      </w:r>
    </w:p>
    <w:p w:rsidR="000B3CD0" w:rsidRDefault="000B3CD0" w:rsidP="00B032C7">
      <w:pPr>
        <w:pStyle w:val="Heading2"/>
        <w:spacing w:before="0"/>
      </w:pPr>
      <w:r w:rsidRPr="00154B00">
        <w:t>Application title</w:t>
      </w:r>
      <w:r w:rsidR="00A8732C">
        <w:t xml:space="preserve"> </w:t>
      </w:r>
    </w:p>
    <w:p w:rsidR="009056C5" w:rsidRPr="009056C5" w:rsidRDefault="00B032C7" w:rsidP="00B032C7">
      <w:pPr>
        <w:spacing w:before="0"/>
        <w:ind w:left="284"/>
      </w:pPr>
      <w:r w:rsidRPr="00F8329B">
        <w:rPr>
          <w:szCs w:val="20"/>
        </w:rPr>
        <w:t>Pembrolizumab (MK-3475) in Mismatch Repair Deficient (dMMR) Stage IV Colorectal Carcinoma</w:t>
      </w:r>
    </w:p>
    <w:p w:rsidR="009B4E1E" w:rsidRDefault="009B4E1E" w:rsidP="00B032C7">
      <w:pPr>
        <w:pStyle w:val="Heading2"/>
        <w:spacing w:before="0"/>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rsidR="002C3345" w:rsidRPr="00B032C7" w:rsidRDefault="00B032C7" w:rsidP="00B032C7">
      <w:pPr>
        <w:pStyle w:val="NormalWeb"/>
        <w:spacing w:before="0" w:beforeAutospacing="0" w:after="120" w:afterAutospacing="0"/>
        <w:ind w:left="284"/>
        <w:rPr>
          <w:rFonts w:ascii="Calibri" w:eastAsiaTheme="minorHAnsi" w:hAnsi="Calibri" w:cstheme="minorBidi"/>
          <w:sz w:val="20"/>
          <w:szCs w:val="20"/>
          <w:lang w:eastAsia="en-US"/>
        </w:rPr>
      </w:pPr>
      <w:r w:rsidRPr="00F8329B">
        <w:rPr>
          <w:rFonts w:ascii="Calibri" w:eastAsiaTheme="minorHAnsi" w:hAnsi="Calibri" w:cstheme="minorBidi"/>
          <w:sz w:val="20"/>
          <w:szCs w:val="20"/>
          <w:lang w:eastAsia="en-US"/>
        </w:rPr>
        <w:t>Stage IV Colorectal Carcinoma (CRC) who are receiving first line (1L) treatment</w:t>
      </w:r>
    </w:p>
    <w:p w:rsidR="000955E7" w:rsidRDefault="000955E7" w:rsidP="00B032C7">
      <w:pPr>
        <w:pStyle w:val="Heading2"/>
        <w:spacing w:before="0"/>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rsidR="00CB12EC" w:rsidRPr="00CB12EC" w:rsidRDefault="00B032C7" w:rsidP="00B032C7">
      <w:pPr>
        <w:spacing w:before="0"/>
        <w:ind w:left="284"/>
      </w:pPr>
      <w:r w:rsidRPr="00F8329B">
        <w:rPr>
          <w:rFonts w:ascii="Calibri" w:hAnsi="Calibri"/>
          <w:szCs w:val="20"/>
        </w:rPr>
        <w:t xml:space="preserve">ImmunoHistoChemistry (IHC) test for identification of Mismatch Repair Deficiency (dMMR) for access to pembrolizumab in patients with Stage IV CRC  </w:t>
      </w:r>
    </w:p>
    <w:p w:rsidR="00D11EB1" w:rsidRPr="0011036E" w:rsidRDefault="00730C04" w:rsidP="00B032C7">
      <w:pPr>
        <w:pStyle w:val="Heading2"/>
        <w:spacing w:before="0"/>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rsidR="00753C44" w:rsidRDefault="00B032C7" w:rsidP="00B032C7">
      <w:pPr>
        <w:spacing w:before="0"/>
        <w:ind w:left="284"/>
        <w:rPr>
          <w:szCs w:val="20"/>
        </w:rPr>
      </w:pPr>
      <w:r>
        <w:rPr>
          <w:szCs w:val="20"/>
        </w:rPr>
        <w:fldChar w:fldCharType="begin">
          <w:ffData>
            <w:name w:val="Check1"/>
            <w:enabled/>
            <w:calcOnExit w:val="0"/>
            <w:checkBox>
              <w:sizeAuto/>
              <w:default w:val="1"/>
            </w:checkBox>
          </w:ffData>
        </w:fldChar>
      </w:r>
      <w:bookmarkStart w:id="3" w:name="Check1"/>
      <w:r>
        <w:rPr>
          <w:szCs w:val="20"/>
        </w:rPr>
        <w:instrText xml:space="preserve"> FORMCHECKBOX </w:instrText>
      </w:r>
      <w:r w:rsidR="00AF6981">
        <w:rPr>
          <w:szCs w:val="20"/>
        </w:rPr>
      </w:r>
      <w:r w:rsidR="00AF6981">
        <w:rPr>
          <w:szCs w:val="20"/>
        </w:rPr>
        <w:fldChar w:fldCharType="separate"/>
      </w:r>
      <w:r>
        <w:rPr>
          <w:szCs w:val="20"/>
        </w:rPr>
        <w:fldChar w:fldCharType="end"/>
      </w:r>
      <w:bookmarkEnd w:id="3"/>
      <w:r w:rsidR="006B6390">
        <w:rPr>
          <w:szCs w:val="20"/>
        </w:rPr>
        <w:t xml:space="preserve"> Yes</w:t>
      </w:r>
    </w:p>
    <w:p w:rsidR="00753C44" w:rsidRPr="00753C44" w:rsidRDefault="006B6390" w:rsidP="00B032C7">
      <w:pPr>
        <w:spacing w:before="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F6981">
        <w:rPr>
          <w:szCs w:val="20"/>
        </w:rPr>
      </w:r>
      <w:r w:rsidR="00AF6981">
        <w:rPr>
          <w:szCs w:val="20"/>
        </w:rPr>
        <w:fldChar w:fldCharType="separate"/>
      </w:r>
      <w:r w:rsidRPr="00753C44">
        <w:rPr>
          <w:szCs w:val="20"/>
        </w:rPr>
        <w:fldChar w:fldCharType="end"/>
      </w:r>
      <w:r>
        <w:rPr>
          <w:szCs w:val="20"/>
        </w:rPr>
        <w:t xml:space="preserve"> No</w:t>
      </w:r>
      <w:r w:rsidR="00753C44" w:rsidRPr="00753C44">
        <w:rPr>
          <w:szCs w:val="20"/>
        </w:rPr>
        <w:t xml:space="preserve">  </w:t>
      </w:r>
    </w:p>
    <w:p w:rsidR="000B3CD0" w:rsidRPr="0011036E" w:rsidRDefault="000B3CD0" w:rsidP="00B032C7">
      <w:pPr>
        <w:pStyle w:val="Heading2"/>
        <w:numPr>
          <w:ilvl w:val="0"/>
          <w:numId w:val="24"/>
        </w:numPr>
        <w:spacing w:before="0"/>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rsidR="00753C44" w:rsidRDefault="00B032C7" w:rsidP="00B032C7">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F6981">
        <w:rPr>
          <w:szCs w:val="20"/>
        </w:rPr>
      </w:r>
      <w:r w:rsidR="00AF6981">
        <w:rPr>
          <w:szCs w:val="20"/>
        </w:rPr>
        <w:fldChar w:fldCharType="separate"/>
      </w:r>
      <w:r>
        <w:rPr>
          <w:szCs w:val="20"/>
        </w:rPr>
        <w:fldChar w:fldCharType="end"/>
      </w:r>
      <w:r w:rsidR="006B6390">
        <w:rPr>
          <w:szCs w:val="20"/>
        </w:rPr>
        <w:t xml:space="preserve"> </w:t>
      </w:r>
      <w:r w:rsidR="00753C44" w:rsidRPr="00154B00">
        <w:rPr>
          <w:szCs w:val="20"/>
        </w:rPr>
        <w:t>Amendment to existing MBS item</w:t>
      </w:r>
      <w:r w:rsidR="00753C44">
        <w:rPr>
          <w:szCs w:val="20"/>
        </w:rPr>
        <w:t>(s)</w:t>
      </w:r>
    </w:p>
    <w:p w:rsidR="00753C44" w:rsidRPr="00753C44" w:rsidRDefault="006B6390" w:rsidP="00B032C7">
      <w:pPr>
        <w:spacing w:before="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F6981">
        <w:rPr>
          <w:szCs w:val="20"/>
        </w:rPr>
      </w:r>
      <w:r w:rsidR="00AF6981">
        <w:rPr>
          <w:szCs w:val="20"/>
        </w:rPr>
        <w:fldChar w:fldCharType="separate"/>
      </w:r>
      <w:r w:rsidRPr="00753C44">
        <w:rPr>
          <w:szCs w:val="20"/>
        </w:rPr>
        <w:fldChar w:fldCharType="end"/>
      </w:r>
      <w:r>
        <w:rPr>
          <w:szCs w:val="20"/>
        </w:rPr>
        <w:t xml:space="preserve"> </w:t>
      </w:r>
      <w:r w:rsidR="00753C44" w:rsidRPr="00154B00">
        <w:rPr>
          <w:szCs w:val="20"/>
        </w:rPr>
        <w:t>New MBS item</w:t>
      </w:r>
      <w:r w:rsidR="00753C44">
        <w:rPr>
          <w:szCs w:val="20"/>
        </w:rPr>
        <w:t>(s)</w:t>
      </w:r>
    </w:p>
    <w:p w:rsidR="000B3CD0" w:rsidRPr="0011036E" w:rsidRDefault="000B3CD0" w:rsidP="00B032C7">
      <w:pPr>
        <w:pStyle w:val="Heading2"/>
        <w:numPr>
          <w:ilvl w:val="0"/>
          <w:numId w:val="24"/>
        </w:numPr>
        <w:spacing w:before="0"/>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rsidR="003D795C" w:rsidRPr="00CB12EC" w:rsidRDefault="00B032C7" w:rsidP="00B032C7">
      <w:pPr>
        <w:spacing w:before="0"/>
        <w:ind w:left="284"/>
      </w:pPr>
      <w:r w:rsidRPr="00F8329B">
        <w:rPr>
          <w:szCs w:val="20"/>
        </w:rPr>
        <w:t xml:space="preserve">As IHC testing for MMR is already routinely performed in most pathology centres under item 72847 (4-6 antibodies), this item could be augmented for testing for eligibility for pembrolizumab.  </w:t>
      </w:r>
    </w:p>
    <w:p w:rsidR="006C0843" w:rsidRPr="0011036E" w:rsidRDefault="006C0843" w:rsidP="00B032C7">
      <w:pPr>
        <w:pStyle w:val="Heading2"/>
        <w:numPr>
          <w:ilvl w:val="0"/>
          <w:numId w:val="24"/>
        </w:numPr>
        <w:spacing w:before="0"/>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rsidR="002A270B" w:rsidRPr="004A263B" w:rsidRDefault="002A270B" w:rsidP="00B032C7">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F6981">
        <w:rPr>
          <w:b/>
          <w:szCs w:val="20"/>
        </w:rPr>
      </w:r>
      <w:r w:rsidR="00AF6981">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rsidR="002A270B" w:rsidRPr="004A263B" w:rsidRDefault="002A270B" w:rsidP="00B032C7">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F6981">
        <w:rPr>
          <w:b/>
          <w:szCs w:val="20"/>
        </w:rPr>
      </w:r>
      <w:r w:rsidR="00AF6981">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rsidR="002A270B" w:rsidRPr="004A263B" w:rsidRDefault="002A270B" w:rsidP="00B032C7">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F6981">
        <w:rPr>
          <w:b/>
          <w:szCs w:val="20"/>
        </w:rPr>
      </w:r>
      <w:r w:rsidR="00AF6981">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rsidR="002A270B" w:rsidRPr="004A263B" w:rsidRDefault="002A270B" w:rsidP="00B032C7">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F6981">
        <w:rPr>
          <w:b/>
          <w:szCs w:val="20"/>
        </w:rPr>
      </w:r>
      <w:r w:rsidR="00AF6981">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rsidR="002A270B" w:rsidRPr="004A263B" w:rsidRDefault="002A270B" w:rsidP="00B032C7">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F6981">
        <w:rPr>
          <w:b/>
          <w:szCs w:val="20"/>
        </w:rPr>
      </w:r>
      <w:r w:rsidR="00AF6981">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rsidR="002A270B" w:rsidRPr="004A263B" w:rsidRDefault="00B032C7" w:rsidP="00B032C7">
      <w:pPr>
        <w:pStyle w:val="ListParagraph"/>
        <w:numPr>
          <w:ilvl w:val="0"/>
          <w:numId w:val="34"/>
        </w:numPr>
        <w:spacing w:before="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AF6981">
        <w:rPr>
          <w:b/>
          <w:szCs w:val="20"/>
        </w:rPr>
      </w:r>
      <w:r w:rsidR="00AF6981">
        <w:rPr>
          <w:b/>
          <w:szCs w:val="20"/>
        </w:rPr>
        <w:fldChar w:fldCharType="separate"/>
      </w:r>
      <w:r>
        <w:rPr>
          <w:b/>
          <w:szCs w:val="20"/>
        </w:rPr>
        <w:fldChar w:fldCharType="end"/>
      </w:r>
      <w:r w:rsidR="002A270B" w:rsidRPr="004A263B">
        <w:rPr>
          <w:b/>
          <w:szCs w:val="20"/>
        </w:rPr>
        <w:t xml:space="preserve"> </w:t>
      </w:r>
      <w:r w:rsidR="002A270B" w:rsidRPr="004A263B">
        <w:rPr>
          <w:rStyle w:val="Strong"/>
          <w:b w:val="0"/>
        </w:rPr>
        <w:t>Minor amendments to the item descriptor that does not affect how the service is delivered</w:t>
      </w:r>
    </w:p>
    <w:p w:rsidR="002A270B" w:rsidRPr="004A263B" w:rsidRDefault="002A270B" w:rsidP="00B032C7">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F6981">
        <w:rPr>
          <w:b/>
          <w:szCs w:val="20"/>
        </w:rPr>
      </w:r>
      <w:r w:rsidR="00AF6981">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rsidR="002A270B" w:rsidRPr="004A263B" w:rsidRDefault="002A270B" w:rsidP="00B032C7">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F6981">
        <w:rPr>
          <w:b/>
          <w:szCs w:val="20"/>
        </w:rPr>
      </w:r>
      <w:r w:rsidR="00AF6981">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rsidR="002A270B" w:rsidRDefault="004A263B" w:rsidP="00B032C7">
      <w:pPr>
        <w:pStyle w:val="ListParagraph"/>
        <w:numPr>
          <w:ilvl w:val="0"/>
          <w:numId w:val="34"/>
        </w:numPr>
        <w:spacing w:before="0"/>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F6981">
        <w:rPr>
          <w:b/>
          <w:szCs w:val="20"/>
        </w:rPr>
      </w:r>
      <w:r w:rsidR="00AF6981">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rsidR="002A270B" w:rsidRPr="00CB12EC" w:rsidRDefault="00A6594E" w:rsidP="00B032C7">
      <w:pPr>
        <w:spacing w:before="0"/>
        <w:ind w:left="284"/>
      </w:pPr>
      <w:r>
        <w:fldChar w:fldCharType="begin">
          <w:ffData>
            <w:name w:val=""/>
            <w:enabled/>
            <w:calcOnExit w:val="0"/>
            <w:textInput>
              <w:default w:val="Insert description of 'other' amendment here"/>
            </w:textInput>
          </w:ffData>
        </w:fldChar>
      </w:r>
      <w:r>
        <w:instrText xml:space="preserve"> FORMTEXT </w:instrText>
      </w:r>
      <w:r>
        <w:fldChar w:fldCharType="separate"/>
      </w:r>
      <w:r>
        <w:rPr>
          <w:noProof/>
        </w:rPr>
        <w:t>Insert description of 'other' amendment here</w:t>
      </w:r>
      <w:r>
        <w:fldChar w:fldCharType="end"/>
      </w:r>
    </w:p>
    <w:p w:rsidR="00534C5F" w:rsidRPr="007E39E4" w:rsidRDefault="000770BA" w:rsidP="00B032C7">
      <w:pPr>
        <w:pStyle w:val="Heading2"/>
        <w:numPr>
          <w:ilvl w:val="0"/>
          <w:numId w:val="24"/>
        </w:numPr>
        <w:spacing w:before="0"/>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rsidR="006B6390" w:rsidRPr="00AA2CFE" w:rsidRDefault="006B6390" w:rsidP="00B032C7">
      <w:pPr>
        <w:pStyle w:val="ListParagraph"/>
        <w:numPr>
          <w:ilvl w:val="0"/>
          <w:numId w:val="35"/>
        </w:numPr>
        <w:spacing w:before="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AF6981">
        <w:rPr>
          <w:b/>
          <w:szCs w:val="20"/>
        </w:rPr>
      </w:r>
      <w:r w:rsidR="00AF6981">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rsidR="006B6390" w:rsidRPr="00AA2CFE" w:rsidRDefault="006B6390" w:rsidP="00B032C7">
      <w:pPr>
        <w:pStyle w:val="ListParagraph"/>
        <w:numPr>
          <w:ilvl w:val="0"/>
          <w:numId w:val="35"/>
        </w:numPr>
        <w:spacing w:before="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AF6981">
        <w:rPr>
          <w:b/>
          <w:szCs w:val="20"/>
        </w:rPr>
      </w:r>
      <w:r w:rsidR="00AF6981">
        <w:rPr>
          <w:b/>
          <w:szCs w:val="20"/>
        </w:rPr>
        <w:fldChar w:fldCharType="separate"/>
      </w:r>
      <w:r w:rsidRPr="00AA2CFE">
        <w:rPr>
          <w:b/>
          <w:szCs w:val="20"/>
        </w:rPr>
        <w:fldChar w:fldCharType="end"/>
      </w:r>
      <w:r w:rsidRPr="00AA2CFE">
        <w:rPr>
          <w:b/>
          <w:szCs w:val="20"/>
        </w:rPr>
        <w:t xml:space="preserve"> </w:t>
      </w:r>
      <w:r w:rsidRPr="00AA2CFE">
        <w:rPr>
          <w:rStyle w:val="Strong"/>
          <w:b w:val="0"/>
        </w:rPr>
        <w:t>A new item that is proposing a way of clinically delivering a service that is new to the MBS (in terms of new technology and / or population)</w:t>
      </w:r>
    </w:p>
    <w:p w:rsidR="006B6390" w:rsidRPr="00AA2CFE" w:rsidRDefault="006B6390" w:rsidP="00B032C7">
      <w:pPr>
        <w:pStyle w:val="ListParagraph"/>
        <w:numPr>
          <w:ilvl w:val="0"/>
          <w:numId w:val="35"/>
        </w:numPr>
        <w:spacing w:before="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AF6981">
        <w:rPr>
          <w:b/>
          <w:szCs w:val="20"/>
        </w:rPr>
      </w:r>
      <w:r w:rsidR="00AF6981">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rsidR="006B6390" w:rsidRPr="00AA2CFE" w:rsidRDefault="006B6390" w:rsidP="00B032C7">
      <w:pPr>
        <w:pStyle w:val="ListParagraph"/>
        <w:numPr>
          <w:ilvl w:val="0"/>
          <w:numId w:val="35"/>
        </w:numPr>
        <w:spacing w:before="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AF6981">
        <w:rPr>
          <w:b/>
          <w:szCs w:val="20"/>
        </w:rPr>
      </w:r>
      <w:r w:rsidR="00AF6981">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rsidR="003027BB" w:rsidRPr="007E39E4" w:rsidRDefault="00F30C22" w:rsidP="00B032C7">
      <w:pPr>
        <w:pStyle w:val="Heading2"/>
        <w:numPr>
          <w:ilvl w:val="0"/>
          <w:numId w:val="24"/>
        </w:numPr>
        <w:spacing w:before="0"/>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rsidR="000A5B32" w:rsidRDefault="00B032C7" w:rsidP="00B032C7">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F6981">
        <w:rPr>
          <w:szCs w:val="20"/>
        </w:rPr>
      </w:r>
      <w:r w:rsidR="00AF6981">
        <w:rPr>
          <w:szCs w:val="20"/>
        </w:rPr>
        <w:fldChar w:fldCharType="separate"/>
      </w:r>
      <w:r>
        <w:rPr>
          <w:szCs w:val="20"/>
        </w:rPr>
        <w:fldChar w:fldCharType="end"/>
      </w:r>
      <w:r w:rsidR="000A5B32" w:rsidRPr="000A5B32">
        <w:rPr>
          <w:szCs w:val="20"/>
        </w:rPr>
        <w:t xml:space="preserve"> Yes</w:t>
      </w:r>
    </w:p>
    <w:p w:rsidR="00626365" w:rsidRDefault="000A5B32" w:rsidP="00B032C7">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AF6981">
        <w:rPr>
          <w:szCs w:val="20"/>
        </w:rPr>
      </w:r>
      <w:r w:rsidR="00AF6981">
        <w:rPr>
          <w:szCs w:val="20"/>
        </w:rPr>
        <w:fldChar w:fldCharType="separate"/>
      </w:r>
      <w:r w:rsidRPr="000A5B32">
        <w:rPr>
          <w:szCs w:val="20"/>
        </w:rPr>
        <w:fldChar w:fldCharType="end"/>
      </w:r>
      <w:r w:rsidRPr="000A5B32">
        <w:rPr>
          <w:szCs w:val="20"/>
        </w:rPr>
        <w:t xml:space="preserve"> No</w:t>
      </w:r>
    </w:p>
    <w:p w:rsidR="00626365" w:rsidRDefault="00626365" w:rsidP="00B032C7">
      <w:pPr>
        <w:spacing w:before="0"/>
        <w:ind w:left="284"/>
        <w:rPr>
          <w:szCs w:val="20"/>
        </w:rPr>
      </w:pPr>
      <w:r>
        <w:rPr>
          <w:szCs w:val="20"/>
        </w:rPr>
        <w:br w:type="page"/>
      </w:r>
    </w:p>
    <w:p w:rsidR="00626365" w:rsidRPr="00626365" w:rsidRDefault="00626365" w:rsidP="00B032C7">
      <w:pPr>
        <w:spacing w:before="0"/>
        <w:ind w:left="284"/>
        <w:rPr>
          <w:rStyle w:val="Strong"/>
          <w:rFonts w:asciiTheme="minorHAnsi" w:eastAsiaTheme="minorHAnsi" w:hAnsiTheme="minorHAnsi" w:cstheme="minorBidi"/>
          <w:b w:val="0"/>
          <w:szCs w:val="20"/>
        </w:rPr>
      </w:pPr>
    </w:p>
    <w:p w:rsidR="003027BB" w:rsidRPr="007E39E4" w:rsidRDefault="003027BB" w:rsidP="00B032C7">
      <w:pPr>
        <w:pStyle w:val="Heading2"/>
        <w:numPr>
          <w:ilvl w:val="0"/>
          <w:numId w:val="24"/>
        </w:numPr>
        <w:spacing w:before="0"/>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rsidR="000A5B32" w:rsidRPr="00855944" w:rsidRDefault="00B032C7" w:rsidP="00B032C7">
      <w:pPr>
        <w:spacing w:before="0"/>
        <w:ind w:left="284"/>
        <w:rPr>
          <w:rStyle w:val="Strong"/>
        </w:rPr>
      </w:pPr>
      <w:r w:rsidRPr="00F8329B">
        <w:rPr>
          <w:szCs w:val="20"/>
        </w:rPr>
        <w:t>PBS funding will be sought for pembrolizumab treatment of those CRC patients who are found to be dMMR.</w:t>
      </w:r>
    </w:p>
    <w:p w:rsidR="000B3CD0" w:rsidRDefault="000B3CD0" w:rsidP="00B032C7">
      <w:pPr>
        <w:pStyle w:val="Heading2"/>
        <w:spacing w:before="0"/>
      </w:pPr>
      <w:r w:rsidRPr="00154B00">
        <w:t>What is the type of service:</w:t>
      </w:r>
    </w:p>
    <w:p w:rsidR="00A6594E" w:rsidRDefault="00A6594E" w:rsidP="00B032C7">
      <w:pPr>
        <w:spacing w:before="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F6981">
        <w:rPr>
          <w:b/>
          <w:szCs w:val="20"/>
        </w:rPr>
      </w:r>
      <w:r w:rsidR="00AF6981">
        <w:rPr>
          <w:b/>
          <w:szCs w:val="20"/>
        </w:rPr>
        <w:fldChar w:fldCharType="separate"/>
      </w:r>
      <w:r w:rsidRPr="0027105F">
        <w:rPr>
          <w:b/>
          <w:szCs w:val="20"/>
        </w:rPr>
        <w:fldChar w:fldCharType="end"/>
      </w:r>
      <w:r w:rsidRPr="0027105F">
        <w:rPr>
          <w:b/>
          <w:szCs w:val="20"/>
        </w:rPr>
        <w:t xml:space="preserve"> </w:t>
      </w:r>
      <w:r>
        <w:t>Therapeutic medical service</w:t>
      </w:r>
    </w:p>
    <w:p w:rsidR="00A6594E" w:rsidRDefault="00A6594E" w:rsidP="00B032C7">
      <w:pPr>
        <w:spacing w:before="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F6981">
        <w:rPr>
          <w:b/>
          <w:szCs w:val="20"/>
        </w:rPr>
      </w:r>
      <w:r w:rsidR="00AF6981">
        <w:rPr>
          <w:b/>
          <w:szCs w:val="20"/>
        </w:rPr>
        <w:fldChar w:fldCharType="separate"/>
      </w:r>
      <w:r w:rsidRPr="0027105F">
        <w:rPr>
          <w:b/>
          <w:szCs w:val="20"/>
        </w:rPr>
        <w:fldChar w:fldCharType="end"/>
      </w:r>
      <w:r w:rsidRPr="0027105F">
        <w:rPr>
          <w:b/>
          <w:szCs w:val="20"/>
        </w:rPr>
        <w:t xml:space="preserve"> </w:t>
      </w:r>
      <w:r>
        <w:t>Investigative medical service</w:t>
      </w:r>
    </w:p>
    <w:p w:rsidR="00A6594E" w:rsidRDefault="00A6594E" w:rsidP="00B032C7">
      <w:pPr>
        <w:spacing w:before="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F6981">
        <w:rPr>
          <w:b/>
          <w:szCs w:val="20"/>
        </w:rPr>
      </w:r>
      <w:r w:rsidR="00AF6981">
        <w:rPr>
          <w:b/>
          <w:szCs w:val="20"/>
        </w:rPr>
        <w:fldChar w:fldCharType="separate"/>
      </w:r>
      <w:r w:rsidRPr="0027105F">
        <w:rPr>
          <w:b/>
          <w:szCs w:val="20"/>
        </w:rPr>
        <w:fldChar w:fldCharType="end"/>
      </w:r>
      <w:r w:rsidRPr="0027105F">
        <w:rPr>
          <w:b/>
          <w:szCs w:val="20"/>
        </w:rPr>
        <w:t xml:space="preserve"> </w:t>
      </w:r>
      <w:r>
        <w:t>Single consultation medical service</w:t>
      </w:r>
    </w:p>
    <w:p w:rsidR="00A6594E" w:rsidRDefault="00A6594E" w:rsidP="00B032C7">
      <w:pPr>
        <w:spacing w:before="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F6981">
        <w:rPr>
          <w:b/>
          <w:szCs w:val="20"/>
        </w:rPr>
      </w:r>
      <w:r w:rsidR="00AF6981">
        <w:rPr>
          <w:b/>
          <w:szCs w:val="20"/>
        </w:rPr>
        <w:fldChar w:fldCharType="separate"/>
      </w:r>
      <w:r w:rsidRPr="0027105F">
        <w:rPr>
          <w:b/>
          <w:szCs w:val="20"/>
        </w:rPr>
        <w:fldChar w:fldCharType="end"/>
      </w:r>
      <w:r w:rsidRPr="0027105F">
        <w:rPr>
          <w:b/>
          <w:szCs w:val="20"/>
        </w:rPr>
        <w:t xml:space="preserve"> </w:t>
      </w:r>
      <w:r>
        <w:t>Global consultation medical service</w:t>
      </w:r>
    </w:p>
    <w:p w:rsidR="00A6594E" w:rsidRDefault="00A6594E" w:rsidP="00B032C7">
      <w:pPr>
        <w:spacing w:before="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F6981">
        <w:rPr>
          <w:b/>
          <w:szCs w:val="20"/>
        </w:rPr>
      </w:r>
      <w:r w:rsidR="00AF6981">
        <w:rPr>
          <w:b/>
          <w:szCs w:val="20"/>
        </w:rPr>
        <w:fldChar w:fldCharType="separate"/>
      </w:r>
      <w:r w:rsidRPr="0027105F">
        <w:rPr>
          <w:b/>
          <w:szCs w:val="20"/>
        </w:rPr>
        <w:fldChar w:fldCharType="end"/>
      </w:r>
      <w:r w:rsidRPr="0027105F">
        <w:rPr>
          <w:b/>
          <w:szCs w:val="20"/>
        </w:rPr>
        <w:t xml:space="preserve"> </w:t>
      </w:r>
      <w:r>
        <w:t>Allied health service</w:t>
      </w:r>
    </w:p>
    <w:p w:rsidR="00A6594E" w:rsidRDefault="00B032C7" w:rsidP="00B032C7">
      <w:pPr>
        <w:spacing w:before="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AF6981">
        <w:rPr>
          <w:b/>
          <w:szCs w:val="20"/>
        </w:rPr>
      </w:r>
      <w:r w:rsidR="00AF6981">
        <w:rPr>
          <w:b/>
          <w:szCs w:val="20"/>
        </w:rPr>
        <w:fldChar w:fldCharType="separate"/>
      </w:r>
      <w:r>
        <w:rPr>
          <w:b/>
          <w:szCs w:val="20"/>
        </w:rPr>
        <w:fldChar w:fldCharType="end"/>
      </w:r>
      <w:r w:rsidR="00A6594E" w:rsidRPr="0027105F">
        <w:rPr>
          <w:b/>
          <w:szCs w:val="20"/>
        </w:rPr>
        <w:t xml:space="preserve"> </w:t>
      </w:r>
      <w:r w:rsidR="00A6594E">
        <w:t>Co-dependent technology</w:t>
      </w:r>
    </w:p>
    <w:p w:rsidR="00A6594E" w:rsidRDefault="00A6594E" w:rsidP="00B032C7">
      <w:pPr>
        <w:spacing w:before="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F6981">
        <w:rPr>
          <w:b/>
          <w:szCs w:val="20"/>
        </w:rPr>
      </w:r>
      <w:r w:rsidR="00AF6981">
        <w:rPr>
          <w:b/>
          <w:szCs w:val="20"/>
        </w:rPr>
        <w:fldChar w:fldCharType="separate"/>
      </w:r>
      <w:r w:rsidRPr="0027105F">
        <w:rPr>
          <w:b/>
          <w:szCs w:val="20"/>
        </w:rPr>
        <w:fldChar w:fldCharType="end"/>
      </w:r>
      <w:r w:rsidRPr="0027105F">
        <w:rPr>
          <w:b/>
          <w:szCs w:val="20"/>
        </w:rPr>
        <w:t xml:space="preserve"> </w:t>
      </w:r>
      <w:r>
        <w:t>Hybrid health technology</w:t>
      </w:r>
    </w:p>
    <w:p w:rsidR="00124B00" w:rsidRPr="00A6594E" w:rsidRDefault="00124B00" w:rsidP="00B032C7">
      <w:pPr>
        <w:spacing w:before="0"/>
        <w:ind w:left="284"/>
      </w:pPr>
    </w:p>
    <w:p w:rsidR="0054594B" w:rsidRDefault="0054594B" w:rsidP="00B032C7">
      <w:pPr>
        <w:pStyle w:val="Heading2"/>
        <w:spacing w:before="0"/>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rsidR="00A6594E" w:rsidRDefault="00A6594E" w:rsidP="00B032C7">
      <w:pPr>
        <w:pStyle w:val="ListParagraph"/>
        <w:numPr>
          <w:ilvl w:val="0"/>
          <w:numId w:val="36"/>
        </w:numPr>
        <w:spacing w:before="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AF6981">
        <w:rPr>
          <w:b/>
          <w:szCs w:val="20"/>
        </w:rPr>
      </w:r>
      <w:r w:rsidR="00AF6981">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rsidR="00A6594E" w:rsidRDefault="00A6594E" w:rsidP="00B032C7">
      <w:pPr>
        <w:pStyle w:val="ListParagraph"/>
        <w:numPr>
          <w:ilvl w:val="0"/>
          <w:numId w:val="36"/>
        </w:numPr>
        <w:spacing w:before="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AF6981">
        <w:rPr>
          <w:b/>
          <w:szCs w:val="20"/>
        </w:rPr>
      </w:r>
      <w:r w:rsidR="00AF6981">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rsidR="00A6594E" w:rsidRDefault="00A6594E" w:rsidP="00B032C7">
      <w:pPr>
        <w:pStyle w:val="ListParagraph"/>
        <w:numPr>
          <w:ilvl w:val="0"/>
          <w:numId w:val="36"/>
        </w:numPr>
        <w:spacing w:before="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AF6981">
        <w:rPr>
          <w:b/>
          <w:szCs w:val="20"/>
        </w:rPr>
      </w:r>
      <w:r w:rsidR="00AF6981">
        <w:rPr>
          <w:b/>
          <w:szCs w:val="20"/>
        </w:rPr>
        <w:fldChar w:fldCharType="separate"/>
      </w:r>
      <w:r w:rsidRPr="00AF4466">
        <w:rPr>
          <w:b/>
          <w:szCs w:val="20"/>
        </w:rPr>
        <w:fldChar w:fldCharType="end"/>
      </w:r>
      <w:r w:rsidRPr="00AF4466">
        <w:rPr>
          <w:b/>
          <w:szCs w:val="20"/>
        </w:rPr>
        <w:t xml:space="preserve"> </w:t>
      </w:r>
      <w:r>
        <w:t>Provides information about prognosis</w:t>
      </w:r>
    </w:p>
    <w:p w:rsidR="00A6594E" w:rsidRDefault="00B82620" w:rsidP="00B032C7">
      <w:pPr>
        <w:pStyle w:val="ListParagraph"/>
        <w:numPr>
          <w:ilvl w:val="0"/>
          <w:numId w:val="36"/>
        </w:numPr>
        <w:spacing w:before="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AF6981">
        <w:rPr>
          <w:b/>
          <w:szCs w:val="20"/>
        </w:rPr>
      </w:r>
      <w:r w:rsidR="00AF6981">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rsidR="00F63A62" w:rsidRDefault="00A6594E" w:rsidP="00B032C7">
      <w:pPr>
        <w:pStyle w:val="ListParagraph"/>
        <w:numPr>
          <w:ilvl w:val="0"/>
          <w:numId w:val="36"/>
        </w:numPr>
        <w:spacing w:before="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AF6981">
        <w:rPr>
          <w:b/>
          <w:szCs w:val="20"/>
        </w:rPr>
      </w:r>
      <w:r w:rsidR="00AF6981">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rsidR="00A6594E" w:rsidRDefault="00F63A62" w:rsidP="00B032C7">
      <w:pPr>
        <w:pStyle w:val="ListParagraph"/>
        <w:numPr>
          <w:ilvl w:val="0"/>
          <w:numId w:val="36"/>
        </w:numPr>
        <w:spacing w:before="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AF6981">
        <w:rPr>
          <w:b/>
          <w:szCs w:val="20"/>
        </w:rPr>
      </w:r>
      <w:r w:rsidR="00AF6981">
        <w:rPr>
          <w:b/>
          <w:szCs w:val="20"/>
        </w:rPr>
        <w:fldChar w:fldCharType="separate"/>
      </w:r>
      <w:r w:rsidRPr="00AF4466">
        <w:rPr>
          <w:b/>
          <w:szCs w:val="20"/>
        </w:rPr>
        <w:fldChar w:fldCharType="end"/>
      </w:r>
      <w:r w:rsidRPr="00AF4466">
        <w:rPr>
          <w:b/>
          <w:szCs w:val="20"/>
        </w:rPr>
        <w:t xml:space="preserve"> </w:t>
      </w:r>
      <w:r>
        <w:t xml:space="preserve">Is for genetic testing </w:t>
      </w:r>
      <w:r w:rsidR="0050517E">
        <w:t>for</w:t>
      </w:r>
      <w:r>
        <w:t xml:space="preserve"> heritable mutations </w:t>
      </w:r>
      <w:r w:rsidR="0050517E">
        <w:t>in</w:t>
      </w:r>
      <w:r>
        <w:t xml:space="preserve"> clinically affected individuals and</w:t>
      </w:r>
      <w:r w:rsidR="0050517E">
        <w:t>,</w:t>
      </w:r>
      <w:r>
        <w:t xml:space="preserve"> </w:t>
      </w:r>
      <w:r w:rsidR="0050517E">
        <w:t>when also appropriate,</w:t>
      </w:r>
      <w:r>
        <w:t xml:space="preserve"> </w:t>
      </w:r>
      <w:r w:rsidR="0050517E">
        <w:t xml:space="preserve">in </w:t>
      </w:r>
      <w:r>
        <w:t xml:space="preserve">family members of those individuals who test positive for one or more </w:t>
      </w:r>
      <w:r w:rsidR="0050517E">
        <w:t xml:space="preserve">relevant </w:t>
      </w:r>
      <w:r>
        <w:t>mutations (and thus for which the Clinical Utility Card proforma might apply)</w:t>
      </w:r>
    </w:p>
    <w:p w:rsidR="002A40AE" w:rsidRDefault="002A40AE" w:rsidP="00B032C7">
      <w:pPr>
        <w:spacing w:before="0"/>
      </w:pPr>
    </w:p>
    <w:p w:rsidR="000B3CD0" w:rsidRDefault="000B3CD0" w:rsidP="00B032C7">
      <w:pPr>
        <w:pStyle w:val="Heading2"/>
        <w:spacing w:before="0"/>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rsidR="00FE16C1" w:rsidRDefault="00B82620" w:rsidP="00B032C7">
      <w:pPr>
        <w:spacing w:before="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AF6981">
        <w:rPr>
          <w:b/>
          <w:szCs w:val="20"/>
        </w:rPr>
      </w:r>
      <w:r w:rsidR="00AF6981">
        <w:rPr>
          <w:b/>
          <w:szCs w:val="20"/>
        </w:rPr>
        <w:fldChar w:fldCharType="separate"/>
      </w:r>
      <w:r>
        <w:rPr>
          <w:b/>
          <w:szCs w:val="20"/>
        </w:rPr>
        <w:fldChar w:fldCharType="end"/>
      </w:r>
      <w:r w:rsidR="00FE16C1" w:rsidRPr="0027105F">
        <w:rPr>
          <w:b/>
          <w:szCs w:val="20"/>
        </w:rPr>
        <w:t xml:space="preserve"> </w:t>
      </w:r>
      <w:r w:rsidR="00FE16C1">
        <w:t>Pharmaceutical / Biological</w:t>
      </w:r>
    </w:p>
    <w:p w:rsidR="00FE16C1" w:rsidRDefault="00FE16C1" w:rsidP="00B032C7">
      <w:pPr>
        <w:spacing w:before="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F6981">
        <w:rPr>
          <w:b/>
          <w:szCs w:val="20"/>
        </w:rPr>
      </w:r>
      <w:r w:rsidR="00AF6981">
        <w:rPr>
          <w:b/>
          <w:szCs w:val="20"/>
        </w:rPr>
        <w:fldChar w:fldCharType="separate"/>
      </w:r>
      <w:r w:rsidRPr="0027105F">
        <w:rPr>
          <w:b/>
          <w:szCs w:val="20"/>
        </w:rPr>
        <w:fldChar w:fldCharType="end"/>
      </w:r>
      <w:r w:rsidRPr="0027105F">
        <w:rPr>
          <w:b/>
          <w:szCs w:val="20"/>
        </w:rPr>
        <w:t xml:space="preserve"> </w:t>
      </w:r>
      <w:r>
        <w:t>Prosthesis or device</w:t>
      </w:r>
    </w:p>
    <w:p w:rsidR="00FE16C1" w:rsidRPr="00FE16C1" w:rsidRDefault="00FE16C1" w:rsidP="00B032C7">
      <w:pPr>
        <w:spacing w:before="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F6981">
        <w:rPr>
          <w:b/>
          <w:szCs w:val="20"/>
        </w:rPr>
      </w:r>
      <w:r w:rsidR="00AF6981">
        <w:rPr>
          <w:b/>
          <w:szCs w:val="20"/>
        </w:rPr>
        <w:fldChar w:fldCharType="separate"/>
      </w:r>
      <w:r w:rsidRPr="0027105F">
        <w:rPr>
          <w:b/>
          <w:szCs w:val="20"/>
        </w:rPr>
        <w:fldChar w:fldCharType="end"/>
      </w:r>
      <w:r w:rsidRPr="0027105F">
        <w:rPr>
          <w:b/>
          <w:szCs w:val="20"/>
        </w:rPr>
        <w:t xml:space="preserve"> </w:t>
      </w:r>
      <w:r>
        <w:t>No</w:t>
      </w:r>
    </w:p>
    <w:p w:rsidR="000E5439" w:rsidRPr="001E6958" w:rsidRDefault="00530204" w:rsidP="00B032C7">
      <w:pPr>
        <w:pStyle w:val="Heading2"/>
        <w:spacing w:before="0"/>
      </w:pPr>
      <w:r>
        <w:t xml:space="preserve">(a)  </w:t>
      </w:r>
      <w:r w:rsidR="000E5439" w:rsidRPr="001E6958">
        <w:t>If the proposed service has a pharmaceutical component to it, is it already covered under an existing Pharmaceutical Benefits Scheme (PBS) listing?</w:t>
      </w:r>
    </w:p>
    <w:p w:rsidR="00FE16C1" w:rsidRDefault="00FE16C1" w:rsidP="00B032C7">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F6981">
        <w:rPr>
          <w:szCs w:val="20"/>
        </w:rPr>
      </w:r>
      <w:r w:rsidR="00AF6981">
        <w:rPr>
          <w:szCs w:val="20"/>
        </w:rPr>
        <w:fldChar w:fldCharType="separate"/>
      </w:r>
      <w:r w:rsidRPr="000A5B32">
        <w:rPr>
          <w:szCs w:val="20"/>
        </w:rPr>
        <w:fldChar w:fldCharType="end"/>
      </w:r>
      <w:r w:rsidRPr="000A5B32">
        <w:rPr>
          <w:szCs w:val="20"/>
        </w:rPr>
        <w:t xml:space="preserve"> Yes</w:t>
      </w:r>
    </w:p>
    <w:p w:rsidR="00FE16C1" w:rsidRPr="00FE16C1" w:rsidRDefault="00B82620" w:rsidP="00B032C7">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F6981">
        <w:rPr>
          <w:szCs w:val="20"/>
        </w:rPr>
      </w:r>
      <w:r w:rsidR="00AF6981">
        <w:rPr>
          <w:szCs w:val="20"/>
        </w:rPr>
        <w:fldChar w:fldCharType="separate"/>
      </w:r>
      <w:r>
        <w:rPr>
          <w:szCs w:val="20"/>
        </w:rPr>
        <w:fldChar w:fldCharType="end"/>
      </w:r>
      <w:r w:rsidR="00FE16C1">
        <w:rPr>
          <w:szCs w:val="20"/>
        </w:rPr>
        <w:t xml:space="preserve"> No  </w:t>
      </w:r>
    </w:p>
    <w:p w:rsidR="00EC127A" w:rsidRPr="001E6958" w:rsidRDefault="000E5439" w:rsidP="00B032C7">
      <w:pPr>
        <w:pStyle w:val="Heading2"/>
        <w:numPr>
          <w:ilvl w:val="0"/>
          <w:numId w:val="25"/>
        </w:numPr>
        <w:spacing w:before="0"/>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rsidR="007E39E4" w:rsidRPr="007E39E4" w:rsidRDefault="007E39E4" w:rsidP="00B032C7">
      <w:pPr>
        <w:spacing w:before="0"/>
        <w:ind w:left="284"/>
        <w:rPr>
          <w:b/>
          <w:szCs w:val="20"/>
        </w:rPr>
      </w:pPr>
      <w:r>
        <w:fldChar w:fldCharType="begin">
          <w:ffData>
            <w:name w:val=""/>
            <w:enabled/>
            <w:calcOnExit w:val="0"/>
            <w:textInput>
              <w:default w:val="Insert PBS item code(s) here"/>
            </w:textInput>
          </w:ffData>
        </w:fldChar>
      </w:r>
      <w:r>
        <w:instrText xml:space="preserve"> FORMTEXT </w:instrText>
      </w:r>
      <w:r>
        <w:fldChar w:fldCharType="separate"/>
      </w:r>
      <w:r>
        <w:rPr>
          <w:noProof/>
        </w:rPr>
        <w:t>Insert PBS item code(s) here</w:t>
      </w:r>
      <w:r>
        <w:fldChar w:fldCharType="end"/>
      </w:r>
    </w:p>
    <w:p w:rsidR="00411735" w:rsidRPr="001E6958" w:rsidRDefault="00411735" w:rsidP="00B032C7">
      <w:pPr>
        <w:pStyle w:val="Heading2"/>
        <w:numPr>
          <w:ilvl w:val="0"/>
          <w:numId w:val="25"/>
        </w:numPr>
        <w:spacing w:before="0"/>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rsidR="007E39E4" w:rsidRDefault="007E39E4" w:rsidP="00B032C7">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F6981">
        <w:rPr>
          <w:szCs w:val="20"/>
        </w:rPr>
      </w:r>
      <w:r w:rsidR="00AF6981">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rsidR="001E6919" w:rsidRDefault="00B82620" w:rsidP="00B032C7">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F6981">
        <w:rPr>
          <w:szCs w:val="20"/>
        </w:rPr>
      </w:r>
      <w:r w:rsidR="00AF6981">
        <w:rPr>
          <w:szCs w:val="20"/>
        </w:rPr>
        <w:fldChar w:fldCharType="separate"/>
      </w:r>
      <w:r>
        <w:rPr>
          <w:szCs w:val="20"/>
        </w:rPr>
        <w:fldChar w:fldCharType="end"/>
      </w:r>
      <w:r w:rsidR="001E6919">
        <w:rPr>
          <w:szCs w:val="20"/>
        </w:rPr>
        <w:t xml:space="preserve"> No</w:t>
      </w:r>
    </w:p>
    <w:p w:rsidR="001E6919" w:rsidRPr="007E39E4" w:rsidRDefault="00B82620" w:rsidP="00B032C7">
      <w:pPr>
        <w:spacing w:before="0"/>
        <w:ind w:left="284"/>
        <w:rPr>
          <w:szCs w:val="20"/>
        </w:rPr>
      </w:pPr>
      <w:r w:rsidRPr="00F8329B">
        <w:rPr>
          <w:szCs w:val="20"/>
        </w:rPr>
        <w:t>We intend to submit the PBAC application in March 2017</w:t>
      </w:r>
    </w:p>
    <w:p w:rsidR="000E5439" w:rsidRDefault="000E5439" w:rsidP="00B032C7">
      <w:pPr>
        <w:pStyle w:val="Heading2"/>
        <w:numPr>
          <w:ilvl w:val="0"/>
          <w:numId w:val="25"/>
        </w:numPr>
        <w:spacing w:before="0"/>
      </w:pPr>
      <w:r w:rsidRPr="007E39E4">
        <w:t>If you are seeking both MBS and PBS listing</w:t>
      </w:r>
      <w:r w:rsidR="00B75965" w:rsidRPr="007E39E4">
        <w:t>, what is the trade name and generic name of the pharmaceutical?</w:t>
      </w:r>
    </w:p>
    <w:p w:rsidR="001E6958" w:rsidRDefault="001E6958" w:rsidP="00B032C7">
      <w:pPr>
        <w:spacing w:before="0"/>
        <w:ind w:left="284"/>
      </w:pPr>
      <w:r>
        <w:lastRenderedPageBreak/>
        <w:t xml:space="preserve">Trade name: </w:t>
      </w:r>
      <w:r w:rsidR="00B82620">
        <w:t>KEYTRUDA</w:t>
      </w:r>
    </w:p>
    <w:p w:rsidR="001E6958" w:rsidRPr="001E6958" w:rsidRDefault="001E6958" w:rsidP="00B032C7">
      <w:pPr>
        <w:spacing w:before="0"/>
        <w:ind w:left="284"/>
      </w:pPr>
      <w:r>
        <w:t xml:space="preserve">Generic name: </w:t>
      </w:r>
      <w:r w:rsidR="00B82620" w:rsidRPr="00F8329B">
        <w:rPr>
          <w:szCs w:val="20"/>
        </w:rPr>
        <w:t>Pembrolizumab</w:t>
      </w:r>
    </w:p>
    <w:p w:rsidR="00B75965" w:rsidRDefault="00530204" w:rsidP="00B032C7">
      <w:pPr>
        <w:pStyle w:val="Heading2"/>
        <w:spacing w:before="0"/>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rsidR="001E6958" w:rsidRDefault="001E6958" w:rsidP="00B032C7">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F6981">
        <w:rPr>
          <w:szCs w:val="20"/>
        </w:rPr>
      </w:r>
      <w:r w:rsidR="00AF6981">
        <w:rPr>
          <w:szCs w:val="20"/>
        </w:rPr>
        <w:fldChar w:fldCharType="separate"/>
      </w:r>
      <w:r w:rsidRPr="000A5B32">
        <w:rPr>
          <w:szCs w:val="20"/>
        </w:rPr>
        <w:fldChar w:fldCharType="end"/>
      </w:r>
      <w:r w:rsidRPr="000A5B32">
        <w:rPr>
          <w:szCs w:val="20"/>
        </w:rPr>
        <w:t xml:space="preserve"> Yes</w:t>
      </w:r>
    </w:p>
    <w:p w:rsidR="00B82620" w:rsidRDefault="001E6958" w:rsidP="00B032C7">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AF6981">
        <w:rPr>
          <w:szCs w:val="20"/>
        </w:rPr>
      </w:r>
      <w:r w:rsidR="00AF6981">
        <w:rPr>
          <w:szCs w:val="20"/>
        </w:rPr>
        <w:fldChar w:fldCharType="separate"/>
      </w:r>
      <w:r w:rsidRPr="000A5B32">
        <w:rPr>
          <w:szCs w:val="20"/>
        </w:rPr>
        <w:fldChar w:fldCharType="end"/>
      </w:r>
      <w:r>
        <w:rPr>
          <w:szCs w:val="20"/>
        </w:rPr>
        <w:t xml:space="preserve"> No  </w:t>
      </w:r>
    </w:p>
    <w:p w:rsidR="001E6919" w:rsidRDefault="00B82620" w:rsidP="00B032C7">
      <w:pPr>
        <w:spacing w:before="0"/>
        <w:ind w:left="284"/>
        <w:rPr>
          <w:szCs w:val="20"/>
        </w:rPr>
      </w:pPr>
      <w:r>
        <w:rPr>
          <w:szCs w:val="20"/>
        </w:rPr>
        <w:t>NOT APPLICABLE</w:t>
      </w:r>
    </w:p>
    <w:p w:rsidR="00B75965" w:rsidRDefault="00B75965" w:rsidP="00B032C7">
      <w:pPr>
        <w:pStyle w:val="Heading2"/>
        <w:numPr>
          <w:ilvl w:val="0"/>
          <w:numId w:val="26"/>
        </w:numPr>
        <w:spacing w:before="0"/>
      </w:pPr>
      <w:r w:rsidRPr="001E6958">
        <w:t xml:space="preserve">If yes, </w:t>
      </w:r>
      <w:r w:rsidR="00C73B62" w:rsidRPr="001E6958">
        <w:t xml:space="preserve">please provide the following information (where relevant): </w:t>
      </w:r>
    </w:p>
    <w:p w:rsidR="001E6958" w:rsidRDefault="001E6958" w:rsidP="00B032C7">
      <w:pPr>
        <w:spacing w:before="0"/>
        <w:ind w:left="284"/>
      </w:pPr>
      <w:r>
        <w:t xml:space="preserve">Billing code(s): </w:t>
      </w:r>
      <w:r w:rsidR="009939DC">
        <w:fldChar w:fldCharType="begin">
          <w:ffData>
            <w:name w:val=""/>
            <w:enabled/>
            <w:calcOnExit w:val="0"/>
            <w:textInput>
              <w:default w:val="Insert billing code(s) here"/>
            </w:textInput>
          </w:ffData>
        </w:fldChar>
      </w:r>
      <w:r w:rsidR="009939DC">
        <w:instrText xml:space="preserve"> FORMTEXT </w:instrText>
      </w:r>
      <w:r w:rsidR="009939DC">
        <w:fldChar w:fldCharType="separate"/>
      </w:r>
      <w:r w:rsidR="009939DC">
        <w:rPr>
          <w:noProof/>
        </w:rPr>
        <w:t>Insert billing code(s) here</w:t>
      </w:r>
      <w:r w:rsidR="009939DC">
        <w:fldChar w:fldCharType="end"/>
      </w:r>
    </w:p>
    <w:p w:rsidR="001E6958" w:rsidRDefault="001E6958" w:rsidP="00B032C7">
      <w:pPr>
        <w:spacing w:before="0"/>
        <w:ind w:left="284"/>
      </w:pPr>
      <w:r>
        <w:t xml:space="preserve">Trade name of prostheses: </w:t>
      </w:r>
      <w:r w:rsidR="009939DC">
        <w:fldChar w:fldCharType="begin">
          <w:ffData>
            <w:name w:val=""/>
            <w:enabled/>
            <w:calcOnExit w:val="0"/>
            <w:textInput>
              <w:default w:val="Insert trade name here"/>
            </w:textInput>
          </w:ffData>
        </w:fldChar>
      </w:r>
      <w:r w:rsidR="009939DC">
        <w:instrText xml:space="preserve"> FORMTEXT </w:instrText>
      </w:r>
      <w:r w:rsidR="009939DC">
        <w:fldChar w:fldCharType="separate"/>
      </w:r>
      <w:r w:rsidR="009939DC">
        <w:rPr>
          <w:noProof/>
        </w:rPr>
        <w:t>Insert trade name here</w:t>
      </w:r>
      <w:r w:rsidR="009939DC">
        <w:fldChar w:fldCharType="end"/>
      </w:r>
    </w:p>
    <w:p w:rsidR="001E6958" w:rsidRDefault="001E6958" w:rsidP="00B032C7">
      <w:pPr>
        <w:spacing w:before="0"/>
        <w:ind w:left="284"/>
      </w:pPr>
      <w:r>
        <w:t xml:space="preserve">Clinical name of prostheses: </w:t>
      </w:r>
      <w:r w:rsidR="009939DC">
        <w:fldChar w:fldCharType="begin">
          <w:ffData>
            <w:name w:val=""/>
            <w:enabled/>
            <w:calcOnExit w:val="0"/>
            <w:textInput>
              <w:default w:val="Insert clinical name here"/>
            </w:textInput>
          </w:ffData>
        </w:fldChar>
      </w:r>
      <w:r w:rsidR="009939DC">
        <w:instrText xml:space="preserve"> FORMTEXT </w:instrText>
      </w:r>
      <w:r w:rsidR="009939DC">
        <w:fldChar w:fldCharType="separate"/>
      </w:r>
      <w:r w:rsidR="009939DC">
        <w:rPr>
          <w:noProof/>
        </w:rPr>
        <w:t>Insert clinical name here</w:t>
      </w:r>
      <w:r w:rsidR="009939DC">
        <w:fldChar w:fldCharType="end"/>
      </w:r>
    </w:p>
    <w:p w:rsidR="001E6958" w:rsidRPr="001E6958" w:rsidRDefault="001E6958" w:rsidP="00B032C7">
      <w:pPr>
        <w:spacing w:before="0"/>
        <w:ind w:left="284"/>
      </w:pPr>
      <w:r>
        <w:t xml:space="preserve">Other device components delivered as part of the service: </w:t>
      </w:r>
      <w:r w:rsidR="009939DC">
        <w:fldChar w:fldCharType="begin">
          <w:ffData>
            <w:name w:val=""/>
            <w:enabled/>
            <w:calcOnExit w:val="0"/>
            <w:textInput>
              <w:default w:val="Insert description of device components here"/>
            </w:textInput>
          </w:ffData>
        </w:fldChar>
      </w:r>
      <w:r w:rsidR="009939DC">
        <w:instrText xml:space="preserve"> FORMTEXT </w:instrText>
      </w:r>
      <w:r w:rsidR="009939DC">
        <w:fldChar w:fldCharType="separate"/>
      </w:r>
      <w:r w:rsidR="009939DC">
        <w:rPr>
          <w:noProof/>
        </w:rPr>
        <w:t>Insert description of device components here</w:t>
      </w:r>
      <w:r w:rsidR="009939DC">
        <w:fldChar w:fldCharType="end"/>
      </w:r>
    </w:p>
    <w:p w:rsidR="009939DC" w:rsidRDefault="009939DC" w:rsidP="00B032C7">
      <w:pPr>
        <w:spacing w:before="0"/>
      </w:pPr>
    </w:p>
    <w:p w:rsidR="00411735" w:rsidRDefault="00411735" w:rsidP="00B032C7">
      <w:pPr>
        <w:pStyle w:val="Heading2"/>
        <w:numPr>
          <w:ilvl w:val="0"/>
          <w:numId w:val="26"/>
        </w:numPr>
        <w:spacing w:before="0"/>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rsidR="009939DC" w:rsidRDefault="009939DC" w:rsidP="00B032C7">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F6981">
        <w:rPr>
          <w:szCs w:val="20"/>
        </w:rPr>
      </w:r>
      <w:r w:rsidR="00AF6981">
        <w:rPr>
          <w:szCs w:val="20"/>
        </w:rPr>
        <w:fldChar w:fldCharType="separate"/>
      </w:r>
      <w:r w:rsidRPr="000A5B32">
        <w:rPr>
          <w:szCs w:val="20"/>
        </w:rPr>
        <w:fldChar w:fldCharType="end"/>
      </w:r>
      <w:r w:rsidRPr="000A5B32">
        <w:rPr>
          <w:szCs w:val="20"/>
        </w:rPr>
        <w:t xml:space="preserve"> Yes</w:t>
      </w:r>
    </w:p>
    <w:p w:rsidR="001E6958" w:rsidRPr="009939DC" w:rsidRDefault="009939DC" w:rsidP="00B032C7">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AF6981">
        <w:rPr>
          <w:szCs w:val="20"/>
        </w:rPr>
      </w:r>
      <w:r w:rsidR="00AF6981">
        <w:rPr>
          <w:szCs w:val="20"/>
        </w:rPr>
        <w:fldChar w:fldCharType="separate"/>
      </w:r>
      <w:r w:rsidRPr="000A5B32">
        <w:rPr>
          <w:szCs w:val="20"/>
        </w:rPr>
        <w:fldChar w:fldCharType="end"/>
      </w:r>
      <w:r>
        <w:rPr>
          <w:szCs w:val="20"/>
        </w:rPr>
        <w:t xml:space="preserve"> No  </w:t>
      </w:r>
    </w:p>
    <w:p w:rsidR="00016B6E" w:rsidRPr="009939DC" w:rsidRDefault="00016B6E" w:rsidP="00B032C7">
      <w:pPr>
        <w:pStyle w:val="Heading2"/>
        <w:numPr>
          <w:ilvl w:val="0"/>
          <w:numId w:val="26"/>
        </w:numPr>
        <w:spacing w:before="0"/>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rsidR="009939DC" w:rsidRDefault="009939DC" w:rsidP="00B032C7">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F6981">
        <w:rPr>
          <w:szCs w:val="20"/>
        </w:rPr>
      </w:r>
      <w:r w:rsidR="00AF6981">
        <w:rPr>
          <w:szCs w:val="20"/>
        </w:rPr>
        <w:fldChar w:fldCharType="separate"/>
      </w:r>
      <w:r w:rsidRPr="000A5B32">
        <w:rPr>
          <w:szCs w:val="20"/>
        </w:rPr>
        <w:fldChar w:fldCharType="end"/>
      </w:r>
      <w:r w:rsidRPr="000A5B32">
        <w:rPr>
          <w:szCs w:val="20"/>
        </w:rPr>
        <w:t xml:space="preserve"> Yes</w:t>
      </w:r>
    </w:p>
    <w:p w:rsidR="009939DC" w:rsidRPr="001E6958" w:rsidRDefault="009939DC" w:rsidP="00B032C7">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AF6981">
        <w:rPr>
          <w:szCs w:val="20"/>
        </w:rPr>
      </w:r>
      <w:r w:rsidR="00AF6981">
        <w:rPr>
          <w:szCs w:val="20"/>
        </w:rPr>
        <w:fldChar w:fldCharType="separate"/>
      </w:r>
      <w:r w:rsidRPr="000A5B32">
        <w:rPr>
          <w:szCs w:val="20"/>
        </w:rPr>
        <w:fldChar w:fldCharType="end"/>
      </w:r>
      <w:r>
        <w:rPr>
          <w:szCs w:val="20"/>
        </w:rPr>
        <w:t xml:space="preserve"> No  </w:t>
      </w:r>
    </w:p>
    <w:p w:rsidR="009939DC" w:rsidRDefault="00016B6E" w:rsidP="00B032C7">
      <w:pPr>
        <w:pStyle w:val="Heading2"/>
        <w:numPr>
          <w:ilvl w:val="0"/>
          <w:numId w:val="26"/>
        </w:numPr>
        <w:spacing w:before="0"/>
      </w:pPr>
      <w:r w:rsidRPr="009939DC">
        <w:t>If yes, please provide the name(s) of the spon</w:t>
      </w:r>
      <w:r w:rsidR="009939DC">
        <w:t>sor(s) and / or manufacturer(s):</w:t>
      </w:r>
    </w:p>
    <w:p w:rsidR="00016B6E" w:rsidRPr="009939DC" w:rsidRDefault="009939DC" w:rsidP="00B032C7">
      <w:pPr>
        <w:spacing w:before="0"/>
        <w:ind w:left="284"/>
      </w:pPr>
      <w:r w:rsidRPr="009939DC">
        <w:fldChar w:fldCharType="begin">
          <w:ffData>
            <w:name w:val=""/>
            <w:enabled/>
            <w:calcOnExit w:val="0"/>
            <w:textInput>
              <w:default w:val="Insert sponsor and/or manufacturer name(s) here"/>
            </w:textInput>
          </w:ffData>
        </w:fldChar>
      </w:r>
      <w:r w:rsidRPr="009939DC">
        <w:instrText xml:space="preserve"> FORMTEXT </w:instrText>
      </w:r>
      <w:r w:rsidRPr="009939DC">
        <w:fldChar w:fldCharType="separate"/>
      </w:r>
      <w:r w:rsidRPr="009939DC">
        <w:rPr>
          <w:noProof/>
        </w:rPr>
        <w:t>Insert sponsor and/or manufacturer name(s) here</w:t>
      </w:r>
      <w:r w:rsidRPr="009939DC">
        <w:fldChar w:fldCharType="end"/>
      </w:r>
    </w:p>
    <w:p w:rsidR="0084657B" w:rsidRPr="009939DC" w:rsidRDefault="00A9062D" w:rsidP="00B032C7">
      <w:pPr>
        <w:pStyle w:val="Heading2"/>
        <w:spacing w:before="0"/>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rsidR="009939DC" w:rsidRDefault="009939DC" w:rsidP="00B032C7">
      <w:pPr>
        <w:spacing w:before="0"/>
        <w:ind w:left="284"/>
      </w:pPr>
      <w:r>
        <w:t xml:space="preserve">Single use consumables: </w:t>
      </w:r>
      <w:r w:rsidR="00B82620">
        <w:t>Not applicable</w:t>
      </w:r>
    </w:p>
    <w:p w:rsidR="00F301F1" w:rsidRPr="00855944" w:rsidRDefault="009939DC" w:rsidP="00B032C7">
      <w:pPr>
        <w:spacing w:before="0"/>
        <w:ind w:left="284"/>
      </w:pPr>
      <w:r>
        <w:t>Multi-use consumables:</w:t>
      </w:r>
      <w:r w:rsidRPr="009939DC">
        <w:t xml:space="preserve"> </w:t>
      </w:r>
      <w:r w:rsidR="00B82620">
        <w:t>Not applicable</w:t>
      </w:r>
      <w:r w:rsidR="00F301F1" w:rsidRPr="00855944">
        <w:br w:type="page"/>
      </w:r>
    </w:p>
    <w:p w:rsidR="00226777" w:rsidRPr="00C776B1" w:rsidRDefault="00530204" w:rsidP="00B032C7">
      <w:pPr>
        <w:pStyle w:val="Heading1"/>
        <w:spacing w:after="120" w:line="240" w:lineRule="auto"/>
      </w:pPr>
      <w:r>
        <w:lastRenderedPageBreak/>
        <w:t>PART 3</w:t>
      </w:r>
      <w:r w:rsidR="00F93784">
        <w:t xml:space="preserve"> – </w:t>
      </w:r>
      <w:r w:rsidR="00226777" w:rsidRPr="00C776B1">
        <w:t>INFORMATION ABOUT REGULATORY REQUIREMENTS</w:t>
      </w:r>
    </w:p>
    <w:p w:rsidR="001A1ADF" w:rsidRPr="00A6491A" w:rsidRDefault="0011369B" w:rsidP="00B032C7">
      <w:pPr>
        <w:pStyle w:val="Heading2"/>
        <w:spacing w:before="0"/>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rsidR="00A26343" w:rsidRPr="00A26343" w:rsidRDefault="00A26343" w:rsidP="00B032C7">
      <w:pPr>
        <w:spacing w:before="0"/>
        <w:ind w:left="284"/>
        <w:rPr>
          <w:szCs w:val="20"/>
        </w:rPr>
      </w:pPr>
      <w:r w:rsidRPr="00A26343">
        <w:rPr>
          <w:szCs w:val="20"/>
        </w:rPr>
        <w:t>Type of therapeutic good</w:t>
      </w:r>
      <w:r>
        <w:rPr>
          <w:szCs w:val="20"/>
        </w:rPr>
        <w:t xml:space="preserve">: </w:t>
      </w:r>
      <w:r w:rsidR="00390104" w:rsidRPr="00F8329B">
        <w:rPr>
          <w:szCs w:val="20"/>
        </w:rPr>
        <w:t>Class II In-vitro diagnostic test (GMDN CT1056)</w:t>
      </w:r>
    </w:p>
    <w:p w:rsidR="00A26343" w:rsidRPr="00A26343" w:rsidRDefault="00A26343" w:rsidP="00B032C7">
      <w:pPr>
        <w:spacing w:before="0"/>
        <w:ind w:left="284"/>
        <w:rPr>
          <w:szCs w:val="20"/>
        </w:rPr>
      </w:pPr>
      <w:r w:rsidRPr="00A26343">
        <w:rPr>
          <w:szCs w:val="20"/>
        </w:rPr>
        <w:t>Manufacturer’s name</w:t>
      </w:r>
      <w:r>
        <w:rPr>
          <w:szCs w:val="20"/>
        </w:rPr>
        <w:t xml:space="preserve">: </w:t>
      </w:r>
      <w:r w:rsidR="00390104" w:rsidRPr="00F8329B">
        <w:rPr>
          <w:szCs w:val="20"/>
        </w:rPr>
        <w:t>Various (see listing in next row)</w:t>
      </w:r>
    </w:p>
    <w:p w:rsidR="00A26343" w:rsidRPr="00A26343" w:rsidRDefault="00A26343" w:rsidP="00390104">
      <w:pPr>
        <w:spacing w:before="0"/>
        <w:ind w:left="1701" w:hanging="1417"/>
        <w:rPr>
          <w:szCs w:val="20"/>
        </w:rPr>
      </w:pPr>
      <w:r w:rsidRPr="00A26343">
        <w:rPr>
          <w:szCs w:val="20"/>
        </w:rPr>
        <w:t>Sponsor’s name</w:t>
      </w:r>
      <w:r>
        <w:rPr>
          <w:szCs w:val="20"/>
        </w:rPr>
        <w:t xml:space="preserve">: </w:t>
      </w:r>
      <w:r w:rsidR="00390104" w:rsidRPr="00F8329B">
        <w:rPr>
          <w:szCs w:val="20"/>
        </w:rPr>
        <w:t>Various (In house, Dako, Biospecifix, Roche, Thermo Fisher, MetaGene, Abacus ALS, Becton Dickinson, Beckman Coulter, Life Technologies, Leica, Diagnostic Solutions,</w:t>
      </w:r>
    </w:p>
    <w:p w:rsidR="005E2CE3" w:rsidRPr="00154B00" w:rsidRDefault="005E2CE3" w:rsidP="00B032C7">
      <w:pPr>
        <w:pStyle w:val="Heading2"/>
        <w:numPr>
          <w:ilvl w:val="0"/>
          <w:numId w:val="27"/>
        </w:numPr>
        <w:spacing w:before="0"/>
      </w:pPr>
      <w:r>
        <w:t xml:space="preserve">Is the </w:t>
      </w:r>
      <w:r w:rsidRPr="0043654D">
        <w:t>medical</w:t>
      </w:r>
      <w:r>
        <w:t xml:space="preserve"> device classified by the TGA as either a Class III or Active Implantable Medical Device (AIMD) against the TGA regulatory scheme for devices?</w:t>
      </w:r>
    </w:p>
    <w:p w:rsidR="00615F42" w:rsidRPr="00615F42" w:rsidRDefault="00615F42" w:rsidP="00B032C7">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F6981">
        <w:rPr>
          <w:szCs w:val="20"/>
        </w:rPr>
      </w:r>
      <w:r w:rsidR="00AF6981">
        <w:rPr>
          <w:szCs w:val="20"/>
        </w:rPr>
        <w:fldChar w:fldCharType="separate"/>
      </w:r>
      <w:r w:rsidRPr="000A5B32">
        <w:rPr>
          <w:szCs w:val="20"/>
        </w:rPr>
        <w:fldChar w:fldCharType="end"/>
      </w:r>
      <w:r w:rsidRPr="000A5B32">
        <w:rPr>
          <w:szCs w:val="20"/>
        </w:rPr>
        <w:t xml:space="preserve"> </w:t>
      </w:r>
      <w:r w:rsidRPr="00615F42">
        <w:rPr>
          <w:szCs w:val="20"/>
        </w:rPr>
        <w:t>Class III</w:t>
      </w:r>
    </w:p>
    <w:p w:rsidR="00615F42" w:rsidRPr="00615F42" w:rsidRDefault="00615F42" w:rsidP="00B032C7">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F6981">
        <w:rPr>
          <w:szCs w:val="20"/>
        </w:rPr>
      </w:r>
      <w:r w:rsidR="00AF6981">
        <w:rPr>
          <w:szCs w:val="20"/>
        </w:rPr>
        <w:fldChar w:fldCharType="separate"/>
      </w:r>
      <w:r w:rsidRPr="000A5B32">
        <w:rPr>
          <w:szCs w:val="20"/>
        </w:rPr>
        <w:fldChar w:fldCharType="end"/>
      </w:r>
      <w:r w:rsidRPr="000A5B32">
        <w:rPr>
          <w:szCs w:val="20"/>
        </w:rPr>
        <w:t xml:space="preserve"> </w:t>
      </w:r>
      <w:r w:rsidRPr="00615F42">
        <w:rPr>
          <w:szCs w:val="20"/>
        </w:rPr>
        <w:t>AIMD</w:t>
      </w:r>
    </w:p>
    <w:p w:rsidR="005E2CE3" w:rsidRPr="00154B00" w:rsidRDefault="00390104" w:rsidP="00B032C7">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F6981">
        <w:rPr>
          <w:szCs w:val="20"/>
        </w:rPr>
      </w:r>
      <w:r w:rsidR="00AF6981">
        <w:rPr>
          <w:szCs w:val="20"/>
        </w:rPr>
        <w:fldChar w:fldCharType="separate"/>
      </w:r>
      <w:r>
        <w:rPr>
          <w:szCs w:val="20"/>
        </w:rPr>
        <w:fldChar w:fldCharType="end"/>
      </w:r>
      <w:r w:rsidR="00615F42" w:rsidRPr="000A5B32">
        <w:rPr>
          <w:szCs w:val="20"/>
        </w:rPr>
        <w:t xml:space="preserve"> </w:t>
      </w:r>
      <w:r w:rsidR="00615F42" w:rsidRPr="00615F42">
        <w:rPr>
          <w:szCs w:val="20"/>
        </w:rPr>
        <w:t>N/A</w:t>
      </w:r>
    </w:p>
    <w:p w:rsidR="003421AE" w:rsidRPr="00A6491A" w:rsidRDefault="0011369B" w:rsidP="00B032C7">
      <w:pPr>
        <w:pStyle w:val="Heading2"/>
        <w:spacing w:before="0"/>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rsidR="00615F42" w:rsidRDefault="00615F42" w:rsidP="00B032C7">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F6981">
        <w:rPr>
          <w:szCs w:val="20"/>
        </w:rPr>
      </w:r>
      <w:r w:rsidR="00AF6981">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rsidR="003421AE" w:rsidRPr="00615F42" w:rsidRDefault="00390104" w:rsidP="00B032C7">
      <w:pPr>
        <w:spacing w:before="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F6981">
        <w:rPr>
          <w:szCs w:val="20"/>
        </w:rPr>
      </w:r>
      <w:r w:rsidR="00AF6981">
        <w:rPr>
          <w:szCs w:val="20"/>
        </w:rPr>
        <w:fldChar w:fldCharType="separate"/>
      </w:r>
      <w:r>
        <w:rPr>
          <w:szCs w:val="20"/>
        </w:rPr>
        <w:fldChar w:fldCharType="end"/>
      </w:r>
      <w:r w:rsidR="00615F42">
        <w:rPr>
          <w:szCs w:val="20"/>
        </w:rPr>
        <w:t xml:space="preserve"> No</w:t>
      </w:r>
    </w:p>
    <w:p w:rsidR="00D85676" w:rsidRDefault="00D85676" w:rsidP="00B032C7">
      <w:pPr>
        <w:pStyle w:val="Heading2"/>
        <w:numPr>
          <w:ilvl w:val="0"/>
          <w:numId w:val="28"/>
        </w:numPr>
        <w:spacing w:before="0"/>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rsidR="0043654D" w:rsidRDefault="00390104" w:rsidP="00B032C7">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F6981">
        <w:rPr>
          <w:szCs w:val="20"/>
        </w:rPr>
      </w:r>
      <w:r w:rsidR="00AF6981">
        <w:rPr>
          <w:szCs w:val="20"/>
        </w:rPr>
        <w:fldChar w:fldCharType="separate"/>
      </w:r>
      <w:r>
        <w:rPr>
          <w:szCs w:val="20"/>
        </w:rPr>
        <w:fldChar w:fldCharType="end"/>
      </w:r>
      <w:r w:rsidR="0043654D">
        <w:rPr>
          <w:szCs w:val="20"/>
        </w:rPr>
        <w:t xml:space="preserve"> Yes (if yes, please provide details below)</w:t>
      </w:r>
    </w:p>
    <w:p w:rsidR="0043654D" w:rsidRPr="00390104" w:rsidRDefault="0043654D" w:rsidP="00390104">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F6981">
        <w:rPr>
          <w:szCs w:val="20"/>
        </w:rPr>
      </w:r>
      <w:r w:rsidR="00AF6981">
        <w:rPr>
          <w:szCs w:val="20"/>
        </w:rPr>
        <w:fldChar w:fldCharType="separate"/>
      </w:r>
      <w:r w:rsidRPr="000A5B32">
        <w:rPr>
          <w:szCs w:val="20"/>
        </w:rPr>
        <w:fldChar w:fldCharType="end"/>
      </w:r>
      <w:r w:rsidR="00390104">
        <w:rPr>
          <w:szCs w:val="20"/>
        </w:rPr>
        <w:t xml:space="preserve"> No</w:t>
      </w:r>
    </w:p>
    <w:p w:rsidR="0043654D" w:rsidRPr="0043654D" w:rsidRDefault="0043654D" w:rsidP="00390104">
      <w:pPr>
        <w:spacing w:before="0"/>
        <w:ind w:left="284"/>
        <w:rPr>
          <w:szCs w:val="20"/>
        </w:rPr>
      </w:pPr>
      <w:r w:rsidRPr="0043654D">
        <w:rPr>
          <w:szCs w:val="20"/>
        </w:rPr>
        <w:t>ARTG listing, registration or inclusion number:</w:t>
      </w:r>
      <w:r>
        <w:rPr>
          <w:szCs w:val="20"/>
        </w:rPr>
        <w:t xml:space="preserve">  </w:t>
      </w:r>
      <w:r w:rsidR="00390104" w:rsidRPr="00F8329B">
        <w:rPr>
          <w:szCs w:val="20"/>
        </w:rPr>
        <w:t>279628, 269420, 240833, 239099, 216549, 248292, 224218, 175635, 262536, 183436, 229929, 240833, 224829, 224373, 214553, 212747, 208140, 178442</w:t>
      </w:r>
    </w:p>
    <w:p w:rsidR="0043654D" w:rsidRPr="0043654D" w:rsidRDefault="0043654D" w:rsidP="00B032C7">
      <w:pPr>
        <w:spacing w:before="0"/>
        <w:ind w:left="284"/>
        <w:rPr>
          <w:szCs w:val="20"/>
        </w:rPr>
      </w:pPr>
      <w:r w:rsidRPr="0043654D">
        <w:rPr>
          <w:szCs w:val="20"/>
        </w:rPr>
        <w:t>TGA approved indication(s), if applicable:</w:t>
      </w:r>
      <w:r>
        <w:rPr>
          <w:szCs w:val="20"/>
        </w:rPr>
        <w:t xml:space="preserve">  </w:t>
      </w:r>
      <w:r>
        <w:fldChar w:fldCharType="begin">
          <w:ffData>
            <w:name w:val=""/>
            <w:enabled/>
            <w:calcOnExit w:val="0"/>
            <w:textInput>
              <w:default w:val="Insert approved indication(s) here"/>
            </w:textInput>
          </w:ffData>
        </w:fldChar>
      </w:r>
      <w:r>
        <w:instrText xml:space="preserve"> FORMTEXT </w:instrText>
      </w:r>
      <w:r>
        <w:fldChar w:fldCharType="separate"/>
      </w:r>
      <w:r>
        <w:rPr>
          <w:noProof/>
        </w:rPr>
        <w:t>Insert approved indication(s) here</w:t>
      </w:r>
      <w:r>
        <w:fldChar w:fldCharType="end"/>
      </w:r>
    </w:p>
    <w:p w:rsidR="00390104" w:rsidRPr="00F8329B" w:rsidRDefault="0043654D" w:rsidP="00390104">
      <w:pPr>
        <w:ind w:left="284"/>
        <w:rPr>
          <w:szCs w:val="20"/>
        </w:rPr>
      </w:pPr>
      <w:r w:rsidRPr="0043654D">
        <w:rPr>
          <w:szCs w:val="20"/>
        </w:rPr>
        <w:t>TGA approved purpose(s), if applicable:</w:t>
      </w:r>
      <w:r w:rsidR="00390104">
        <w:rPr>
          <w:szCs w:val="20"/>
        </w:rPr>
        <w:t xml:space="preserve"> </w:t>
      </w:r>
      <w:r w:rsidR="00390104" w:rsidRPr="00F8329B">
        <w:rPr>
          <w:szCs w:val="20"/>
        </w:rPr>
        <w:t>To be used in histology and cytology to provide information about the presence and localisation of specific proteins and antigens present in histological tissue sections, cytological smears and fluids</w:t>
      </w:r>
    </w:p>
    <w:p w:rsidR="00F301F1" w:rsidRPr="0043654D" w:rsidRDefault="00390104" w:rsidP="00390104">
      <w:pPr>
        <w:spacing w:before="0"/>
        <w:ind w:left="284"/>
        <w:rPr>
          <w:szCs w:val="20"/>
        </w:rPr>
      </w:pPr>
      <w:r w:rsidRPr="00F8329B">
        <w:rPr>
          <w:szCs w:val="20"/>
        </w:rPr>
        <w:t>(Please note that all of the above registered tests have approval to be used for IHC testing of tissue section proteins.  As MSD is not pairing with a specific test manufacturer, we have left the response to this question broad to accommodate different laboratory practices. However, this does not necessarily mean that all of these tests will be used in practice.)</w:t>
      </w:r>
    </w:p>
    <w:p w:rsidR="00C0796F" w:rsidRPr="0043654D" w:rsidRDefault="00C0796F" w:rsidP="00B032C7">
      <w:pPr>
        <w:pStyle w:val="Heading2"/>
        <w:spacing w:before="0"/>
      </w:pPr>
      <w:r w:rsidRPr="0043654D">
        <w:t>If the therapeutic good has not been listed, registered or included in the ARTG, is the therapeutic good in the process of being considered for inclusion by the TGA?</w:t>
      </w:r>
    </w:p>
    <w:p w:rsidR="0047581D" w:rsidRDefault="0047581D" w:rsidP="00B032C7">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F6981">
        <w:rPr>
          <w:szCs w:val="20"/>
        </w:rPr>
      </w:r>
      <w:r w:rsidR="00AF6981">
        <w:rPr>
          <w:szCs w:val="20"/>
        </w:rPr>
        <w:fldChar w:fldCharType="separate"/>
      </w:r>
      <w:r w:rsidRPr="000A5B32">
        <w:rPr>
          <w:szCs w:val="20"/>
        </w:rPr>
        <w:fldChar w:fldCharType="end"/>
      </w:r>
      <w:r>
        <w:rPr>
          <w:szCs w:val="20"/>
        </w:rPr>
        <w:t xml:space="preserve"> Yes (please provide details below)</w:t>
      </w:r>
    </w:p>
    <w:p w:rsidR="0047581D" w:rsidRDefault="0047581D" w:rsidP="00B032C7">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F6981">
        <w:rPr>
          <w:szCs w:val="20"/>
        </w:rPr>
      </w:r>
      <w:r w:rsidR="00AF6981">
        <w:rPr>
          <w:szCs w:val="20"/>
        </w:rPr>
        <w:fldChar w:fldCharType="separate"/>
      </w:r>
      <w:r w:rsidRPr="000A5B32">
        <w:rPr>
          <w:szCs w:val="20"/>
        </w:rPr>
        <w:fldChar w:fldCharType="end"/>
      </w:r>
      <w:r>
        <w:rPr>
          <w:szCs w:val="20"/>
        </w:rPr>
        <w:t xml:space="preserve"> No</w:t>
      </w:r>
    </w:p>
    <w:p w:rsidR="0047581D" w:rsidRDefault="0047581D" w:rsidP="00B032C7">
      <w:pPr>
        <w:spacing w:before="0"/>
        <w:rPr>
          <w:b/>
          <w:szCs w:val="20"/>
        </w:rPr>
      </w:pPr>
    </w:p>
    <w:p w:rsidR="0047581D" w:rsidRPr="0047581D" w:rsidRDefault="0047581D" w:rsidP="00B032C7">
      <w:pPr>
        <w:spacing w:before="0"/>
        <w:rPr>
          <w:szCs w:val="20"/>
        </w:rPr>
      </w:pPr>
      <w:r w:rsidRPr="0047581D">
        <w:rPr>
          <w:szCs w:val="20"/>
        </w:rPr>
        <w:t xml:space="preserve">Date of submission to TGA: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rsidR="0047581D" w:rsidRPr="0047581D" w:rsidRDefault="0047581D" w:rsidP="00B032C7">
      <w:pPr>
        <w:spacing w:before="0"/>
        <w:rPr>
          <w:szCs w:val="20"/>
        </w:rPr>
      </w:pPr>
      <w:r w:rsidRPr="0047581D">
        <w:rPr>
          <w:szCs w:val="20"/>
        </w:rPr>
        <w:t>Estimated date by which TGA approval can be expected</w:t>
      </w:r>
      <w:r>
        <w:rPr>
          <w:szCs w:val="20"/>
        </w:rPr>
        <w:t xml:space="preserve">:  </w:t>
      </w:r>
      <w:r>
        <w:fldChar w:fldCharType="begin">
          <w:ffData>
            <w:name w:val=""/>
            <w:enabled/>
            <w:calcOnExit w:val="0"/>
            <w:textInput>
              <w:default w:val="Insert estimated date here"/>
            </w:textInput>
          </w:ffData>
        </w:fldChar>
      </w:r>
      <w:r>
        <w:instrText xml:space="preserve"> FORMTEXT </w:instrText>
      </w:r>
      <w:r>
        <w:fldChar w:fldCharType="separate"/>
      </w:r>
      <w:r>
        <w:rPr>
          <w:noProof/>
        </w:rPr>
        <w:t>Insert estimated date here</w:t>
      </w:r>
      <w:r>
        <w:fldChar w:fldCharType="end"/>
      </w:r>
    </w:p>
    <w:p w:rsidR="0047581D" w:rsidRPr="0047581D" w:rsidRDefault="0047581D" w:rsidP="00B032C7">
      <w:pPr>
        <w:spacing w:before="0"/>
        <w:rPr>
          <w:szCs w:val="20"/>
        </w:rPr>
      </w:pPr>
      <w:r w:rsidRPr="0047581D">
        <w:rPr>
          <w:szCs w:val="20"/>
        </w:rPr>
        <w:t>TGA Application ID</w:t>
      </w:r>
      <w:r>
        <w:rPr>
          <w:szCs w:val="20"/>
        </w:rPr>
        <w:t xml:space="preserve">:  </w:t>
      </w:r>
      <w:r>
        <w:fldChar w:fldCharType="begin">
          <w:ffData>
            <w:name w:val=""/>
            <w:enabled/>
            <w:calcOnExit w:val="0"/>
            <w:textInput>
              <w:default w:val="Insert TGA Application ID here"/>
            </w:textInput>
          </w:ffData>
        </w:fldChar>
      </w:r>
      <w:r>
        <w:instrText xml:space="preserve"> FORMTEXT </w:instrText>
      </w:r>
      <w:r>
        <w:fldChar w:fldCharType="separate"/>
      </w:r>
      <w:r>
        <w:rPr>
          <w:noProof/>
        </w:rPr>
        <w:t>Insert TGA Application ID here</w:t>
      </w:r>
      <w:r>
        <w:fldChar w:fldCharType="end"/>
      </w:r>
    </w:p>
    <w:p w:rsidR="0047581D" w:rsidRPr="0047581D" w:rsidRDefault="0047581D" w:rsidP="00B032C7">
      <w:pPr>
        <w:spacing w:before="0"/>
        <w:rPr>
          <w:szCs w:val="20"/>
        </w:rPr>
      </w:pPr>
      <w:r w:rsidRPr="0047581D">
        <w:rPr>
          <w:szCs w:val="20"/>
        </w:rPr>
        <w:t>TGA approved indication(s), if applicable</w:t>
      </w:r>
      <w:r>
        <w:rPr>
          <w:szCs w:val="20"/>
        </w:rPr>
        <w:t xml:space="preserve">:  </w:t>
      </w:r>
      <w:r w:rsidR="00971EDB">
        <w:fldChar w:fldCharType="begin">
          <w:ffData>
            <w:name w:val=""/>
            <w:enabled/>
            <w:calcOnExit w:val="0"/>
            <w:textInput>
              <w:default w:val="If applicable, insert description of TGA approved indication(s) here"/>
            </w:textInput>
          </w:ffData>
        </w:fldChar>
      </w:r>
      <w:r w:rsidR="00971EDB">
        <w:instrText xml:space="preserve"> FORMTEXT </w:instrText>
      </w:r>
      <w:r w:rsidR="00971EDB">
        <w:fldChar w:fldCharType="separate"/>
      </w:r>
      <w:r w:rsidR="00971EDB">
        <w:rPr>
          <w:noProof/>
        </w:rPr>
        <w:t>If applicable, insert description of TGA approved indication(s) here</w:t>
      </w:r>
      <w:r w:rsidR="00971EDB">
        <w:fldChar w:fldCharType="end"/>
      </w:r>
    </w:p>
    <w:p w:rsidR="003433D1" w:rsidRPr="0047581D" w:rsidRDefault="0047581D" w:rsidP="00B032C7">
      <w:pPr>
        <w:spacing w:before="0"/>
        <w:rPr>
          <w:szCs w:val="20"/>
        </w:rPr>
      </w:pPr>
      <w:r w:rsidRPr="0047581D">
        <w:rPr>
          <w:szCs w:val="20"/>
        </w:rPr>
        <w:lastRenderedPageBreak/>
        <w:t>TGA approved purpose(s), if applicable</w:t>
      </w:r>
      <w:r>
        <w:rPr>
          <w:szCs w:val="20"/>
        </w:rPr>
        <w:t xml:space="preserve">:  </w:t>
      </w:r>
      <w:r w:rsidR="00971EDB">
        <w:fldChar w:fldCharType="begin">
          <w:ffData>
            <w:name w:val=""/>
            <w:enabled/>
            <w:calcOnExit w:val="0"/>
            <w:textInput>
              <w:default w:val="If applicable, insert description of TGA approved purpose(s) here"/>
            </w:textInput>
          </w:ffData>
        </w:fldChar>
      </w:r>
      <w:r w:rsidR="00971EDB">
        <w:instrText xml:space="preserve"> FORMTEXT </w:instrText>
      </w:r>
      <w:r w:rsidR="00971EDB">
        <w:fldChar w:fldCharType="separate"/>
      </w:r>
      <w:r w:rsidR="00971EDB">
        <w:rPr>
          <w:noProof/>
        </w:rPr>
        <w:t>If applicable, insert description of TGA approved purpose(s) here</w:t>
      </w:r>
      <w:r w:rsidR="00971EDB">
        <w:fldChar w:fldCharType="end"/>
      </w:r>
    </w:p>
    <w:p w:rsidR="00C0796F" w:rsidRPr="000A110D" w:rsidRDefault="000A110D" w:rsidP="00B032C7">
      <w:pPr>
        <w:pStyle w:val="Heading2"/>
        <w:spacing w:before="0"/>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rsidR="000A110D" w:rsidRDefault="000A110D" w:rsidP="00B032C7">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F6981">
        <w:rPr>
          <w:szCs w:val="20"/>
        </w:rPr>
      </w:r>
      <w:r w:rsidR="00AF6981">
        <w:rPr>
          <w:szCs w:val="20"/>
        </w:rPr>
        <w:fldChar w:fldCharType="separate"/>
      </w:r>
      <w:r w:rsidRPr="000A5B32">
        <w:rPr>
          <w:szCs w:val="20"/>
        </w:rPr>
        <w:fldChar w:fldCharType="end"/>
      </w:r>
      <w:r>
        <w:rPr>
          <w:szCs w:val="20"/>
        </w:rPr>
        <w:t xml:space="preserve"> Yes (please provide details below)</w:t>
      </w:r>
    </w:p>
    <w:p w:rsidR="000A110D" w:rsidRDefault="000A110D" w:rsidP="00B032C7">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F6981">
        <w:rPr>
          <w:szCs w:val="20"/>
        </w:rPr>
      </w:r>
      <w:r w:rsidR="00AF6981">
        <w:rPr>
          <w:szCs w:val="20"/>
        </w:rPr>
        <w:fldChar w:fldCharType="separate"/>
      </w:r>
      <w:r w:rsidRPr="000A5B32">
        <w:rPr>
          <w:szCs w:val="20"/>
        </w:rPr>
        <w:fldChar w:fldCharType="end"/>
      </w:r>
      <w:r>
        <w:rPr>
          <w:szCs w:val="20"/>
        </w:rPr>
        <w:t xml:space="preserve"> No</w:t>
      </w:r>
    </w:p>
    <w:p w:rsidR="000A110D" w:rsidRDefault="000A110D" w:rsidP="00B032C7">
      <w:pPr>
        <w:spacing w:before="0"/>
        <w:rPr>
          <w:szCs w:val="20"/>
        </w:rPr>
      </w:pPr>
    </w:p>
    <w:p w:rsidR="00971EDB" w:rsidRPr="00971EDB" w:rsidRDefault="00971EDB" w:rsidP="00B032C7">
      <w:pPr>
        <w:spacing w:before="0"/>
        <w:rPr>
          <w:szCs w:val="20"/>
        </w:rPr>
      </w:pPr>
      <w:r w:rsidRPr="00971EDB">
        <w:rPr>
          <w:szCs w:val="20"/>
        </w:rPr>
        <w:t>Estimated date of submission to TGA</w:t>
      </w:r>
      <w:r>
        <w:rPr>
          <w:szCs w:val="20"/>
        </w:rPr>
        <w:t xml:space="preserve">: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rsidR="00971EDB" w:rsidRPr="00971EDB" w:rsidRDefault="00971EDB" w:rsidP="00B032C7">
      <w:pPr>
        <w:spacing w:before="0"/>
        <w:rPr>
          <w:szCs w:val="20"/>
        </w:rPr>
      </w:pPr>
      <w:r w:rsidRPr="00971EDB">
        <w:rPr>
          <w:szCs w:val="20"/>
        </w:rPr>
        <w:t>Proposed indication(s), if applicable</w:t>
      </w:r>
      <w:r>
        <w:rPr>
          <w:szCs w:val="20"/>
        </w:rPr>
        <w:t xml:space="preserve">:  </w:t>
      </w:r>
      <w:r>
        <w:fldChar w:fldCharType="begin">
          <w:ffData>
            <w:name w:val=""/>
            <w:enabled/>
            <w:calcOnExit w:val="0"/>
            <w:textInput>
              <w:default w:val="If applicable, insert description of proposed indication(s)"/>
            </w:textInput>
          </w:ffData>
        </w:fldChar>
      </w:r>
      <w:r>
        <w:instrText xml:space="preserve"> FORMTEXT </w:instrText>
      </w:r>
      <w:r>
        <w:fldChar w:fldCharType="separate"/>
      </w:r>
      <w:r>
        <w:rPr>
          <w:noProof/>
        </w:rPr>
        <w:t>If applicable, insert description of proposed indication(s)</w:t>
      </w:r>
      <w:r>
        <w:fldChar w:fldCharType="end"/>
      </w:r>
    </w:p>
    <w:p w:rsidR="00971EDB" w:rsidRPr="00971EDB" w:rsidRDefault="00971EDB" w:rsidP="00B032C7">
      <w:pPr>
        <w:spacing w:before="0"/>
        <w:rPr>
          <w:szCs w:val="20"/>
        </w:rPr>
      </w:pPr>
      <w:r w:rsidRPr="00971EDB">
        <w:rPr>
          <w:szCs w:val="20"/>
        </w:rPr>
        <w:t>Proposed purpose(s), if applicable</w:t>
      </w:r>
      <w:r>
        <w:rPr>
          <w:szCs w:val="20"/>
        </w:rPr>
        <w:t xml:space="preserve">:  </w:t>
      </w:r>
      <w:r>
        <w:fldChar w:fldCharType="begin">
          <w:ffData>
            <w:name w:val=""/>
            <w:enabled/>
            <w:calcOnExit w:val="0"/>
            <w:textInput>
              <w:default w:val="If applicable, insert description of proposed purpose(s) here"/>
            </w:textInput>
          </w:ffData>
        </w:fldChar>
      </w:r>
      <w:r>
        <w:instrText xml:space="preserve"> FORMTEXT </w:instrText>
      </w:r>
      <w:r>
        <w:fldChar w:fldCharType="separate"/>
      </w:r>
      <w:r>
        <w:rPr>
          <w:noProof/>
        </w:rPr>
        <w:t>If applicable, insert description of proposed purpose(s) here</w:t>
      </w:r>
      <w:r>
        <w:fldChar w:fldCharType="end"/>
      </w:r>
    </w:p>
    <w:p w:rsidR="00F83A9D" w:rsidRPr="00154B00" w:rsidRDefault="00F83A9D" w:rsidP="00B032C7">
      <w:pPr>
        <w:spacing w:before="0"/>
        <w:rPr>
          <w:szCs w:val="20"/>
        </w:rPr>
      </w:pPr>
    </w:p>
    <w:p w:rsidR="00DD308E" w:rsidRDefault="00DD308E" w:rsidP="00B032C7">
      <w:pPr>
        <w:spacing w:before="0"/>
        <w:rPr>
          <w:b/>
          <w:sz w:val="32"/>
          <w:szCs w:val="32"/>
        </w:rPr>
        <w:sectPr w:rsidR="00DD308E" w:rsidSect="00991EE4">
          <w:footerReference w:type="default" r:id="rId12"/>
          <w:pgSz w:w="11906" w:h="16838"/>
          <w:pgMar w:top="1440" w:right="1440" w:bottom="1440" w:left="1440" w:header="708" w:footer="708" w:gutter="0"/>
          <w:pgNumType w:start="0"/>
          <w:cols w:space="708"/>
          <w:titlePg/>
          <w:docGrid w:linePitch="360"/>
        </w:sectPr>
      </w:pPr>
    </w:p>
    <w:p w:rsidR="00DD308E" w:rsidRPr="00C776B1" w:rsidRDefault="00B17CBE" w:rsidP="00B032C7">
      <w:pPr>
        <w:pStyle w:val="Heading1"/>
        <w:spacing w:after="120" w:line="240" w:lineRule="auto"/>
      </w:pPr>
      <w:r>
        <w:lastRenderedPageBreak/>
        <w:t>PART 4</w:t>
      </w:r>
      <w:r w:rsidR="00DD308E">
        <w:t xml:space="preserve"> – SUMMARY</w:t>
      </w:r>
      <w:r w:rsidR="00DD308E" w:rsidRPr="00C776B1">
        <w:t xml:space="preserve"> OF EVIDENCE</w:t>
      </w:r>
    </w:p>
    <w:p w:rsidR="00DD308E" w:rsidRPr="00832B31" w:rsidRDefault="00DD308E" w:rsidP="00B032C7">
      <w:pPr>
        <w:pStyle w:val="Heading2"/>
        <w:spacing w:before="0"/>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00" w:type="pct"/>
        <w:tblLayout w:type="fixed"/>
        <w:tblLook w:val="04A0" w:firstRow="1" w:lastRow="0" w:firstColumn="1" w:lastColumn="0" w:noHBand="0" w:noVBand="1"/>
        <w:tblCaption w:val="Summary of Evidence - Published"/>
      </w:tblPr>
      <w:tblGrid>
        <w:gridCol w:w="472"/>
        <w:gridCol w:w="1109"/>
        <w:gridCol w:w="3413"/>
        <w:gridCol w:w="6030"/>
        <w:gridCol w:w="1843"/>
        <w:gridCol w:w="1307"/>
      </w:tblGrid>
      <w:tr w:rsidR="00DD308E" w:rsidTr="00F02FC8">
        <w:trPr>
          <w:cantSplit/>
          <w:tblHeader/>
        </w:trPr>
        <w:tc>
          <w:tcPr>
            <w:tcW w:w="166" w:type="pct"/>
          </w:tcPr>
          <w:p w:rsidR="00DD308E" w:rsidRDefault="00DD308E" w:rsidP="00B032C7">
            <w:pPr>
              <w:pStyle w:val="TableHEADER"/>
              <w:spacing w:before="0"/>
            </w:pPr>
          </w:p>
        </w:tc>
        <w:tc>
          <w:tcPr>
            <w:tcW w:w="391" w:type="pct"/>
          </w:tcPr>
          <w:p w:rsidR="00DD308E" w:rsidRDefault="00DD308E" w:rsidP="00B032C7">
            <w:pPr>
              <w:pStyle w:val="TableHEADER"/>
              <w:spacing w:before="0"/>
            </w:pPr>
            <w:r>
              <w:t>Type of study design*</w:t>
            </w:r>
          </w:p>
        </w:tc>
        <w:tc>
          <w:tcPr>
            <w:tcW w:w="1204" w:type="pct"/>
          </w:tcPr>
          <w:p w:rsidR="00DD308E" w:rsidRDefault="00DD308E" w:rsidP="00B032C7">
            <w:pPr>
              <w:pStyle w:val="TableHEADER"/>
              <w:spacing w:before="0"/>
            </w:pPr>
            <w:r>
              <w:t>Title of journal article  or research project (including any trial identifier or study lead if relevant)</w:t>
            </w:r>
          </w:p>
        </w:tc>
        <w:tc>
          <w:tcPr>
            <w:tcW w:w="2127" w:type="pct"/>
          </w:tcPr>
          <w:p w:rsidR="00DD308E" w:rsidRDefault="00DD308E" w:rsidP="00B032C7">
            <w:pPr>
              <w:pStyle w:val="TableHEADER"/>
              <w:spacing w:before="0"/>
            </w:pPr>
            <w:r>
              <w:t>Short description of research  (max 50 words)**</w:t>
            </w:r>
          </w:p>
        </w:tc>
        <w:tc>
          <w:tcPr>
            <w:tcW w:w="650" w:type="pct"/>
          </w:tcPr>
          <w:p w:rsidR="00DD308E" w:rsidRDefault="00DD308E" w:rsidP="00B032C7">
            <w:pPr>
              <w:pStyle w:val="TableHEADER"/>
              <w:spacing w:before="0"/>
            </w:pPr>
            <w:r w:rsidRPr="00E82F54">
              <w:t xml:space="preserve">Website link to </w:t>
            </w:r>
            <w:r>
              <w:t>journal article or research (if available)</w:t>
            </w:r>
          </w:p>
        </w:tc>
        <w:tc>
          <w:tcPr>
            <w:tcW w:w="461" w:type="pct"/>
          </w:tcPr>
          <w:p w:rsidR="00DD308E" w:rsidRDefault="00DD308E" w:rsidP="00B032C7">
            <w:pPr>
              <w:pStyle w:val="TableHEADER"/>
              <w:spacing w:before="0"/>
            </w:pPr>
            <w:r w:rsidRPr="00E82F54">
              <w:t>Date</w:t>
            </w:r>
            <w:r>
              <w:t xml:space="preserve"> of publication</w:t>
            </w:r>
            <w:r w:rsidRPr="00E82F54">
              <w:t>*</w:t>
            </w:r>
            <w:r>
              <w:t>**</w:t>
            </w:r>
          </w:p>
        </w:tc>
      </w:tr>
      <w:tr w:rsidR="00390104" w:rsidTr="00F02FC8">
        <w:trPr>
          <w:cantSplit/>
        </w:trPr>
        <w:tc>
          <w:tcPr>
            <w:tcW w:w="166" w:type="pct"/>
          </w:tcPr>
          <w:p w:rsidR="00390104" w:rsidRPr="00F8329B" w:rsidRDefault="00390104" w:rsidP="0062004A">
            <w:pPr>
              <w:rPr>
                <w:rFonts w:ascii="Arial" w:hAnsi="Arial" w:cs="Arial"/>
                <w:sz w:val="18"/>
                <w:szCs w:val="18"/>
              </w:rPr>
            </w:pPr>
            <w:r w:rsidRPr="00F8329B">
              <w:rPr>
                <w:rFonts w:ascii="Arial" w:hAnsi="Arial" w:cs="Arial"/>
                <w:sz w:val="18"/>
                <w:szCs w:val="18"/>
              </w:rPr>
              <w:t>1.</w:t>
            </w:r>
          </w:p>
        </w:tc>
        <w:tc>
          <w:tcPr>
            <w:tcW w:w="391" w:type="pct"/>
          </w:tcPr>
          <w:p w:rsidR="00390104" w:rsidRPr="00F8329B" w:rsidRDefault="00390104" w:rsidP="0062004A">
            <w:pPr>
              <w:rPr>
                <w:rFonts w:ascii="Arial" w:hAnsi="Arial" w:cs="Arial"/>
                <w:sz w:val="18"/>
                <w:szCs w:val="18"/>
              </w:rPr>
            </w:pPr>
            <w:r w:rsidRPr="00F8329B">
              <w:rPr>
                <w:rFonts w:ascii="Arial" w:hAnsi="Arial" w:cs="Arial"/>
                <w:sz w:val="18"/>
                <w:szCs w:val="18"/>
              </w:rPr>
              <w:t>Single-arm (Phase II)</w:t>
            </w:r>
          </w:p>
        </w:tc>
        <w:tc>
          <w:tcPr>
            <w:tcW w:w="1204" w:type="pct"/>
          </w:tcPr>
          <w:p w:rsidR="00390104" w:rsidRPr="00F8329B" w:rsidRDefault="00390104" w:rsidP="0062004A">
            <w:pPr>
              <w:pStyle w:val="Heading1"/>
              <w:shd w:val="clear" w:color="auto" w:fill="FFFFFF"/>
              <w:spacing w:after="120"/>
              <w:textAlignment w:val="baseline"/>
              <w:outlineLvl w:val="0"/>
              <w:rPr>
                <w:rFonts w:ascii="Arial" w:hAnsi="Arial" w:cs="Arial"/>
                <w:color w:val="auto"/>
                <w:sz w:val="18"/>
                <w:szCs w:val="18"/>
              </w:rPr>
            </w:pPr>
            <w:r w:rsidRPr="00F8329B">
              <w:rPr>
                <w:rFonts w:ascii="Arial" w:hAnsi="Arial" w:cs="Arial"/>
                <w:color w:val="auto"/>
                <w:sz w:val="18"/>
                <w:szCs w:val="18"/>
              </w:rPr>
              <w:t>Le DT et al. PD-1 Blockade in Tumors with Mismatch-Repair Deficiency</w:t>
            </w:r>
          </w:p>
          <w:p w:rsidR="00390104" w:rsidRPr="00F8329B" w:rsidRDefault="00390104" w:rsidP="0062004A">
            <w:pPr>
              <w:pStyle w:val="Heading1"/>
              <w:shd w:val="clear" w:color="auto" w:fill="FFFFFF"/>
              <w:spacing w:after="120"/>
              <w:textAlignment w:val="baseline"/>
              <w:outlineLvl w:val="0"/>
              <w:rPr>
                <w:rFonts w:ascii="Arial" w:hAnsi="Arial" w:cs="Arial"/>
                <w:color w:val="auto"/>
                <w:sz w:val="18"/>
                <w:szCs w:val="18"/>
              </w:rPr>
            </w:pPr>
            <w:r w:rsidRPr="00F8329B">
              <w:rPr>
                <w:rFonts w:ascii="Arial" w:hAnsi="Arial" w:cs="Arial"/>
                <w:color w:val="auto"/>
                <w:sz w:val="18"/>
                <w:szCs w:val="18"/>
              </w:rPr>
              <w:t>(KEYNOTE-16). NEJM; 372(26):2509-20.</w:t>
            </w:r>
          </w:p>
          <w:p w:rsidR="00390104" w:rsidRPr="00F8329B" w:rsidRDefault="00390104" w:rsidP="0062004A">
            <w:pPr>
              <w:rPr>
                <w:rFonts w:ascii="Arial" w:hAnsi="Arial" w:cs="Arial"/>
                <w:sz w:val="18"/>
                <w:szCs w:val="18"/>
              </w:rPr>
            </w:pPr>
          </w:p>
          <w:p w:rsidR="00390104" w:rsidRPr="00F8329B" w:rsidRDefault="00390104" w:rsidP="0062004A">
            <w:pPr>
              <w:pStyle w:val="Heading1"/>
              <w:shd w:val="clear" w:color="auto" w:fill="FFFFFF"/>
              <w:spacing w:after="120"/>
              <w:textAlignment w:val="baseline"/>
              <w:outlineLvl w:val="0"/>
              <w:rPr>
                <w:rFonts w:ascii="Arial" w:hAnsi="Arial" w:cs="Arial"/>
                <w:sz w:val="18"/>
                <w:szCs w:val="18"/>
              </w:rPr>
            </w:pPr>
            <w:r w:rsidRPr="00F8329B">
              <w:rPr>
                <w:rFonts w:ascii="Arial" w:hAnsi="Arial" w:cs="Arial"/>
                <w:color w:val="auto"/>
                <w:sz w:val="18"/>
                <w:szCs w:val="18"/>
              </w:rPr>
              <w:t>NCT01876511</w:t>
            </w:r>
          </w:p>
        </w:tc>
        <w:tc>
          <w:tcPr>
            <w:tcW w:w="2127" w:type="pct"/>
          </w:tcPr>
          <w:p w:rsidR="00390104" w:rsidRPr="00F8329B" w:rsidRDefault="00390104" w:rsidP="0062004A">
            <w:pPr>
              <w:rPr>
                <w:rFonts w:ascii="Arial" w:hAnsi="Arial" w:cs="Arial"/>
                <w:color w:val="000000"/>
                <w:sz w:val="18"/>
                <w:szCs w:val="18"/>
                <w:shd w:val="clear" w:color="auto" w:fill="FFFFFF"/>
              </w:rPr>
            </w:pPr>
            <w:r w:rsidRPr="00F8329B">
              <w:rPr>
                <w:rFonts w:ascii="Arial" w:hAnsi="Arial" w:cs="Arial"/>
                <w:sz w:val="18"/>
                <w:szCs w:val="18"/>
              </w:rPr>
              <w:t xml:space="preserve">Design: </w:t>
            </w:r>
            <w:r w:rsidRPr="00F8329B">
              <w:rPr>
                <w:rStyle w:val="apple-converted-space"/>
                <w:rFonts w:ascii="Arial" w:hAnsi="Arial" w:cs="Arial"/>
                <w:color w:val="000000"/>
                <w:sz w:val="18"/>
                <w:szCs w:val="18"/>
                <w:shd w:val="clear" w:color="auto" w:fill="FFFFFF"/>
              </w:rPr>
              <w:t> P</w:t>
            </w:r>
            <w:r w:rsidRPr="00F8329B">
              <w:rPr>
                <w:rFonts w:ascii="Arial" w:hAnsi="Arial" w:cs="Arial"/>
                <w:color w:val="000000"/>
                <w:sz w:val="18"/>
                <w:szCs w:val="18"/>
                <w:shd w:val="clear" w:color="auto" w:fill="FFFFFF"/>
              </w:rPr>
              <w:t>hase 2 study in patients with metastatic carcinoma +/- MMR deficiency.</w:t>
            </w:r>
          </w:p>
          <w:p w:rsidR="00CB5FC4" w:rsidRDefault="00390104" w:rsidP="0062004A">
            <w:pPr>
              <w:rPr>
                <w:rFonts w:ascii="Arial" w:hAnsi="Arial" w:cs="Arial"/>
                <w:color w:val="000000"/>
                <w:sz w:val="18"/>
                <w:szCs w:val="18"/>
                <w:shd w:val="clear" w:color="auto" w:fill="FFFFFF"/>
              </w:rPr>
            </w:pPr>
            <w:r w:rsidRPr="00F8329B">
              <w:rPr>
                <w:rFonts w:ascii="Arial" w:hAnsi="Arial" w:cs="Arial"/>
                <w:color w:val="000000"/>
                <w:sz w:val="18"/>
                <w:szCs w:val="18"/>
                <w:shd w:val="clear" w:color="auto" w:fill="FFFFFF"/>
              </w:rPr>
              <w:t>Intervention: Pembrolizumab</w:t>
            </w:r>
          </w:p>
          <w:p w:rsidR="00390104" w:rsidRPr="00F8329B" w:rsidRDefault="00390104" w:rsidP="0062004A">
            <w:pPr>
              <w:rPr>
                <w:rFonts w:ascii="Arial" w:hAnsi="Arial" w:cs="Arial"/>
                <w:color w:val="000000"/>
                <w:sz w:val="18"/>
                <w:szCs w:val="18"/>
                <w:shd w:val="clear" w:color="auto" w:fill="FFFFFF"/>
              </w:rPr>
            </w:pPr>
            <w:r w:rsidRPr="00F8329B">
              <w:rPr>
                <w:rFonts w:ascii="Arial" w:hAnsi="Arial" w:cs="Arial"/>
                <w:color w:val="000000"/>
                <w:sz w:val="18"/>
                <w:szCs w:val="18"/>
                <w:shd w:val="clear" w:color="auto" w:fill="FFFFFF"/>
              </w:rPr>
              <w:t>Population:  MMR-deficient CRC=11 patients, MMR-proficient CRC=21 patients and non-CRC = 9 patients.</w:t>
            </w:r>
          </w:p>
          <w:p w:rsidR="00390104" w:rsidRPr="00F8329B" w:rsidRDefault="00390104" w:rsidP="0062004A">
            <w:pPr>
              <w:rPr>
                <w:rFonts w:ascii="Arial" w:hAnsi="Arial" w:cs="Arial"/>
                <w:sz w:val="18"/>
                <w:szCs w:val="18"/>
              </w:rPr>
            </w:pPr>
            <w:r w:rsidRPr="00F8329B">
              <w:rPr>
                <w:rFonts w:ascii="Arial" w:hAnsi="Arial" w:cs="Arial"/>
                <w:color w:val="000000"/>
                <w:sz w:val="18"/>
                <w:szCs w:val="18"/>
                <w:shd w:val="clear" w:color="auto" w:fill="FFFFFF"/>
              </w:rPr>
              <w:t>Results: Objective response and progression-free survival rates were 40% and 78%, respectively, for MMR-deficient CRC and 0% and 11% for MMR-proficient CRC.</w:t>
            </w:r>
          </w:p>
        </w:tc>
        <w:tc>
          <w:tcPr>
            <w:tcW w:w="650" w:type="pct"/>
          </w:tcPr>
          <w:p w:rsidR="00390104" w:rsidRDefault="00AF6981" w:rsidP="0062004A">
            <w:pPr>
              <w:rPr>
                <w:rFonts w:ascii="Arial" w:hAnsi="Arial" w:cs="Arial"/>
                <w:sz w:val="18"/>
                <w:szCs w:val="18"/>
              </w:rPr>
            </w:pPr>
            <w:hyperlink r:id="rId13" w:history="1">
              <w:r w:rsidR="00390104">
                <w:rPr>
                  <w:rStyle w:val="Hyperlink"/>
                  <w:rFonts w:ascii="Arial" w:hAnsi="Arial" w:cs="Arial"/>
                  <w:sz w:val="18"/>
                  <w:szCs w:val="18"/>
                </w:rPr>
                <w:t>link</w:t>
              </w:r>
            </w:hyperlink>
            <w:r w:rsidR="00390104">
              <w:rPr>
                <w:rFonts w:ascii="Arial" w:hAnsi="Arial" w:cs="Arial"/>
                <w:sz w:val="18"/>
                <w:szCs w:val="18"/>
              </w:rPr>
              <w:t xml:space="preserve"> to article</w:t>
            </w:r>
          </w:p>
          <w:p w:rsidR="00390104" w:rsidRPr="00F8329B" w:rsidRDefault="00390104" w:rsidP="0062004A">
            <w:pPr>
              <w:rPr>
                <w:rFonts w:ascii="Arial" w:hAnsi="Arial" w:cs="Arial"/>
                <w:sz w:val="18"/>
                <w:szCs w:val="18"/>
              </w:rPr>
            </w:pPr>
          </w:p>
        </w:tc>
        <w:tc>
          <w:tcPr>
            <w:tcW w:w="461" w:type="pct"/>
          </w:tcPr>
          <w:p w:rsidR="00390104" w:rsidRPr="00F8329B" w:rsidRDefault="00390104" w:rsidP="0062004A">
            <w:pPr>
              <w:rPr>
                <w:rFonts w:ascii="Arial" w:hAnsi="Arial" w:cs="Arial"/>
                <w:sz w:val="18"/>
                <w:szCs w:val="18"/>
              </w:rPr>
            </w:pPr>
            <w:r w:rsidRPr="00F8329B">
              <w:rPr>
                <w:rFonts w:ascii="Arial" w:hAnsi="Arial" w:cs="Arial"/>
                <w:sz w:val="18"/>
                <w:szCs w:val="18"/>
              </w:rPr>
              <w:t>25 Jun 2015</w:t>
            </w:r>
          </w:p>
        </w:tc>
      </w:tr>
      <w:tr w:rsidR="00390104" w:rsidTr="00F02FC8">
        <w:trPr>
          <w:cantSplit/>
        </w:trPr>
        <w:tc>
          <w:tcPr>
            <w:tcW w:w="166" w:type="pct"/>
          </w:tcPr>
          <w:p w:rsidR="00390104" w:rsidRPr="00F8329B" w:rsidRDefault="00390104" w:rsidP="0062004A">
            <w:pPr>
              <w:rPr>
                <w:rFonts w:ascii="Arial" w:hAnsi="Arial" w:cs="Arial"/>
                <w:sz w:val="18"/>
                <w:szCs w:val="18"/>
              </w:rPr>
            </w:pPr>
            <w:r w:rsidRPr="00F8329B">
              <w:rPr>
                <w:rFonts w:ascii="Arial" w:hAnsi="Arial" w:cs="Arial"/>
                <w:sz w:val="18"/>
                <w:szCs w:val="18"/>
              </w:rPr>
              <w:t>2.</w:t>
            </w:r>
          </w:p>
        </w:tc>
        <w:tc>
          <w:tcPr>
            <w:tcW w:w="391" w:type="pct"/>
          </w:tcPr>
          <w:p w:rsidR="00390104" w:rsidRPr="00F8329B" w:rsidRDefault="00390104" w:rsidP="0062004A">
            <w:pPr>
              <w:rPr>
                <w:rFonts w:ascii="Arial" w:hAnsi="Arial" w:cs="Arial"/>
                <w:sz w:val="18"/>
                <w:szCs w:val="18"/>
              </w:rPr>
            </w:pPr>
            <w:r w:rsidRPr="00F8329B">
              <w:rPr>
                <w:rFonts w:ascii="Arial" w:hAnsi="Arial" w:cs="Arial"/>
                <w:sz w:val="18"/>
                <w:szCs w:val="18"/>
              </w:rPr>
              <w:t>Clinical guidelines</w:t>
            </w:r>
          </w:p>
        </w:tc>
        <w:tc>
          <w:tcPr>
            <w:tcW w:w="1204" w:type="pct"/>
          </w:tcPr>
          <w:p w:rsidR="00390104" w:rsidRPr="00F8329B" w:rsidRDefault="00390104" w:rsidP="0062004A">
            <w:pPr>
              <w:rPr>
                <w:rFonts w:ascii="Arial" w:hAnsi="Arial" w:cs="Arial"/>
                <w:sz w:val="18"/>
                <w:szCs w:val="18"/>
              </w:rPr>
            </w:pPr>
            <w:r w:rsidRPr="00F8329B">
              <w:rPr>
                <w:rFonts w:ascii="Arial" w:hAnsi="Arial" w:cs="Arial"/>
                <w:sz w:val="18"/>
                <w:szCs w:val="18"/>
              </w:rPr>
              <w:t>Royal College of Pathologists of Australasia. CRC Structured Reporting Protocol.</w:t>
            </w:r>
          </w:p>
        </w:tc>
        <w:tc>
          <w:tcPr>
            <w:tcW w:w="2127" w:type="pct"/>
          </w:tcPr>
          <w:p w:rsidR="00390104" w:rsidRPr="00F8329B" w:rsidRDefault="00390104" w:rsidP="0062004A">
            <w:pPr>
              <w:autoSpaceDE w:val="0"/>
              <w:autoSpaceDN w:val="0"/>
              <w:adjustRightInd w:val="0"/>
              <w:rPr>
                <w:rFonts w:ascii="Arial" w:hAnsi="Arial" w:cs="Arial"/>
                <w:sz w:val="18"/>
                <w:szCs w:val="18"/>
              </w:rPr>
            </w:pPr>
            <w:r w:rsidRPr="00F8329B">
              <w:rPr>
                <w:rFonts w:ascii="Arial" w:hAnsi="Arial" w:cs="Arial"/>
                <w:color w:val="000000"/>
                <w:sz w:val="18"/>
                <w:szCs w:val="18"/>
                <w:shd w:val="clear" w:color="auto" w:fill="FFFFFF"/>
              </w:rPr>
              <w:t>These guidelines provide indicators of the minimum requirements of the Royal College of Pathologists of Australasia for testing in Colorectal Cancer. Section G4.01 provide recommendations in relation to the procedures for testing mismatch repair deficiency status.</w:t>
            </w:r>
          </w:p>
        </w:tc>
        <w:tc>
          <w:tcPr>
            <w:tcW w:w="650" w:type="pct"/>
          </w:tcPr>
          <w:p w:rsidR="00390104" w:rsidRDefault="00AF6981" w:rsidP="0062004A">
            <w:pPr>
              <w:rPr>
                <w:rFonts w:ascii="Arial" w:hAnsi="Arial" w:cs="Arial"/>
                <w:sz w:val="18"/>
                <w:szCs w:val="18"/>
              </w:rPr>
            </w:pPr>
            <w:hyperlink r:id="rId14" w:history="1">
              <w:r w:rsidR="00390104">
                <w:rPr>
                  <w:rStyle w:val="Hyperlink"/>
                  <w:rFonts w:ascii="Arial" w:hAnsi="Arial" w:cs="Arial"/>
                  <w:sz w:val="18"/>
                  <w:szCs w:val="18"/>
                </w:rPr>
                <w:t>link</w:t>
              </w:r>
            </w:hyperlink>
            <w:r w:rsidR="00390104">
              <w:rPr>
                <w:rFonts w:ascii="Arial" w:hAnsi="Arial" w:cs="Arial"/>
                <w:sz w:val="18"/>
                <w:szCs w:val="18"/>
              </w:rPr>
              <w:t xml:space="preserve"> to article</w:t>
            </w:r>
          </w:p>
          <w:p w:rsidR="00390104" w:rsidRPr="00F8329B" w:rsidRDefault="00390104" w:rsidP="0062004A">
            <w:pPr>
              <w:rPr>
                <w:rFonts w:ascii="Arial" w:hAnsi="Arial" w:cs="Arial"/>
                <w:sz w:val="18"/>
                <w:szCs w:val="18"/>
              </w:rPr>
            </w:pPr>
          </w:p>
        </w:tc>
        <w:tc>
          <w:tcPr>
            <w:tcW w:w="461" w:type="pct"/>
          </w:tcPr>
          <w:p w:rsidR="00390104" w:rsidRPr="00F8329B" w:rsidRDefault="00390104" w:rsidP="0062004A">
            <w:pPr>
              <w:rPr>
                <w:rFonts w:ascii="Arial" w:hAnsi="Arial" w:cs="Arial"/>
                <w:sz w:val="18"/>
                <w:szCs w:val="18"/>
              </w:rPr>
            </w:pPr>
            <w:r w:rsidRPr="00F8329B">
              <w:rPr>
                <w:rFonts w:ascii="Arial" w:hAnsi="Arial" w:cs="Arial"/>
                <w:sz w:val="18"/>
                <w:szCs w:val="18"/>
              </w:rPr>
              <w:t>May 2016</w:t>
            </w:r>
          </w:p>
        </w:tc>
      </w:tr>
      <w:tr w:rsidR="00390104" w:rsidTr="00F02FC8">
        <w:trPr>
          <w:cantSplit/>
        </w:trPr>
        <w:tc>
          <w:tcPr>
            <w:tcW w:w="166" w:type="pct"/>
          </w:tcPr>
          <w:p w:rsidR="00390104" w:rsidRPr="00F8329B" w:rsidRDefault="00390104" w:rsidP="0062004A">
            <w:pPr>
              <w:rPr>
                <w:rFonts w:ascii="Arial" w:hAnsi="Arial" w:cs="Arial"/>
                <w:sz w:val="18"/>
                <w:szCs w:val="18"/>
              </w:rPr>
            </w:pPr>
            <w:r w:rsidRPr="00F8329B">
              <w:rPr>
                <w:rFonts w:ascii="Arial" w:hAnsi="Arial" w:cs="Arial"/>
                <w:sz w:val="18"/>
                <w:szCs w:val="18"/>
              </w:rPr>
              <w:t>3.</w:t>
            </w:r>
          </w:p>
        </w:tc>
        <w:tc>
          <w:tcPr>
            <w:tcW w:w="391" w:type="pct"/>
          </w:tcPr>
          <w:p w:rsidR="00390104" w:rsidRPr="00F8329B" w:rsidRDefault="00390104" w:rsidP="0062004A">
            <w:pPr>
              <w:rPr>
                <w:rFonts w:ascii="Arial" w:hAnsi="Arial" w:cs="Arial"/>
                <w:sz w:val="18"/>
                <w:szCs w:val="18"/>
              </w:rPr>
            </w:pPr>
            <w:r w:rsidRPr="00F8329B">
              <w:rPr>
                <w:rFonts w:ascii="Arial" w:hAnsi="Arial" w:cs="Arial"/>
                <w:sz w:val="18"/>
                <w:szCs w:val="18"/>
              </w:rPr>
              <w:t>Diagnostic accuracy</w:t>
            </w:r>
          </w:p>
        </w:tc>
        <w:tc>
          <w:tcPr>
            <w:tcW w:w="1204" w:type="pct"/>
          </w:tcPr>
          <w:p w:rsidR="00390104" w:rsidRPr="00F8329B" w:rsidRDefault="00390104" w:rsidP="0062004A">
            <w:pPr>
              <w:pStyle w:val="Heading1"/>
              <w:shd w:val="clear" w:color="auto" w:fill="FFFFFF"/>
              <w:spacing w:after="120"/>
              <w:outlineLvl w:val="0"/>
              <w:rPr>
                <w:rFonts w:ascii="Arial" w:hAnsi="Arial" w:cs="Arial"/>
                <w:color w:val="auto"/>
                <w:sz w:val="18"/>
                <w:szCs w:val="18"/>
              </w:rPr>
            </w:pPr>
            <w:r w:rsidRPr="00F8329B">
              <w:rPr>
                <w:rFonts w:ascii="Arial" w:hAnsi="Arial" w:cs="Arial"/>
                <w:color w:val="auto"/>
                <w:sz w:val="18"/>
                <w:szCs w:val="18"/>
              </w:rPr>
              <w:t xml:space="preserve">Ward R et al. Routine testing for mismatch repair deficiency in sporadic colorectal cancer is justified. </w:t>
            </w:r>
            <w:r w:rsidRPr="00F8329B">
              <w:rPr>
                <w:rStyle w:val="jrnl"/>
                <w:rFonts w:ascii="Arial" w:hAnsi="Arial" w:cs="Arial"/>
                <w:color w:val="000000"/>
                <w:sz w:val="18"/>
                <w:szCs w:val="18"/>
                <w:shd w:val="clear" w:color="auto" w:fill="FFFFFF"/>
              </w:rPr>
              <w:t>J Pathol</w:t>
            </w:r>
            <w:r w:rsidRPr="00F8329B">
              <w:rPr>
                <w:rFonts w:ascii="Arial" w:hAnsi="Arial" w:cs="Arial"/>
                <w:color w:val="000000"/>
                <w:sz w:val="18"/>
                <w:szCs w:val="18"/>
                <w:shd w:val="clear" w:color="auto" w:fill="FFFFFF"/>
              </w:rPr>
              <w:t>. 2005 ;207(4):377-84.</w:t>
            </w:r>
          </w:p>
          <w:p w:rsidR="00390104" w:rsidRPr="00F8329B" w:rsidRDefault="00390104" w:rsidP="0062004A">
            <w:pPr>
              <w:rPr>
                <w:rFonts w:ascii="Arial" w:hAnsi="Arial" w:cs="Arial"/>
                <w:sz w:val="18"/>
                <w:szCs w:val="18"/>
              </w:rPr>
            </w:pPr>
          </w:p>
        </w:tc>
        <w:tc>
          <w:tcPr>
            <w:tcW w:w="2127" w:type="pct"/>
          </w:tcPr>
          <w:p w:rsidR="00390104" w:rsidRPr="00F8329B" w:rsidRDefault="00390104" w:rsidP="0062004A">
            <w:pPr>
              <w:autoSpaceDE w:val="0"/>
              <w:autoSpaceDN w:val="0"/>
              <w:adjustRightInd w:val="0"/>
              <w:rPr>
                <w:rFonts w:ascii="Arial" w:hAnsi="Arial" w:cs="Arial"/>
                <w:sz w:val="18"/>
                <w:szCs w:val="18"/>
              </w:rPr>
            </w:pPr>
            <w:r w:rsidRPr="00F8329B">
              <w:rPr>
                <w:rFonts w:ascii="Arial" w:hAnsi="Arial" w:cs="Arial"/>
                <w:sz w:val="18"/>
                <w:szCs w:val="18"/>
              </w:rPr>
              <w:t>Design: Prospective cohort study on a consecutive series of fresh tissue samples at one Australian institution</w:t>
            </w:r>
          </w:p>
          <w:p w:rsidR="00390104" w:rsidRPr="00F8329B" w:rsidRDefault="00390104" w:rsidP="0062004A">
            <w:pPr>
              <w:autoSpaceDE w:val="0"/>
              <w:autoSpaceDN w:val="0"/>
              <w:adjustRightInd w:val="0"/>
              <w:rPr>
                <w:rFonts w:ascii="Arial" w:hAnsi="Arial" w:cs="Arial"/>
                <w:sz w:val="18"/>
                <w:szCs w:val="18"/>
              </w:rPr>
            </w:pPr>
            <w:r w:rsidRPr="00F8329B">
              <w:rPr>
                <w:rFonts w:ascii="Arial" w:hAnsi="Arial" w:cs="Arial"/>
                <w:sz w:val="18"/>
                <w:szCs w:val="18"/>
              </w:rPr>
              <w:t>Aim: To examine the accuracy of IHC staining (MLH1 and MSH2 only) in the identification of MMRd CRC in routine clinical practice.</w:t>
            </w:r>
          </w:p>
          <w:p w:rsidR="00390104" w:rsidRPr="00F8329B" w:rsidRDefault="00390104" w:rsidP="0062004A">
            <w:pPr>
              <w:autoSpaceDE w:val="0"/>
              <w:autoSpaceDN w:val="0"/>
              <w:adjustRightInd w:val="0"/>
              <w:rPr>
                <w:rFonts w:ascii="Arial" w:hAnsi="Arial" w:cs="Arial"/>
                <w:sz w:val="18"/>
                <w:szCs w:val="18"/>
              </w:rPr>
            </w:pPr>
            <w:r w:rsidRPr="00F8329B">
              <w:rPr>
                <w:rFonts w:ascii="Arial" w:hAnsi="Arial" w:cs="Arial"/>
                <w:sz w:val="18"/>
                <w:szCs w:val="18"/>
              </w:rPr>
              <w:t>Results:  Sensitivity was 83% and Specificity was 98%.</w:t>
            </w:r>
          </w:p>
        </w:tc>
        <w:tc>
          <w:tcPr>
            <w:tcW w:w="650" w:type="pct"/>
          </w:tcPr>
          <w:p w:rsidR="00390104" w:rsidRDefault="00AF6981" w:rsidP="0062004A">
            <w:pPr>
              <w:rPr>
                <w:rFonts w:ascii="Arial" w:hAnsi="Arial" w:cs="Arial"/>
                <w:color w:val="000000"/>
                <w:sz w:val="18"/>
                <w:szCs w:val="18"/>
                <w:shd w:val="clear" w:color="auto" w:fill="FFFFFF"/>
              </w:rPr>
            </w:pPr>
            <w:hyperlink r:id="rId15" w:history="1">
              <w:r w:rsidR="00390104">
                <w:rPr>
                  <w:rStyle w:val="Hyperlink"/>
                  <w:rFonts w:ascii="Arial" w:hAnsi="Arial" w:cs="Arial"/>
                  <w:sz w:val="18"/>
                  <w:szCs w:val="18"/>
                  <w:shd w:val="clear" w:color="auto" w:fill="FFFFFF"/>
                </w:rPr>
                <w:t>link</w:t>
              </w:r>
            </w:hyperlink>
            <w:r w:rsidR="00390104">
              <w:rPr>
                <w:rFonts w:ascii="Arial" w:hAnsi="Arial" w:cs="Arial"/>
                <w:color w:val="000000"/>
                <w:sz w:val="18"/>
                <w:szCs w:val="18"/>
                <w:shd w:val="clear" w:color="auto" w:fill="FFFFFF"/>
              </w:rPr>
              <w:t xml:space="preserve"> to article</w:t>
            </w:r>
          </w:p>
          <w:p w:rsidR="00390104" w:rsidRPr="00F8329B" w:rsidRDefault="00390104" w:rsidP="0062004A">
            <w:pPr>
              <w:rPr>
                <w:rFonts w:ascii="Arial" w:hAnsi="Arial" w:cs="Arial"/>
                <w:sz w:val="18"/>
                <w:szCs w:val="18"/>
              </w:rPr>
            </w:pPr>
          </w:p>
        </w:tc>
        <w:tc>
          <w:tcPr>
            <w:tcW w:w="461" w:type="pct"/>
          </w:tcPr>
          <w:p w:rsidR="00390104" w:rsidRPr="00F8329B" w:rsidRDefault="00390104" w:rsidP="0062004A">
            <w:pPr>
              <w:rPr>
                <w:rFonts w:ascii="Arial" w:hAnsi="Arial" w:cs="Arial"/>
                <w:sz w:val="18"/>
                <w:szCs w:val="18"/>
              </w:rPr>
            </w:pPr>
            <w:r w:rsidRPr="00F8329B">
              <w:rPr>
                <w:rFonts w:ascii="Arial" w:hAnsi="Arial" w:cs="Arial"/>
                <w:sz w:val="18"/>
                <w:szCs w:val="18"/>
              </w:rPr>
              <w:t>Dec 2005</w:t>
            </w:r>
          </w:p>
        </w:tc>
      </w:tr>
      <w:tr w:rsidR="00390104" w:rsidTr="00F02FC8">
        <w:trPr>
          <w:cantSplit/>
        </w:trPr>
        <w:tc>
          <w:tcPr>
            <w:tcW w:w="166" w:type="pct"/>
          </w:tcPr>
          <w:p w:rsidR="00390104" w:rsidRPr="00F8329B" w:rsidRDefault="00390104" w:rsidP="0062004A">
            <w:pPr>
              <w:rPr>
                <w:rFonts w:ascii="Arial" w:hAnsi="Arial" w:cs="Arial"/>
                <w:sz w:val="18"/>
                <w:szCs w:val="18"/>
              </w:rPr>
            </w:pPr>
            <w:r w:rsidRPr="00F8329B">
              <w:rPr>
                <w:rFonts w:ascii="Arial" w:hAnsi="Arial" w:cs="Arial"/>
                <w:sz w:val="18"/>
                <w:szCs w:val="18"/>
              </w:rPr>
              <w:lastRenderedPageBreak/>
              <w:t>4.</w:t>
            </w:r>
          </w:p>
        </w:tc>
        <w:tc>
          <w:tcPr>
            <w:tcW w:w="391" w:type="pct"/>
          </w:tcPr>
          <w:p w:rsidR="00390104" w:rsidRPr="00F8329B" w:rsidRDefault="00390104" w:rsidP="0062004A">
            <w:pPr>
              <w:rPr>
                <w:rFonts w:ascii="Arial" w:hAnsi="Arial" w:cs="Arial"/>
                <w:sz w:val="18"/>
                <w:szCs w:val="18"/>
              </w:rPr>
            </w:pPr>
            <w:r w:rsidRPr="00F8329B">
              <w:rPr>
                <w:rFonts w:ascii="Arial" w:hAnsi="Arial" w:cs="Arial"/>
                <w:sz w:val="18"/>
                <w:szCs w:val="18"/>
              </w:rPr>
              <w:t>Diagnostic Accuracy</w:t>
            </w:r>
          </w:p>
        </w:tc>
        <w:tc>
          <w:tcPr>
            <w:tcW w:w="1204" w:type="pct"/>
          </w:tcPr>
          <w:p w:rsidR="00390104" w:rsidRPr="00F8329B" w:rsidRDefault="00390104" w:rsidP="0062004A">
            <w:pPr>
              <w:rPr>
                <w:rFonts w:ascii="Arial" w:hAnsi="Arial" w:cs="Arial"/>
                <w:sz w:val="18"/>
                <w:szCs w:val="18"/>
              </w:rPr>
            </w:pPr>
            <w:r w:rsidRPr="00F8329B">
              <w:rPr>
                <w:rFonts w:ascii="Arial" w:hAnsi="Arial" w:cs="Arial"/>
                <w:sz w:val="18"/>
                <w:szCs w:val="18"/>
              </w:rPr>
              <w:t>Lindor NM et al. Immunohistochemistry Versus Microsatellite Instability</w:t>
            </w:r>
          </w:p>
          <w:p w:rsidR="00390104" w:rsidRPr="00F8329B" w:rsidRDefault="00390104" w:rsidP="0062004A">
            <w:pPr>
              <w:rPr>
                <w:rFonts w:ascii="Arial" w:hAnsi="Arial" w:cs="Arial"/>
                <w:sz w:val="18"/>
                <w:szCs w:val="18"/>
              </w:rPr>
            </w:pPr>
            <w:r w:rsidRPr="00F8329B">
              <w:rPr>
                <w:rFonts w:ascii="Arial" w:hAnsi="Arial" w:cs="Arial"/>
                <w:sz w:val="18"/>
                <w:szCs w:val="18"/>
              </w:rPr>
              <w:t>Testing in Phenotyping Colorectal Tumors. J Clin Oncol 2002; 20: 1043-8.</w:t>
            </w:r>
          </w:p>
        </w:tc>
        <w:tc>
          <w:tcPr>
            <w:tcW w:w="2127" w:type="pct"/>
          </w:tcPr>
          <w:p w:rsidR="00390104" w:rsidRPr="00F8329B" w:rsidRDefault="00390104" w:rsidP="0062004A">
            <w:pPr>
              <w:autoSpaceDE w:val="0"/>
              <w:autoSpaceDN w:val="0"/>
              <w:adjustRightInd w:val="0"/>
              <w:rPr>
                <w:rFonts w:ascii="Arial" w:hAnsi="Arial" w:cs="Arial"/>
                <w:sz w:val="18"/>
                <w:szCs w:val="18"/>
              </w:rPr>
            </w:pPr>
            <w:r w:rsidRPr="00F8329B">
              <w:rPr>
                <w:rFonts w:ascii="Arial" w:hAnsi="Arial" w:cs="Arial"/>
                <w:sz w:val="18"/>
                <w:szCs w:val="18"/>
              </w:rPr>
              <w:t>Design: Colorectal cancers from 1,144 patients at 3 centres were assessed.</w:t>
            </w:r>
          </w:p>
          <w:p w:rsidR="00390104" w:rsidRPr="00F8329B" w:rsidRDefault="00390104" w:rsidP="0062004A">
            <w:pPr>
              <w:autoSpaceDE w:val="0"/>
              <w:autoSpaceDN w:val="0"/>
              <w:adjustRightInd w:val="0"/>
              <w:rPr>
                <w:rFonts w:ascii="Arial" w:hAnsi="Arial" w:cs="Arial"/>
                <w:sz w:val="18"/>
                <w:szCs w:val="18"/>
              </w:rPr>
            </w:pPr>
            <w:r w:rsidRPr="00F8329B">
              <w:rPr>
                <w:rFonts w:ascii="Arial" w:hAnsi="Arial" w:cs="Arial"/>
                <w:sz w:val="18"/>
                <w:szCs w:val="18"/>
              </w:rPr>
              <w:t>Aim: To compare microsatellite instability (MSI) testing with immunohistochemical (IHC) detection of hMLH1 and hMSH2 in colorectal cancer.</w:t>
            </w:r>
          </w:p>
          <w:p w:rsidR="00390104" w:rsidRPr="00F8329B" w:rsidRDefault="00390104" w:rsidP="0062004A">
            <w:pPr>
              <w:autoSpaceDE w:val="0"/>
              <w:autoSpaceDN w:val="0"/>
              <w:adjustRightInd w:val="0"/>
              <w:rPr>
                <w:rFonts w:ascii="Arial" w:hAnsi="Arial" w:cs="Arial"/>
                <w:sz w:val="18"/>
                <w:szCs w:val="18"/>
              </w:rPr>
            </w:pPr>
            <w:r w:rsidRPr="00F8329B">
              <w:rPr>
                <w:rFonts w:ascii="Arial" w:hAnsi="Arial" w:cs="Arial"/>
                <w:sz w:val="18"/>
                <w:szCs w:val="18"/>
              </w:rPr>
              <w:t>Results: Sensitivity was 92.3% and specificity was 100% for DNA mismatch repair defects.</w:t>
            </w:r>
          </w:p>
        </w:tc>
        <w:tc>
          <w:tcPr>
            <w:tcW w:w="650" w:type="pct"/>
          </w:tcPr>
          <w:p w:rsidR="00390104" w:rsidRDefault="00AF6981" w:rsidP="0062004A">
            <w:pPr>
              <w:rPr>
                <w:rFonts w:ascii="Arial" w:hAnsi="Arial" w:cs="Arial"/>
                <w:color w:val="000000"/>
                <w:sz w:val="18"/>
                <w:szCs w:val="18"/>
                <w:shd w:val="clear" w:color="auto" w:fill="FFFFFF"/>
              </w:rPr>
            </w:pPr>
            <w:hyperlink r:id="rId16" w:history="1">
              <w:r w:rsidR="00390104">
                <w:rPr>
                  <w:rStyle w:val="Hyperlink"/>
                  <w:rFonts w:ascii="Arial" w:hAnsi="Arial" w:cs="Arial"/>
                  <w:sz w:val="18"/>
                  <w:szCs w:val="18"/>
                  <w:shd w:val="clear" w:color="auto" w:fill="FFFFFF"/>
                </w:rPr>
                <w:t>link</w:t>
              </w:r>
            </w:hyperlink>
            <w:r w:rsidR="00390104">
              <w:rPr>
                <w:rFonts w:ascii="Arial" w:hAnsi="Arial" w:cs="Arial"/>
                <w:color w:val="000000"/>
                <w:sz w:val="18"/>
                <w:szCs w:val="18"/>
                <w:shd w:val="clear" w:color="auto" w:fill="FFFFFF"/>
              </w:rPr>
              <w:t xml:space="preserve"> to article</w:t>
            </w:r>
          </w:p>
          <w:p w:rsidR="00390104" w:rsidRPr="00F8329B" w:rsidRDefault="00390104" w:rsidP="0062004A">
            <w:pPr>
              <w:rPr>
                <w:rFonts w:ascii="Arial" w:hAnsi="Arial" w:cs="Arial"/>
                <w:color w:val="000000"/>
                <w:sz w:val="18"/>
                <w:szCs w:val="18"/>
                <w:shd w:val="clear" w:color="auto" w:fill="FFFFFF"/>
              </w:rPr>
            </w:pPr>
          </w:p>
        </w:tc>
        <w:tc>
          <w:tcPr>
            <w:tcW w:w="461" w:type="pct"/>
          </w:tcPr>
          <w:p w:rsidR="00390104" w:rsidRPr="00F8329B" w:rsidRDefault="00390104" w:rsidP="0062004A">
            <w:pPr>
              <w:rPr>
                <w:rFonts w:ascii="Arial" w:hAnsi="Arial" w:cs="Arial"/>
                <w:color w:val="000000"/>
                <w:sz w:val="18"/>
                <w:szCs w:val="18"/>
                <w:shd w:val="clear" w:color="auto" w:fill="FFFFFF"/>
              </w:rPr>
            </w:pPr>
            <w:r w:rsidRPr="00F8329B">
              <w:rPr>
                <w:rFonts w:ascii="Arial" w:hAnsi="Arial" w:cs="Arial"/>
                <w:color w:val="000000"/>
                <w:sz w:val="18"/>
                <w:szCs w:val="18"/>
                <w:shd w:val="clear" w:color="auto" w:fill="FFFFFF"/>
              </w:rPr>
              <w:t>Feb 2002</w:t>
            </w:r>
          </w:p>
        </w:tc>
      </w:tr>
      <w:tr w:rsidR="00390104" w:rsidTr="00F02FC8">
        <w:trPr>
          <w:cantSplit/>
        </w:trPr>
        <w:tc>
          <w:tcPr>
            <w:tcW w:w="166" w:type="pct"/>
          </w:tcPr>
          <w:p w:rsidR="00390104" w:rsidRPr="00F8329B" w:rsidRDefault="00390104" w:rsidP="0062004A">
            <w:pPr>
              <w:rPr>
                <w:rFonts w:ascii="Arial" w:hAnsi="Arial" w:cs="Arial"/>
                <w:sz w:val="18"/>
                <w:szCs w:val="18"/>
              </w:rPr>
            </w:pPr>
            <w:r w:rsidRPr="00F8329B">
              <w:rPr>
                <w:rFonts w:ascii="Arial" w:hAnsi="Arial" w:cs="Arial"/>
                <w:sz w:val="18"/>
                <w:szCs w:val="18"/>
              </w:rPr>
              <w:t>5.</w:t>
            </w:r>
          </w:p>
        </w:tc>
        <w:tc>
          <w:tcPr>
            <w:tcW w:w="391" w:type="pct"/>
          </w:tcPr>
          <w:p w:rsidR="00390104" w:rsidRPr="00F8329B" w:rsidRDefault="00390104" w:rsidP="0062004A">
            <w:pPr>
              <w:rPr>
                <w:rFonts w:ascii="Arial" w:hAnsi="Arial" w:cs="Arial"/>
                <w:sz w:val="18"/>
                <w:szCs w:val="18"/>
              </w:rPr>
            </w:pPr>
            <w:r w:rsidRPr="00F8329B">
              <w:rPr>
                <w:rFonts w:ascii="Arial" w:hAnsi="Arial" w:cs="Arial"/>
                <w:sz w:val="18"/>
                <w:szCs w:val="18"/>
              </w:rPr>
              <w:t>Literature review of Diagnostic Accuracy Studies</w:t>
            </w:r>
          </w:p>
        </w:tc>
        <w:tc>
          <w:tcPr>
            <w:tcW w:w="1204" w:type="pct"/>
          </w:tcPr>
          <w:p w:rsidR="00390104" w:rsidRPr="00F8329B" w:rsidRDefault="00390104" w:rsidP="0062004A">
            <w:pPr>
              <w:rPr>
                <w:rFonts w:ascii="Arial" w:hAnsi="Arial" w:cs="Arial"/>
                <w:sz w:val="18"/>
                <w:szCs w:val="18"/>
              </w:rPr>
            </w:pPr>
            <w:r w:rsidRPr="00F8329B">
              <w:rPr>
                <w:rFonts w:ascii="Arial" w:hAnsi="Arial" w:cs="Arial"/>
                <w:sz w:val="18"/>
                <w:szCs w:val="18"/>
              </w:rPr>
              <w:t>Shia J.  Immunohistochemistry versus Microsatellite</w:t>
            </w:r>
          </w:p>
          <w:p w:rsidR="00390104" w:rsidRPr="00F8329B" w:rsidRDefault="00390104" w:rsidP="0062004A">
            <w:pPr>
              <w:autoSpaceDE w:val="0"/>
              <w:autoSpaceDN w:val="0"/>
              <w:adjustRightInd w:val="0"/>
              <w:rPr>
                <w:rFonts w:ascii="Arial" w:hAnsi="Arial" w:cs="Arial"/>
                <w:sz w:val="18"/>
                <w:szCs w:val="18"/>
              </w:rPr>
            </w:pPr>
            <w:r w:rsidRPr="00F8329B">
              <w:rPr>
                <w:rFonts w:ascii="Arial" w:hAnsi="Arial" w:cs="Arial"/>
                <w:sz w:val="18"/>
                <w:szCs w:val="18"/>
              </w:rPr>
              <w:t>Instability Testing For Screening Colorectal Cancer</w:t>
            </w:r>
          </w:p>
          <w:p w:rsidR="00390104" w:rsidRPr="00F8329B" w:rsidRDefault="00390104" w:rsidP="0062004A">
            <w:pPr>
              <w:autoSpaceDE w:val="0"/>
              <w:autoSpaceDN w:val="0"/>
              <w:adjustRightInd w:val="0"/>
              <w:rPr>
                <w:rFonts w:ascii="Arial" w:hAnsi="Arial" w:cs="Arial"/>
                <w:sz w:val="18"/>
                <w:szCs w:val="18"/>
              </w:rPr>
            </w:pPr>
            <w:r w:rsidRPr="00F8329B">
              <w:rPr>
                <w:rFonts w:ascii="Arial" w:hAnsi="Arial" w:cs="Arial"/>
                <w:sz w:val="18"/>
                <w:szCs w:val="18"/>
              </w:rPr>
              <w:t>Patients at Risk For Hereditary Nonpolyposis</w:t>
            </w:r>
          </w:p>
          <w:p w:rsidR="00390104" w:rsidRPr="00F8329B" w:rsidRDefault="00390104" w:rsidP="0062004A">
            <w:pPr>
              <w:autoSpaceDE w:val="0"/>
              <w:autoSpaceDN w:val="0"/>
              <w:adjustRightInd w:val="0"/>
              <w:rPr>
                <w:rFonts w:ascii="Arial" w:hAnsi="Arial" w:cs="Arial"/>
                <w:sz w:val="18"/>
                <w:szCs w:val="18"/>
                <w:highlight w:val="yellow"/>
              </w:rPr>
            </w:pPr>
            <w:r w:rsidRPr="00F8329B">
              <w:rPr>
                <w:rFonts w:ascii="Arial" w:hAnsi="Arial" w:cs="Arial"/>
                <w:sz w:val="18"/>
                <w:szCs w:val="18"/>
              </w:rPr>
              <w:t>Colorectal Cancer Syndrome.  J Mol Diagn 2008, 10:293–300.</w:t>
            </w:r>
          </w:p>
        </w:tc>
        <w:tc>
          <w:tcPr>
            <w:tcW w:w="2127" w:type="pct"/>
          </w:tcPr>
          <w:p w:rsidR="00390104" w:rsidRPr="00F8329B" w:rsidRDefault="00390104" w:rsidP="0062004A">
            <w:pPr>
              <w:rPr>
                <w:rFonts w:ascii="Arial" w:hAnsi="Arial" w:cs="Arial"/>
                <w:sz w:val="18"/>
                <w:szCs w:val="18"/>
              </w:rPr>
            </w:pPr>
            <w:r w:rsidRPr="00F8329B">
              <w:rPr>
                <w:rFonts w:ascii="Arial" w:hAnsi="Arial" w:cs="Arial"/>
                <w:sz w:val="18"/>
                <w:szCs w:val="18"/>
              </w:rPr>
              <w:t>Design: A review of the literature, including studies that conducted IHC on MLH1, MSH2, PMS2 and MSH6 proteins.</w:t>
            </w:r>
          </w:p>
          <w:p w:rsidR="00390104" w:rsidRPr="00F8329B" w:rsidRDefault="00390104" w:rsidP="0062004A">
            <w:pPr>
              <w:rPr>
                <w:rFonts w:ascii="Arial" w:hAnsi="Arial" w:cs="Arial"/>
                <w:sz w:val="18"/>
                <w:szCs w:val="18"/>
              </w:rPr>
            </w:pPr>
            <w:r w:rsidRPr="00F8329B">
              <w:rPr>
                <w:rFonts w:ascii="Arial" w:hAnsi="Arial" w:cs="Arial"/>
                <w:sz w:val="18"/>
                <w:szCs w:val="18"/>
              </w:rPr>
              <w:t>Aim: To identify studies that report on the utility of IHC testing for dMMR.</w:t>
            </w:r>
          </w:p>
          <w:p w:rsidR="00390104" w:rsidRPr="00F8329B" w:rsidRDefault="00390104" w:rsidP="0062004A">
            <w:pPr>
              <w:rPr>
                <w:rFonts w:ascii="Arial" w:hAnsi="Arial" w:cs="Arial"/>
                <w:sz w:val="18"/>
                <w:szCs w:val="18"/>
              </w:rPr>
            </w:pPr>
            <w:r w:rsidRPr="00F8329B">
              <w:rPr>
                <w:rFonts w:ascii="Arial" w:hAnsi="Arial" w:cs="Arial"/>
                <w:sz w:val="18"/>
                <w:szCs w:val="18"/>
              </w:rPr>
              <w:t xml:space="preserve">Results: Including PMS2 and MSH6 proteins in IHC MMR testing has improved its sensitivity to 94%.  </w:t>
            </w:r>
          </w:p>
        </w:tc>
        <w:tc>
          <w:tcPr>
            <w:tcW w:w="650" w:type="pct"/>
          </w:tcPr>
          <w:p w:rsidR="00390104" w:rsidRDefault="00AF6981" w:rsidP="0062004A">
            <w:pPr>
              <w:rPr>
                <w:rFonts w:ascii="Arial" w:hAnsi="Arial" w:cs="Arial"/>
                <w:sz w:val="18"/>
                <w:szCs w:val="18"/>
              </w:rPr>
            </w:pPr>
            <w:hyperlink r:id="rId17" w:history="1">
              <w:r w:rsidR="00390104">
                <w:rPr>
                  <w:rStyle w:val="Hyperlink"/>
                  <w:rFonts w:ascii="Arial" w:hAnsi="Arial" w:cs="Arial"/>
                  <w:sz w:val="18"/>
                  <w:szCs w:val="18"/>
                </w:rPr>
                <w:t>link</w:t>
              </w:r>
            </w:hyperlink>
            <w:r w:rsidR="00390104">
              <w:rPr>
                <w:rFonts w:ascii="Arial" w:hAnsi="Arial" w:cs="Arial"/>
                <w:sz w:val="18"/>
                <w:szCs w:val="18"/>
              </w:rPr>
              <w:t xml:space="preserve"> to article</w:t>
            </w:r>
          </w:p>
          <w:p w:rsidR="00390104" w:rsidRPr="00F8329B" w:rsidRDefault="00390104" w:rsidP="0062004A">
            <w:pPr>
              <w:rPr>
                <w:rFonts w:ascii="Arial" w:hAnsi="Arial" w:cs="Arial"/>
                <w:sz w:val="18"/>
                <w:szCs w:val="18"/>
              </w:rPr>
            </w:pPr>
          </w:p>
        </w:tc>
        <w:tc>
          <w:tcPr>
            <w:tcW w:w="461" w:type="pct"/>
          </w:tcPr>
          <w:p w:rsidR="00390104" w:rsidRPr="00F8329B" w:rsidRDefault="00390104" w:rsidP="0062004A">
            <w:pPr>
              <w:rPr>
                <w:rFonts w:ascii="Arial" w:hAnsi="Arial" w:cs="Arial"/>
                <w:sz w:val="18"/>
                <w:szCs w:val="18"/>
              </w:rPr>
            </w:pPr>
            <w:r w:rsidRPr="00F8329B">
              <w:rPr>
                <w:rFonts w:ascii="Arial" w:hAnsi="Arial" w:cs="Arial"/>
                <w:sz w:val="18"/>
                <w:szCs w:val="18"/>
              </w:rPr>
              <w:t>July 2008</w:t>
            </w:r>
          </w:p>
        </w:tc>
      </w:tr>
      <w:tr w:rsidR="00390104" w:rsidTr="00F02FC8">
        <w:trPr>
          <w:cantSplit/>
        </w:trPr>
        <w:tc>
          <w:tcPr>
            <w:tcW w:w="166" w:type="pct"/>
          </w:tcPr>
          <w:p w:rsidR="00390104" w:rsidRPr="00F8329B" w:rsidRDefault="00390104" w:rsidP="0062004A">
            <w:pPr>
              <w:rPr>
                <w:rFonts w:ascii="Arial" w:hAnsi="Arial" w:cs="Arial"/>
                <w:sz w:val="18"/>
                <w:szCs w:val="18"/>
              </w:rPr>
            </w:pPr>
            <w:r w:rsidRPr="00F8329B">
              <w:rPr>
                <w:rFonts w:ascii="Arial" w:hAnsi="Arial" w:cs="Arial"/>
                <w:sz w:val="18"/>
                <w:szCs w:val="18"/>
              </w:rPr>
              <w:t>6.</w:t>
            </w:r>
          </w:p>
        </w:tc>
        <w:tc>
          <w:tcPr>
            <w:tcW w:w="391" w:type="pct"/>
          </w:tcPr>
          <w:p w:rsidR="00390104" w:rsidRPr="00F8329B" w:rsidRDefault="00390104" w:rsidP="0062004A">
            <w:pPr>
              <w:rPr>
                <w:rFonts w:ascii="Arial" w:hAnsi="Arial" w:cs="Arial"/>
                <w:sz w:val="18"/>
                <w:szCs w:val="18"/>
              </w:rPr>
            </w:pPr>
            <w:r w:rsidRPr="00F8329B">
              <w:rPr>
                <w:rFonts w:ascii="Arial" w:hAnsi="Arial" w:cs="Arial"/>
                <w:sz w:val="18"/>
                <w:szCs w:val="18"/>
              </w:rPr>
              <w:t>Pathologist Survey</w:t>
            </w:r>
          </w:p>
        </w:tc>
        <w:tc>
          <w:tcPr>
            <w:tcW w:w="1204" w:type="pct"/>
          </w:tcPr>
          <w:p w:rsidR="00390104" w:rsidRPr="00F8329B" w:rsidRDefault="00390104" w:rsidP="0062004A">
            <w:pPr>
              <w:autoSpaceDE w:val="0"/>
              <w:autoSpaceDN w:val="0"/>
              <w:adjustRightInd w:val="0"/>
              <w:rPr>
                <w:rFonts w:ascii="Arial" w:hAnsi="Arial" w:cs="Arial"/>
                <w:sz w:val="18"/>
                <w:szCs w:val="18"/>
              </w:rPr>
            </w:pPr>
            <w:r w:rsidRPr="00F8329B">
              <w:rPr>
                <w:rFonts w:ascii="Arial" w:hAnsi="Arial" w:cs="Arial"/>
                <w:sz w:val="18"/>
                <w:szCs w:val="18"/>
              </w:rPr>
              <w:t xml:space="preserve">Mascarenhas L et al. </w:t>
            </w:r>
          </w:p>
          <w:p w:rsidR="00390104" w:rsidRPr="00F8329B" w:rsidRDefault="00390104" w:rsidP="0062004A">
            <w:pPr>
              <w:autoSpaceDE w:val="0"/>
              <w:autoSpaceDN w:val="0"/>
              <w:adjustRightInd w:val="0"/>
              <w:rPr>
                <w:rFonts w:ascii="Arial" w:hAnsi="Arial" w:cs="Arial"/>
                <w:sz w:val="18"/>
                <w:szCs w:val="18"/>
              </w:rPr>
            </w:pPr>
            <w:r w:rsidRPr="00F8329B">
              <w:rPr>
                <w:rFonts w:ascii="Arial" w:hAnsi="Arial" w:cs="Arial"/>
                <w:sz w:val="18"/>
                <w:szCs w:val="18"/>
              </w:rPr>
              <w:t xml:space="preserve">A survey of the current provision of screening tumours for mismatch repair deficiency in Australia: An Inherited Cancer Connect Partnership </w:t>
            </w:r>
          </w:p>
          <w:p w:rsidR="00390104" w:rsidRPr="00F8329B" w:rsidRDefault="00390104" w:rsidP="0062004A">
            <w:pPr>
              <w:rPr>
                <w:rFonts w:ascii="Arial" w:hAnsi="Arial" w:cs="Arial"/>
                <w:sz w:val="18"/>
                <w:szCs w:val="18"/>
                <w:highlight w:val="yellow"/>
              </w:rPr>
            </w:pPr>
            <w:r w:rsidRPr="00F8329B">
              <w:rPr>
                <w:rFonts w:ascii="Arial" w:hAnsi="Arial" w:cs="Arial"/>
                <w:sz w:val="18"/>
                <w:szCs w:val="18"/>
              </w:rPr>
              <w:t>initiative. COSA 42nd Annual Scientific Meeting 2015 Nov, Hobart, Australia</w:t>
            </w:r>
          </w:p>
        </w:tc>
        <w:tc>
          <w:tcPr>
            <w:tcW w:w="2127" w:type="pct"/>
          </w:tcPr>
          <w:p w:rsidR="00390104" w:rsidRPr="00F8329B" w:rsidRDefault="00390104" w:rsidP="0062004A">
            <w:pPr>
              <w:rPr>
                <w:rFonts w:ascii="Arial" w:hAnsi="Arial" w:cs="Arial"/>
                <w:sz w:val="18"/>
                <w:szCs w:val="18"/>
              </w:rPr>
            </w:pPr>
            <w:r w:rsidRPr="00F8329B">
              <w:rPr>
                <w:rFonts w:ascii="Arial" w:hAnsi="Arial" w:cs="Arial"/>
                <w:sz w:val="18"/>
                <w:szCs w:val="18"/>
              </w:rPr>
              <w:t>Design: Heads of RCPA accredited laboratories in Australia were surveyed.</w:t>
            </w:r>
          </w:p>
          <w:p w:rsidR="00390104" w:rsidRPr="00F8329B" w:rsidRDefault="00390104" w:rsidP="0062004A">
            <w:pPr>
              <w:rPr>
                <w:rFonts w:ascii="Arial" w:hAnsi="Arial" w:cs="Arial"/>
                <w:sz w:val="18"/>
                <w:szCs w:val="18"/>
              </w:rPr>
            </w:pPr>
            <w:r w:rsidRPr="00F8329B">
              <w:rPr>
                <w:rFonts w:ascii="Arial" w:hAnsi="Arial" w:cs="Arial"/>
                <w:sz w:val="18"/>
                <w:szCs w:val="18"/>
              </w:rPr>
              <w:t>Aim: To survey the current availability of screening for CRC tumour MMRd.</w:t>
            </w:r>
          </w:p>
          <w:p w:rsidR="00390104" w:rsidRPr="00F8329B" w:rsidRDefault="00390104" w:rsidP="0062004A">
            <w:pPr>
              <w:rPr>
                <w:rFonts w:ascii="Arial" w:hAnsi="Arial" w:cs="Arial"/>
                <w:sz w:val="18"/>
                <w:szCs w:val="18"/>
              </w:rPr>
            </w:pPr>
            <w:r w:rsidRPr="00F8329B">
              <w:rPr>
                <w:rFonts w:ascii="Arial" w:hAnsi="Arial" w:cs="Arial"/>
                <w:sz w:val="18"/>
                <w:szCs w:val="18"/>
              </w:rPr>
              <w:t>Results: The response rate was 76%. 94% of laboratories conducted MMR IHC testing. 54% are routinely screening all specimens for MMR.</w:t>
            </w:r>
          </w:p>
        </w:tc>
        <w:tc>
          <w:tcPr>
            <w:tcW w:w="650" w:type="pct"/>
          </w:tcPr>
          <w:p w:rsidR="00390104" w:rsidRDefault="00AF6981" w:rsidP="0062004A">
            <w:pPr>
              <w:rPr>
                <w:rFonts w:ascii="Arial" w:hAnsi="Arial" w:cs="Arial"/>
                <w:sz w:val="18"/>
                <w:szCs w:val="18"/>
              </w:rPr>
            </w:pPr>
            <w:hyperlink r:id="rId18" w:history="1">
              <w:r w:rsidR="00390104">
                <w:rPr>
                  <w:rStyle w:val="Hyperlink"/>
                  <w:rFonts w:ascii="Arial" w:hAnsi="Arial" w:cs="Arial"/>
                  <w:sz w:val="18"/>
                  <w:szCs w:val="18"/>
                </w:rPr>
                <w:t>link</w:t>
              </w:r>
            </w:hyperlink>
            <w:r w:rsidR="00390104">
              <w:rPr>
                <w:rFonts w:ascii="Arial" w:hAnsi="Arial" w:cs="Arial"/>
                <w:sz w:val="18"/>
                <w:szCs w:val="18"/>
              </w:rPr>
              <w:t xml:space="preserve"> to article</w:t>
            </w:r>
          </w:p>
          <w:p w:rsidR="00390104" w:rsidRPr="00F8329B" w:rsidRDefault="00390104" w:rsidP="0062004A">
            <w:pPr>
              <w:rPr>
                <w:rFonts w:ascii="Arial" w:hAnsi="Arial" w:cs="Arial"/>
                <w:sz w:val="18"/>
                <w:szCs w:val="18"/>
              </w:rPr>
            </w:pPr>
          </w:p>
        </w:tc>
        <w:tc>
          <w:tcPr>
            <w:tcW w:w="461" w:type="pct"/>
          </w:tcPr>
          <w:p w:rsidR="00390104" w:rsidRPr="00F8329B" w:rsidRDefault="00390104" w:rsidP="0062004A">
            <w:pPr>
              <w:rPr>
                <w:rFonts w:ascii="Arial" w:hAnsi="Arial" w:cs="Arial"/>
                <w:sz w:val="18"/>
                <w:szCs w:val="18"/>
              </w:rPr>
            </w:pPr>
            <w:r w:rsidRPr="00F8329B">
              <w:rPr>
                <w:rFonts w:ascii="Arial" w:hAnsi="Arial" w:cs="Arial"/>
                <w:sz w:val="18"/>
                <w:szCs w:val="18"/>
              </w:rPr>
              <w:t>Nov 2015</w:t>
            </w:r>
          </w:p>
        </w:tc>
      </w:tr>
    </w:tbl>
    <w:p w:rsidR="00DD308E" w:rsidRDefault="00DD308E" w:rsidP="00F02FC8">
      <w:pPr>
        <w:spacing w:before="0" w:after="0"/>
        <w:ind w:left="425"/>
        <w:rPr>
          <w:i/>
          <w:szCs w:val="20"/>
        </w:rPr>
      </w:pPr>
      <w:r>
        <w:rPr>
          <w:i/>
          <w:szCs w:val="20"/>
        </w:rPr>
        <w:t xml:space="preserve">* Categorise study design, for example meta-analysis, randomised trials, non-randomised trial or observational study, study of diagnostic accuracy, etc. </w:t>
      </w:r>
    </w:p>
    <w:p w:rsidR="00DD308E" w:rsidRDefault="00DD308E" w:rsidP="00F02FC8">
      <w:pPr>
        <w:spacing w:before="0" w:after="0"/>
        <w:ind w:left="425"/>
        <w:rPr>
          <w:i/>
          <w:szCs w:val="20"/>
        </w:rPr>
      </w:pPr>
      <w:r>
        <w:rPr>
          <w:i/>
          <w:szCs w:val="20"/>
        </w:rPr>
        <w:t>**Provide high level information including population numbers and whether patients are being recruited or in post-recruitment, including providing the trial registration number to allow for tracking purposes.</w:t>
      </w:r>
    </w:p>
    <w:p w:rsidR="00DD308E" w:rsidRDefault="00DD308E" w:rsidP="00F02FC8">
      <w:pPr>
        <w:spacing w:before="0" w:after="0"/>
        <w:ind w:left="425"/>
        <w:rPr>
          <w:i/>
          <w:szCs w:val="20"/>
        </w:rPr>
      </w:pPr>
      <w:r w:rsidRPr="00E82F54">
        <w:rPr>
          <w:i/>
          <w:szCs w:val="20"/>
        </w:rPr>
        <w:t>*</w:t>
      </w:r>
      <w:r>
        <w:rPr>
          <w:szCs w:val="20"/>
        </w:rPr>
        <w:t>**</w:t>
      </w:r>
      <w:r>
        <w:rPr>
          <w:i/>
          <w:szCs w:val="20"/>
        </w:rPr>
        <w:t xml:space="preserve"> If the publication is a follow-up to an initial publication, please advise.</w:t>
      </w:r>
    </w:p>
    <w:p w:rsidR="00DD308E" w:rsidRDefault="00DD308E" w:rsidP="00B032C7">
      <w:pPr>
        <w:spacing w:before="0"/>
        <w:rPr>
          <w:i/>
          <w:szCs w:val="20"/>
        </w:rPr>
      </w:pPr>
      <w:r>
        <w:rPr>
          <w:i/>
          <w:szCs w:val="20"/>
        </w:rPr>
        <w:br w:type="page"/>
      </w:r>
    </w:p>
    <w:p w:rsidR="00DD308E" w:rsidRDefault="00DD308E" w:rsidP="00B032C7">
      <w:pPr>
        <w:spacing w:before="0"/>
        <w:rPr>
          <w:b/>
          <w:sz w:val="32"/>
          <w:szCs w:val="32"/>
        </w:rPr>
        <w:sectPr w:rsidR="00DD308E" w:rsidSect="00DD308E">
          <w:pgSz w:w="16838" w:h="11906" w:orient="landscape"/>
          <w:pgMar w:top="1440" w:right="1440" w:bottom="1440" w:left="1440" w:header="708" w:footer="708" w:gutter="0"/>
          <w:cols w:space="708"/>
          <w:docGrid w:linePitch="360"/>
        </w:sectPr>
      </w:pPr>
    </w:p>
    <w:p w:rsidR="004C49EF" w:rsidRDefault="004C49EF" w:rsidP="00B032C7">
      <w:pPr>
        <w:pStyle w:val="Heading2"/>
        <w:spacing w:before="0"/>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5000" w:type="pct"/>
        <w:tblLayout w:type="fixed"/>
        <w:tblLook w:val="04A0" w:firstRow="1" w:lastRow="0" w:firstColumn="1" w:lastColumn="0" w:noHBand="0" w:noVBand="1"/>
        <w:tblCaption w:val="Summary of Evidence - Yet to be Published"/>
      </w:tblPr>
      <w:tblGrid>
        <w:gridCol w:w="391"/>
        <w:gridCol w:w="1559"/>
        <w:gridCol w:w="2126"/>
        <w:gridCol w:w="6948"/>
        <w:gridCol w:w="1854"/>
        <w:gridCol w:w="1296"/>
      </w:tblGrid>
      <w:tr w:rsidR="004C49EF" w:rsidTr="00F02FC8">
        <w:trPr>
          <w:cantSplit/>
          <w:tblHeader/>
        </w:trPr>
        <w:tc>
          <w:tcPr>
            <w:tcW w:w="138" w:type="pct"/>
          </w:tcPr>
          <w:p w:rsidR="004C49EF" w:rsidRDefault="004C49EF" w:rsidP="00B032C7">
            <w:pPr>
              <w:pStyle w:val="TableHEADER"/>
              <w:spacing w:before="0"/>
            </w:pPr>
          </w:p>
        </w:tc>
        <w:tc>
          <w:tcPr>
            <w:tcW w:w="550" w:type="pct"/>
          </w:tcPr>
          <w:p w:rsidR="004C49EF" w:rsidRDefault="004C49EF" w:rsidP="00B032C7">
            <w:pPr>
              <w:pStyle w:val="TableHEADER"/>
              <w:spacing w:before="0"/>
            </w:pPr>
            <w:r>
              <w:t>Type of study design*</w:t>
            </w:r>
          </w:p>
        </w:tc>
        <w:tc>
          <w:tcPr>
            <w:tcW w:w="750" w:type="pct"/>
          </w:tcPr>
          <w:p w:rsidR="004C49EF" w:rsidRDefault="004C49EF" w:rsidP="00B032C7">
            <w:pPr>
              <w:pStyle w:val="TableHEADER"/>
              <w:spacing w:before="0"/>
            </w:pPr>
            <w:r>
              <w:t>Title of research (including any trial identifier if relevant)</w:t>
            </w:r>
          </w:p>
        </w:tc>
        <w:tc>
          <w:tcPr>
            <w:tcW w:w="2451" w:type="pct"/>
          </w:tcPr>
          <w:p w:rsidR="004C49EF" w:rsidRDefault="00367C1B" w:rsidP="00B032C7">
            <w:pPr>
              <w:pStyle w:val="TableHEADER"/>
              <w:spacing w:before="0"/>
            </w:pPr>
            <w:r>
              <w:t xml:space="preserve">Short description of research </w:t>
            </w:r>
            <w:r w:rsidR="004C49EF">
              <w:t>(max 50 words)**</w:t>
            </w:r>
          </w:p>
        </w:tc>
        <w:tc>
          <w:tcPr>
            <w:tcW w:w="654" w:type="pct"/>
          </w:tcPr>
          <w:p w:rsidR="004C49EF" w:rsidRDefault="004C49EF" w:rsidP="00B032C7">
            <w:pPr>
              <w:pStyle w:val="TableHEADER"/>
              <w:spacing w:before="0"/>
            </w:pPr>
            <w:r w:rsidRPr="00E82F54">
              <w:t xml:space="preserve">Website link to </w:t>
            </w:r>
            <w:r>
              <w:t>research (if available)</w:t>
            </w:r>
          </w:p>
        </w:tc>
        <w:tc>
          <w:tcPr>
            <w:tcW w:w="457" w:type="pct"/>
          </w:tcPr>
          <w:p w:rsidR="004C49EF" w:rsidRDefault="004C49EF" w:rsidP="00B032C7">
            <w:pPr>
              <w:pStyle w:val="TableHEADER"/>
              <w:spacing w:before="0"/>
            </w:pPr>
            <w:r w:rsidRPr="00E82F54">
              <w:t>Date*</w:t>
            </w:r>
            <w:r>
              <w:t>**</w:t>
            </w:r>
          </w:p>
        </w:tc>
      </w:tr>
      <w:tr w:rsidR="00F02FC8" w:rsidTr="00F02FC8">
        <w:trPr>
          <w:cantSplit/>
        </w:trPr>
        <w:tc>
          <w:tcPr>
            <w:tcW w:w="138" w:type="pct"/>
          </w:tcPr>
          <w:p w:rsidR="00F02FC8" w:rsidRPr="00F8329B" w:rsidRDefault="00F02FC8" w:rsidP="0062004A">
            <w:pPr>
              <w:rPr>
                <w:rFonts w:ascii="Arial" w:hAnsi="Arial" w:cs="Arial"/>
                <w:sz w:val="18"/>
                <w:szCs w:val="18"/>
              </w:rPr>
            </w:pPr>
            <w:r w:rsidRPr="00F8329B">
              <w:rPr>
                <w:rFonts w:ascii="Arial" w:hAnsi="Arial" w:cs="Arial"/>
                <w:sz w:val="18"/>
                <w:szCs w:val="18"/>
              </w:rPr>
              <w:t>1.</w:t>
            </w:r>
          </w:p>
        </w:tc>
        <w:tc>
          <w:tcPr>
            <w:tcW w:w="550" w:type="pct"/>
          </w:tcPr>
          <w:p w:rsidR="00F02FC8" w:rsidRPr="00F8329B" w:rsidRDefault="00F02FC8" w:rsidP="0062004A">
            <w:pPr>
              <w:rPr>
                <w:rFonts w:ascii="Arial" w:hAnsi="Arial" w:cs="Arial"/>
                <w:sz w:val="18"/>
                <w:szCs w:val="18"/>
              </w:rPr>
            </w:pPr>
            <w:r w:rsidRPr="00F8329B">
              <w:rPr>
                <w:rFonts w:ascii="Arial" w:hAnsi="Arial" w:cs="Arial"/>
                <w:sz w:val="18"/>
                <w:szCs w:val="18"/>
              </w:rPr>
              <w:t>RCT (Phase III)</w:t>
            </w:r>
          </w:p>
        </w:tc>
        <w:tc>
          <w:tcPr>
            <w:tcW w:w="750" w:type="pct"/>
          </w:tcPr>
          <w:p w:rsidR="00F02FC8" w:rsidRPr="00F8329B" w:rsidRDefault="00F02FC8" w:rsidP="0062004A">
            <w:pPr>
              <w:rPr>
                <w:rFonts w:ascii="Arial" w:hAnsi="Arial" w:cs="Arial"/>
                <w:sz w:val="18"/>
                <w:szCs w:val="18"/>
              </w:rPr>
            </w:pPr>
            <w:r w:rsidRPr="00F8329B">
              <w:rPr>
                <w:rFonts w:ascii="Arial" w:hAnsi="Arial" w:cs="Arial"/>
                <w:sz w:val="18"/>
                <w:szCs w:val="18"/>
              </w:rPr>
              <w:t>KEYNOTE-177</w:t>
            </w:r>
          </w:p>
          <w:p w:rsidR="00F02FC8" w:rsidRPr="00F8329B" w:rsidRDefault="00F02FC8" w:rsidP="0062004A">
            <w:pPr>
              <w:rPr>
                <w:rFonts w:ascii="Arial" w:hAnsi="Arial" w:cs="Arial"/>
                <w:sz w:val="18"/>
                <w:szCs w:val="18"/>
              </w:rPr>
            </w:pPr>
            <w:r w:rsidRPr="00F8329B">
              <w:rPr>
                <w:rFonts w:ascii="Arial" w:hAnsi="Arial" w:cs="Arial"/>
                <w:sz w:val="18"/>
                <w:szCs w:val="18"/>
              </w:rPr>
              <w:t>(NCT02563002)</w:t>
            </w:r>
          </w:p>
        </w:tc>
        <w:tc>
          <w:tcPr>
            <w:tcW w:w="2451" w:type="pct"/>
          </w:tcPr>
          <w:p w:rsidR="00F02FC8" w:rsidRPr="00F8329B" w:rsidRDefault="00F02FC8" w:rsidP="0062004A">
            <w:pPr>
              <w:autoSpaceDE w:val="0"/>
              <w:autoSpaceDN w:val="0"/>
              <w:adjustRightInd w:val="0"/>
              <w:rPr>
                <w:rFonts w:ascii="Arial" w:hAnsi="Arial" w:cs="Arial"/>
                <w:sz w:val="18"/>
                <w:szCs w:val="18"/>
              </w:rPr>
            </w:pPr>
            <w:r w:rsidRPr="00F8329B">
              <w:rPr>
                <w:rFonts w:ascii="Arial" w:hAnsi="Arial" w:cs="Arial"/>
                <w:sz w:val="18"/>
                <w:szCs w:val="18"/>
              </w:rPr>
              <w:t>Design: Phase III, multi-center, international, randomized, open label, controlled trial of in subjects who have stage IV MSI-H or dMMR CRC</w:t>
            </w:r>
          </w:p>
          <w:p w:rsidR="00F02FC8" w:rsidRPr="00F8329B" w:rsidRDefault="00F02FC8" w:rsidP="0062004A">
            <w:pPr>
              <w:autoSpaceDE w:val="0"/>
              <w:autoSpaceDN w:val="0"/>
              <w:adjustRightInd w:val="0"/>
              <w:rPr>
                <w:rFonts w:ascii="Arial" w:hAnsi="Arial" w:cs="Arial"/>
                <w:sz w:val="18"/>
                <w:szCs w:val="18"/>
              </w:rPr>
            </w:pPr>
            <w:r w:rsidRPr="00F8329B">
              <w:rPr>
                <w:rFonts w:ascii="Arial" w:hAnsi="Arial" w:cs="Arial"/>
                <w:sz w:val="18"/>
                <w:szCs w:val="18"/>
              </w:rPr>
              <w:t>Intervention: Pembrolizumab (MK-3475) monotherapy versus standard chemotherapy. MSI testing will be undertaken by IHC or PCR</w:t>
            </w:r>
          </w:p>
          <w:p w:rsidR="00F02FC8" w:rsidRPr="00F8329B" w:rsidRDefault="00F02FC8" w:rsidP="0062004A">
            <w:pPr>
              <w:rPr>
                <w:rFonts w:ascii="Arial" w:hAnsi="Arial" w:cs="Arial"/>
                <w:sz w:val="18"/>
                <w:szCs w:val="18"/>
              </w:rPr>
            </w:pPr>
            <w:r w:rsidRPr="00F8329B">
              <w:rPr>
                <w:rFonts w:ascii="Arial" w:hAnsi="Arial" w:cs="Arial"/>
                <w:sz w:val="18"/>
                <w:szCs w:val="18"/>
              </w:rPr>
              <w:t>Population: Estimated enrolment of 270 CRC MSI-H or dMMR patients</w:t>
            </w:r>
          </w:p>
        </w:tc>
        <w:tc>
          <w:tcPr>
            <w:tcW w:w="654" w:type="pct"/>
          </w:tcPr>
          <w:p w:rsidR="00F02FC8" w:rsidRDefault="00AF6981" w:rsidP="0062004A">
            <w:pPr>
              <w:rPr>
                <w:rFonts w:ascii="Arial" w:hAnsi="Arial" w:cs="Arial"/>
                <w:sz w:val="18"/>
                <w:szCs w:val="18"/>
              </w:rPr>
            </w:pPr>
            <w:hyperlink r:id="rId19" w:history="1">
              <w:r w:rsidR="00F02FC8">
                <w:rPr>
                  <w:rStyle w:val="Hyperlink"/>
                  <w:rFonts w:ascii="Arial" w:hAnsi="Arial" w:cs="Arial"/>
                  <w:sz w:val="18"/>
                  <w:szCs w:val="18"/>
                </w:rPr>
                <w:t>link</w:t>
              </w:r>
            </w:hyperlink>
            <w:r w:rsidR="00F02FC8">
              <w:rPr>
                <w:rFonts w:ascii="Arial" w:hAnsi="Arial" w:cs="Arial"/>
                <w:sz w:val="18"/>
                <w:szCs w:val="18"/>
              </w:rPr>
              <w:t xml:space="preserve"> to article</w:t>
            </w:r>
          </w:p>
          <w:p w:rsidR="00F02FC8" w:rsidRPr="00F8329B" w:rsidRDefault="00F02FC8" w:rsidP="0062004A">
            <w:pPr>
              <w:rPr>
                <w:rFonts w:ascii="Arial" w:hAnsi="Arial" w:cs="Arial"/>
                <w:sz w:val="18"/>
                <w:szCs w:val="18"/>
              </w:rPr>
            </w:pPr>
          </w:p>
        </w:tc>
        <w:tc>
          <w:tcPr>
            <w:tcW w:w="457" w:type="pct"/>
          </w:tcPr>
          <w:p w:rsidR="00F02FC8" w:rsidRPr="00F8329B" w:rsidRDefault="00F02FC8" w:rsidP="0062004A">
            <w:pPr>
              <w:rPr>
                <w:rFonts w:ascii="Arial" w:hAnsi="Arial" w:cs="Arial"/>
                <w:sz w:val="18"/>
                <w:szCs w:val="18"/>
              </w:rPr>
            </w:pPr>
            <w:r w:rsidRPr="00F8329B">
              <w:rPr>
                <w:rFonts w:ascii="Arial" w:hAnsi="Arial" w:cs="Arial"/>
                <w:sz w:val="18"/>
                <w:szCs w:val="18"/>
              </w:rPr>
              <w:t>End of 2018</w:t>
            </w:r>
          </w:p>
        </w:tc>
      </w:tr>
      <w:tr w:rsidR="00F02FC8" w:rsidTr="00F02FC8">
        <w:trPr>
          <w:cantSplit/>
        </w:trPr>
        <w:tc>
          <w:tcPr>
            <w:tcW w:w="138" w:type="pct"/>
          </w:tcPr>
          <w:p w:rsidR="00F02FC8" w:rsidRPr="00F8329B" w:rsidRDefault="00F02FC8" w:rsidP="0062004A">
            <w:pPr>
              <w:rPr>
                <w:rFonts w:ascii="Arial" w:hAnsi="Arial" w:cs="Arial"/>
                <w:sz w:val="18"/>
                <w:szCs w:val="18"/>
              </w:rPr>
            </w:pPr>
            <w:r w:rsidRPr="00F8329B">
              <w:rPr>
                <w:rFonts w:ascii="Arial" w:hAnsi="Arial" w:cs="Arial"/>
                <w:sz w:val="18"/>
                <w:szCs w:val="18"/>
              </w:rPr>
              <w:t>2.</w:t>
            </w:r>
          </w:p>
        </w:tc>
        <w:tc>
          <w:tcPr>
            <w:tcW w:w="550" w:type="pct"/>
          </w:tcPr>
          <w:p w:rsidR="00F02FC8" w:rsidRPr="00F8329B" w:rsidRDefault="00F02FC8" w:rsidP="0062004A">
            <w:pPr>
              <w:rPr>
                <w:rFonts w:ascii="Arial" w:hAnsi="Arial" w:cs="Arial"/>
                <w:sz w:val="18"/>
                <w:szCs w:val="18"/>
              </w:rPr>
            </w:pPr>
            <w:r w:rsidRPr="00F8329B">
              <w:rPr>
                <w:rFonts w:ascii="Arial" w:hAnsi="Arial" w:cs="Arial"/>
                <w:sz w:val="18"/>
                <w:szCs w:val="18"/>
              </w:rPr>
              <w:t>Single-arm (Phase II)</w:t>
            </w:r>
          </w:p>
        </w:tc>
        <w:tc>
          <w:tcPr>
            <w:tcW w:w="750" w:type="pct"/>
          </w:tcPr>
          <w:p w:rsidR="00F02FC8" w:rsidRPr="00F8329B" w:rsidRDefault="00F02FC8" w:rsidP="0062004A">
            <w:pPr>
              <w:rPr>
                <w:rFonts w:ascii="Arial" w:hAnsi="Arial" w:cs="Arial"/>
                <w:sz w:val="18"/>
                <w:szCs w:val="18"/>
              </w:rPr>
            </w:pPr>
            <w:r w:rsidRPr="00F8329B">
              <w:rPr>
                <w:rFonts w:ascii="Arial" w:hAnsi="Arial" w:cs="Arial"/>
                <w:sz w:val="18"/>
                <w:szCs w:val="18"/>
              </w:rPr>
              <w:t>KEYNOTE-164</w:t>
            </w:r>
          </w:p>
          <w:p w:rsidR="00F02FC8" w:rsidRPr="00F8329B" w:rsidRDefault="00F02FC8" w:rsidP="0062004A">
            <w:pPr>
              <w:rPr>
                <w:rFonts w:ascii="Arial" w:hAnsi="Arial" w:cs="Arial"/>
                <w:sz w:val="18"/>
                <w:szCs w:val="18"/>
              </w:rPr>
            </w:pPr>
            <w:r w:rsidRPr="00F8329B">
              <w:rPr>
                <w:rFonts w:ascii="Arial" w:hAnsi="Arial" w:cs="Arial"/>
                <w:sz w:val="18"/>
                <w:szCs w:val="18"/>
              </w:rPr>
              <w:t>(NCT02460198)</w:t>
            </w:r>
          </w:p>
        </w:tc>
        <w:tc>
          <w:tcPr>
            <w:tcW w:w="2451" w:type="pct"/>
          </w:tcPr>
          <w:p w:rsidR="00F02FC8" w:rsidRPr="00F8329B" w:rsidRDefault="00F02FC8" w:rsidP="0062004A">
            <w:pPr>
              <w:rPr>
                <w:rFonts w:ascii="Arial" w:hAnsi="Arial" w:cs="Arial"/>
                <w:sz w:val="18"/>
                <w:szCs w:val="18"/>
              </w:rPr>
            </w:pPr>
            <w:r w:rsidRPr="00F8329B">
              <w:rPr>
                <w:rFonts w:ascii="Arial" w:hAnsi="Arial" w:cs="Arial"/>
                <w:sz w:val="18"/>
                <w:szCs w:val="18"/>
              </w:rPr>
              <w:t>Design: Multi-center, open label, two-stage, phase 2 study of three cohorts (MSI positive CRC, MSI negative CRC, MSI positive solid non-CRCs</w:t>
            </w:r>
          </w:p>
          <w:p w:rsidR="00F02FC8" w:rsidRPr="00F8329B" w:rsidRDefault="00F02FC8" w:rsidP="0062004A">
            <w:pPr>
              <w:rPr>
                <w:rFonts w:ascii="Arial" w:hAnsi="Arial" w:cs="Arial"/>
                <w:sz w:val="18"/>
                <w:szCs w:val="18"/>
              </w:rPr>
            </w:pPr>
            <w:r w:rsidRPr="00F8329B">
              <w:rPr>
                <w:rFonts w:ascii="Arial" w:hAnsi="Arial" w:cs="Arial"/>
                <w:sz w:val="18"/>
                <w:szCs w:val="18"/>
              </w:rPr>
              <w:t>Intervention: Pembrolizumab 10mg/kg every 2 weeks</w:t>
            </w:r>
          </w:p>
          <w:p w:rsidR="00F02FC8" w:rsidRPr="00F8329B" w:rsidRDefault="00F02FC8" w:rsidP="0062004A">
            <w:pPr>
              <w:rPr>
                <w:rFonts w:ascii="Arial" w:hAnsi="Arial" w:cs="Arial"/>
                <w:sz w:val="18"/>
                <w:szCs w:val="18"/>
              </w:rPr>
            </w:pPr>
            <w:r w:rsidRPr="00F8329B">
              <w:rPr>
                <w:rFonts w:ascii="Arial" w:hAnsi="Arial" w:cs="Arial"/>
                <w:sz w:val="18"/>
                <w:szCs w:val="18"/>
              </w:rPr>
              <w:t>Population: Estimated enrolment of 25 CRC (MSI positive and negative)</w:t>
            </w:r>
            <w:r>
              <w:rPr>
                <w:rFonts w:ascii="Arial" w:hAnsi="Arial" w:cs="Arial"/>
                <w:sz w:val="18"/>
                <w:szCs w:val="18"/>
              </w:rPr>
              <w:t xml:space="preserve"> patients is planned.</w:t>
            </w:r>
          </w:p>
        </w:tc>
        <w:tc>
          <w:tcPr>
            <w:tcW w:w="654" w:type="pct"/>
          </w:tcPr>
          <w:p w:rsidR="00F02FC8" w:rsidRDefault="00AF6981" w:rsidP="0062004A">
            <w:pPr>
              <w:rPr>
                <w:rFonts w:ascii="Arial" w:hAnsi="Arial" w:cs="Arial"/>
                <w:sz w:val="18"/>
                <w:szCs w:val="18"/>
              </w:rPr>
            </w:pPr>
            <w:hyperlink r:id="rId20" w:history="1">
              <w:r w:rsidR="00F02FC8">
                <w:rPr>
                  <w:rStyle w:val="Hyperlink"/>
                  <w:rFonts w:ascii="Arial" w:hAnsi="Arial" w:cs="Arial"/>
                  <w:sz w:val="18"/>
                  <w:szCs w:val="18"/>
                </w:rPr>
                <w:t>link</w:t>
              </w:r>
            </w:hyperlink>
            <w:r w:rsidR="00F02FC8">
              <w:rPr>
                <w:rFonts w:ascii="Arial" w:hAnsi="Arial" w:cs="Arial"/>
                <w:sz w:val="18"/>
                <w:szCs w:val="18"/>
              </w:rPr>
              <w:t xml:space="preserve"> to article</w:t>
            </w:r>
          </w:p>
          <w:p w:rsidR="00F02FC8" w:rsidRPr="00F8329B" w:rsidRDefault="00F02FC8" w:rsidP="0062004A">
            <w:pPr>
              <w:rPr>
                <w:rFonts w:ascii="Arial" w:hAnsi="Arial" w:cs="Arial"/>
                <w:sz w:val="18"/>
                <w:szCs w:val="18"/>
              </w:rPr>
            </w:pPr>
          </w:p>
        </w:tc>
        <w:tc>
          <w:tcPr>
            <w:tcW w:w="457" w:type="pct"/>
          </w:tcPr>
          <w:p w:rsidR="00F02FC8" w:rsidRPr="00F8329B" w:rsidRDefault="00F02FC8" w:rsidP="0062004A">
            <w:pPr>
              <w:rPr>
                <w:rFonts w:ascii="Arial" w:hAnsi="Arial" w:cs="Arial"/>
                <w:sz w:val="18"/>
                <w:szCs w:val="18"/>
              </w:rPr>
            </w:pPr>
            <w:r w:rsidRPr="00F8329B">
              <w:rPr>
                <w:rFonts w:ascii="Arial" w:hAnsi="Arial" w:cs="Arial"/>
                <w:sz w:val="18"/>
                <w:szCs w:val="18"/>
              </w:rPr>
              <w:t>End of 2017</w:t>
            </w:r>
          </w:p>
        </w:tc>
      </w:tr>
      <w:tr w:rsidR="00F02FC8" w:rsidTr="00F02FC8">
        <w:trPr>
          <w:cantSplit/>
        </w:trPr>
        <w:tc>
          <w:tcPr>
            <w:tcW w:w="138" w:type="pct"/>
          </w:tcPr>
          <w:p w:rsidR="00F02FC8" w:rsidRPr="00F8329B" w:rsidRDefault="00F02FC8" w:rsidP="0062004A">
            <w:pPr>
              <w:rPr>
                <w:rFonts w:ascii="Arial" w:hAnsi="Arial" w:cs="Arial"/>
                <w:sz w:val="18"/>
                <w:szCs w:val="18"/>
              </w:rPr>
            </w:pPr>
            <w:r w:rsidRPr="00F8329B">
              <w:rPr>
                <w:rFonts w:ascii="Arial" w:hAnsi="Arial" w:cs="Arial"/>
                <w:sz w:val="18"/>
                <w:szCs w:val="18"/>
              </w:rPr>
              <w:t>3.</w:t>
            </w:r>
          </w:p>
        </w:tc>
        <w:tc>
          <w:tcPr>
            <w:tcW w:w="550" w:type="pct"/>
          </w:tcPr>
          <w:p w:rsidR="00F02FC8" w:rsidRPr="00F8329B" w:rsidRDefault="00F02FC8" w:rsidP="0062004A">
            <w:pPr>
              <w:rPr>
                <w:rFonts w:ascii="Arial" w:hAnsi="Arial" w:cs="Arial"/>
                <w:sz w:val="18"/>
                <w:szCs w:val="18"/>
              </w:rPr>
            </w:pPr>
            <w:r w:rsidRPr="00F8329B">
              <w:rPr>
                <w:rFonts w:ascii="Arial" w:hAnsi="Arial" w:cs="Arial"/>
                <w:sz w:val="18"/>
                <w:szCs w:val="18"/>
              </w:rPr>
              <w:t xml:space="preserve">Non-comparative trial </w:t>
            </w:r>
          </w:p>
          <w:p w:rsidR="00F02FC8" w:rsidRPr="00F8329B" w:rsidRDefault="00F02FC8" w:rsidP="0062004A">
            <w:pPr>
              <w:rPr>
                <w:rFonts w:ascii="Arial" w:hAnsi="Arial" w:cs="Arial"/>
                <w:sz w:val="18"/>
                <w:szCs w:val="18"/>
              </w:rPr>
            </w:pPr>
            <w:r w:rsidRPr="00F8329B">
              <w:rPr>
                <w:rFonts w:ascii="Arial" w:hAnsi="Arial" w:cs="Arial"/>
                <w:sz w:val="18"/>
                <w:szCs w:val="18"/>
              </w:rPr>
              <w:t>(Phase II)</w:t>
            </w:r>
          </w:p>
        </w:tc>
        <w:tc>
          <w:tcPr>
            <w:tcW w:w="750" w:type="pct"/>
          </w:tcPr>
          <w:p w:rsidR="00F02FC8" w:rsidRPr="00F8329B" w:rsidRDefault="00F02FC8" w:rsidP="0062004A">
            <w:pPr>
              <w:pStyle w:val="Heading1"/>
              <w:pBdr>
                <w:bottom w:val="single" w:sz="6" w:space="9" w:color="DADADA"/>
              </w:pBdr>
              <w:shd w:val="clear" w:color="auto" w:fill="FFFFFF"/>
              <w:spacing w:after="120"/>
              <w:outlineLvl w:val="0"/>
              <w:rPr>
                <w:rFonts w:ascii="Arial" w:hAnsi="Arial" w:cs="Arial"/>
                <w:sz w:val="18"/>
                <w:szCs w:val="18"/>
                <w:highlight w:val="yellow"/>
              </w:rPr>
            </w:pPr>
            <w:r w:rsidRPr="00F8329B">
              <w:rPr>
                <w:rFonts w:ascii="Arial" w:hAnsi="Arial" w:cs="Arial"/>
                <w:color w:val="auto"/>
                <w:sz w:val="18"/>
                <w:szCs w:val="18"/>
              </w:rPr>
              <w:t>A Study of Nivolumab and Nivolumab Plus Ipilimumab in Recurrent and Metastatic Colon Cancer (CheckMate 142)</w:t>
            </w:r>
            <w:r w:rsidRPr="00F8329B">
              <w:rPr>
                <w:rFonts w:ascii="Arial" w:hAnsi="Arial" w:cs="Arial"/>
                <w:sz w:val="18"/>
                <w:szCs w:val="18"/>
                <w:highlight w:val="yellow"/>
              </w:rPr>
              <w:t xml:space="preserve"> </w:t>
            </w:r>
          </w:p>
          <w:p w:rsidR="00F02FC8" w:rsidRPr="00F8329B" w:rsidRDefault="00F02FC8" w:rsidP="0062004A">
            <w:pPr>
              <w:rPr>
                <w:highlight w:val="yellow"/>
              </w:rPr>
            </w:pPr>
            <w:r w:rsidRPr="00F8329B">
              <w:rPr>
                <w:rFonts w:ascii="Arial" w:hAnsi="Arial" w:cs="Arial"/>
                <w:sz w:val="18"/>
                <w:szCs w:val="18"/>
              </w:rPr>
              <w:t>(NCT02060188)</w:t>
            </w:r>
          </w:p>
        </w:tc>
        <w:tc>
          <w:tcPr>
            <w:tcW w:w="2451" w:type="pct"/>
          </w:tcPr>
          <w:p w:rsidR="00F02FC8" w:rsidRPr="00F8329B" w:rsidRDefault="00F02FC8" w:rsidP="0062004A">
            <w:pPr>
              <w:rPr>
                <w:rFonts w:ascii="Arial" w:hAnsi="Arial" w:cs="Arial"/>
                <w:sz w:val="18"/>
                <w:szCs w:val="18"/>
              </w:rPr>
            </w:pPr>
            <w:r w:rsidRPr="00F8329B">
              <w:rPr>
                <w:rFonts w:ascii="Arial" w:hAnsi="Arial" w:cs="Arial"/>
                <w:sz w:val="18"/>
                <w:szCs w:val="18"/>
              </w:rPr>
              <w:t>Design: International Phase 2, open-label, non-comparative trial in recurrent or metastatic CRC, including patients with and without MSI-H. The MSI-H part of the trial is non-randomized.</w:t>
            </w:r>
          </w:p>
          <w:p w:rsidR="00F02FC8" w:rsidRPr="00F8329B" w:rsidRDefault="00F02FC8" w:rsidP="0062004A">
            <w:pPr>
              <w:rPr>
                <w:rFonts w:ascii="Arial" w:hAnsi="Arial" w:cs="Arial"/>
                <w:sz w:val="18"/>
                <w:szCs w:val="18"/>
              </w:rPr>
            </w:pPr>
            <w:r w:rsidRPr="00F8329B">
              <w:rPr>
                <w:rFonts w:ascii="Arial" w:hAnsi="Arial" w:cs="Arial"/>
                <w:sz w:val="18"/>
                <w:szCs w:val="18"/>
              </w:rPr>
              <w:t xml:space="preserve">Intervention: Nivolumab as a single-agent or in combination with Ipilimumab.  </w:t>
            </w:r>
          </w:p>
          <w:p w:rsidR="00F02FC8" w:rsidRPr="00F8329B" w:rsidRDefault="00F02FC8" w:rsidP="0062004A">
            <w:pPr>
              <w:rPr>
                <w:rFonts w:ascii="Arial" w:hAnsi="Arial" w:cs="Arial"/>
                <w:sz w:val="18"/>
                <w:szCs w:val="18"/>
              </w:rPr>
            </w:pPr>
            <w:r w:rsidRPr="00F8329B">
              <w:rPr>
                <w:rFonts w:ascii="Arial" w:hAnsi="Arial" w:cs="Arial"/>
                <w:sz w:val="18"/>
                <w:szCs w:val="18"/>
              </w:rPr>
              <w:t>Population: Estimated enrolment of 96 CRC patients (MSI-H and MSS).</w:t>
            </w:r>
          </w:p>
        </w:tc>
        <w:tc>
          <w:tcPr>
            <w:tcW w:w="654" w:type="pct"/>
          </w:tcPr>
          <w:p w:rsidR="00F02FC8" w:rsidRDefault="00AF6981" w:rsidP="0062004A">
            <w:pPr>
              <w:rPr>
                <w:rFonts w:ascii="Arial" w:hAnsi="Arial" w:cs="Arial"/>
                <w:sz w:val="18"/>
                <w:szCs w:val="18"/>
              </w:rPr>
            </w:pPr>
            <w:hyperlink r:id="rId21" w:history="1">
              <w:r w:rsidR="00F02FC8">
                <w:rPr>
                  <w:rStyle w:val="Hyperlink"/>
                  <w:rFonts w:ascii="Arial" w:hAnsi="Arial" w:cs="Arial"/>
                  <w:sz w:val="18"/>
                  <w:szCs w:val="18"/>
                </w:rPr>
                <w:t>link</w:t>
              </w:r>
            </w:hyperlink>
            <w:r w:rsidR="00F02FC8">
              <w:rPr>
                <w:rFonts w:ascii="Arial" w:hAnsi="Arial" w:cs="Arial"/>
                <w:sz w:val="18"/>
                <w:szCs w:val="18"/>
              </w:rPr>
              <w:t xml:space="preserve"> to article</w:t>
            </w:r>
          </w:p>
          <w:p w:rsidR="00F02FC8" w:rsidRPr="00F8329B" w:rsidRDefault="00F02FC8" w:rsidP="0062004A">
            <w:pPr>
              <w:rPr>
                <w:rFonts w:ascii="Arial" w:hAnsi="Arial" w:cs="Arial"/>
                <w:sz w:val="18"/>
                <w:szCs w:val="18"/>
              </w:rPr>
            </w:pPr>
          </w:p>
        </w:tc>
        <w:tc>
          <w:tcPr>
            <w:tcW w:w="457" w:type="pct"/>
          </w:tcPr>
          <w:p w:rsidR="00F02FC8" w:rsidRPr="00F8329B" w:rsidRDefault="00F02FC8" w:rsidP="0062004A">
            <w:pPr>
              <w:rPr>
                <w:rFonts w:ascii="Arial" w:hAnsi="Arial" w:cs="Arial"/>
                <w:sz w:val="18"/>
                <w:szCs w:val="18"/>
              </w:rPr>
            </w:pPr>
            <w:r w:rsidRPr="00F8329B">
              <w:rPr>
                <w:rFonts w:ascii="Arial" w:hAnsi="Arial" w:cs="Arial"/>
                <w:sz w:val="18"/>
                <w:szCs w:val="18"/>
              </w:rPr>
              <w:t>Sep 2016</w:t>
            </w:r>
          </w:p>
        </w:tc>
      </w:tr>
      <w:tr w:rsidR="00F02FC8" w:rsidTr="00F02FC8">
        <w:trPr>
          <w:cantSplit/>
        </w:trPr>
        <w:tc>
          <w:tcPr>
            <w:tcW w:w="138" w:type="pct"/>
          </w:tcPr>
          <w:p w:rsidR="00F02FC8" w:rsidRPr="00F8329B" w:rsidRDefault="00F02FC8" w:rsidP="0062004A">
            <w:pPr>
              <w:rPr>
                <w:rFonts w:ascii="Arial" w:hAnsi="Arial" w:cs="Arial"/>
                <w:sz w:val="18"/>
                <w:szCs w:val="18"/>
              </w:rPr>
            </w:pPr>
            <w:r w:rsidRPr="00F8329B">
              <w:rPr>
                <w:rFonts w:ascii="Arial" w:hAnsi="Arial" w:cs="Arial"/>
                <w:sz w:val="18"/>
                <w:szCs w:val="18"/>
              </w:rPr>
              <w:t>4.</w:t>
            </w:r>
          </w:p>
        </w:tc>
        <w:tc>
          <w:tcPr>
            <w:tcW w:w="550" w:type="pct"/>
          </w:tcPr>
          <w:p w:rsidR="00F02FC8" w:rsidRPr="00F8329B" w:rsidRDefault="00F02FC8" w:rsidP="0062004A">
            <w:pPr>
              <w:rPr>
                <w:rFonts w:ascii="Arial" w:hAnsi="Arial" w:cs="Arial"/>
                <w:sz w:val="18"/>
                <w:szCs w:val="18"/>
              </w:rPr>
            </w:pPr>
            <w:r w:rsidRPr="00F8329B">
              <w:rPr>
                <w:rFonts w:ascii="Arial" w:hAnsi="Arial" w:cs="Arial"/>
                <w:sz w:val="18"/>
                <w:szCs w:val="18"/>
              </w:rPr>
              <w:t>Single-arm (Phase II)</w:t>
            </w:r>
          </w:p>
        </w:tc>
        <w:tc>
          <w:tcPr>
            <w:tcW w:w="750" w:type="pct"/>
          </w:tcPr>
          <w:p w:rsidR="00F02FC8" w:rsidRPr="00F8329B" w:rsidRDefault="00F02FC8" w:rsidP="0062004A">
            <w:pPr>
              <w:pStyle w:val="Heading1"/>
              <w:pBdr>
                <w:bottom w:val="single" w:sz="6" w:space="9" w:color="DADADA"/>
              </w:pBdr>
              <w:shd w:val="clear" w:color="auto" w:fill="FFFFFF"/>
              <w:spacing w:after="120"/>
              <w:outlineLvl w:val="0"/>
              <w:rPr>
                <w:rFonts w:ascii="Arial" w:hAnsi="Arial" w:cs="Arial"/>
                <w:color w:val="000000"/>
                <w:sz w:val="18"/>
                <w:szCs w:val="18"/>
              </w:rPr>
            </w:pPr>
            <w:r w:rsidRPr="00F8329B">
              <w:rPr>
                <w:rFonts w:ascii="Arial" w:hAnsi="Arial" w:cs="Arial"/>
                <w:color w:val="auto"/>
                <w:sz w:val="18"/>
                <w:szCs w:val="18"/>
              </w:rPr>
              <w:t>Evaluate the Efficacy of MEDI4736 in Immunological Subsets of Advanced Colorectal Cancer (NCT02227667)</w:t>
            </w:r>
          </w:p>
        </w:tc>
        <w:tc>
          <w:tcPr>
            <w:tcW w:w="2451" w:type="pct"/>
          </w:tcPr>
          <w:p w:rsidR="00F02FC8" w:rsidRPr="00F8329B" w:rsidRDefault="00F02FC8" w:rsidP="0062004A">
            <w:pPr>
              <w:rPr>
                <w:rFonts w:ascii="Arial" w:hAnsi="Arial" w:cs="Arial"/>
                <w:sz w:val="18"/>
                <w:szCs w:val="18"/>
              </w:rPr>
            </w:pPr>
            <w:r w:rsidRPr="00F8329B">
              <w:rPr>
                <w:rFonts w:ascii="Arial" w:hAnsi="Arial" w:cs="Arial"/>
                <w:sz w:val="18"/>
                <w:szCs w:val="18"/>
              </w:rPr>
              <w:t xml:space="preserve">Design: Single arm, phase II study of CRC patients with MSI-H cancers. </w:t>
            </w:r>
          </w:p>
          <w:p w:rsidR="00F02FC8" w:rsidRPr="00F8329B" w:rsidRDefault="00F02FC8" w:rsidP="0062004A">
            <w:pPr>
              <w:rPr>
                <w:rFonts w:ascii="Arial" w:hAnsi="Arial" w:cs="Arial"/>
                <w:color w:val="000000"/>
                <w:sz w:val="18"/>
                <w:szCs w:val="18"/>
                <w:shd w:val="clear" w:color="auto" w:fill="FFFFFF"/>
              </w:rPr>
            </w:pPr>
            <w:r w:rsidRPr="00F8329B">
              <w:rPr>
                <w:rFonts w:ascii="Arial" w:hAnsi="Arial" w:cs="Arial"/>
                <w:sz w:val="18"/>
                <w:szCs w:val="18"/>
              </w:rPr>
              <w:t>Intervention: MEDI4736 via IV infusion. Subjects will continue treatment for 12 months, or until progression of disease, initiation of alternative cancer therapy, unacceptable toxicity, or other reasons to discontinue treatment occur.</w:t>
            </w:r>
            <w:r w:rsidRPr="00F8329B">
              <w:rPr>
                <w:rFonts w:ascii="Arial" w:hAnsi="Arial" w:cs="Arial"/>
                <w:color w:val="000000"/>
                <w:sz w:val="18"/>
                <w:szCs w:val="18"/>
                <w:shd w:val="clear" w:color="auto" w:fill="FFFFFF"/>
              </w:rPr>
              <w:t xml:space="preserve"> </w:t>
            </w:r>
          </w:p>
          <w:p w:rsidR="00F02FC8" w:rsidRPr="00F8329B" w:rsidRDefault="00F02FC8" w:rsidP="0062004A">
            <w:pPr>
              <w:rPr>
                <w:rFonts w:ascii="Arial" w:hAnsi="Arial" w:cs="Arial"/>
                <w:sz w:val="18"/>
                <w:szCs w:val="18"/>
              </w:rPr>
            </w:pPr>
            <w:r w:rsidRPr="00F8329B">
              <w:rPr>
                <w:rFonts w:ascii="Arial" w:hAnsi="Arial" w:cs="Arial"/>
                <w:sz w:val="18"/>
                <w:szCs w:val="18"/>
              </w:rPr>
              <w:t>Population:</w:t>
            </w:r>
          </w:p>
          <w:p w:rsidR="00F02FC8" w:rsidRPr="00F8329B" w:rsidRDefault="00F02FC8" w:rsidP="0062004A">
            <w:pPr>
              <w:rPr>
                <w:rFonts w:ascii="Arial" w:hAnsi="Arial" w:cs="Arial"/>
                <w:sz w:val="18"/>
                <w:szCs w:val="18"/>
              </w:rPr>
            </w:pPr>
            <w:r w:rsidRPr="00F8329B">
              <w:rPr>
                <w:rFonts w:ascii="Arial" w:hAnsi="Arial" w:cs="Arial"/>
                <w:sz w:val="18"/>
                <w:szCs w:val="18"/>
              </w:rPr>
              <w:t>Estimated enrolment of 48 CRC patients with MSI-H status</w:t>
            </w:r>
          </w:p>
        </w:tc>
        <w:tc>
          <w:tcPr>
            <w:tcW w:w="654" w:type="pct"/>
          </w:tcPr>
          <w:p w:rsidR="00F02FC8" w:rsidRDefault="00AF6981" w:rsidP="0062004A">
            <w:pPr>
              <w:rPr>
                <w:rFonts w:ascii="Arial" w:hAnsi="Arial" w:cs="Arial"/>
                <w:sz w:val="18"/>
                <w:szCs w:val="18"/>
              </w:rPr>
            </w:pPr>
            <w:hyperlink r:id="rId22" w:history="1">
              <w:r w:rsidR="00F02FC8">
                <w:rPr>
                  <w:rStyle w:val="Hyperlink"/>
                  <w:rFonts w:ascii="Arial" w:hAnsi="Arial" w:cs="Arial"/>
                  <w:sz w:val="18"/>
                  <w:szCs w:val="18"/>
                </w:rPr>
                <w:t>Link</w:t>
              </w:r>
            </w:hyperlink>
            <w:r w:rsidR="00F02FC8">
              <w:rPr>
                <w:rFonts w:ascii="Arial" w:hAnsi="Arial" w:cs="Arial"/>
                <w:sz w:val="18"/>
                <w:szCs w:val="18"/>
              </w:rPr>
              <w:t xml:space="preserve"> to article</w:t>
            </w:r>
          </w:p>
          <w:p w:rsidR="00F02FC8" w:rsidRPr="00F8329B" w:rsidRDefault="00F02FC8" w:rsidP="0062004A">
            <w:pPr>
              <w:rPr>
                <w:rFonts w:ascii="Arial" w:hAnsi="Arial" w:cs="Arial"/>
                <w:sz w:val="18"/>
                <w:szCs w:val="18"/>
              </w:rPr>
            </w:pPr>
          </w:p>
        </w:tc>
        <w:tc>
          <w:tcPr>
            <w:tcW w:w="457" w:type="pct"/>
          </w:tcPr>
          <w:p w:rsidR="00F02FC8" w:rsidRPr="00F8329B" w:rsidRDefault="00F02FC8" w:rsidP="0062004A">
            <w:pPr>
              <w:rPr>
                <w:rFonts w:ascii="Arial" w:hAnsi="Arial" w:cs="Arial"/>
                <w:sz w:val="18"/>
                <w:szCs w:val="18"/>
              </w:rPr>
            </w:pPr>
            <w:r w:rsidRPr="00F8329B">
              <w:rPr>
                <w:rFonts w:ascii="Arial" w:hAnsi="Arial" w:cs="Arial"/>
                <w:sz w:val="18"/>
                <w:szCs w:val="18"/>
              </w:rPr>
              <w:t>July 2017</w:t>
            </w:r>
          </w:p>
        </w:tc>
      </w:tr>
    </w:tbl>
    <w:p w:rsidR="004C49EF" w:rsidRDefault="004C49EF" w:rsidP="00F02FC8">
      <w:pPr>
        <w:spacing w:before="0" w:after="0"/>
        <w:ind w:left="425"/>
        <w:rPr>
          <w:i/>
          <w:szCs w:val="20"/>
        </w:rPr>
      </w:pPr>
      <w:r>
        <w:rPr>
          <w:i/>
          <w:szCs w:val="20"/>
        </w:rPr>
        <w:t xml:space="preserve">* Categorise study design, for example meta-analysis, randomised trials, non-randomised trial or observational study, study of diagnostic accuracy, etc. </w:t>
      </w:r>
    </w:p>
    <w:p w:rsidR="004C49EF" w:rsidRDefault="004C49EF" w:rsidP="00F02FC8">
      <w:pPr>
        <w:spacing w:before="0" w:after="0"/>
        <w:ind w:left="425"/>
        <w:rPr>
          <w:i/>
          <w:szCs w:val="20"/>
        </w:rPr>
      </w:pPr>
      <w:r>
        <w:rPr>
          <w:i/>
          <w:szCs w:val="20"/>
        </w:rPr>
        <w:t>**Provide high level information including population numbers and whether patients are being recruited or in post-recruitment.</w:t>
      </w:r>
    </w:p>
    <w:p w:rsidR="00DD308E" w:rsidRDefault="004C49EF" w:rsidP="00F02FC8">
      <w:pPr>
        <w:spacing w:before="0" w:after="0"/>
        <w:ind w:left="425"/>
        <w:rPr>
          <w:b/>
          <w:sz w:val="32"/>
          <w:szCs w:val="32"/>
        </w:rPr>
        <w:sectPr w:rsidR="00DD308E" w:rsidSect="00DD308E">
          <w:pgSz w:w="16838" w:h="11906" w:orient="landscape"/>
          <w:pgMar w:top="1440" w:right="1440" w:bottom="1440" w:left="1440" w:header="708" w:footer="708" w:gutter="0"/>
          <w:cols w:space="708"/>
          <w:docGrid w:linePitch="360"/>
        </w:sect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r w:rsidR="00F301F1">
        <w:rPr>
          <w:b/>
          <w:sz w:val="32"/>
          <w:szCs w:val="32"/>
        </w:rPr>
        <w:br w:type="page"/>
      </w:r>
    </w:p>
    <w:p w:rsidR="00E82F54" w:rsidRPr="00C776B1" w:rsidRDefault="005C3AE7" w:rsidP="00B032C7">
      <w:pPr>
        <w:pStyle w:val="Heading1"/>
        <w:spacing w:after="120" w:line="240" w:lineRule="auto"/>
      </w:pPr>
      <w:r>
        <w:lastRenderedPageBreak/>
        <w:t>PART 5</w:t>
      </w:r>
      <w:r w:rsidR="00F93784">
        <w:t xml:space="preserve"> – </w:t>
      </w:r>
      <w:r w:rsidR="00E82F54" w:rsidRPr="00C776B1">
        <w:t>CLINICAL ENDORSEMENT AND CONSUMER INFORMATION</w:t>
      </w:r>
    </w:p>
    <w:p w:rsidR="00E82F54" w:rsidRDefault="00E82F54" w:rsidP="00B032C7">
      <w:pPr>
        <w:pStyle w:val="Heading2"/>
        <w:spacing w:before="0"/>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rsidR="00D41247" w:rsidRPr="00D41247" w:rsidRDefault="00D41247" w:rsidP="00D41247">
      <w:pPr>
        <w:pStyle w:val="ListParagraph"/>
        <w:ind w:left="426"/>
        <w:rPr>
          <w:rFonts w:ascii="Calibri" w:hAnsi="Calibri" w:cs="Arial"/>
          <w:szCs w:val="20"/>
        </w:rPr>
      </w:pPr>
      <w:r w:rsidRPr="00F8329B">
        <w:rPr>
          <w:rFonts w:ascii="Calibri" w:hAnsi="Calibri" w:cs="Arial"/>
          <w:szCs w:val="20"/>
        </w:rPr>
        <w:t xml:space="preserve">Royal College of Pathologists </w:t>
      </w:r>
    </w:p>
    <w:p w:rsidR="00A727B6" w:rsidRPr="00D41247" w:rsidRDefault="00D41247" w:rsidP="00D41247">
      <w:pPr>
        <w:ind w:left="426"/>
        <w:rPr>
          <w:rFonts w:ascii="Calibri" w:hAnsi="Calibri" w:cs="Arial"/>
          <w:szCs w:val="20"/>
        </w:rPr>
      </w:pPr>
      <w:r w:rsidRPr="00D41247">
        <w:rPr>
          <w:rFonts w:ascii="Calibri" w:hAnsi="Calibri" w:cs="Arial"/>
          <w:szCs w:val="20"/>
        </w:rPr>
        <w:t>(IHC testing of MMR is already undertaken under MBS item #72847, so we have not requested a letter of support to comment on the service or the fee.  Please refer to “COLORECTAL CANCER STRUCTURED REPORTING PROTOCOL” for the College’s specific recommendations on dMMR IHC testing  [items CG4.01-CG4.02])</w:t>
      </w:r>
    </w:p>
    <w:p w:rsidR="00EA173C" w:rsidRPr="00154B00" w:rsidRDefault="00EA173C" w:rsidP="00B032C7">
      <w:pPr>
        <w:pStyle w:val="Heading2"/>
        <w:spacing w:before="0"/>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rsidR="00EA173C" w:rsidRDefault="00D41247" w:rsidP="00B032C7">
      <w:pPr>
        <w:spacing w:before="0"/>
        <w:ind w:left="426"/>
      </w:pPr>
      <w:r w:rsidRPr="00F8329B">
        <w:rPr>
          <w:rFonts w:ascii="Calibri" w:hAnsi="Calibri" w:cs="Arial"/>
          <w:szCs w:val="20"/>
        </w:rPr>
        <w:t>Medical Oncology Group of Australia</w:t>
      </w:r>
    </w:p>
    <w:p w:rsidR="00E82F54" w:rsidRPr="00154B00" w:rsidRDefault="00E82F54" w:rsidP="00B032C7">
      <w:pPr>
        <w:pStyle w:val="Heading2"/>
        <w:spacing w:before="0"/>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rsidR="00E82F54" w:rsidRDefault="00D41247" w:rsidP="00B032C7">
      <w:pPr>
        <w:spacing w:before="0"/>
        <w:ind w:left="426"/>
        <w:rPr>
          <w:szCs w:val="20"/>
        </w:rPr>
      </w:pPr>
      <w:r w:rsidRPr="00F8329B">
        <w:rPr>
          <w:rFonts w:ascii="Calibri" w:hAnsi="Calibri" w:cs="Arial"/>
          <w:szCs w:val="20"/>
        </w:rPr>
        <w:t>Bowel Cancer Australia</w:t>
      </w:r>
    </w:p>
    <w:p w:rsidR="003433D1" w:rsidRDefault="003433D1" w:rsidP="00B032C7">
      <w:pPr>
        <w:pStyle w:val="Heading2"/>
        <w:spacing w:before="0"/>
      </w:pPr>
      <w:r>
        <w:t xml:space="preserve">List the relevant </w:t>
      </w:r>
      <w:r w:rsidRPr="00EE6450">
        <w:t>sponsor</w:t>
      </w:r>
      <w:r>
        <w:t xml:space="preserve">(s) and / or manufacturer(s) who produce similar products relevant </w:t>
      </w:r>
      <w:r w:rsidR="00197D29">
        <w:t>to the proposed medical service:</w:t>
      </w:r>
    </w:p>
    <w:p w:rsidR="00EE6450" w:rsidRDefault="00D41247" w:rsidP="00B032C7">
      <w:pPr>
        <w:spacing w:before="0"/>
        <w:ind w:left="426"/>
        <w:rPr>
          <w:szCs w:val="20"/>
        </w:rPr>
      </w:pPr>
      <w:r w:rsidRPr="00F8329B">
        <w:rPr>
          <w:szCs w:val="20"/>
        </w:rPr>
        <w:t>MSD is not aligning with any specific manufacturer for this application. Therefore, the current manufacturers would be used for the IHC MMR test.</w:t>
      </w:r>
    </w:p>
    <w:p w:rsidR="00A96329" w:rsidRPr="00A96329" w:rsidRDefault="00E82F54" w:rsidP="00D41247">
      <w:pPr>
        <w:pStyle w:val="Heading2"/>
        <w:spacing w:before="0"/>
      </w:pPr>
      <w:r w:rsidRPr="00154B00">
        <w:t>Nominate two experts who could be approached about the proposed medical service and the current clinical management of the service(s):</w:t>
      </w:r>
      <w:r w:rsidR="00D41247">
        <w:tab/>
      </w:r>
    </w:p>
    <w:p w:rsidR="00987ABE" w:rsidRPr="00987ABE" w:rsidRDefault="00987ABE" w:rsidP="00B032C7">
      <w:pPr>
        <w:spacing w:before="0"/>
        <w:ind w:left="426"/>
        <w:rPr>
          <w:szCs w:val="20"/>
        </w:rPr>
      </w:pPr>
      <w:r>
        <w:rPr>
          <w:szCs w:val="20"/>
        </w:rPr>
        <w:t xml:space="preserve">Name of expert 1: </w:t>
      </w:r>
      <w:r w:rsidR="00D41247" w:rsidRPr="00D41247">
        <w:rPr>
          <w:b/>
        </w:rPr>
        <w:t>redacted</w:t>
      </w:r>
    </w:p>
    <w:p w:rsidR="00987ABE" w:rsidRPr="00987ABE" w:rsidRDefault="00987ABE" w:rsidP="00B032C7">
      <w:pPr>
        <w:spacing w:before="0"/>
        <w:ind w:left="426"/>
        <w:rPr>
          <w:szCs w:val="20"/>
        </w:rPr>
      </w:pPr>
      <w:r>
        <w:rPr>
          <w:szCs w:val="20"/>
        </w:rPr>
        <w:t xml:space="preserve">Telephone number(s): </w:t>
      </w:r>
      <w:r w:rsidR="00D41247" w:rsidRPr="00D41247">
        <w:rPr>
          <w:b/>
        </w:rPr>
        <w:t>redacted</w:t>
      </w:r>
    </w:p>
    <w:p w:rsidR="00987ABE" w:rsidRPr="00987ABE" w:rsidRDefault="00987ABE" w:rsidP="00B032C7">
      <w:pPr>
        <w:spacing w:before="0"/>
        <w:ind w:left="426"/>
        <w:rPr>
          <w:szCs w:val="20"/>
        </w:rPr>
      </w:pPr>
      <w:r>
        <w:rPr>
          <w:szCs w:val="20"/>
        </w:rPr>
        <w:t xml:space="preserve">Email address: </w:t>
      </w:r>
      <w:r w:rsidR="00D41247" w:rsidRPr="00D41247">
        <w:rPr>
          <w:b/>
        </w:rPr>
        <w:t>redacted</w:t>
      </w:r>
    </w:p>
    <w:p w:rsidR="00987ABE" w:rsidRPr="00987ABE" w:rsidRDefault="00987ABE" w:rsidP="00D41247">
      <w:pPr>
        <w:spacing w:before="0"/>
        <w:ind w:left="426"/>
        <w:rPr>
          <w:szCs w:val="20"/>
        </w:rPr>
      </w:pPr>
      <w:r>
        <w:rPr>
          <w:szCs w:val="20"/>
        </w:rPr>
        <w:t xml:space="preserve">Justification of expertise: </w:t>
      </w:r>
      <w:r w:rsidR="00D41247" w:rsidRPr="00D41247">
        <w:rPr>
          <w:b/>
        </w:rPr>
        <w:t>redacted</w:t>
      </w:r>
    </w:p>
    <w:p w:rsidR="00987ABE" w:rsidRPr="00987ABE" w:rsidRDefault="00987ABE" w:rsidP="00B032C7">
      <w:pPr>
        <w:spacing w:before="0"/>
        <w:ind w:left="426"/>
        <w:rPr>
          <w:szCs w:val="20"/>
        </w:rPr>
      </w:pPr>
      <w:r>
        <w:rPr>
          <w:szCs w:val="20"/>
        </w:rPr>
        <w:t xml:space="preserve">Name of expert 2: </w:t>
      </w:r>
      <w:r w:rsidR="00D41247" w:rsidRPr="00D41247">
        <w:rPr>
          <w:b/>
        </w:rPr>
        <w:t>redacted</w:t>
      </w:r>
    </w:p>
    <w:p w:rsidR="00987ABE" w:rsidRPr="00987ABE" w:rsidRDefault="00987ABE" w:rsidP="00B032C7">
      <w:pPr>
        <w:spacing w:before="0"/>
        <w:ind w:left="426"/>
        <w:rPr>
          <w:szCs w:val="20"/>
        </w:rPr>
      </w:pPr>
      <w:r>
        <w:rPr>
          <w:szCs w:val="20"/>
        </w:rPr>
        <w:t xml:space="preserve">Telephone number(s): </w:t>
      </w:r>
      <w:r w:rsidR="00D41247" w:rsidRPr="00D41247">
        <w:rPr>
          <w:b/>
        </w:rPr>
        <w:t>redacted</w:t>
      </w:r>
    </w:p>
    <w:p w:rsidR="00987ABE" w:rsidRPr="00987ABE" w:rsidRDefault="00987ABE" w:rsidP="00B032C7">
      <w:pPr>
        <w:spacing w:before="0"/>
        <w:ind w:left="426"/>
        <w:rPr>
          <w:szCs w:val="20"/>
        </w:rPr>
      </w:pPr>
      <w:r>
        <w:rPr>
          <w:szCs w:val="20"/>
        </w:rPr>
        <w:t xml:space="preserve">Email address: </w:t>
      </w:r>
      <w:r w:rsidR="00D41247" w:rsidRPr="00D41247">
        <w:rPr>
          <w:b/>
        </w:rPr>
        <w:t>redacted</w:t>
      </w:r>
    </w:p>
    <w:p w:rsidR="00987ABE" w:rsidRPr="00D41247" w:rsidRDefault="00987ABE" w:rsidP="00D41247">
      <w:pPr>
        <w:spacing w:before="0"/>
        <w:ind w:left="426"/>
        <w:rPr>
          <w:szCs w:val="20"/>
        </w:rPr>
      </w:pPr>
      <w:r>
        <w:rPr>
          <w:szCs w:val="20"/>
        </w:rPr>
        <w:t xml:space="preserve">Justification of expertise: </w:t>
      </w:r>
      <w:r w:rsidR="00D41247" w:rsidRPr="00D41247">
        <w:rPr>
          <w:b/>
        </w:rPr>
        <w:t>redacted</w:t>
      </w:r>
    </w:p>
    <w:p w:rsidR="00E82F54" w:rsidRPr="00154B00" w:rsidRDefault="00E82F54" w:rsidP="00B032C7">
      <w:pPr>
        <w:spacing w:before="0"/>
        <w:ind w:left="426"/>
        <w:rPr>
          <w:i/>
          <w:szCs w:val="20"/>
        </w:rPr>
      </w:pPr>
      <w:r w:rsidRPr="00154B00">
        <w:rPr>
          <w:i/>
          <w:szCs w:val="20"/>
        </w:rPr>
        <w:t>Please note that the Department may also consult with other referrers, proceduralists and disease specialists to obtain their insight.</w:t>
      </w:r>
    </w:p>
    <w:p w:rsidR="003433D1" w:rsidRDefault="003433D1" w:rsidP="00B032C7">
      <w:pPr>
        <w:spacing w:before="0"/>
        <w:rPr>
          <w:b/>
          <w:sz w:val="32"/>
          <w:szCs w:val="32"/>
        </w:rPr>
      </w:pPr>
      <w:r>
        <w:rPr>
          <w:b/>
          <w:sz w:val="32"/>
          <w:szCs w:val="32"/>
        </w:rPr>
        <w:br w:type="page"/>
      </w:r>
    </w:p>
    <w:p w:rsidR="00E82F54" w:rsidRPr="00EA173C" w:rsidRDefault="00F93784" w:rsidP="00B032C7">
      <w:pPr>
        <w:pStyle w:val="Heading1"/>
        <w:spacing w:after="120" w:line="240" w:lineRule="auto"/>
      </w:pPr>
      <w:r>
        <w:lastRenderedPageBreak/>
        <w:t>PAR</w:t>
      </w:r>
      <w:r w:rsidR="005C3AE7">
        <w:t>T 6</w:t>
      </w:r>
      <w:r>
        <w:t xml:space="preserve"> – POPULATION</w:t>
      </w:r>
      <w:r w:rsidR="000525BC">
        <w:t xml:space="preserve"> (AND PRIOR TESTS)</w:t>
      </w:r>
      <w:r>
        <w:t>, INDICATION, COMPARATOR, OUTCOME (PICO)</w:t>
      </w:r>
    </w:p>
    <w:p w:rsidR="0021185D" w:rsidRPr="005C3AE7" w:rsidRDefault="005C3AE7" w:rsidP="00B032C7">
      <w:pPr>
        <w:pStyle w:val="Subtitle"/>
        <w:spacing w:before="0"/>
      </w:pPr>
      <w:r w:rsidRPr="005C3AE7">
        <w:t xml:space="preserve">PART 6a – </w:t>
      </w:r>
      <w:r w:rsidR="0021185D" w:rsidRPr="005C3AE7">
        <w:t>INFORMATION ABOUT THE PROPOSED POPULATION</w:t>
      </w:r>
    </w:p>
    <w:p w:rsidR="0021185D" w:rsidRPr="00A96329" w:rsidRDefault="0021185D" w:rsidP="00B032C7">
      <w:pPr>
        <w:pStyle w:val="Heading2"/>
        <w:spacing w:before="0"/>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rsidR="005E7361" w:rsidRPr="00F8329B" w:rsidRDefault="005E7361" w:rsidP="005E7361">
      <w:pPr>
        <w:pStyle w:val="NormalWeb"/>
        <w:spacing w:before="0" w:beforeAutospacing="0" w:after="120" w:afterAutospacing="0"/>
        <w:ind w:left="426"/>
        <w:rPr>
          <w:rFonts w:ascii="Calibri" w:eastAsiaTheme="minorHAnsi" w:hAnsi="Calibri" w:cstheme="minorBidi"/>
          <w:sz w:val="20"/>
          <w:szCs w:val="20"/>
          <w:lang w:eastAsia="en-US"/>
        </w:rPr>
      </w:pPr>
      <w:r w:rsidRPr="00F8329B">
        <w:rPr>
          <w:rFonts w:ascii="Calibri" w:eastAsiaTheme="minorHAnsi" w:hAnsi="Calibri" w:cstheme="minorBidi"/>
          <w:sz w:val="20"/>
          <w:szCs w:val="20"/>
          <w:lang w:eastAsia="en-US"/>
        </w:rPr>
        <w:t>Colorectal cancer (CRC) is cancer in any part of the large bowel (colon or rectum).  If untreated, CRC can grow into the deeper layers of the bowel wall. It can spread from there to the lymph nodes (glands) and eventually metastasise. Stage IV CRC is defined as cancer that has spread to distant organs or tissues.</w:t>
      </w:r>
    </w:p>
    <w:p w:rsidR="005E7361" w:rsidRPr="00F8329B" w:rsidRDefault="005E7361" w:rsidP="005E7361">
      <w:pPr>
        <w:ind w:left="426"/>
        <w:rPr>
          <w:szCs w:val="20"/>
        </w:rPr>
      </w:pPr>
      <w:r w:rsidRPr="00F8329B">
        <w:rPr>
          <w:rFonts w:ascii="Calibri" w:hAnsi="Calibri"/>
          <w:szCs w:val="20"/>
        </w:rPr>
        <w:t xml:space="preserve">CRC is the second most common cause of cancer-related death after lung cancer for males and breast cancer for females in Australia (AIHW, 2010).  Australia and New Zealand have one of the highest incidences of CRC worldwide with age-standardized rates of 44.8 and 32.2 per 100,000 in men and women, respectively (Ferlay, 2015).  Mortality rates are lower at 5.2 and 3.6 deaths per 100,000 population in men and women, respectively.  The lifetime risk of CRC to age 75 years in Australia is 1 in 18 (5.5%) for men and 1 in 26 (3.9%) for women (AIHW, 2010).   In 2012, 14,957 new cases of bowel cancer were diagnosed in Australia (Bowel Cancer Australia). </w:t>
      </w:r>
    </w:p>
    <w:p w:rsidR="002A6753" w:rsidRPr="005E7361" w:rsidRDefault="005E7361" w:rsidP="005E7361">
      <w:pPr>
        <w:pStyle w:val="NormalWeb"/>
        <w:spacing w:before="0" w:beforeAutospacing="0" w:after="120" w:afterAutospacing="0"/>
        <w:ind w:left="426"/>
        <w:rPr>
          <w:rFonts w:ascii="Calibri" w:eastAsiaTheme="minorHAnsi" w:hAnsi="Calibri"/>
          <w:sz w:val="20"/>
          <w:szCs w:val="20"/>
        </w:rPr>
      </w:pPr>
      <w:r w:rsidRPr="00F8329B">
        <w:rPr>
          <w:rFonts w:ascii="Calibri" w:hAnsi="Calibri"/>
          <w:sz w:val="20"/>
          <w:szCs w:val="20"/>
        </w:rPr>
        <w:t>CRCs</w:t>
      </w:r>
      <w:r w:rsidRPr="00F8329B">
        <w:rPr>
          <w:rFonts w:ascii="Calibri" w:eastAsiaTheme="minorHAnsi" w:hAnsi="Calibri"/>
          <w:sz w:val="20"/>
          <w:szCs w:val="20"/>
        </w:rPr>
        <w:t xml:space="preserve"> may be divided via molecular phenotypes into tumours with</w:t>
      </w:r>
      <w:r w:rsidRPr="00F8329B">
        <w:rPr>
          <w:rFonts w:ascii="Calibri" w:hAnsi="Calibri"/>
          <w:sz w:val="20"/>
          <w:szCs w:val="20"/>
        </w:rPr>
        <w:t xml:space="preserve"> </w:t>
      </w:r>
      <w:r w:rsidRPr="00F8329B">
        <w:rPr>
          <w:rFonts w:ascii="Calibri" w:eastAsiaTheme="minorHAnsi" w:hAnsi="Calibri"/>
          <w:sz w:val="20"/>
          <w:szCs w:val="20"/>
        </w:rPr>
        <w:t>normal DNA mismatch repair (MMR) function and those with DNA MMR deficiency</w:t>
      </w:r>
      <w:r w:rsidRPr="00F8329B">
        <w:rPr>
          <w:rFonts w:ascii="Calibri" w:hAnsi="Calibri"/>
          <w:sz w:val="20"/>
          <w:szCs w:val="20"/>
        </w:rPr>
        <w:t xml:space="preserve"> </w:t>
      </w:r>
      <w:r w:rsidRPr="00F8329B">
        <w:rPr>
          <w:rFonts w:ascii="Calibri" w:eastAsiaTheme="minorHAnsi" w:hAnsi="Calibri"/>
          <w:sz w:val="20"/>
          <w:szCs w:val="20"/>
        </w:rPr>
        <w:t xml:space="preserve">(dMMR). </w:t>
      </w:r>
      <w:r w:rsidRPr="00F8329B">
        <w:rPr>
          <w:rFonts w:ascii="Calibri" w:hAnsi="Calibri"/>
          <w:sz w:val="20"/>
          <w:szCs w:val="20"/>
        </w:rPr>
        <w:t xml:space="preserve"> </w:t>
      </w:r>
      <w:r w:rsidRPr="00F8329B">
        <w:rPr>
          <w:rFonts w:ascii="Calibri" w:eastAsiaTheme="minorHAnsi" w:hAnsi="Calibri"/>
          <w:sz w:val="20"/>
          <w:szCs w:val="20"/>
        </w:rPr>
        <w:t>The prevalence of dMMR is 14 -16% in early metastatic CRC and 4% in Stage IV CRC and has a high mutation burden.</w:t>
      </w:r>
    </w:p>
    <w:p w:rsidR="00AA5FDA" w:rsidRPr="00154B00" w:rsidRDefault="00AA5FDA" w:rsidP="00B032C7">
      <w:pPr>
        <w:pStyle w:val="Heading2"/>
        <w:spacing w:before="0"/>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rsidR="005E7361" w:rsidRPr="005E7361" w:rsidRDefault="005E7361" w:rsidP="005E7361">
      <w:pPr>
        <w:ind w:left="426"/>
        <w:rPr>
          <w:szCs w:val="20"/>
        </w:rPr>
      </w:pPr>
      <w:r w:rsidRPr="005E7361">
        <w:rPr>
          <w:szCs w:val="20"/>
        </w:rPr>
        <w:t>The proposed patient population includes patients diagnosed with Stage IV CRC receiving their first line of therapy.  The median age of this patient population is expected to be approximately 70 years but could range from 20 to 100+.  The male to female ratio is roughly 1:1.  Due to the age of the cohort, various age-related comorbidities are likely to be present.</w:t>
      </w:r>
    </w:p>
    <w:p w:rsidR="005E7361" w:rsidRPr="005E7361" w:rsidRDefault="005E7361" w:rsidP="005E7361">
      <w:pPr>
        <w:autoSpaceDE w:val="0"/>
        <w:autoSpaceDN w:val="0"/>
        <w:adjustRightInd w:val="0"/>
        <w:ind w:left="426"/>
        <w:rPr>
          <w:szCs w:val="20"/>
        </w:rPr>
      </w:pPr>
      <w:r w:rsidRPr="005E7361">
        <w:rPr>
          <w:szCs w:val="20"/>
        </w:rPr>
        <w:t>Patients who present with symptoms of CRC will receive further investigations.  If these are suggestive of cancer, patients are referred for colonoscopy.  Other patients may be identified through screening colonoscopies.  To identify metastases, computerised tomography (CT) scans, magnetic resonance imaging (MRI) scans, positron emission tomography (PET) scans, abdominal ultrasound, endorectal ultrasound and chest X-rays may also be undertaken.  Once diagnosed, surgery is the most common treatment for all stages of CRC.  Tissue from the resection is tested by pathologists to detect dMMR. If resected tissue is not available, biopsy tissue can also be used.   Biopsy material has been shown to be as reliable as resection specimen material in detecting a dMMR.</w:t>
      </w:r>
    </w:p>
    <w:p w:rsidR="00AA5FDA" w:rsidRPr="005E7361" w:rsidRDefault="005E7361" w:rsidP="005E7361">
      <w:pPr>
        <w:spacing w:before="0"/>
        <w:ind w:left="426"/>
        <w:rPr>
          <w:szCs w:val="20"/>
        </w:rPr>
      </w:pPr>
      <w:r w:rsidRPr="005E7361">
        <w:rPr>
          <w:bCs/>
          <w:szCs w:val="20"/>
        </w:rPr>
        <w:t xml:space="preserve">This treatment pathway is part of standard care in Australia, so the current management is not expected to change up to the point of referral for the service.  </w:t>
      </w:r>
    </w:p>
    <w:p w:rsidR="0018630F" w:rsidRDefault="0018630F" w:rsidP="00B032C7">
      <w:pPr>
        <w:pStyle w:val="Heading2"/>
        <w:spacing w:before="0"/>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rsidR="005E7361" w:rsidRPr="00F8329B" w:rsidRDefault="005E7361" w:rsidP="005E7361">
      <w:pPr>
        <w:ind w:left="426"/>
        <w:rPr>
          <w:szCs w:val="20"/>
        </w:rPr>
      </w:pPr>
      <w:r w:rsidRPr="00F8329B">
        <w:rPr>
          <w:szCs w:val="20"/>
        </w:rPr>
        <w:t>current clinical management pathway before patients are eligible for MMR IHC includes the following steps:</w:t>
      </w:r>
    </w:p>
    <w:p w:rsidR="005E7361" w:rsidRPr="00F8329B" w:rsidRDefault="005E7361" w:rsidP="005E7361">
      <w:pPr>
        <w:pStyle w:val="ListParagraph"/>
        <w:numPr>
          <w:ilvl w:val="0"/>
          <w:numId w:val="37"/>
        </w:numPr>
        <w:spacing w:before="0" w:line="276" w:lineRule="auto"/>
        <w:ind w:left="426" w:firstLine="0"/>
        <w:rPr>
          <w:szCs w:val="20"/>
        </w:rPr>
      </w:pPr>
      <w:r w:rsidRPr="00F8329B">
        <w:rPr>
          <w:szCs w:val="20"/>
        </w:rPr>
        <w:t>Patients may initially present with symptoms to their GP (10-15% may present to the emergency department)</w:t>
      </w:r>
    </w:p>
    <w:p w:rsidR="005E7361" w:rsidRPr="00F8329B" w:rsidRDefault="005E7361" w:rsidP="005E7361">
      <w:pPr>
        <w:pStyle w:val="ListParagraph"/>
        <w:numPr>
          <w:ilvl w:val="0"/>
          <w:numId w:val="37"/>
        </w:numPr>
        <w:spacing w:before="0" w:line="276" w:lineRule="auto"/>
        <w:ind w:left="426" w:firstLine="0"/>
        <w:rPr>
          <w:szCs w:val="20"/>
        </w:rPr>
      </w:pPr>
      <w:r w:rsidRPr="00F8329B">
        <w:rPr>
          <w:szCs w:val="20"/>
        </w:rPr>
        <w:t>Patients may also be identified via preventive screening by colonoscopy</w:t>
      </w:r>
    </w:p>
    <w:p w:rsidR="005E7361" w:rsidRPr="00F8329B" w:rsidRDefault="005E7361" w:rsidP="005E7361">
      <w:pPr>
        <w:pStyle w:val="ListParagraph"/>
        <w:numPr>
          <w:ilvl w:val="0"/>
          <w:numId w:val="37"/>
        </w:numPr>
        <w:spacing w:before="0" w:line="276" w:lineRule="auto"/>
        <w:ind w:left="426" w:firstLine="0"/>
        <w:rPr>
          <w:szCs w:val="20"/>
        </w:rPr>
      </w:pPr>
      <w:r w:rsidRPr="00F8329B">
        <w:rPr>
          <w:szCs w:val="20"/>
        </w:rPr>
        <w:t>Tissue is obtained from colonoscopy (or surgical resection if patients have received surgery)</w:t>
      </w:r>
    </w:p>
    <w:p w:rsidR="005E7361" w:rsidRPr="00F8329B" w:rsidRDefault="005E7361" w:rsidP="005E7361">
      <w:pPr>
        <w:pStyle w:val="ListParagraph"/>
        <w:numPr>
          <w:ilvl w:val="0"/>
          <w:numId w:val="37"/>
        </w:numPr>
        <w:spacing w:before="0" w:line="276" w:lineRule="auto"/>
        <w:ind w:left="426" w:firstLine="0"/>
        <w:rPr>
          <w:szCs w:val="20"/>
        </w:rPr>
      </w:pPr>
      <w:r w:rsidRPr="00F8329B">
        <w:rPr>
          <w:szCs w:val="20"/>
        </w:rPr>
        <w:t>Tissue (resection or biopsy) is sent to the pathology laboratory for histology/staging and molecular testing</w:t>
      </w:r>
    </w:p>
    <w:p w:rsidR="00BC424B" w:rsidRPr="00BC424B" w:rsidRDefault="005E7361" w:rsidP="005E7361">
      <w:pPr>
        <w:spacing w:before="0"/>
        <w:ind w:left="426"/>
      </w:pPr>
      <w:r w:rsidRPr="00F8329B">
        <w:rPr>
          <w:szCs w:val="20"/>
        </w:rPr>
        <w:lastRenderedPageBreak/>
        <w:t>Please refer to Attachment 1 for the current clinical algorithm and proposed algorithm</w:t>
      </w:r>
    </w:p>
    <w:p w:rsidR="002A50FD" w:rsidRPr="00881F93" w:rsidRDefault="005C3AE7" w:rsidP="00B032C7">
      <w:pPr>
        <w:pStyle w:val="Subtitle"/>
        <w:spacing w:before="0"/>
      </w:pPr>
      <w:r>
        <w:t xml:space="preserve">PART 6b – </w:t>
      </w:r>
      <w:r w:rsidR="002A50FD" w:rsidRPr="00881F93">
        <w:t>INFORMATION ABOUT THE INTERVENTION</w:t>
      </w:r>
    </w:p>
    <w:p w:rsidR="002A50FD" w:rsidRPr="00154B00" w:rsidRDefault="002A6753" w:rsidP="00B032C7">
      <w:pPr>
        <w:pStyle w:val="Heading2"/>
        <w:spacing w:before="0"/>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rsidR="005E7361" w:rsidRPr="00F8329B" w:rsidRDefault="005E7361" w:rsidP="005E7361">
      <w:pPr>
        <w:autoSpaceDE w:val="0"/>
        <w:autoSpaceDN w:val="0"/>
        <w:adjustRightInd w:val="0"/>
        <w:ind w:left="426"/>
        <w:rPr>
          <w:rFonts w:ascii="Calibri" w:hAnsi="Calibri"/>
          <w:szCs w:val="20"/>
        </w:rPr>
      </w:pPr>
      <w:r w:rsidRPr="00F8329B">
        <w:rPr>
          <w:rFonts w:ascii="Calibri" w:hAnsi="Calibri"/>
          <w:szCs w:val="20"/>
        </w:rPr>
        <w:t>The IHC method uses antibodies directed against each MMR protein to detect the expression of the proteins in the tumor cells.  Tests are performed on formalin-fixed paraffin-embedded tumour tissue to identify one of four MMR proteins (MLH1, MSH2, MSH6 and PMS2).  Protein expression is scored positive if at least one cancer cell nucleus shows staining, negative if none of the tumour cells show staining with positive internal control, and not applicable if neither tumour nor stromal cells show protein expression. Tumours are classified as dMMR when there is an absence of at least 1 of 4 mismatch repair proteins expression.</w:t>
      </w:r>
    </w:p>
    <w:p w:rsidR="005E7361" w:rsidRPr="00F8329B" w:rsidRDefault="005E7361" w:rsidP="005E7361">
      <w:pPr>
        <w:autoSpaceDE w:val="0"/>
        <w:autoSpaceDN w:val="0"/>
        <w:adjustRightInd w:val="0"/>
        <w:ind w:left="426"/>
        <w:rPr>
          <w:rFonts w:ascii="Calibri" w:hAnsi="Calibri"/>
          <w:szCs w:val="20"/>
        </w:rPr>
      </w:pPr>
    </w:p>
    <w:p w:rsidR="002A50FD" w:rsidRPr="005E7361" w:rsidRDefault="005E7361" w:rsidP="005E7361">
      <w:pPr>
        <w:autoSpaceDE w:val="0"/>
        <w:autoSpaceDN w:val="0"/>
        <w:adjustRightInd w:val="0"/>
        <w:ind w:left="426"/>
        <w:rPr>
          <w:rFonts w:ascii="Calibri" w:hAnsi="Calibri"/>
          <w:szCs w:val="20"/>
        </w:rPr>
      </w:pPr>
      <w:r w:rsidRPr="00F8329B">
        <w:rPr>
          <w:rFonts w:ascii="Calibri" w:hAnsi="Calibri"/>
          <w:szCs w:val="20"/>
        </w:rPr>
        <w:t>The majority of dMMR cancers show loss of expression of both MMR proteins in a heterodimer (either MLH1/PMS2 or MSH2/MSH6) in the cancer cells, with preserved expression of the other heterodimer. In sporadic dMMR cancers, loss of MLH1/PMS2 expression is characteristic, whereas in Lynch syndrome (i.e. hereditary dMMR) either heterodimer may be lost.</w:t>
      </w:r>
    </w:p>
    <w:p w:rsidR="002A6753" w:rsidRPr="00154B00" w:rsidRDefault="002A6753" w:rsidP="00B032C7">
      <w:pPr>
        <w:pStyle w:val="Heading2"/>
        <w:spacing w:before="0"/>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rsidR="002A6753" w:rsidRPr="00154B00" w:rsidRDefault="002C49FA" w:rsidP="00B032C7">
      <w:pPr>
        <w:spacing w:before="0"/>
        <w:ind w:left="426"/>
        <w:rPr>
          <w:szCs w:val="20"/>
        </w:rPr>
      </w:pPr>
      <w:r>
        <w:t>No</w:t>
      </w:r>
    </w:p>
    <w:p w:rsidR="00C22AD8" w:rsidRPr="00154B00" w:rsidRDefault="00C22AD8" w:rsidP="00B032C7">
      <w:pPr>
        <w:pStyle w:val="Heading2"/>
        <w:spacing w:before="0"/>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rsidR="00DF0C51" w:rsidRDefault="002C49FA" w:rsidP="00B032C7">
      <w:pPr>
        <w:spacing w:before="0"/>
        <w:ind w:left="426"/>
        <w:rPr>
          <w:b/>
          <w:szCs w:val="20"/>
        </w:rPr>
      </w:pPr>
      <w:r>
        <w:t>Not applicable</w:t>
      </w:r>
    </w:p>
    <w:p w:rsidR="006B1B49" w:rsidRPr="00E357B9" w:rsidRDefault="006B1B49" w:rsidP="00B032C7">
      <w:pPr>
        <w:pStyle w:val="Heading2"/>
        <w:spacing w:before="0"/>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rsidR="00CC09D7" w:rsidRPr="00154B00" w:rsidRDefault="002C49FA" w:rsidP="00B032C7">
      <w:pPr>
        <w:spacing w:before="0"/>
        <w:ind w:left="426"/>
        <w:rPr>
          <w:szCs w:val="20"/>
        </w:rPr>
      </w:pPr>
      <w:r w:rsidRPr="00F8329B">
        <w:rPr>
          <w:szCs w:val="20"/>
        </w:rPr>
        <w:t>Patients are expected to receive one test throughout the course of their disease. Testing must be performed in an accredited laboratory by a certified pathologist.  MMR testing should be requested by the treating clinician.</w:t>
      </w:r>
    </w:p>
    <w:p w:rsidR="00791C8D" w:rsidRPr="00154B00" w:rsidRDefault="00791C8D" w:rsidP="00B032C7">
      <w:pPr>
        <w:pStyle w:val="Heading2"/>
        <w:spacing w:before="0"/>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rsidR="00791C8D" w:rsidRPr="00154B00" w:rsidRDefault="002C49FA" w:rsidP="00B032C7">
      <w:pPr>
        <w:spacing w:before="0"/>
        <w:ind w:left="426"/>
        <w:rPr>
          <w:szCs w:val="20"/>
        </w:rPr>
      </w:pPr>
      <w:r w:rsidRPr="00F8329B">
        <w:rPr>
          <w:szCs w:val="20"/>
        </w:rPr>
        <w:t>A biopsy or surgical resection is required to obtain tissue for the IHC test.  These procedures are currently part of standard management for patients with CRC, so they would not present an additional burden to patients or the health system.</w:t>
      </w:r>
    </w:p>
    <w:p w:rsidR="00B17E26" w:rsidRPr="00154B00" w:rsidRDefault="00B17E26" w:rsidP="00B032C7">
      <w:pPr>
        <w:pStyle w:val="Heading2"/>
        <w:spacing w:before="0"/>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rsidR="00B17E26" w:rsidRPr="00154B00" w:rsidRDefault="002C49FA" w:rsidP="00B032C7">
      <w:pPr>
        <w:spacing w:before="0"/>
        <w:ind w:left="426"/>
        <w:rPr>
          <w:szCs w:val="20"/>
        </w:rPr>
      </w:pPr>
      <w:r w:rsidRPr="00F8329B">
        <w:rPr>
          <w:szCs w:val="20"/>
        </w:rPr>
        <w:t>Pathologists will be responsible for undertaking the MMR IHC test.  If found to be dMMR, treatment with pembrolizumab would be managed by medical oncologists.</w:t>
      </w:r>
    </w:p>
    <w:p w:rsidR="00B17E26" w:rsidRPr="00154B00" w:rsidRDefault="00B17E26" w:rsidP="00B032C7">
      <w:pPr>
        <w:pStyle w:val="Heading2"/>
        <w:spacing w:before="0"/>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rsidR="00B17E26" w:rsidRPr="00154B00" w:rsidRDefault="002C49FA" w:rsidP="00B032C7">
      <w:pPr>
        <w:spacing w:before="0"/>
        <w:ind w:left="426"/>
        <w:rPr>
          <w:szCs w:val="20"/>
        </w:rPr>
      </w:pPr>
      <w:r>
        <w:t>No</w:t>
      </w:r>
    </w:p>
    <w:p w:rsidR="00EA0E25" w:rsidRPr="00154B00" w:rsidRDefault="00EA0E25" w:rsidP="00B032C7">
      <w:pPr>
        <w:pStyle w:val="Heading2"/>
        <w:spacing w:before="0"/>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rsidR="00EA0E25" w:rsidRPr="00154B00" w:rsidRDefault="002C49FA" w:rsidP="00B032C7">
      <w:pPr>
        <w:spacing w:before="0"/>
        <w:ind w:left="426"/>
        <w:rPr>
          <w:szCs w:val="20"/>
        </w:rPr>
      </w:pPr>
      <w:r w:rsidRPr="00F8329B">
        <w:rPr>
          <w:szCs w:val="20"/>
        </w:rPr>
        <w:t>Medical oncologists would be required to request the MMR IHC test for the purposes of pembrolizumab treatment.</w:t>
      </w:r>
    </w:p>
    <w:p w:rsidR="002C49FA" w:rsidRDefault="002C49FA">
      <w:pPr>
        <w:spacing w:before="0" w:after="200" w:line="276" w:lineRule="auto"/>
        <w:rPr>
          <w:b/>
          <w:szCs w:val="20"/>
        </w:rPr>
      </w:pPr>
      <w:r>
        <w:br w:type="page"/>
      </w:r>
    </w:p>
    <w:p w:rsidR="00EA0E25" w:rsidRPr="00154B00" w:rsidRDefault="00EA0E25" w:rsidP="00B032C7">
      <w:pPr>
        <w:pStyle w:val="Heading2"/>
        <w:spacing w:before="0"/>
      </w:pPr>
      <w:r w:rsidRPr="00154B00">
        <w:lastRenderedPageBreak/>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rsidR="00EA0E25" w:rsidRPr="00154B00" w:rsidRDefault="002C49FA" w:rsidP="00B032C7">
      <w:pPr>
        <w:spacing w:before="0"/>
        <w:ind w:left="426"/>
        <w:rPr>
          <w:szCs w:val="20"/>
        </w:rPr>
      </w:pPr>
      <w:r w:rsidRPr="00F8329B">
        <w:rPr>
          <w:szCs w:val="20"/>
        </w:rPr>
        <w:t>IHC testing is a well-established technique in all major pathology labs. Most laboratories already perform the MMR IHC test, either routinely or based on clinician request.   Testing must be performed in an accredited laboratory by a certified pathologist.  Laboratories should adhere to the Royal College of Pathologists of Australasia Colorectal Cancer Structured Reporting Protocol.</w:t>
      </w:r>
    </w:p>
    <w:p w:rsidR="005F3F07" w:rsidRDefault="005C3AE7" w:rsidP="00B032C7">
      <w:pPr>
        <w:pStyle w:val="Heading2"/>
        <w:spacing w:before="0"/>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rsidR="000A478F" w:rsidRDefault="000A478F" w:rsidP="00B032C7">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F6981">
        <w:rPr>
          <w:szCs w:val="20"/>
        </w:rPr>
      </w:r>
      <w:r w:rsidR="00AF6981">
        <w:rPr>
          <w:szCs w:val="20"/>
        </w:rPr>
        <w:fldChar w:fldCharType="separate"/>
      </w:r>
      <w:r w:rsidRPr="000A5B32">
        <w:rPr>
          <w:szCs w:val="20"/>
        </w:rPr>
        <w:fldChar w:fldCharType="end"/>
      </w:r>
      <w:r>
        <w:rPr>
          <w:szCs w:val="20"/>
        </w:rPr>
        <w:t xml:space="preserve"> </w:t>
      </w:r>
      <w:r>
        <w:t>Inpatient private hospital</w:t>
      </w:r>
    </w:p>
    <w:p w:rsidR="000A478F" w:rsidRDefault="000A478F" w:rsidP="00B032C7">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F6981">
        <w:rPr>
          <w:szCs w:val="20"/>
        </w:rPr>
      </w:r>
      <w:r w:rsidR="00AF6981">
        <w:rPr>
          <w:szCs w:val="20"/>
        </w:rPr>
        <w:fldChar w:fldCharType="separate"/>
      </w:r>
      <w:r w:rsidRPr="000A5B32">
        <w:rPr>
          <w:szCs w:val="20"/>
        </w:rPr>
        <w:fldChar w:fldCharType="end"/>
      </w:r>
      <w:r>
        <w:rPr>
          <w:szCs w:val="20"/>
        </w:rPr>
        <w:t xml:space="preserve"> </w:t>
      </w:r>
      <w:r>
        <w:t>Inpatient public hospital</w:t>
      </w:r>
    </w:p>
    <w:p w:rsidR="000A478F" w:rsidRDefault="000A478F" w:rsidP="00B032C7">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F6981">
        <w:rPr>
          <w:szCs w:val="20"/>
        </w:rPr>
      </w:r>
      <w:r w:rsidR="00AF6981">
        <w:rPr>
          <w:szCs w:val="20"/>
        </w:rPr>
        <w:fldChar w:fldCharType="separate"/>
      </w:r>
      <w:r w:rsidRPr="000A5B32">
        <w:rPr>
          <w:szCs w:val="20"/>
        </w:rPr>
        <w:fldChar w:fldCharType="end"/>
      </w:r>
      <w:r>
        <w:rPr>
          <w:szCs w:val="20"/>
        </w:rPr>
        <w:t xml:space="preserve"> </w:t>
      </w:r>
      <w:r>
        <w:t>Outpatient clinic</w:t>
      </w:r>
    </w:p>
    <w:p w:rsidR="000A478F" w:rsidRDefault="000A478F" w:rsidP="00B032C7">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F6981">
        <w:rPr>
          <w:szCs w:val="20"/>
        </w:rPr>
      </w:r>
      <w:r w:rsidR="00AF6981">
        <w:rPr>
          <w:szCs w:val="20"/>
        </w:rPr>
        <w:fldChar w:fldCharType="separate"/>
      </w:r>
      <w:r w:rsidRPr="000A5B32">
        <w:rPr>
          <w:szCs w:val="20"/>
        </w:rPr>
        <w:fldChar w:fldCharType="end"/>
      </w:r>
      <w:r>
        <w:rPr>
          <w:szCs w:val="20"/>
        </w:rPr>
        <w:t xml:space="preserve"> </w:t>
      </w:r>
      <w:r>
        <w:t>Emergency Department</w:t>
      </w:r>
    </w:p>
    <w:p w:rsidR="000A478F" w:rsidRDefault="000A478F" w:rsidP="00B032C7">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F6981">
        <w:rPr>
          <w:szCs w:val="20"/>
        </w:rPr>
      </w:r>
      <w:r w:rsidR="00AF6981">
        <w:rPr>
          <w:szCs w:val="20"/>
        </w:rPr>
        <w:fldChar w:fldCharType="separate"/>
      </w:r>
      <w:r w:rsidRPr="000A5B32">
        <w:rPr>
          <w:szCs w:val="20"/>
        </w:rPr>
        <w:fldChar w:fldCharType="end"/>
      </w:r>
      <w:r>
        <w:rPr>
          <w:szCs w:val="20"/>
        </w:rPr>
        <w:t xml:space="preserve"> </w:t>
      </w:r>
      <w:r>
        <w:t>Consulting rooms</w:t>
      </w:r>
    </w:p>
    <w:p w:rsidR="000A478F" w:rsidRDefault="000A478F" w:rsidP="00B032C7">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F6981">
        <w:rPr>
          <w:szCs w:val="20"/>
        </w:rPr>
      </w:r>
      <w:r w:rsidR="00AF6981">
        <w:rPr>
          <w:szCs w:val="20"/>
        </w:rPr>
        <w:fldChar w:fldCharType="separate"/>
      </w:r>
      <w:r w:rsidRPr="000A5B32">
        <w:rPr>
          <w:szCs w:val="20"/>
        </w:rPr>
        <w:fldChar w:fldCharType="end"/>
      </w:r>
      <w:r>
        <w:rPr>
          <w:szCs w:val="20"/>
        </w:rPr>
        <w:t xml:space="preserve"> </w:t>
      </w:r>
      <w:r>
        <w:t>Day surgery centre</w:t>
      </w:r>
    </w:p>
    <w:p w:rsidR="000A478F" w:rsidRDefault="000A478F" w:rsidP="00B032C7">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F6981">
        <w:rPr>
          <w:szCs w:val="20"/>
        </w:rPr>
      </w:r>
      <w:r w:rsidR="00AF6981">
        <w:rPr>
          <w:szCs w:val="20"/>
        </w:rPr>
        <w:fldChar w:fldCharType="separate"/>
      </w:r>
      <w:r w:rsidRPr="000A5B32">
        <w:rPr>
          <w:szCs w:val="20"/>
        </w:rPr>
        <w:fldChar w:fldCharType="end"/>
      </w:r>
      <w:r>
        <w:rPr>
          <w:szCs w:val="20"/>
        </w:rPr>
        <w:t xml:space="preserve"> </w:t>
      </w:r>
      <w:r>
        <w:t>Residential aged care facility</w:t>
      </w:r>
    </w:p>
    <w:p w:rsidR="000A478F" w:rsidRDefault="000A478F" w:rsidP="00B032C7">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F6981">
        <w:rPr>
          <w:szCs w:val="20"/>
        </w:rPr>
      </w:r>
      <w:r w:rsidR="00AF6981">
        <w:rPr>
          <w:szCs w:val="20"/>
        </w:rPr>
        <w:fldChar w:fldCharType="separate"/>
      </w:r>
      <w:r w:rsidRPr="000A5B32">
        <w:rPr>
          <w:szCs w:val="20"/>
        </w:rPr>
        <w:fldChar w:fldCharType="end"/>
      </w:r>
      <w:r>
        <w:rPr>
          <w:szCs w:val="20"/>
        </w:rPr>
        <w:t xml:space="preserve"> </w:t>
      </w:r>
      <w:r>
        <w:t>Patient’s home</w:t>
      </w:r>
    </w:p>
    <w:p w:rsidR="000A478F" w:rsidRDefault="002C49FA" w:rsidP="00B032C7">
      <w:pPr>
        <w:spacing w:before="0"/>
        <w:ind w:left="426"/>
      </w:pPr>
      <w:r>
        <w:rPr>
          <w:szCs w:val="20"/>
        </w:rPr>
        <w:fldChar w:fldCharType="begin">
          <w:ffData>
            <w:name w:val=""/>
            <w:enabled/>
            <w:calcOnExit w:val="0"/>
            <w:checkBox>
              <w:sizeAuto/>
              <w:default w:val="1"/>
            </w:checkBox>
          </w:ffData>
        </w:fldChar>
      </w:r>
      <w:r>
        <w:rPr>
          <w:szCs w:val="20"/>
        </w:rPr>
        <w:instrText xml:space="preserve"> FORMCHECKBOX </w:instrText>
      </w:r>
      <w:r w:rsidR="00AF6981">
        <w:rPr>
          <w:szCs w:val="20"/>
        </w:rPr>
      </w:r>
      <w:r w:rsidR="00AF6981">
        <w:rPr>
          <w:szCs w:val="20"/>
        </w:rPr>
        <w:fldChar w:fldCharType="separate"/>
      </w:r>
      <w:r>
        <w:rPr>
          <w:szCs w:val="20"/>
        </w:rPr>
        <w:fldChar w:fldCharType="end"/>
      </w:r>
      <w:r w:rsidR="000A478F">
        <w:rPr>
          <w:szCs w:val="20"/>
        </w:rPr>
        <w:t xml:space="preserve"> </w:t>
      </w:r>
      <w:r w:rsidR="000A478F">
        <w:t>Laboratory</w:t>
      </w:r>
    </w:p>
    <w:p w:rsidR="000A478F" w:rsidRPr="000A478F" w:rsidRDefault="000A478F" w:rsidP="00B032C7">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F6981">
        <w:rPr>
          <w:szCs w:val="20"/>
        </w:rPr>
      </w:r>
      <w:r w:rsidR="00AF6981">
        <w:rPr>
          <w:szCs w:val="20"/>
        </w:rPr>
        <w:fldChar w:fldCharType="separate"/>
      </w:r>
      <w:r w:rsidRPr="000A5B32">
        <w:rPr>
          <w:szCs w:val="20"/>
        </w:rPr>
        <w:fldChar w:fldCharType="end"/>
      </w:r>
      <w:r>
        <w:rPr>
          <w:szCs w:val="20"/>
        </w:rPr>
        <w:t xml:space="preserve"> </w:t>
      </w:r>
      <w:r>
        <w:t>Other – please specify below</w:t>
      </w:r>
    </w:p>
    <w:p w:rsidR="005F3F07" w:rsidRDefault="001B29A1" w:rsidP="00B032C7">
      <w:pPr>
        <w:spacing w:before="0"/>
        <w:ind w:left="426"/>
        <w:rPr>
          <w:b/>
          <w:szCs w:val="20"/>
        </w:rPr>
      </w:pPr>
      <w:r>
        <w:fldChar w:fldCharType="begin">
          <w:ffData>
            <w:name w:val=""/>
            <w:enabled/>
            <w:calcOnExit w:val="0"/>
            <w:textInput>
              <w:default w:val="Specify further details here"/>
            </w:textInput>
          </w:ffData>
        </w:fldChar>
      </w:r>
      <w:r>
        <w:instrText xml:space="preserve"> FORMTEXT </w:instrText>
      </w:r>
      <w:r>
        <w:fldChar w:fldCharType="separate"/>
      </w:r>
      <w:r>
        <w:rPr>
          <w:noProof/>
        </w:rPr>
        <w:t>Specify further details here</w:t>
      </w:r>
      <w:r>
        <w:fldChar w:fldCharType="end"/>
      </w:r>
    </w:p>
    <w:p w:rsidR="003433D1" w:rsidRPr="005C3AE7" w:rsidRDefault="00E048ED" w:rsidP="00B032C7">
      <w:pPr>
        <w:pStyle w:val="ListParagraph"/>
        <w:numPr>
          <w:ilvl w:val="0"/>
          <w:numId w:val="29"/>
        </w:numPr>
        <w:spacing w:before="0"/>
        <w:rPr>
          <w:b/>
          <w:szCs w:val="20"/>
        </w:rPr>
      </w:pPr>
      <w:r w:rsidRPr="005C3AE7">
        <w:rPr>
          <w:b/>
          <w:szCs w:val="20"/>
        </w:rPr>
        <w:t>Where the proposed medical service is provided in more than one setting, please describ</w:t>
      </w:r>
      <w:r w:rsidR="00AE1188" w:rsidRPr="005C3AE7">
        <w:rPr>
          <w:b/>
          <w:szCs w:val="20"/>
        </w:rPr>
        <w:t>e the rationale related to each:</w:t>
      </w:r>
    </w:p>
    <w:p w:rsidR="0073597B" w:rsidRDefault="002C49FA" w:rsidP="00B032C7">
      <w:pPr>
        <w:spacing w:before="0"/>
        <w:ind w:left="426"/>
        <w:rPr>
          <w:b/>
          <w:szCs w:val="20"/>
        </w:rPr>
      </w:pPr>
      <w:r>
        <w:t>N/A</w:t>
      </w:r>
    </w:p>
    <w:p w:rsidR="003E30FB" w:rsidRDefault="003E30FB" w:rsidP="00B032C7">
      <w:pPr>
        <w:pStyle w:val="Heading2"/>
        <w:spacing w:before="0"/>
      </w:pPr>
      <w:r>
        <w:t xml:space="preserve">Is the </w:t>
      </w:r>
      <w:r w:rsidRPr="001B29A1">
        <w:t>proposed</w:t>
      </w:r>
      <w:r>
        <w:t xml:space="preserve"> medical service intended to be entirely rendered in Australia?</w:t>
      </w:r>
    </w:p>
    <w:p w:rsidR="000A478F" w:rsidRDefault="002C49FA" w:rsidP="00B032C7">
      <w:pPr>
        <w:spacing w:before="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F6981">
        <w:rPr>
          <w:szCs w:val="20"/>
        </w:rPr>
      </w:r>
      <w:r w:rsidR="00AF6981">
        <w:rPr>
          <w:szCs w:val="20"/>
        </w:rPr>
        <w:fldChar w:fldCharType="separate"/>
      </w:r>
      <w:r>
        <w:rPr>
          <w:szCs w:val="20"/>
        </w:rPr>
        <w:fldChar w:fldCharType="end"/>
      </w:r>
      <w:r w:rsidR="000A478F">
        <w:rPr>
          <w:szCs w:val="20"/>
        </w:rPr>
        <w:t xml:space="preserve"> Yes</w:t>
      </w:r>
    </w:p>
    <w:p w:rsidR="000A478F" w:rsidRPr="00753C44" w:rsidRDefault="000A478F" w:rsidP="00B032C7">
      <w:pPr>
        <w:spacing w:before="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F6981">
        <w:rPr>
          <w:szCs w:val="20"/>
        </w:rPr>
      </w:r>
      <w:r w:rsidR="00AF6981">
        <w:rPr>
          <w:szCs w:val="20"/>
        </w:rPr>
        <w:fldChar w:fldCharType="separate"/>
      </w:r>
      <w:r w:rsidRPr="00753C44">
        <w:rPr>
          <w:szCs w:val="20"/>
        </w:rPr>
        <w:fldChar w:fldCharType="end"/>
      </w:r>
      <w:r>
        <w:rPr>
          <w:szCs w:val="20"/>
        </w:rPr>
        <w:t xml:space="preserve"> No</w:t>
      </w:r>
      <w:r w:rsidR="00C4696B">
        <w:rPr>
          <w:szCs w:val="20"/>
        </w:rPr>
        <w:t xml:space="preserve"> – please specify below</w:t>
      </w:r>
    </w:p>
    <w:p w:rsidR="000A478F" w:rsidRDefault="001B29A1" w:rsidP="000B5D81">
      <w:pPr>
        <w:spacing w:before="0"/>
        <w:ind w:left="426"/>
        <w:rPr>
          <w:b/>
          <w:i/>
          <w:szCs w:val="20"/>
          <w:u w:val="single"/>
        </w:rPr>
      </w:pPr>
      <w:r>
        <w:fldChar w:fldCharType="begin">
          <w:ffData>
            <w:name w:val="Text1"/>
            <w:enabled/>
            <w:calcOnExit w:val="0"/>
            <w:textInput>
              <w:default w:val="Specify further details here"/>
            </w:textInput>
          </w:ffData>
        </w:fldChar>
      </w:r>
      <w:bookmarkStart w:id="4" w:name="Text1"/>
      <w:r>
        <w:instrText xml:space="preserve"> FORMTEXT </w:instrText>
      </w:r>
      <w:r>
        <w:fldChar w:fldCharType="separate"/>
      </w:r>
      <w:r>
        <w:rPr>
          <w:noProof/>
        </w:rPr>
        <w:t>Specify further details here</w:t>
      </w:r>
      <w:r>
        <w:fldChar w:fldCharType="end"/>
      </w:r>
      <w:bookmarkEnd w:id="4"/>
    </w:p>
    <w:p w:rsidR="00E60529" w:rsidRPr="00881F93" w:rsidRDefault="005C3AE7" w:rsidP="00B032C7">
      <w:pPr>
        <w:pStyle w:val="Subtitle"/>
        <w:spacing w:before="0"/>
      </w:pPr>
      <w:r>
        <w:t xml:space="preserve">PART 6c – </w:t>
      </w:r>
      <w:r w:rsidR="00E60529" w:rsidRPr="00881F93">
        <w:t>INFORMATION ABOUT THE COMPARATOR</w:t>
      </w:r>
      <w:r w:rsidR="00A83EC6" w:rsidRPr="00881F93">
        <w:t>(S)</w:t>
      </w:r>
    </w:p>
    <w:p w:rsidR="00E60529" w:rsidRPr="00154B00" w:rsidRDefault="00A83EC6" w:rsidP="00B032C7">
      <w:pPr>
        <w:pStyle w:val="Heading2"/>
        <w:spacing w:before="0"/>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rsidR="000B5D81" w:rsidRPr="00F8329B" w:rsidRDefault="000B5D81" w:rsidP="000B5D81">
      <w:pPr>
        <w:ind w:left="426"/>
        <w:rPr>
          <w:szCs w:val="20"/>
        </w:rPr>
      </w:pPr>
      <w:r w:rsidRPr="00F8329B">
        <w:rPr>
          <w:szCs w:val="20"/>
        </w:rPr>
        <w:t>We are nominating two comparators for the co-dependent submission:</w:t>
      </w:r>
    </w:p>
    <w:p w:rsidR="000B5D81" w:rsidRDefault="000B5D81" w:rsidP="000B5D81">
      <w:pPr>
        <w:pStyle w:val="ListParagraph"/>
        <w:numPr>
          <w:ilvl w:val="0"/>
          <w:numId w:val="38"/>
        </w:numPr>
        <w:spacing w:before="0" w:line="276" w:lineRule="auto"/>
        <w:ind w:left="426" w:firstLine="0"/>
        <w:rPr>
          <w:szCs w:val="20"/>
        </w:rPr>
      </w:pPr>
      <w:r w:rsidRPr="00F8329B">
        <w:rPr>
          <w:szCs w:val="20"/>
        </w:rPr>
        <w:t>No testing + Standard of care administered to all patients</w:t>
      </w:r>
    </w:p>
    <w:p w:rsidR="00E60529" w:rsidRPr="000B5D81" w:rsidRDefault="000B5D81" w:rsidP="000B5D81">
      <w:pPr>
        <w:pStyle w:val="ListParagraph"/>
        <w:numPr>
          <w:ilvl w:val="0"/>
          <w:numId w:val="38"/>
        </w:numPr>
        <w:spacing w:before="0" w:line="276" w:lineRule="auto"/>
        <w:ind w:left="426" w:firstLine="0"/>
        <w:rPr>
          <w:szCs w:val="20"/>
        </w:rPr>
      </w:pPr>
      <w:r>
        <w:rPr>
          <w:szCs w:val="20"/>
        </w:rPr>
        <w:t>N</w:t>
      </w:r>
      <w:r w:rsidRPr="000B5D81">
        <w:rPr>
          <w:szCs w:val="20"/>
        </w:rPr>
        <w:t>o testing + Pembrolizumab administered to all patients</w:t>
      </w:r>
    </w:p>
    <w:p w:rsidR="00757232" w:rsidRDefault="00AF5D1E" w:rsidP="00B032C7">
      <w:pPr>
        <w:pStyle w:val="Heading2"/>
        <w:spacing w:before="0"/>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rsidR="006A1038" w:rsidRDefault="006A1038" w:rsidP="00B032C7">
      <w:pPr>
        <w:spacing w:before="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AF6981">
        <w:rPr>
          <w:szCs w:val="20"/>
        </w:rPr>
      </w:r>
      <w:r w:rsidR="00AF6981">
        <w:rPr>
          <w:szCs w:val="20"/>
        </w:rPr>
        <w:fldChar w:fldCharType="separate"/>
      </w:r>
      <w:r w:rsidRPr="00753C44">
        <w:rPr>
          <w:szCs w:val="20"/>
        </w:rPr>
        <w:fldChar w:fldCharType="end"/>
      </w:r>
      <w:r>
        <w:rPr>
          <w:szCs w:val="20"/>
        </w:rPr>
        <w:t xml:space="preserve"> Yes (please provide all relevant MBS item numbers below)</w:t>
      </w:r>
    </w:p>
    <w:p w:rsidR="000159B9" w:rsidRDefault="000B5D81" w:rsidP="00B032C7">
      <w:pPr>
        <w:spacing w:before="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F6981">
        <w:rPr>
          <w:szCs w:val="20"/>
        </w:rPr>
      </w:r>
      <w:r w:rsidR="00AF6981">
        <w:rPr>
          <w:szCs w:val="20"/>
        </w:rPr>
        <w:fldChar w:fldCharType="separate"/>
      </w:r>
      <w:r>
        <w:rPr>
          <w:szCs w:val="20"/>
        </w:rPr>
        <w:fldChar w:fldCharType="end"/>
      </w:r>
      <w:r w:rsidR="006A1038">
        <w:rPr>
          <w:szCs w:val="20"/>
        </w:rPr>
        <w:t xml:space="preserve"> No  </w:t>
      </w:r>
    </w:p>
    <w:p w:rsidR="000159B9" w:rsidRPr="00154B00" w:rsidRDefault="001B29A1" w:rsidP="00B032C7">
      <w:pPr>
        <w:spacing w:before="0"/>
        <w:ind w:left="426"/>
        <w:rPr>
          <w:szCs w:val="20"/>
        </w:rPr>
      </w:pPr>
      <w:r>
        <w:fldChar w:fldCharType="begin">
          <w:ffData>
            <w:name w:val=""/>
            <w:enabled/>
            <w:calcOnExit w:val="0"/>
            <w:textInput>
              <w:default w:val="Specify item number/s here"/>
            </w:textInput>
          </w:ffData>
        </w:fldChar>
      </w:r>
      <w:r>
        <w:instrText xml:space="preserve"> FORMTEXT </w:instrText>
      </w:r>
      <w:r>
        <w:fldChar w:fldCharType="separate"/>
      </w:r>
      <w:r>
        <w:rPr>
          <w:noProof/>
        </w:rPr>
        <w:t>Specify item number/s here</w:t>
      </w:r>
      <w:r>
        <w:fldChar w:fldCharType="end"/>
      </w:r>
    </w:p>
    <w:p w:rsidR="000B5D81" w:rsidRDefault="000B5D81">
      <w:pPr>
        <w:spacing w:before="0" w:after="200" w:line="276" w:lineRule="auto"/>
        <w:rPr>
          <w:b/>
          <w:szCs w:val="20"/>
        </w:rPr>
      </w:pPr>
      <w:r>
        <w:br w:type="page"/>
      </w:r>
    </w:p>
    <w:p w:rsidR="00AF5D1E" w:rsidRPr="00154B00" w:rsidRDefault="00AF5D1E" w:rsidP="00B032C7">
      <w:pPr>
        <w:pStyle w:val="Heading2"/>
        <w:spacing w:before="0"/>
      </w:pPr>
      <w:r w:rsidRPr="00154B00">
        <w:lastRenderedPageBreak/>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rsidR="000B5D81" w:rsidRPr="00F8329B" w:rsidRDefault="000B5D81" w:rsidP="000B5D81">
      <w:pPr>
        <w:shd w:val="clear" w:color="auto" w:fill="FFFFFF"/>
        <w:ind w:left="426"/>
        <w:rPr>
          <w:szCs w:val="20"/>
        </w:rPr>
      </w:pPr>
      <w:r w:rsidRPr="00F8329B">
        <w:rPr>
          <w:szCs w:val="20"/>
        </w:rPr>
        <w:t xml:space="preserve">After initial diagnosis/staging and molecular testing, Stage IV CRC patients typically receive systemic chemotherapy.  The chemotherapy drugs licensed for treatment of bowel cancer in Australia are:  </w:t>
      </w:r>
    </w:p>
    <w:p w:rsidR="000B5D81" w:rsidRPr="00F8329B" w:rsidRDefault="000B5D81" w:rsidP="000B5D81">
      <w:pPr>
        <w:numPr>
          <w:ilvl w:val="0"/>
          <w:numId w:val="39"/>
        </w:numPr>
        <w:shd w:val="clear" w:color="auto" w:fill="FFFFFF"/>
        <w:spacing w:before="0" w:after="0" w:line="276" w:lineRule="auto"/>
        <w:ind w:left="425" w:firstLine="0"/>
        <w:rPr>
          <w:szCs w:val="20"/>
        </w:rPr>
      </w:pPr>
      <w:r w:rsidRPr="00F8329B">
        <w:rPr>
          <w:szCs w:val="20"/>
        </w:rPr>
        <w:t>5-FU (5-fluorouracil)</w:t>
      </w:r>
    </w:p>
    <w:p w:rsidR="000B5D81" w:rsidRPr="00F8329B" w:rsidRDefault="000B5D81" w:rsidP="000B5D81">
      <w:pPr>
        <w:numPr>
          <w:ilvl w:val="0"/>
          <w:numId w:val="39"/>
        </w:numPr>
        <w:shd w:val="clear" w:color="auto" w:fill="FFFFFF"/>
        <w:spacing w:before="0" w:after="0" w:line="276" w:lineRule="auto"/>
        <w:ind w:left="425" w:firstLine="0"/>
        <w:rPr>
          <w:szCs w:val="20"/>
        </w:rPr>
      </w:pPr>
      <w:r w:rsidRPr="00F8329B">
        <w:rPr>
          <w:szCs w:val="20"/>
        </w:rPr>
        <w:t>Capecitabine (Xeloda)</w:t>
      </w:r>
    </w:p>
    <w:p w:rsidR="000B5D81" w:rsidRPr="00F8329B" w:rsidRDefault="000B5D81" w:rsidP="000B5D81">
      <w:pPr>
        <w:numPr>
          <w:ilvl w:val="0"/>
          <w:numId w:val="39"/>
        </w:numPr>
        <w:shd w:val="clear" w:color="auto" w:fill="FFFFFF"/>
        <w:spacing w:before="0" w:after="0" w:line="276" w:lineRule="auto"/>
        <w:ind w:left="425" w:firstLine="0"/>
        <w:rPr>
          <w:szCs w:val="20"/>
        </w:rPr>
      </w:pPr>
      <w:r w:rsidRPr="00F8329B">
        <w:rPr>
          <w:szCs w:val="20"/>
        </w:rPr>
        <w:t>Oxaliplatin (Eloxatin)</w:t>
      </w:r>
    </w:p>
    <w:p w:rsidR="000B5D81" w:rsidRPr="00F8329B" w:rsidRDefault="000B5D81" w:rsidP="000B5D81">
      <w:pPr>
        <w:numPr>
          <w:ilvl w:val="0"/>
          <w:numId w:val="39"/>
        </w:numPr>
        <w:shd w:val="clear" w:color="auto" w:fill="FFFFFF"/>
        <w:spacing w:before="0" w:after="0" w:line="276" w:lineRule="auto"/>
        <w:ind w:left="425" w:firstLine="0"/>
        <w:rPr>
          <w:szCs w:val="20"/>
        </w:rPr>
      </w:pPr>
      <w:r w:rsidRPr="00F8329B">
        <w:rPr>
          <w:szCs w:val="20"/>
        </w:rPr>
        <w:t>Irinotecan (Camptosar)</w:t>
      </w:r>
    </w:p>
    <w:p w:rsidR="000B5D81" w:rsidRPr="00F8329B" w:rsidRDefault="000B5D81" w:rsidP="000B5D81">
      <w:pPr>
        <w:numPr>
          <w:ilvl w:val="0"/>
          <w:numId w:val="39"/>
        </w:numPr>
        <w:shd w:val="clear" w:color="auto" w:fill="FFFFFF"/>
        <w:spacing w:before="0" w:after="0" w:line="276" w:lineRule="auto"/>
        <w:ind w:left="425" w:firstLine="0"/>
        <w:rPr>
          <w:szCs w:val="20"/>
        </w:rPr>
      </w:pPr>
      <w:r w:rsidRPr="00F8329B">
        <w:rPr>
          <w:szCs w:val="20"/>
        </w:rPr>
        <w:t xml:space="preserve">Bevacizumab (Avastin) </w:t>
      </w:r>
    </w:p>
    <w:p w:rsidR="000B5D81" w:rsidRPr="00F8329B" w:rsidRDefault="000B5D81" w:rsidP="000B5D81">
      <w:pPr>
        <w:numPr>
          <w:ilvl w:val="0"/>
          <w:numId w:val="39"/>
        </w:numPr>
        <w:shd w:val="clear" w:color="auto" w:fill="FFFFFF"/>
        <w:spacing w:before="0" w:after="0" w:line="276" w:lineRule="auto"/>
        <w:ind w:left="425" w:firstLine="0"/>
        <w:rPr>
          <w:szCs w:val="20"/>
        </w:rPr>
      </w:pPr>
      <w:r w:rsidRPr="00F8329B">
        <w:rPr>
          <w:szCs w:val="20"/>
        </w:rPr>
        <w:t>Cetuximab (Erbitux) – if RAS wildtype</w:t>
      </w:r>
    </w:p>
    <w:p w:rsidR="000B5D81" w:rsidRPr="00F8329B" w:rsidRDefault="000B5D81" w:rsidP="000B5D81">
      <w:pPr>
        <w:numPr>
          <w:ilvl w:val="0"/>
          <w:numId w:val="39"/>
        </w:numPr>
        <w:shd w:val="clear" w:color="auto" w:fill="FFFFFF"/>
        <w:spacing w:before="0" w:after="0" w:line="276" w:lineRule="auto"/>
        <w:ind w:left="425" w:firstLine="0"/>
        <w:rPr>
          <w:szCs w:val="20"/>
        </w:rPr>
      </w:pPr>
      <w:r w:rsidRPr="00F8329B">
        <w:rPr>
          <w:szCs w:val="20"/>
        </w:rPr>
        <w:t>Panitumumab</w:t>
      </w:r>
    </w:p>
    <w:p w:rsidR="000B5D81" w:rsidRPr="00F8329B" w:rsidRDefault="000B5D81" w:rsidP="000B5D81">
      <w:pPr>
        <w:shd w:val="clear" w:color="auto" w:fill="FFFFFF"/>
        <w:ind w:left="426"/>
        <w:rPr>
          <w:szCs w:val="20"/>
        </w:rPr>
      </w:pPr>
    </w:p>
    <w:p w:rsidR="000B5D81" w:rsidRPr="00F8329B" w:rsidRDefault="000B5D81" w:rsidP="000B5D81">
      <w:pPr>
        <w:shd w:val="clear" w:color="auto" w:fill="FFFFFF"/>
        <w:ind w:left="426"/>
        <w:rPr>
          <w:szCs w:val="20"/>
        </w:rPr>
      </w:pPr>
      <w:r w:rsidRPr="00F8329B">
        <w:rPr>
          <w:szCs w:val="20"/>
        </w:rPr>
        <w:t>In Stage IV cancer, a combination of two or more drugs is common, for example:</w:t>
      </w:r>
    </w:p>
    <w:p w:rsidR="000B5D81" w:rsidRPr="00F8329B" w:rsidRDefault="000B5D81" w:rsidP="000B5D81">
      <w:pPr>
        <w:numPr>
          <w:ilvl w:val="0"/>
          <w:numId w:val="40"/>
        </w:numPr>
        <w:shd w:val="clear" w:color="auto" w:fill="FFFFFF"/>
        <w:spacing w:before="0" w:after="0" w:line="276" w:lineRule="auto"/>
        <w:ind w:left="425" w:firstLine="0"/>
        <w:rPr>
          <w:szCs w:val="20"/>
        </w:rPr>
      </w:pPr>
      <w:r w:rsidRPr="00F8329B">
        <w:rPr>
          <w:szCs w:val="20"/>
        </w:rPr>
        <w:t>FOLFOX (5-FU + Oxaliplatin)</w:t>
      </w:r>
    </w:p>
    <w:p w:rsidR="000B5D81" w:rsidRPr="00F8329B" w:rsidRDefault="000B5D81" w:rsidP="000B5D81">
      <w:pPr>
        <w:numPr>
          <w:ilvl w:val="0"/>
          <w:numId w:val="40"/>
        </w:numPr>
        <w:shd w:val="clear" w:color="auto" w:fill="FFFFFF"/>
        <w:spacing w:before="0" w:after="0" w:line="276" w:lineRule="auto"/>
        <w:ind w:left="425" w:firstLine="0"/>
        <w:rPr>
          <w:szCs w:val="20"/>
        </w:rPr>
      </w:pPr>
      <w:r w:rsidRPr="00F8329B">
        <w:rPr>
          <w:szCs w:val="20"/>
        </w:rPr>
        <w:t>FOLFIRI (5-FU + Irinotecan)</w:t>
      </w:r>
    </w:p>
    <w:p w:rsidR="000B5D81" w:rsidRPr="00F8329B" w:rsidRDefault="000B5D81" w:rsidP="000B5D81">
      <w:pPr>
        <w:numPr>
          <w:ilvl w:val="0"/>
          <w:numId w:val="40"/>
        </w:numPr>
        <w:shd w:val="clear" w:color="auto" w:fill="FFFFFF"/>
        <w:spacing w:before="0" w:after="0" w:line="276" w:lineRule="auto"/>
        <w:ind w:left="425" w:firstLine="0"/>
        <w:rPr>
          <w:szCs w:val="20"/>
        </w:rPr>
      </w:pPr>
      <w:r w:rsidRPr="00F8329B">
        <w:rPr>
          <w:szCs w:val="20"/>
        </w:rPr>
        <w:t>Capecitabine</w:t>
      </w:r>
    </w:p>
    <w:p w:rsidR="000B5D81" w:rsidRPr="00F8329B" w:rsidRDefault="000B5D81" w:rsidP="000B5D81">
      <w:pPr>
        <w:numPr>
          <w:ilvl w:val="0"/>
          <w:numId w:val="40"/>
        </w:numPr>
        <w:shd w:val="clear" w:color="auto" w:fill="FFFFFF"/>
        <w:spacing w:before="0" w:after="0" w:line="276" w:lineRule="auto"/>
        <w:ind w:left="425" w:firstLine="0"/>
        <w:rPr>
          <w:szCs w:val="20"/>
        </w:rPr>
      </w:pPr>
      <w:r w:rsidRPr="00F8329B">
        <w:rPr>
          <w:szCs w:val="20"/>
        </w:rPr>
        <w:t>Avastin + FOLFOX</w:t>
      </w:r>
    </w:p>
    <w:p w:rsidR="000B5D81" w:rsidRPr="00F8329B" w:rsidRDefault="000B5D81" w:rsidP="000B5D81">
      <w:pPr>
        <w:numPr>
          <w:ilvl w:val="0"/>
          <w:numId w:val="40"/>
        </w:numPr>
        <w:shd w:val="clear" w:color="auto" w:fill="FFFFFF"/>
        <w:spacing w:before="0" w:after="0" w:line="276" w:lineRule="auto"/>
        <w:ind w:left="425" w:firstLine="0"/>
        <w:rPr>
          <w:szCs w:val="20"/>
        </w:rPr>
      </w:pPr>
      <w:r w:rsidRPr="00F8329B">
        <w:rPr>
          <w:szCs w:val="20"/>
        </w:rPr>
        <w:t>Avastin + FOLFIRI</w:t>
      </w:r>
    </w:p>
    <w:p w:rsidR="000B5D81" w:rsidRPr="00F8329B" w:rsidRDefault="000B5D81" w:rsidP="000B5D81">
      <w:pPr>
        <w:numPr>
          <w:ilvl w:val="0"/>
          <w:numId w:val="40"/>
        </w:numPr>
        <w:shd w:val="clear" w:color="auto" w:fill="FFFFFF"/>
        <w:spacing w:before="0" w:after="0" w:line="276" w:lineRule="auto"/>
        <w:ind w:left="425" w:firstLine="0"/>
        <w:rPr>
          <w:szCs w:val="20"/>
        </w:rPr>
      </w:pPr>
      <w:r w:rsidRPr="00F8329B">
        <w:rPr>
          <w:szCs w:val="20"/>
        </w:rPr>
        <w:t>Cetuximab + FOLFOX (if RAS wildtype)</w:t>
      </w:r>
    </w:p>
    <w:p w:rsidR="000B5D81" w:rsidRPr="00F8329B" w:rsidRDefault="000B5D81" w:rsidP="000B5D81">
      <w:pPr>
        <w:numPr>
          <w:ilvl w:val="0"/>
          <w:numId w:val="40"/>
        </w:numPr>
        <w:shd w:val="clear" w:color="auto" w:fill="FFFFFF"/>
        <w:spacing w:before="0" w:after="0" w:line="276" w:lineRule="auto"/>
        <w:ind w:left="425" w:firstLine="0"/>
        <w:rPr>
          <w:szCs w:val="20"/>
        </w:rPr>
      </w:pPr>
      <w:r w:rsidRPr="00F8329B">
        <w:rPr>
          <w:szCs w:val="20"/>
        </w:rPr>
        <w:t>Cetuximab + FOLFIRI  (if RAS wildtype)</w:t>
      </w:r>
    </w:p>
    <w:p w:rsidR="000B5D81" w:rsidRPr="00F8329B" w:rsidRDefault="000B5D81" w:rsidP="000B5D81">
      <w:pPr>
        <w:ind w:left="426"/>
        <w:rPr>
          <w:szCs w:val="20"/>
        </w:rPr>
      </w:pPr>
      <w:r w:rsidRPr="00F8329B">
        <w:rPr>
          <w:szCs w:val="20"/>
        </w:rPr>
        <w:t>In addition to drug and drug administration cost, healthcare resources associated with treatment may include the management of drug-related toxicities, on-going disease management costs (e.g imaging, liver surgery), post-progression treatments and palliative care costs.</w:t>
      </w:r>
    </w:p>
    <w:p w:rsidR="003433D1" w:rsidRDefault="000B5D81" w:rsidP="000B5D81">
      <w:pPr>
        <w:spacing w:before="0"/>
        <w:ind w:left="426"/>
        <w:rPr>
          <w:b/>
          <w:szCs w:val="20"/>
        </w:rPr>
      </w:pPr>
      <w:r w:rsidRPr="00F8329B">
        <w:rPr>
          <w:szCs w:val="20"/>
        </w:rPr>
        <w:t>Please refer to Attachment 1 for the current clinical algorithm and proposed clinical algorithm.</w:t>
      </w:r>
    </w:p>
    <w:p w:rsidR="00A83EC6" w:rsidRPr="00154B00" w:rsidRDefault="005C3AE7" w:rsidP="00B032C7">
      <w:pPr>
        <w:pStyle w:val="Heading2"/>
        <w:spacing w:before="0"/>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rsidR="001B29A1" w:rsidRDefault="001B29A1" w:rsidP="00B032C7">
      <w:pPr>
        <w:spacing w:before="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AF6981">
        <w:rPr>
          <w:szCs w:val="20"/>
        </w:rPr>
      </w:r>
      <w:r w:rsidR="00AF6981">
        <w:rPr>
          <w:szCs w:val="20"/>
        </w:rPr>
        <w:fldChar w:fldCharType="separate"/>
      </w:r>
      <w:r w:rsidRPr="00753C44">
        <w:rPr>
          <w:szCs w:val="20"/>
        </w:rPr>
        <w:fldChar w:fldCharType="end"/>
      </w:r>
      <w:r>
        <w:rPr>
          <w:szCs w:val="20"/>
        </w:rPr>
        <w:t xml:space="preserve"> Yes </w:t>
      </w:r>
    </w:p>
    <w:p w:rsidR="001B29A1" w:rsidRDefault="000B5D81" w:rsidP="00B032C7">
      <w:pPr>
        <w:spacing w:before="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F6981">
        <w:rPr>
          <w:szCs w:val="20"/>
        </w:rPr>
      </w:r>
      <w:r w:rsidR="00AF6981">
        <w:rPr>
          <w:szCs w:val="20"/>
        </w:rPr>
        <w:fldChar w:fldCharType="separate"/>
      </w:r>
      <w:r>
        <w:rPr>
          <w:szCs w:val="20"/>
        </w:rPr>
        <w:fldChar w:fldCharType="end"/>
      </w:r>
      <w:r w:rsidR="001B29A1">
        <w:rPr>
          <w:szCs w:val="20"/>
        </w:rPr>
        <w:t xml:space="preserve"> No  </w:t>
      </w:r>
    </w:p>
    <w:p w:rsidR="00E70D86" w:rsidRPr="00154B00" w:rsidRDefault="00E70D86" w:rsidP="00B032C7">
      <w:pPr>
        <w:pStyle w:val="Heading2"/>
        <w:numPr>
          <w:ilvl w:val="0"/>
          <w:numId w:val="30"/>
        </w:numPr>
        <w:spacing w:before="0"/>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rsidR="003433D1" w:rsidRPr="001B29A1" w:rsidRDefault="001B29A1" w:rsidP="00B032C7">
      <w:pPr>
        <w:spacing w:before="0"/>
        <w:ind w:left="426"/>
        <w:rPr>
          <w:szCs w:val="20"/>
        </w:rPr>
      </w:pPr>
      <w:r>
        <w:fldChar w:fldCharType="begin">
          <w:ffData>
            <w:name w:val=""/>
            <w:enabled/>
            <w:calcOnExit w:val="0"/>
            <w:textInput>
              <w:default w:val="Outline service/comparator substitution here"/>
            </w:textInput>
          </w:ffData>
        </w:fldChar>
      </w:r>
      <w:r>
        <w:instrText xml:space="preserve"> FORMTEXT </w:instrText>
      </w:r>
      <w:r>
        <w:fldChar w:fldCharType="separate"/>
      </w:r>
      <w:r>
        <w:rPr>
          <w:noProof/>
        </w:rPr>
        <w:t>Outline service/comparator substitution here</w:t>
      </w:r>
      <w:r>
        <w:fldChar w:fldCharType="end"/>
      </w:r>
    </w:p>
    <w:p w:rsidR="0054594B" w:rsidRPr="00154B00" w:rsidRDefault="009C03FB" w:rsidP="00B032C7">
      <w:pPr>
        <w:pStyle w:val="Heading2"/>
        <w:spacing w:before="0"/>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rsidR="000B5D81" w:rsidRPr="00F8329B" w:rsidRDefault="000B5D81" w:rsidP="000B5D81">
      <w:pPr>
        <w:ind w:left="426"/>
        <w:rPr>
          <w:szCs w:val="20"/>
        </w:rPr>
      </w:pPr>
      <w:r w:rsidRPr="00F8329B">
        <w:rPr>
          <w:szCs w:val="20"/>
        </w:rPr>
        <w:t>If patients are found to be dMMR, they would receive treatment with pembrolizumab (200 mg IV every 3 weeks).  All other patients would continue to receive standard management.</w:t>
      </w:r>
    </w:p>
    <w:p w:rsidR="000B5D81" w:rsidRDefault="000B5D81">
      <w:pPr>
        <w:spacing w:before="0" w:after="200" w:line="276" w:lineRule="auto"/>
        <w:rPr>
          <w:szCs w:val="20"/>
        </w:rPr>
      </w:pPr>
      <w:r>
        <w:rPr>
          <w:szCs w:val="20"/>
        </w:rPr>
        <w:br w:type="page"/>
      </w:r>
    </w:p>
    <w:p w:rsidR="000B5D81" w:rsidRPr="00F8329B" w:rsidRDefault="000B5D81" w:rsidP="000B5D81">
      <w:pPr>
        <w:ind w:left="426"/>
        <w:rPr>
          <w:szCs w:val="20"/>
        </w:rPr>
      </w:pPr>
      <w:r w:rsidRPr="00F8329B">
        <w:rPr>
          <w:szCs w:val="20"/>
        </w:rPr>
        <w:lastRenderedPageBreak/>
        <w:t xml:space="preserve">It is hypothesised that treatment with pembrolizumab will delay disease progression and mortality and may have a superior safety profile.  Therefore, healthcare resource utilisation in the following areas could potentially be reduced: </w:t>
      </w:r>
    </w:p>
    <w:p w:rsidR="000B5D81" w:rsidRPr="00F8329B" w:rsidRDefault="000B5D81" w:rsidP="000B5D81">
      <w:pPr>
        <w:pStyle w:val="ListParagraph"/>
        <w:numPr>
          <w:ilvl w:val="0"/>
          <w:numId w:val="41"/>
        </w:numPr>
        <w:spacing w:before="0" w:line="276" w:lineRule="auto"/>
        <w:ind w:left="426" w:firstLine="0"/>
        <w:rPr>
          <w:szCs w:val="20"/>
        </w:rPr>
      </w:pPr>
      <w:r w:rsidRPr="00F8329B">
        <w:rPr>
          <w:szCs w:val="20"/>
        </w:rPr>
        <w:t>Adverse event related treatment;</w:t>
      </w:r>
    </w:p>
    <w:p w:rsidR="000B5D81" w:rsidRPr="00F8329B" w:rsidRDefault="000B5D81" w:rsidP="000B5D81">
      <w:pPr>
        <w:pStyle w:val="ListParagraph"/>
        <w:numPr>
          <w:ilvl w:val="0"/>
          <w:numId w:val="41"/>
        </w:numPr>
        <w:spacing w:before="0" w:line="276" w:lineRule="auto"/>
        <w:ind w:left="426" w:firstLine="0"/>
        <w:rPr>
          <w:szCs w:val="20"/>
        </w:rPr>
      </w:pPr>
      <w:r w:rsidRPr="00F8329B">
        <w:rPr>
          <w:szCs w:val="20"/>
        </w:rPr>
        <w:t>Ongoing disease management resource utilisation;</w:t>
      </w:r>
    </w:p>
    <w:p w:rsidR="000B5D81" w:rsidRDefault="000B5D81" w:rsidP="000B5D81">
      <w:pPr>
        <w:pStyle w:val="ListParagraph"/>
        <w:numPr>
          <w:ilvl w:val="0"/>
          <w:numId w:val="41"/>
        </w:numPr>
        <w:spacing w:before="0" w:line="276" w:lineRule="auto"/>
        <w:ind w:left="426" w:firstLine="0"/>
        <w:rPr>
          <w:szCs w:val="20"/>
        </w:rPr>
      </w:pPr>
      <w:r w:rsidRPr="00F8329B">
        <w:rPr>
          <w:szCs w:val="20"/>
        </w:rPr>
        <w:t>Post-progression/2L therapy; and</w:t>
      </w:r>
    </w:p>
    <w:p w:rsidR="0054594B" w:rsidRPr="000B5D81" w:rsidRDefault="000B5D81" w:rsidP="000B5D81">
      <w:pPr>
        <w:pStyle w:val="ListParagraph"/>
        <w:numPr>
          <w:ilvl w:val="0"/>
          <w:numId w:val="41"/>
        </w:numPr>
        <w:spacing w:before="0" w:line="276" w:lineRule="auto"/>
        <w:ind w:left="426" w:firstLine="0"/>
        <w:rPr>
          <w:szCs w:val="20"/>
        </w:rPr>
      </w:pPr>
      <w:r w:rsidRPr="000B5D81">
        <w:rPr>
          <w:szCs w:val="20"/>
        </w:rPr>
        <w:t>Palliative care costs.</w:t>
      </w:r>
    </w:p>
    <w:p w:rsidR="00DF0D47" w:rsidRPr="00881F93" w:rsidRDefault="005C3AE7" w:rsidP="00B032C7">
      <w:pPr>
        <w:pStyle w:val="Subtitle"/>
        <w:spacing w:before="0"/>
      </w:pPr>
      <w:r>
        <w:t xml:space="preserve">PART 6d – </w:t>
      </w:r>
      <w:r w:rsidR="00DF0D47" w:rsidRPr="00881F93">
        <w:t xml:space="preserve">INFORMATION ABOUT THE </w:t>
      </w:r>
      <w:r w:rsidR="00CF5AD8" w:rsidRPr="00881F93">
        <w:t xml:space="preserve">CLINICAL </w:t>
      </w:r>
      <w:r w:rsidR="00DF0D47" w:rsidRPr="00881F93">
        <w:t>OUTCOME</w:t>
      </w:r>
    </w:p>
    <w:p w:rsidR="004E3CC7" w:rsidRPr="001B29A1" w:rsidRDefault="004E3CC7" w:rsidP="00B032C7">
      <w:pPr>
        <w:pStyle w:val="Heading2"/>
        <w:spacing w:before="0"/>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rsidR="000B5D81" w:rsidRPr="00F8329B" w:rsidRDefault="000B5D81" w:rsidP="000B5D81">
      <w:pPr>
        <w:autoSpaceDE w:val="0"/>
        <w:autoSpaceDN w:val="0"/>
        <w:adjustRightInd w:val="0"/>
        <w:rPr>
          <w:szCs w:val="20"/>
        </w:rPr>
      </w:pPr>
      <w:r w:rsidRPr="00F8329B">
        <w:rPr>
          <w:szCs w:val="20"/>
        </w:rPr>
        <w:t>KEYNOTE-177 in a phase III trial of pembrolizumab versus SoC chemotherapies in subjects receiving 1L treatment for stage IV MSI-H or dMMR CRC.   Approximately 270 subjects will be randomized in a 1:1 ratio to receive pembrolizumab or standard of care (SOC). This is an open label study.  The trial is currently on-going. Results are expected at the end of 2018.</w:t>
      </w:r>
    </w:p>
    <w:p w:rsidR="000B5D81" w:rsidRPr="00F8329B" w:rsidRDefault="000B5D81" w:rsidP="000B5D81">
      <w:pPr>
        <w:autoSpaceDE w:val="0"/>
        <w:autoSpaceDN w:val="0"/>
        <w:adjustRightInd w:val="0"/>
        <w:rPr>
          <w:szCs w:val="20"/>
        </w:rPr>
      </w:pPr>
      <w:r w:rsidRPr="00F8329B">
        <w:rPr>
          <w:szCs w:val="20"/>
        </w:rPr>
        <w:t>The primary objective of the trial is</w:t>
      </w:r>
      <w:r>
        <w:rPr>
          <w:szCs w:val="20"/>
        </w:rPr>
        <w:t>:</w:t>
      </w:r>
    </w:p>
    <w:p w:rsidR="000B5D81" w:rsidRPr="000B5D81" w:rsidRDefault="000B5D81" w:rsidP="000B5D81">
      <w:pPr>
        <w:pStyle w:val="ListParagraph"/>
        <w:numPr>
          <w:ilvl w:val="0"/>
          <w:numId w:val="42"/>
        </w:numPr>
        <w:autoSpaceDE w:val="0"/>
        <w:autoSpaceDN w:val="0"/>
        <w:adjustRightInd w:val="0"/>
        <w:spacing w:before="0" w:line="276" w:lineRule="auto"/>
        <w:rPr>
          <w:szCs w:val="20"/>
        </w:rPr>
      </w:pPr>
      <w:r w:rsidRPr="00F8329B">
        <w:rPr>
          <w:szCs w:val="20"/>
        </w:rPr>
        <w:t>To compare Progression Free Survival (PFS) per RECIST 1.1 by central imaging vendor.</w:t>
      </w:r>
    </w:p>
    <w:p w:rsidR="000B5D81" w:rsidRPr="00F8329B" w:rsidRDefault="000B5D81" w:rsidP="000B5D81">
      <w:pPr>
        <w:autoSpaceDE w:val="0"/>
        <w:autoSpaceDN w:val="0"/>
        <w:adjustRightInd w:val="0"/>
        <w:rPr>
          <w:szCs w:val="20"/>
        </w:rPr>
      </w:pPr>
      <w:r w:rsidRPr="00F8329B">
        <w:rPr>
          <w:szCs w:val="20"/>
        </w:rPr>
        <w:t>Hypothesis 1: Pembrolizumab prolongs PFS per RECIST 1.1 by central imaging vendor compared to SOC chemotherapies.</w:t>
      </w:r>
    </w:p>
    <w:p w:rsidR="000B5D81" w:rsidRPr="00F8329B" w:rsidRDefault="000B5D81" w:rsidP="000B5D81">
      <w:pPr>
        <w:autoSpaceDE w:val="0"/>
        <w:autoSpaceDN w:val="0"/>
        <w:adjustRightInd w:val="0"/>
        <w:rPr>
          <w:szCs w:val="20"/>
        </w:rPr>
      </w:pPr>
      <w:r w:rsidRPr="00F8329B">
        <w:rPr>
          <w:szCs w:val="20"/>
        </w:rPr>
        <w:t>The seconda</w:t>
      </w:r>
      <w:r>
        <w:rPr>
          <w:szCs w:val="20"/>
        </w:rPr>
        <w:t>ry objectives of the trial are:</w:t>
      </w:r>
    </w:p>
    <w:p w:rsidR="000B5D81" w:rsidRPr="000B5D81" w:rsidRDefault="000B5D81" w:rsidP="000B5D81">
      <w:pPr>
        <w:pStyle w:val="ListParagraph"/>
        <w:numPr>
          <w:ilvl w:val="0"/>
          <w:numId w:val="42"/>
        </w:numPr>
        <w:autoSpaceDE w:val="0"/>
        <w:autoSpaceDN w:val="0"/>
        <w:adjustRightInd w:val="0"/>
        <w:spacing w:before="0" w:line="276" w:lineRule="auto"/>
        <w:rPr>
          <w:szCs w:val="20"/>
        </w:rPr>
      </w:pPr>
      <w:r w:rsidRPr="00F8329B">
        <w:rPr>
          <w:szCs w:val="20"/>
        </w:rPr>
        <w:t>To compare Overall Response Rate (ORR) per RECIST 1.1 by central imaging vendor.</w:t>
      </w:r>
    </w:p>
    <w:p w:rsidR="000B5D81" w:rsidRPr="00F8329B" w:rsidRDefault="000B5D81" w:rsidP="000B5D81">
      <w:pPr>
        <w:autoSpaceDE w:val="0"/>
        <w:autoSpaceDN w:val="0"/>
        <w:adjustRightInd w:val="0"/>
        <w:rPr>
          <w:szCs w:val="20"/>
        </w:rPr>
      </w:pPr>
      <w:r w:rsidRPr="00F8329B">
        <w:rPr>
          <w:szCs w:val="20"/>
        </w:rPr>
        <w:t>Hypothesis 2: Pembrolizumab improves ORR</w:t>
      </w:r>
      <w:r>
        <w:rPr>
          <w:szCs w:val="20"/>
        </w:rPr>
        <w:t xml:space="preserve"> compared to SOC chemotherapies</w:t>
      </w:r>
    </w:p>
    <w:p w:rsidR="000B5D81" w:rsidRPr="000B5D81" w:rsidRDefault="000B5D81" w:rsidP="000B5D81">
      <w:pPr>
        <w:pStyle w:val="ListParagraph"/>
        <w:numPr>
          <w:ilvl w:val="0"/>
          <w:numId w:val="42"/>
        </w:numPr>
        <w:autoSpaceDE w:val="0"/>
        <w:autoSpaceDN w:val="0"/>
        <w:adjustRightInd w:val="0"/>
        <w:spacing w:before="0" w:line="276" w:lineRule="auto"/>
        <w:rPr>
          <w:szCs w:val="20"/>
        </w:rPr>
      </w:pPr>
      <w:r w:rsidRPr="00F8329B">
        <w:rPr>
          <w:szCs w:val="20"/>
        </w:rPr>
        <w:t>To compare Overall Survival (OS).</w:t>
      </w:r>
    </w:p>
    <w:p w:rsidR="000B5D81" w:rsidRPr="00F8329B" w:rsidRDefault="000B5D81" w:rsidP="000B5D81">
      <w:pPr>
        <w:autoSpaceDE w:val="0"/>
        <w:autoSpaceDN w:val="0"/>
        <w:adjustRightInd w:val="0"/>
        <w:rPr>
          <w:szCs w:val="20"/>
        </w:rPr>
      </w:pPr>
      <w:r w:rsidRPr="00F8329B">
        <w:rPr>
          <w:szCs w:val="20"/>
        </w:rPr>
        <w:t xml:space="preserve">Hypothesis 3: Pembrolizumab prolongs OS </w:t>
      </w:r>
      <w:r>
        <w:rPr>
          <w:szCs w:val="20"/>
        </w:rPr>
        <w:t>compared to SOC chemotherapies.</w:t>
      </w:r>
    </w:p>
    <w:p w:rsidR="000B5D81" w:rsidRPr="000B5D81" w:rsidRDefault="000B5D81" w:rsidP="000B5D81">
      <w:pPr>
        <w:pStyle w:val="ListParagraph"/>
        <w:numPr>
          <w:ilvl w:val="0"/>
          <w:numId w:val="42"/>
        </w:numPr>
        <w:autoSpaceDE w:val="0"/>
        <w:autoSpaceDN w:val="0"/>
        <w:adjustRightInd w:val="0"/>
        <w:spacing w:before="0" w:line="276" w:lineRule="auto"/>
        <w:rPr>
          <w:szCs w:val="20"/>
        </w:rPr>
      </w:pPr>
      <w:r w:rsidRPr="00F8329B">
        <w:rPr>
          <w:szCs w:val="20"/>
        </w:rPr>
        <w:t>To evaluate the safety and tolerability profiles.</w:t>
      </w:r>
    </w:p>
    <w:p w:rsidR="000B5D81" w:rsidRPr="00F8329B" w:rsidRDefault="000B5D81" w:rsidP="000B5D81">
      <w:pPr>
        <w:autoSpaceDE w:val="0"/>
        <w:autoSpaceDN w:val="0"/>
        <w:adjustRightInd w:val="0"/>
        <w:rPr>
          <w:szCs w:val="20"/>
        </w:rPr>
      </w:pPr>
      <w:r w:rsidRPr="00F8329B">
        <w:rPr>
          <w:szCs w:val="20"/>
        </w:rPr>
        <w:t>Hypothesis 4: Pembrolizumab has a non-inferior safety a</w:t>
      </w:r>
      <w:r>
        <w:rPr>
          <w:szCs w:val="20"/>
        </w:rPr>
        <w:t>nd tolerability profile to SoC.</w:t>
      </w:r>
    </w:p>
    <w:p w:rsidR="004E3CC7" w:rsidRPr="00154B00" w:rsidRDefault="000B5D81" w:rsidP="000B5D81">
      <w:pPr>
        <w:autoSpaceDE w:val="0"/>
        <w:autoSpaceDN w:val="0"/>
        <w:adjustRightInd w:val="0"/>
        <w:rPr>
          <w:szCs w:val="20"/>
        </w:rPr>
      </w:pPr>
      <w:r w:rsidRPr="00F8329B">
        <w:rPr>
          <w:szCs w:val="20"/>
        </w:rPr>
        <w:t>The clinical claims will be related to the hypotheses of the trial and are dependent upon the results of the interim/final analyses.</w:t>
      </w:r>
    </w:p>
    <w:p w:rsidR="004E3CC7" w:rsidRPr="00154B00" w:rsidRDefault="004E3CC7" w:rsidP="00B032C7">
      <w:pPr>
        <w:pStyle w:val="Heading2"/>
        <w:spacing w:before="0"/>
      </w:pPr>
      <w:r w:rsidRPr="00154B00">
        <w:t xml:space="preserve">Please advise if the </w:t>
      </w:r>
      <w:r w:rsidR="00CF5AD8" w:rsidRPr="00092580">
        <w:t>overall</w:t>
      </w:r>
      <w:r w:rsidR="00CF5AD8">
        <w:t xml:space="preserve"> </w:t>
      </w:r>
      <w:r w:rsidRPr="00154B00">
        <w:t>clinical claim is for:</w:t>
      </w:r>
    </w:p>
    <w:p w:rsidR="001B29A1" w:rsidRPr="001B29A1" w:rsidRDefault="000B5D81" w:rsidP="00B032C7">
      <w:pPr>
        <w:spacing w:before="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F6981">
        <w:rPr>
          <w:szCs w:val="20"/>
        </w:rPr>
      </w:r>
      <w:r w:rsidR="00AF6981">
        <w:rPr>
          <w:szCs w:val="20"/>
        </w:rPr>
        <w:fldChar w:fldCharType="separate"/>
      </w:r>
      <w:r>
        <w:rPr>
          <w:szCs w:val="20"/>
        </w:rPr>
        <w:fldChar w:fldCharType="end"/>
      </w:r>
      <w:r w:rsidR="001B29A1" w:rsidRPr="001B29A1">
        <w:rPr>
          <w:szCs w:val="20"/>
        </w:rPr>
        <w:t xml:space="preserve"> Superiority</w:t>
      </w:r>
      <w:r w:rsidR="001B29A1" w:rsidRPr="001B29A1">
        <w:rPr>
          <w:szCs w:val="20"/>
        </w:rPr>
        <w:tab/>
      </w:r>
    </w:p>
    <w:p w:rsidR="004E3CC7" w:rsidRPr="001B29A1" w:rsidRDefault="001B29A1" w:rsidP="00B032C7">
      <w:pPr>
        <w:spacing w:before="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AF6981">
        <w:rPr>
          <w:szCs w:val="20"/>
        </w:rPr>
      </w:r>
      <w:r w:rsidR="00AF6981">
        <w:rPr>
          <w:szCs w:val="20"/>
        </w:rPr>
        <w:fldChar w:fldCharType="separate"/>
      </w:r>
      <w:r w:rsidRPr="001B29A1">
        <w:rPr>
          <w:szCs w:val="20"/>
        </w:rPr>
        <w:fldChar w:fldCharType="end"/>
      </w:r>
      <w:r w:rsidRPr="001B29A1">
        <w:rPr>
          <w:szCs w:val="20"/>
        </w:rPr>
        <w:t xml:space="preserve"> Non-inferiority</w:t>
      </w:r>
      <w:r w:rsidRPr="001B29A1">
        <w:rPr>
          <w:szCs w:val="20"/>
        </w:rPr>
        <w:tab/>
      </w:r>
    </w:p>
    <w:p w:rsidR="00B25D20" w:rsidRPr="00154B00" w:rsidRDefault="001B29A1" w:rsidP="00B032C7">
      <w:pPr>
        <w:pStyle w:val="Heading2"/>
        <w:spacing w:before="0"/>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rsidR="001B29A1" w:rsidRDefault="001B29A1" w:rsidP="00B032C7">
      <w:pPr>
        <w:pBdr>
          <w:top w:val="single" w:sz="4" w:space="1" w:color="auto"/>
          <w:left w:val="single" w:sz="4" w:space="4" w:color="auto"/>
          <w:bottom w:val="single" w:sz="4" w:space="1" w:color="auto"/>
          <w:right w:val="single" w:sz="4" w:space="4" w:color="auto"/>
        </w:pBdr>
        <w:spacing w:before="0"/>
        <w:rPr>
          <w:b/>
          <w:szCs w:val="20"/>
        </w:rPr>
      </w:pPr>
      <w:r w:rsidRPr="001B29A1">
        <w:rPr>
          <w:b/>
          <w:szCs w:val="20"/>
        </w:rPr>
        <w:t>Safety Outcomes</w:t>
      </w:r>
      <w:r>
        <w:rPr>
          <w:b/>
          <w:szCs w:val="20"/>
        </w:rPr>
        <w:t xml:space="preserve">: </w:t>
      </w:r>
    </w:p>
    <w:p w:rsidR="00CD79FE" w:rsidRPr="00CD79FE" w:rsidRDefault="00CD79FE" w:rsidP="00CD79FE">
      <w:pPr>
        <w:pBdr>
          <w:top w:val="single" w:sz="4" w:space="1" w:color="auto"/>
          <w:left w:val="single" w:sz="4" w:space="4" w:color="auto"/>
          <w:bottom w:val="single" w:sz="4" w:space="1" w:color="auto"/>
          <w:right w:val="single" w:sz="4" w:space="4" w:color="auto"/>
        </w:pBdr>
        <w:spacing w:before="0"/>
        <w:rPr>
          <w:szCs w:val="20"/>
        </w:rPr>
      </w:pPr>
      <w:r>
        <w:rPr>
          <w:szCs w:val="20"/>
        </w:rPr>
        <w:t xml:space="preserve">• </w:t>
      </w:r>
      <w:r w:rsidRPr="00CD79FE">
        <w:rPr>
          <w:szCs w:val="20"/>
        </w:rPr>
        <w:t>Serious adverse events (defined as events that result in death; are life threatening; result in persistent or significant disability/incapacity; result in or prolongs an existing inpatient hospitalization; are a congenital anomaly/birth defect; or other important medical event).</w:t>
      </w:r>
    </w:p>
    <w:p w:rsidR="00CD79FE" w:rsidRPr="00CD79FE" w:rsidRDefault="00CD79FE" w:rsidP="00CD79FE">
      <w:pPr>
        <w:pBdr>
          <w:top w:val="single" w:sz="4" w:space="1" w:color="auto"/>
          <w:left w:val="single" w:sz="4" w:space="4" w:color="auto"/>
          <w:bottom w:val="single" w:sz="4" w:space="1" w:color="auto"/>
          <w:right w:val="single" w:sz="4" w:space="4" w:color="auto"/>
        </w:pBdr>
        <w:spacing w:before="0"/>
        <w:rPr>
          <w:szCs w:val="20"/>
        </w:rPr>
      </w:pPr>
      <w:r>
        <w:rPr>
          <w:szCs w:val="20"/>
        </w:rPr>
        <w:t xml:space="preserve">• </w:t>
      </w:r>
      <w:r w:rsidRPr="00CD79FE">
        <w:rPr>
          <w:szCs w:val="20"/>
        </w:rPr>
        <w:t>Adverse events</w:t>
      </w:r>
    </w:p>
    <w:p w:rsidR="00CD79FE" w:rsidRPr="00CD79FE" w:rsidRDefault="00CD79FE" w:rsidP="00CD79FE">
      <w:pPr>
        <w:pBdr>
          <w:top w:val="single" w:sz="4" w:space="1" w:color="auto"/>
          <w:left w:val="single" w:sz="4" w:space="4" w:color="auto"/>
          <w:bottom w:val="single" w:sz="4" w:space="1" w:color="auto"/>
          <w:right w:val="single" w:sz="4" w:space="4" w:color="auto"/>
        </w:pBdr>
        <w:spacing w:before="0"/>
        <w:rPr>
          <w:szCs w:val="20"/>
        </w:rPr>
      </w:pPr>
      <w:r>
        <w:rPr>
          <w:szCs w:val="20"/>
        </w:rPr>
        <w:t xml:space="preserve">• </w:t>
      </w:r>
      <w:r w:rsidRPr="00CD79FE">
        <w:rPr>
          <w:szCs w:val="20"/>
        </w:rPr>
        <w:t>Toxicities</w:t>
      </w:r>
    </w:p>
    <w:p w:rsidR="001B29A1" w:rsidRPr="00CD79FE" w:rsidRDefault="00CD79FE" w:rsidP="00CD79FE">
      <w:pPr>
        <w:pBdr>
          <w:top w:val="single" w:sz="4" w:space="1" w:color="auto"/>
          <w:left w:val="single" w:sz="4" w:space="4" w:color="auto"/>
          <w:bottom w:val="single" w:sz="4" w:space="1" w:color="auto"/>
          <w:right w:val="single" w:sz="4" w:space="4" w:color="auto"/>
        </w:pBdr>
        <w:spacing w:before="0"/>
        <w:rPr>
          <w:szCs w:val="20"/>
        </w:rPr>
      </w:pPr>
      <w:r>
        <w:rPr>
          <w:szCs w:val="20"/>
        </w:rPr>
        <w:t xml:space="preserve">• </w:t>
      </w:r>
      <w:r w:rsidRPr="00CD79FE">
        <w:rPr>
          <w:szCs w:val="20"/>
        </w:rPr>
        <w:t>Safety of the MMR IHC test (including rates of re-biopsy required for testing)</w:t>
      </w:r>
    </w:p>
    <w:p w:rsidR="00CD79FE" w:rsidRDefault="00CD79FE">
      <w:pPr>
        <w:spacing w:before="0" w:after="200" w:line="276" w:lineRule="auto"/>
        <w:rPr>
          <w:b/>
          <w:szCs w:val="20"/>
        </w:rPr>
      </w:pPr>
      <w:r>
        <w:rPr>
          <w:b/>
          <w:szCs w:val="20"/>
        </w:rPr>
        <w:br w:type="page"/>
      </w:r>
    </w:p>
    <w:p w:rsidR="00B25D20" w:rsidRDefault="001B29A1" w:rsidP="00B032C7">
      <w:pPr>
        <w:pBdr>
          <w:top w:val="single" w:sz="4" w:space="1" w:color="auto"/>
          <w:left w:val="single" w:sz="4" w:space="4" w:color="auto"/>
          <w:bottom w:val="single" w:sz="4" w:space="1" w:color="auto"/>
          <w:right w:val="single" w:sz="4" w:space="4" w:color="auto"/>
        </w:pBdr>
        <w:spacing w:before="0"/>
      </w:pPr>
      <w:r w:rsidRPr="001B29A1">
        <w:rPr>
          <w:b/>
          <w:szCs w:val="20"/>
        </w:rPr>
        <w:lastRenderedPageBreak/>
        <w:t>Clinical Effectiveness Outcomes</w:t>
      </w:r>
      <w:r>
        <w:rPr>
          <w:b/>
          <w:szCs w:val="20"/>
        </w:rPr>
        <w:t xml:space="preserve">: </w:t>
      </w:r>
    </w:p>
    <w:p w:rsidR="00CD79FE" w:rsidRPr="00CD79FE" w:rsidRDefault="00CD79FE" w:rsidP="00CD79FE">
      <w:pPr>
        <w:pBdr>
          <w:top w:val="single" w:sz="4" w:space="1" w:color="auto"/>
          <w:left w:val="single" w:sz="4" w:space="4" w:color="auto"/>
          <w:bottom w:val="single" w:sz="4" w:space="1" w:color="auto"/>
          <w:right w:val="single" w:sz="4" w:space="4" w:color="auto"/>
        </w:pBdr>
        <w:spacing w:before="0"/>
        <w:rPr>
          <w:szCs w:val="20"/>
        </w:rPr>
      </w:pPr>
      <w:r>
        <w:rPr>
          <w:szCs w:val="20"/>
        </w:rPr>
        <w:t xml:space="preserve">• </w:t>
      </w:r>
      <w:r w:rsidRPr="00CD79FE">
        <w:rPr>
          <w:szCs w:val="20"/>
        </w:rPr>
        <w:t>Diagnostic Accuracy of MMR IHC test (Sensitivity, Specificity, Positive predictive value, Negative Predictive Value). Concordance with MSI status testing</w:t>
      </w:r>
    </w:p>
    <w:p w:rsidR="00CD79FE" w:rsidRPr="00CD79FE" w:rsidRDefault="00CD79FE" w:rsidP="00CD79FE">
      <w:pPr>
        <w:pBdr>
          <w:top w:val="single" w:sz="4" w:space="1" w:color="auto"/>
          <w:left w:val="single" w:sz="4" w:space="4" w:color="auto"/>
          <w:bottom w:val="single" w:sz="4" w:space="1" w:color="auto"/>
          <w:right w:val="single" w:sz="4" w:space="4" w:color="auto"/>
        </w:pBdr>
        <w:spacing w:before="0"/>
        <w:rPr>
          <w:szCs w:val="20"/>
        </w:rPr>
      </w:pPr>
      <w:r>
        <w:rPr>
          <w:szCs w:val="20"/>
        </w:rPr>
        <w:t xml:space="preserve">• </w:t>
      </w:r>
      <w:r w:rsidRPr="00CD79FE">
        <w:rPr>
          <w:szCs w:val="20"/>
        </w:rPr>
        <w:t>Progression Free Survival (PFS) per RECIST 1.1</w:t>
      </w:r>
    </w:p>
    <w:p w:rsidR="00CD79FE" w:rsidRPr="00CD79FE" w:rsidRDefault="00CD79FE" w:rsidP="00CD79FE">
      <w:pPr>
        <w:pBdr>
          <w:top w:val="single" w:sz="4" w:space="1" w:color="auto"/>
          <w:left w:val="single" w:sz="4" w:space="4" w:color="auto"/>
          <w:bottom w:val="single" w:sz="4" w:space="1" w:color="auto"/>
          <w:right w:val="single" w:sz="4" w:space="4" w:color="auto"/>
        </w:pBdr>
        <w:spacing w:before="0"/>
        <w:rPr>
          <w:szCs w:val="20"/>
        </w:rPr>
      </w:pPr>
      <w:r>
        <w:rPr>
          <w:szCs w:val="20"/>
        </w:rPr>
        <w:t xml:space="preserve">• </w:t>
      </w:r>
      <w:r w:rsidRPr="00CD79FE">
        <w:rPr>
          <w:szCs w:val="20"/>
        </w:rPr>
        <w:t>Overall Response Rate (ORR) per RECIST 1.1</w:t>
      </w:r>
    </w:p>
    <w:p w:rsidR="00CD79FE" w:rsidRPr="00CD79FE" w:rsidRDefault="00CD79FE" w:rsidP="00CD79FE">
      <w:pPr>
        <w:pBdr>
          <w:top w:val="single" w:sz="4" w:space="1" w:color="auto"/>
          <w:left w:val="single" w:sz="4" w:space="4" w:color="auto"/>
          <w:bottom w:val="single" w:sz="4" w:space="1" w:color="auto"/>
          <w:right w:val="single" w:sz="4" w:space="4" w:color="auto"/>
        </w:pBdr>
        <w:spacing w:before="0"/>
        <w:rPr>
          <w:szCs w:val="20"/>
        </w:rPr>
      </w:pPr>
      <w:r>
        <w:rPr>
          <w:szCs w:val="20"/>
        </w:rPr>
        <w:t xml:space="preserve">• </w:t>
      </w:r>
      <w:r w:rsidRPr="00CD79FE">
        <w:rPr>
          <w:szCs w:val="20"/>
        </w:rPr>
        <w:t>Overall Survival</w:t>
      </w:r>
    </w:p>
    <w:p w:rsidR="001B29A1" w:rsidRPr="00CD79FE" w:rsidRDefault="00CD79FE" w:rsidP="00B032C7">
      <w:pPr>
        <w:pBdr>
          <w:top w:val="single" w:sz="4" w:space="1" w:color="auto"/>
          <w:left w:val="single" w:sz="4" w:space="4" w:color="auto"/>
          <w:bottom w:val="single" w:sz="4" w:space="1" w:color="auto"/>
          <w:right w:val="single" w:sz="4" w:space="4" w:color="auto"/>
        </w:pBdr>
        <w:spacing w:before="0"/>
        <w:rPr>
          <w:szCs w:val="20"/>
        </w:rPr>
      </w:pPr>
      <w:r>
        <w:rPr>
          <w:szCs w:val="20"/>
        </w:rPr>
        <w:t xml:space="preserve">• </w:t>
      </w:r>
      <w:r w:rsidRPr="00CD79FE">
        <w:rPr>
          <w:szCs w:val="20"/>
        </w:rPr>
        <w:t>Patient Reported Outcomes (EuroQol EQ5D-3L, EORTC QLQ-C30, and EORTC QLQ-CR29)</w:t>
      </w:r>
    </w:p>
    <w:p w:rsidR="00C776B1" w:rsidRPr="00C776B1" w:rsidRDefault="003433D1" w:rsidP="00B032C7">
      <w:pPr>
        <w:pStyle w:val="Heading1"/>
        <w:spacing w:after="120" w:line="240" w:lineRule="auto"/>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rsidR="006C74B1" w:rsidRPr="00092580" w:rsidRDefault="00BE0FDE" w:rsidP="00B032C7">
      <w:pPr>
        <w:pStyle w:val="Heading2"/>
        <w:spacing w:before="0"/>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rsidR="006C74B1" w:rsidRPr="00154B00" w:rsidRDefault="00CD79FE" w:rsidP="00B032C7">
      <w:pPr>
        <w:spacing w:before="0"/>
        <w:ind w:left="426"/>
        <w:rPr>
          <w:szCs w:val="20"/>
        </w:rPr>
      </w:pPr>
      <w:r w:rsidRPr="00F8329B">
        <w:rPr>
          <w:szCs w:val="20"/>
        </w:rPr>
        <w:t>It is estimated that 17,520 cases of CRC will be diagnosed in Australia in 2016 (AIHW, 2016). Of these, approximately 10% of cases, or 1752 patients, are expected to have Stage IV cancer (Morris, 2007).</w:t>
      </w:r>
    </w:p>
    <w:p w:rsidR="00382407" w:rsidRPr="00154B00" w:rsidRDefault="00382407" w:rsidP="00B032C7">
      <w:pPr>
        <w:pStyle w:val="Heading2"/>
        <w:spacing w:before="0"/>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rsidR="00382407" w:rsidRPr="00154B00" w:rsidRDefault="00CD79FE" w:rsidP="00B032C7">
      <w:pPr>
        <w:spacing w:before="0"/>
        <w:ind w:left="426"/>
        <w:rPr>
          <w:szCs w:val="20"/>
        </w:rPr>
      </w:pPr>
      <w:r w:rsidRPr="00F8329B">
        <w:rPr>
          <w:szCs w:val="20"/>
        </w:rPr>
        <w:t>Patients would require only 1 test throughout the course of their disease.</w:t>
      </w:r>
    </w:p>
    <w:p w:rsidR="00382407" w:rsidRPr="00154B00" w:rsidRDefault="00382407" w:rsidP="00B032C7">
      <w:pPr>
        <w:pStyle w:val="Heading2"/>
        <w:spacing w:before="0"/>
      </w:pPr>
      <w:r w:rsidRPr="00154B00">
        <w:t>How many years would the proposed medical service</w:t>
      </w:r>
      <w:r w:rsidR="005A58BA">
        <w:t>(s)</w:t>
      </w:r>
      <w:r w:rsidRPr="00154B00">
        <w:t xml:space="preserve"> be required for the patient?</w:t>
      </w:r>
    </w:p>
    <w:p w:rsidR="00382407" w:rsidRPr="00154B00" w:rsidRDefault="00CD79FE" w:rsidP="00B032C7">
      <w:pPr>
        <w:spacing w:before="0"/>
        <w:ind w:left="426"/>
        <w:rPr>
          <w:b/>
          <w:szCs w:val="20"/>
        </w:rPr>
      </w:pPr>
      <w:r w:rsidRPr="00F8329B">
        <w:rPr>
          <w:szCs w:val="20"/>
        </w:rPr>
        <w:t>The proposed medical service would only be required in year 1 (if the patient has not previously had a test or previous results are not available)</w:t>
      </w:r>
    </w:p>
    <w:p w:rsidR="002A6753" w:rsidRPr="00154B00" w:rsidRDefault="000E47E7" w:rsidP="00B032C7">
      <w:pPr>
        <w:pStyle w:val="Heading2"/>
        <w:spacing w:before="0"/>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rsidR="00AE1188" w:rsidRPr="00154B00" w:rsidRDefault="00CD79FE" w:rsidP="00B032C7">
      <w:pPr>
        <w:spacing w:before="0"/>
        <w:ind w:left="426"/>
        <w:rPr>
          <w:szCs w:val="20"/>
        </w:rPr>
      </w:pPr>
      <w:r w:rsidRPr="00F8329B">
        <w:rPr>
          <w:szCs w:val="20"/>
        </w:rPr>
        <w:t>1752 patients are expected to be diagnosed with Stage IV CRC and would receive MMR IHC testing (however, some of these patients may have had MMR IHC tests performed at earlier stages of disease. As the results are not expected to change over time, these earlier results would still be relevant for Stage IV treatment).  Of the Stage IV patients, approximately 4% of patients (n=70 patients) would be confirmed as having dMMR and would be treated with pembrolizumab.</w:t>
      </w:r>
    </w:p>
    <w:p w:rsidR="00974D50" w:rsidRPr="00154B00" w:rsidRDefault="005A58BA" w:rsidP="00B032C7">
      <w:pPr>
        <w:pStyle w:val="Heading2"/>
        <w:spacing w:before="0"/>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rsidR="00CD79FE" w:rsidRPr="00F8329B" w:rsidRDefault="00CD79FE" w:rsidP="00CD79FE">
      <w:pPr>
        <w:ind w:left="426"/>
        <w:rPr>
          <w:szCs w:val="20"/>
        </w:rPr>
      </w:pPr>
      <w:r w:rsidRPr="00F8329B">
        <w:rPr>
          <w:szCs w:val="20"/>
        </w:rPr>
        <w:t>IHC MMR testing is already routinely undertaken in CRC patients in approximately 54% of Australian laboratories (Mascarenhas, 2015).  Therefore, uptake is not expected to change from current rates at these locations.   The remaining laboratories screen samples based on red flag criteria (40%) or upon clinician request (6%). While uptake would increase in these laboratories, they are already performing MMR IHC testing and therefore have existing resources and referral arrangements in place.</w:t>
      </w:r>
    </w:p>
    <w:p w:rsidR="001B171D" w:rsidRPr="00154B00" w:rsidRDefault="00CD79FE" w:rsidP="00CD79FE">
      <w:pPr>
        <w:spacing w:before="0"/>
        <w:ind w:left="426"/>
        <w:rPr>
          <w:szCs w:val="20"/>
        </w:rPr>
      </w:pPr>
      <w:r w:rsidRPr="00F8329B">
        <w:rPr>
          <w:szCs w:val="20"/>
        </w:rPr>
        <w:t>MMR IHC results are used for other clinical-decision making purposes, so many patients will have had testing performed at earlier stages of disease.  Furthermore, some centres are already practising universal testing.  Therefore, ‘leakage’ related to the introduction of co-dependent treatment with pembrolizumab is not expected.</w:t>
      </w:r>
    </w:p>
    <w:p w:rsidR="003433D1" w:rsidRDefault="003433D1" w:rsidP="00B032C7">
      <w:pPr>
        <w:spacing w:before="0"/>
        <w:rPr>
          <w:b/>
          <w:sz w:val="32"/>
          <w:szCs w:val="32"/>
        </w:rPr>
      </w:pPr>
      <w:r>
        <w:rPr>
          <w:b/>
          <w:sz w:val="32"/>
          <w:szCs w:val="32"/>
        </w:rPr>
        <w:br w:type="page"/>
      </w:r>
    </w:p>
    <w:p w:rsidR="00951933" w:rsidRPr="00C776B1" w:rsidRDefault="001B5169" w:rsidP="00B032C7">
      <w:pPr>
        <w:pStyle w:val="Heading1"/>
        <w:spacing w:after="120" w:line="240" w:lineRule="auto"/>
      </w:pPr>
      <w:r>
        <w:lastRenderedPageBreak/>
        <w:t>PART 8</w:t>
      </w:r>
      <w:r w:rsidR="00F93784">
        <w:t xml:space="preserve"> – </w:t>
      </w:r>
      <w:r w:rsidR="005A58BA">
        <w:t>COST</w:t>
      </w:r>
      <w:r w:rsidR="00951933" w:rsidRPr="00C776B1">
        <w:t xml:space="preserve"> INFORMATION</w:t>
      </w:r>
    </w:p>
    <w:p w:rsidR="006A649A" w:rsidRPr="00AE1188" w:rsidRDefault="006A649A" w:rsidP="00B032C7">
      <w:pPr>
        <w:pStyle w:val="Heading2"/>
        <w:spacing w:before="0"/>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rsidR="00951933" w:rsidRPr="00154B00" w:rsidRDefault="00CD79FE" w:rsidP="00B032C7">
      <w:pPr>
        <w:spacing w:before="0"/>
        <w:ind w:left="426"/>
        <w:rPr>
          <w:szCs w:val="20"/>
        </w:rPr>
      </w:pPr>
      <w:r w:rsidRPr="00F8329B">
        <w:rPr>
          <w:szCs w:val="20"/>
        </w:rPr>
        <w:t>The MMR IHC is currently billed to MBS item 72847 (IHC with 4-6 antibodies).  The Medicare fee of $89.40 is not expected to change.</w:t>
      </w:r>
    </w:p>
    <w:p w:rsidR="00951933" w:rsidRPr="00154B00" w:rsidRDefault="00951933" w:rsidP="00B032C7">
      <w:pPr>
        <w:pStyle w:val="Heading2"/>
        <w:spacing w:before="0"/>
      </w:pPr>
      <w:r w:rsidRPr="00154B00">
        <w:t xml:space="preserve">Specify how </w:t>
      </w:r>
      <w:r w:rsidRPr="00AE1188">
        <w:t>long</w:t>
      </w:r>
      <w:r w:rsidRPr="00154B00">
        <w:t xml:space="preserve"> the proposed medical ser</w:t>
      </w:r>
      <w:r w:rsidR="00AE1188">
        <w:t>vice typically takes to perform:</w:t>
      </w:r>
    </w:p>
    <w:p w:rsidR="00951933" w:rsidRDefault="00CD79FE" w:rsidP="00B032C7">
      <w:pPr>
        <w:spacing w:before="0"/>
        <w:ind w:left="426"/>
        <w:rPr>
          <w:b/>
          <w:szCs w:val="20"/>
        </w:rPr>
      </w:pPr>
      <w:r w:rsidRPr="00F8329B">
        <w:rPr>
          <w:szCs w:val="20"/>
        </w:rPr>
        <w:t>Based on pathologist feedback, a typical IHC MMR test typically takes 10 minutes to perform. Results are available within a 24 hour timeframe.</w:t>
      </w:r>
    </w:p>
    <w:p w:rsidR="00707D4D" w:rsidRDefault="0054192F" w:rsidP="00B032C7">
      <w:pPr>
        <w:pStyle w:val="Heading2"/>
        <w:spacing w:before="0"/>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rsidR="00AE1188" w:rsidRPr="00AE1188" w:rsidRDefault="00AE1188" w:rsidP="001039C7">
      <w:pPr>
        <w:pBdr>
          <w:top w:val="single" w:sz="4" w:space="1" w:color="auto"/>
          <w:left w:val="single" w:sz="4" w:space="4" w:color="auto"/>
          <w:bottom w:val="single" w:sz="4" w:space="1" w:color="auto"/>
          <w:right w:val="single" w:sz="4" w:space="4" w:color="auto"/>
          <w:between w:val="single" w:sz="4" w:space="1" w:color="auto"/>
          <w:bar w:val="single" w:sz="4" w:color="auto"/>
        </w:pBdr>
        <w:spacing w:before="0"/>
        <w:jc w:val="right"/>
        <w:rPr>
          <w:szCs w:val="20"/>
        </w:rPr>
      </w:pPr>
      <w:r>
        <w:rPr>
          <w:szCs w:val="20"/>
        </w:rPr>
        <w:t xml:space="preserve">Category </w:t>
      </w:r>
      <w:r w:rsidR="001039C7">
        <w:t>6</w:t>
      </w:r>
      <w:r w:rsidRPr="00AE1188">
        <w:rPr>
          <w:szCs w:val="20"/>
        </w:rPr>
        <w:t xml:space="preserve"> – </w:t>
      </w:r>
      <w:r w:rsidR="001039C7">
        <w:t>Pathology Services</w:t>
      </w:r>
      <w:r w:rsidRPr="00AE1188">
        <w:rPr>
          <w:szCs w:val="20"/>
        </w:rPr>
        <w:t xml:space="preserve"> </w:t>
      </w:r>
    </w:p>
    <w:p w:rsidR="00AE1188" w:rsidRPr="00AE1188" w:rsidRDefault="00AE1188" w:rsidP="00B032C7">
      <w:pPr>
        <w:pBdr>
          <w:top w:val="single" w:sz="4" w:space="1" w:color="auto"/>
          <w:left w:val="single" w:sz="4" w:space="4" w:color="auto"/>
          <w:bottom w:val="single" w:sz="4" w:space="1" w:color="auto"/>
          <w:right w:val="single" w:sz="4" w:space="4" w:color="auto"/>
        </w:pBdr>
        <w:spacing w:before="0"/>
        <w:rPr>
          <w:szCs w:val="20"/>
        </w:rPr>
      </w:pPr>
    </w:p>
    <w:p w:rsidR="00CD79FE" w:rsidRDefault="00AE1188" w:rsidP="00CD79FE">
      <w:pPr>
        <w:pBdr>
          <w:top w:val="single" w:sz="4" w:space="1" w:color="auto"/>
          <w:left w:val="single" w:sz="4" w:space="4" w:color="auto"/>
          <w:bottom w:val="single" w:sz="4" w:space="1" w:color="auto"/>
          <w:right w:val="single" w:sz="4" w:space="4" w:color="auto"/>
        </w:pBdr>
        <w:spacing w:before="0"/>
      </w:pPr>
      <w:r w:rsidRPr="00AE1188">
        <w:rPr>
          <w:szCs w:val="20"/>
        </w:rPr>
        <w:t>Proposed item descriptor</w:t>
      </w:r>
      <w:r>
        <w:rPr>
          <w:szCs w:val="20"/>
        </w:rPr>
        <w:t xml:space="preserve">: </w:t>
      </w:r>
      <w:r w:rsidR="00CD79FE">
        <w:t>Immunohistochemical examination of biopsy material by immunofluorescence, immunoperoxidase or other labelled antibody techniques with multiple antigenic specificities per specimen (4-6 antibodies) to determine if the requirements relating to mismatch repair deficiency status for access to pembrolizumab under the Pharmaceutical Benefits Scheme (PBS) are fulfilled</w:t>
      </w:r>
    </w:p>
    <w:p w:rsidR="00AE1188" w:rsidRPr="00AE1188" w:rsidRDefault="00AE1188" w:rsidP="00B032C7">
      <w:pPr>
        <w:pBdr>
          <w:top w:val="single" w:sz="4" w:space="1" w:color="auto"/>
          <w:left w:val="single" w:sz="4" w:space="4" w:color="auto"/>
          <w:bottom w:val="single" w:sz="4" w:space="1" w:color="auto"/>
          <w:right w:val="single" w:sz="4" w:space="4" w:color="auto"/>
        </w:pBdr>
        <w:spacing w:before="0"/>
        <w:rPr>
          <w:szCs w:val="20"/>
        </w:rPr>
      </w:pPr>
      <w:r w:rsidRPr="00AE1188">
        <w:rPr>
          <w:szCs w:val="20"/>
        </w:rPr>
        <w:t>Fee:  $</w:t>
      </w:r>
      <w:r w:rsidR="00CD79FE">
        <w:t>89.40</w:t>
      </w:r>
      <w:r w:rsidR="00CD79FE">
        <w:tab/>
        <w:t>Benefit: 75% = $67.05</w:t>
      </w:r>
      <w:r w:rsidR="00CD79FE">
        <w:tab/>
        <w:t>85% = $76.00</w:t>
      </w:r>
    </w:p>
    <w:p w:rsidR="00AE1188" w:rsidRDefault="00AE1188" w:rsidP="00B032C7">
      <w:pPr>
        <w:pStyle w:val="Heading2"/>
        <w:numPr>
          <w:ilvl w:val="0"/>
          <w:numId w:val="0"/>
        </w:numPr>
        <w:spacing w:before="0"/>
        <w:ind w:left="360"/>
      </w:pPr>
      <w:r>
        <w:br w:type="page"/>
      </w:r>
    </w:p>
    <w:p w:rsidR="00E058F2" w:rsidRPr="00C776B1" w:rsidRDefault="001B5169" w:rsidP="00B032C7">
      <w:pPr>
        <w:pStyle w:val="Heading1"/>
        <w:spacing w:after="120" w:line="240" w:lineRule="auto"/>
      </w:pPr>
      <w:r>
        <w:lastRenderedPageBreak/>
        <w:t>PART 9</w:t>
      </w:r>
      <w:r w:rsidR="00F93784">
        <w:t xml:space="preserve"> – </w:t>
      </w:r>
      <w:r w:rsidR="00E058F2" w:rsidRPr="00C776B1">
        <w:t>FEEDBACK</w:t>
      </w:r>
    </w:p>
    <w:p w:rsidR="00E058F2" w:rsidRPr="00154B00" w:rsidRDefault="00E058F2" w:rsidP="00B032C7">
      <w:pPr>
        <w:spacing w:before="0"/>
        <w:rPr>
          <w:szCs w:val="20"/>
        </w:rPr>
      </w:pPr>
      <w:r w:rsidRPr="00154B00">
        <w:rPr>
          <w:szCs w:val="20"/>
        </w:rPr>
        <w:t>The Department</w:t>
      </w:r>
      <w:r w:rsidR="005A58BA">
        <w:rPr>
          <w:szCs w:val="20"/>
        </w:rPr>
        <w:t xml:space="preserve"> is interested in your feedback.</w:t>
      </w:r>
    </w:p>
    <w:p w:rsidR="00E058F2" w:rsidRPr="00AE1188" w:rsidRDefault="00E058F2" w:rsidP="00B032C7">
      <w:pPr>
        <w:pStyle w:val="Heading2"/>
        <w:spacing w:before="0"/>
      </w:pPr>
      <w:r w:rsidRPr="00AE1188">
        <w:t>How long did it take to complete the Application Form?</w:t>
      </w:r>
    </w:p>
    <w:p w:rsidR="00E058F2" w:rsidRPr="00154B00" w:rsidRDefault="00603D04" w:rsidP="00B032C7">
      <w:pPr>
        <w:spacing w:before="0"/>
        <w:ind w:left="426"/>
        <w:rPr>
          <w:szCs w:val="20"/>
        </w:rPr>
      </w:pPr>
      <w:r>
        <w:fldChar w:fldCharType="begin">
          <w:ffData>
            <w:name w:val=""/>
            <w:enabled/>
            <w:calcOnExit w:val="0"/>
            <w:textInput>
              <w:default w:val="Insert approximate duration here"/>
            </w:textInput>
          </w:ffData>
        </w:fldChar>
      </w:r>
      <w:r>
        <w:instrText xml:space="preserve"> FORMTEXT </w:instrText>
      </w:r>
      <w:r>
        <w:fldChar w:fldCharType="separate"/>
      </w:r>
      <w:r>
        <w:rPr>
          <w:noProof/>
        </w:rPr>
        <w:t>Insert approximate duration here</w:t>
      </w:r>
      <w:r>
        <w:fldChar w:fldCharType="end"/>
      </w:r>
    </w:p>
    <w:p w:rsidR="001845D9" w:rsidRPr="00154B00" w:rsidRDefault="001B5169" w:rsidP="00B032C7">
      <w:pPr>
        <w:pStyle w:val="Heading2"/>
        <w:spacing w:before="0"/>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rsidR="00603D04" w:rsidRPr="001B29A1" w:rsidRDefault="00603D04" w:rsidP="00B032C7">
      <w:pPr>
        <w:spacing w:before="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AF6981">
        <w:rPr>
          <w:szCs w:val="20"/>
        </w:rPr>
      </w:r>
      <w:r w:rsidR="00AF6981">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rsidR="00603D04" w:rsidRPr="001B29A1" w:rsidRDefault="00603D04" w:rsidP="00B032C7">
      <w:pPr>
        <w:spacing w:before="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AF6981">
        <w:rPr>
          <w:szCs w:val="20"/>
        </w:rPr>
      </w:r>
      <w:r w:rsidR="00AF6981">
        <w:rPr>
          <w:szCs w:val="20"/>
        </w:rPr>
        <w:fldChar w:fldCharType="separate"/>
      </w:r>
      <w:r w:rsidRPr="001B29A1">
        <w:rPr>
          <w:szCs w:val="20"/>
        </w:rPr>
        <w:fldChar w:fldCharType="end"/>
      </w:r>
      <w:r w:rsidRPr="001B29A1">
        <w:rPr>
          <w:szCs w:val="20"/>
        </w:rPr>
        <w:t xml:space="preserve"> </w:t>
      </w:r>
      <w:r>
        <w:rPr>
          <w:szCs w:val="20"/>
        </w:rPr>
        <w:t>No</w:t>
      </w:r>
    </w:p>
    <w:p w:rsidR="003D6DE1" w:rsidRPr="00154B00" w:rsidRDefault="00603D04" w:rsidP="00B032C7">
      <w:pPr>
        <w:pStyle w:val="Heading2"/>
        <w:numPr>
          <w:ilvl w:val="0"/>
          <w:numId w:val="31"/>
        </w:numPr>
        <w:spacing w:before="0"/>
      </w:pPr>
      <w:r>
        <w:t>If no, provide areas of concern:</w:t>
      </w:r>
    </w:p>
    <w:p w:rsidR="003D6DE1" w:rsidRPr="00154B00" w:rsidRDefault="00603D04" w:rsidP="00B032C7">
      <w:pPr>
        <w:spacing w:before="0"/>
        <w:ind w:left="426"/>
        <w:rPr>
          <w:szCs w:val="20"/>
        </w:rPr>
      </w:pPr>
      <w:r>
        <w:fldChar w:fldCharType="begin">
          <w:ffData>
            <w:name w:val=""/>
            <w:enabled/>
            <w:calcOnExit w:val="0"/>
            <w:textInput>
              <w:default w:val="Describe areas of concern here"/>
            </w:textInput>
          </w:ffData>
        </w:fldChar>
      </w:r>
      <w:r>
        <w:instrText xml:space="preserve"> FORMTEXT </w:instrText>
      </w:r>
      <w:r>
        <w:fldChar w:fldCharType="separate"/>
      </w:r>
      <w:r>
        <w:rPr>
          <w:noProof/>
        </w:rPr>
        <w:t>Describe areas of concern here</w:t>
      </w:r>
      <w:r>
        <w:fldChar w:fldCharType="end"/>
      </w:r>
    </w:p>
    <w:p w:rsidR="00E058F2" w:rsidRPr="00154B00" w:rsidRDefault="001B5169" w:rsidP="00B032C7">
      <w:pPr>
        <w:pStyle w:val="Heading2"/>
        <w:spacing w:before="0"/>
      </w:pPr>
      <w:r>
        <w:t xml:space="preserve">(a) </w:t>
      </w:r>
      <w:r w:rsidR="00E058F2" w:rsidRPr="00603D04">
        <w:t>Are</w:t>
      </w:r>
      <w:r w:rsidR="00E058F2" w:rsidRPr="00154B00">
        <w:t xml:space="preserve"> the associated Guidelines to the Application Form useful?</w:t>
      </w:r>
    </w:p>
    <w:p w:rsidR="00603D04" w:rsidRPr="001B29A1" w:rsidRDefault="00603D04" w:rsidP="00B032C7">
      <w:pPr>
        <w:spacing w:before="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AF6981">
        <w:rPr>
          <w:szCs w:val="20"/>
        </w:rPr>
      </w:r>
      <w:r w:rsidR="00AF6981">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rsidR="00603D04" w:rsidRPr="001B29A1" w:rsidRDefault="00603D04" w:rsidP="00B032C7">
      <w:pPr>
        <w:spacing w:before="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AF6981">
        <w:rPr>
          <w:szCs w:val="20"/>
        </w:rPr>
      </w:r>
      <w:r w:rsidR="00AF6981">
        <w:rPr>
          <w:szCs w:val="20"/>
        </w:rPr>
        <w:fldChar w:fldCharType="separate"/>
      </w:r>
      <w:r w:rsidRPr="001B29A1">
        <w:rPr>
          <w:szCs w:val="20"/>
        </w:rPr>
        <w:fldChar w:fldCharType="end"/>
      </w:r>
      <w:r w:rsidRPr="001B29A1">
        <w:rPr>
          <w:szCs w:val="20"/>
        </w:rPr>
        <w:t xml:space="preserve"> </w:t>
      </w:r>
      <w:r>
        <w:rPr>
          <w:szCs w:val="20"/>
        </w:rPr>
        <w:t>No</w:t>
      </w:r>
    </w:p>
    <w:p w:rsidR="003D6DE1" w:rsidRPr="00154B00" w:rsidRDefault="003D6DE1" w:rsidP="00B032C7">
      <w:pPr>
        <w:pStyle w:val="Heading2"/>
        <w:numPr>
          <w:ilvl w:val="0"/>
          <w:numId w:val="32"/>
        </w:numPr>
        <w:spacing w:before="0"/>
      </w:pPr>
      <w:r>
        <w:t>If no, what areas did you find not to be useful?</w:t>
      </w:r>
    </w:p>
    <w:p w:rsidR="003D6DE1" w:rsidRPr="00154B00" w:rsidRDefault="00603D04" w:rsidP="00B032C7">
      <w:pPr>
        <w:spacing w:before="0"/>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rsidR="00E058F2" w:rsidRPr="00154B00" w:rsidRDefault="001B5169" w:rsidP="00B032C7">
      <w:pPr>
        <w:pStyle w:val="Heading2"/>
        <w:spacing w:before="0"/>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rsidR="00603D04" w:rsidRPr="001B29A1" w:rsidRDefault="00603D04" w:rsidP="00B032C7">
      <w:pPr>
        <w:spacing w:before="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AF6981">
        <w:rPr>
          <w:szCs w:val="20"/>
        </w:rPr>
      </w:r>
      <w:r w:rsidR="00AF6981">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rsidR="00603D04" w:rsidRPr="001B29A1" w:rsidRDefault="00603D04" w:rsidP="00B032C7">
      <w:pPr>
        <w:spacing w:before="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AF6981">
        <w:rPr>
          <w:szCs w:val="20"/>
        </w:rPr>
      </w:r>
      <w:r w:rsidR="00AF6981">
        <w:rPr>
          <w:szCs w:val="20"/>
        </w:rPr>
        <w:fldChar w:fldCharType="separate"/>
      </w:r>
      <w:r w:rsidRPr="001B29A1">
        <w:rPr>
          <w:szCs w:val="20"/>
        </w:rPr>
        <w:fldChar w:fldCharType="end"/>
      </w:r>
      <w:r w:rsidRPr="001B29A1">
        <w:rPr>
          <w:szCs w:val="20"/>
        </w:rPr>
        <w:t xml:space="preserve"> </w:t>
      </w:r>
      <w:r>
        <w:rPr>
          <w:szCs w:val="20"/>
        </w:rPr>
        <w:t>No</w:t>
      </w:r>
    </w:p>
    <w:p w:rsidR="001845D9" w:rsidRPr="00154B00" w:rsidRDefault="001845D9" w:rsidP="00B032C7">
      <w:pPr>
        <w:pStyle w:val="Heading2"/>
        <w:numPr>
          <w:ilvl w:val="0"/>
          <w:numId w:val="33"/>
        </w:numPr>
        <w:spacing w:before="0"/>
      </w:pPr>
      <w:r w:rsidRPr="00154B00">
        <w:t>If yes, please advise:</w:t>
      </w:r>
    </w:p>
    <w:p w:rsidR="00451840" w:rsidRDefault="00603D04" w:rsidP="00B032C7">
      <w:pPr>
        <w:spacing w:before="0"/>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sectPr w:rsidR="0045184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981" w:rsidRDefault="00AF6981" w:rsidP="00CF2DFA">
      <w:pPr>
        <w:spacing w:after="0"/>
      </w:pPr>
      <w:r>
        <w:separator/>
      </w:r>
    </w:p>
  </w:endnote>
  <w:endnote w:type="continuationSeparator" w:id="0">
    <w:p w:rsidR="00AF6981" w:rsidRDefault="00AF6981"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854223283"/>
      <w:docPartObj>
        <w:docPartGallery w:val="Page Numbers (Bottom of Page)"/>
        <w:docPartUnique/>
      </w:docPartObj>
    </w:sdtPr>
    <w:sdtEndPr>
      <w:rPr>
        <w:color w:val="808080" w:themeColor="background1" w:themeShade="80"/>
        <w:spacing w:val="60"/>
      </w:rPr>
    </w:sdtEndPr>
    <w:sdtContent>
      <w:p w:rsidR="00B032C7" w:rsidRDefault="00B032C7">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170F42" w:rsidRPr="00170F42">
          <w:rPr>
            <w:b/>
            <w:bCs/>
            <w:noProof/>
            <w:sz w:val="18"/>
            <w:szCs w:val="18"/>
          </w:rPr>
          <w:t>19</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rsidR="00B032C7" w:rsidRPr="003F7CB9" w:rsidRDefault="00B032C7"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981" w:rsidRDefault="00AF6981" w:rsidP="00CF2DFA">
      <w:pPr>
        <w:spacing w:after="0"/>
      </w:pPr>
      <w:r>
        <w:separator/>
      </w:r>
    </w:p>
  </w:footnote>
  <w:footnote w:type="continuationSeparator" w:id="0">
    <w:p w:rsidR="00AF6981" w:rsidRDefault="00AF6981" w:rsidP="00CF2D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C33266"/>
    <w:multiLevelType w:val="hybridMultilevel"/>
    <w:tmpl w:val="5CE63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0CB4896"/>
    <w:multiLevelType w:val="hybridMultilevel"/>
    <w:tmpl w:val="30E420E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27C6225"/>
    <w:multiLevelType w:val="hybridMultilevel"/>
    <w:tmpl w:val="DFBE03A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51ED2524"/>
    <w:multiLevelType w:val="multilevel"/>
    <w:tmpl w:val="168C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F2B71E4"/>
    <w:multiLevelType w:val="multilevel"/>
    <w:tmpl w:val="0BBE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773BE2"/>
    <w:multiLevelType w:val="hybridMultilevel"/>
    <w:tmpl w:val="2DD84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10"/>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
  </w:num>
  <w:num w:numId="25">
    <w:abstractNumId w:val="20"/>
  </w:num>
  <w:num w:numId="26">
    <w:abstractNumId w:val="4"/>
  </w:num>
  <w:num w:numId="27">
    <w:abstractNumId w:val="17"/>
  </w:num>
  <w:num w:numId="28">
    <w:abstractNumId w:val="11"/>
  </w:num>
  <w:num w:numId="29">
    <w:abstractNumId w:val="21"/>
  </w:num>
  <w:num w:numId="30">
    <w:abstractNumId w:val="3"/>
  </w:num>
  <w:num w:numId="31">
    <w:abstractNumId w:val="19"/>
  </w:num>
  <w:num w:numId="32">
    <w:abstractNumId w:val="7"/>
  </w:num>
  <w:num w:numId="33">
    <w:abstractNumId w:val="18"/>
  </w:num>
  <w:num w:numId="34">
    <w:abstractNumId w:val="6"/>
  </w:num>
  <w:num w:numId="35">
    <w:abstractNumId w:val="13"/>
  </w:num>
  <w:num w:numId="36">
    <w:abstractNumId w:val="0"/>
  </w:num>
  <w:num w:numId="37">
    <w:abstractNumId w:val="2"/>
  </w:num>
  <w:num w:numId="38">
    <w:abstractNumId w:val="12"/>
  </w:num>
  <w:num w:numId="39">
    <w:abstractNumId w:val="23"/>
  </w:num>
  <w:num w:numId="40">
    <w:abstractNumId w:val="15"/>
  </w:num>
  <w:num w:numId="41">
    <w:abstractNumId w:val="24"/>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110DC"/>
    <w:rsid w:val="000158AA"/>
    <w:rsid w:val="000159B9"/>
    <w:rsid w:val="00016B6E"/>
    <w:rsid w:val="00023E21"/>
    <w:rsid w:val="00025ABC"/>
    <w:rsid w:val="00026412"/>
    <w:rsid w:val="00031F6F"/>
    <w:rsid w:val="00034D6E"/>
    <w:rsid w:val="0005089D"/>
    <w:rsid w:val="000525BC"/>
    <w:rsid w:val="00073222"/>
    <w:rsid w:val="000770BA"/>
    <w:rsid w:val="00092580"/>
    <w:rsid w:val="000955E7"/>
    <w:rsid w:val="000A110D"/>
    <w:rsid w:val="000A478F"/>
    <w:rsid w:val="000A5B32"/>
    <w:rsid w:val="000B3CD0"/>
    <w:rsid w:val="000B5D81"/>
    <w:rsid w:val="000D066E"/>
    <w:rsid w:val="000D0831"/>
    <w:rsid w:val="000E47E7"/>
    <w:rsid w:val="000E5439"/>
    <w:rsid w:val="00102686"/>
    <w:rsid w:val="001039C7"/>
    <w:rsid w:val="0011036E"/>
    <w:rsid w:val="001130B0"/>
    <w:rsid w:val="0011369B"/>
    <w:rsid w:val="0011742E"/>
    <w:rsid w:val="00123D10"/>
    <w:rsid w:val="00124B00"/>
    <w:rsid w:val="00126B33"/>
    <w:rsid w:val="001507D0"/>
    <w:rsid w:val="00154B00"/>
    <w:rsid w:val="001644E9"/>
    <w:rsid w:val="00170F42"/>
    <w:rsid w:val="001845D9"/>
    <w:rsid w:val="0018630F"/>
    <w:rsid w:val="001906CD"/>
    <w:rsid w:val="00191B99"/>
    <w:rsid w:val="00197D29"/>
    <w:rsid w:val="001A02E3"/>
    <w:rsid w:val="001A1ADF"/>
    <w:rsid w:val="001A365C"/>
    <w:rsid w:val="001B171D"/>
    <w:rsid w:val="001B29A1"/>
    <w:rsid w:val="001B5169"/>
    <w:rsid w:val="001B6164"/>
    <w:rsid w:val="001D77ED"/>
    <w:rsid w:val="001E1180"/>
    <w:rsid w:val="001E23EA"/>
    <w:rsid w:val="001E6919"/>
    <w:rsid w:val="001E6958"/>
    <w:rsid w:val="00201924"/>
    <w:rsid w:val="00202473"/>
    <w:rsid w:val="002053F2"/>
    <w:rsid w:val="00206D63"/>
    <w:rsid w:val="0021185D"/>
    <w:rsid w:val="00226777"/>
    <w:rsid w:val="00235BD1"/>
    <w:rsid w:val="00242B0E"/>
    <w:rsid w:val="00247DF0"/>
    <w:rsid w:val="00254813"/>
    <w:rsid w:val="00257FF2"/>
    <w:rsid w:val="00265822"/>
    <w:rsid w:val="0027105F"/>
    <w:rsid w:val="002711FB"/>
    <w:rsid w:val="00275D11"/>
    <w:rsid w:val="00283318"/>
    <w:rsid w:val="00285525"/>
    <w:rsid w:val="00294CD8"/>
    <w:rsid w:val="002A270B"/>
    <w:rsid w:val="002A40AE"/>
    <w:rsid w:val="002A50FD"/>
    <w:rsid w:val="002A6753"/>
    <w:rsid w:val="002B28D7"/>
    <w:rsid w:val="002B7EB6"/>
    <w:rsid w:val="002C0B61"/>
    <w:rsid w:val="002C15E6"/>
    <w:rsid w:val="002C247D"/>
    <w:rsid w:val="002C3345"/>
    <w:rsid w:val="002C49FA"/>
    <w:rsid w:val="002D409A"/>
    <w:rsid w:val="002F30E7"/>
    <w:rsid w:val="002F55EF"/>
    <w:rsid w:val="00300EEB"/>
    <w:rsid w:val="003013A9"/>
    <w:rsid w:val="003020B5"/>
    <w:rsid w:val="003027BB"/>
    <w:rsid w:val="00310A10"/>
    <w:rsid w:val="00327D25"/>
    <w:rsid w:val="003319A7"/>
    <w:rsid w:val="00334FE3"/>
    <w:rsid w:val="003421AE"/>
    <w:rsid w:val="003433D1"/>
    <w:rsid w:val="00344B24"/>
    <w:rsid w:val="003456B9"/>
    <w:rsid w:val="0035067D"/>
    <w:rsid w:val="00352047"/>
    <w:rsid w:val="00353A16"/>
    <w:rsid w:val="0035776D"/>
    <w:rsid w:val="00364FD9"/>
    <w:rsid w:val="00367C1B"/>
    <w:rsid w:val="00376B61"/>
    <w:rsid w:val="00382407"/>
    <w:rsid w:val="00386A64"/>
    <w:rsid w:val="00386FA1"/>
    <w:rsid w:val="00390104"/>
    <w:rsid w:val="00390142"/>
    <w:rsid w:val="00392F00"/>
    <w:rsid w:val="00397377"/>
    <w:rsid w:val="003A22DE"/>
    <w:rsid w:val="003A2860"/>
    <w:rsid w:val="003A3C35"/>
    <w:rsid w:val="003A7D30"/>
    <w:rsid w:val="003B3C5C"/>
    <w:rsid w:val="003C47CA"/>
    <w:rsid w:val="003D6DE1"/>
    <w:rsid w:val="003D795C"/>
    <w:rsid w:val="003E30FB"/>
    <w:rsid w:val="003F2711"/>
    <w:rsid w:val="003F6C70"/>
    <w:rsid w:val="003F7CB9"/>
    <w:rsid w:val="00403333"/>
    <w:rsid w:val="00411735"/>
    <w:rsid w:val="0043654D"/>
    <w:rsid w:val="00451840"/>
    <w:rsid w:val="00457DE6"/>
    <w:rsid w:val="00460C9A"/>
    <w:rsid w:val="00464924"/>
    <w:rsid w:val="0047581D"/>
    <w:rsid w:val="00480289"/>
    <w:rsid w:val="00481279"/>
    <w:rsid w:val="00483368"/>
    <w:rsid w:val="00494011"/>
    <w:rsid w:val="004A0BF4"/>
    <w:rsid w:val="004A263B"/>
    <w:rsid w:val="004A68EF"/>
    <w:rsid w:val="004B68AE"/>
    <w:rsid w:val="004C35B0"/>
    <w:rsid w:val="004C49EF"/>
    <w:rsid w:val="004C4A19"/>
    <w:rsid w:val="004C5570"/>
    <w:rsid w:val="004D00C9"/>
    <w:rsid w:val="004E16F5"/>
    <w:rsid w:val="004E3CC7"/>
    <w:rsid w:val="004E5B69"/>
    <w:rsid w:val="004F2A87"/>
    <w:rsid w:val="0050517E"/>
    <w:rsid w:val="00507C56"/>
    <w:rsid w:val="0052344E"/>
    <w:rsid w:val="00526478"/>
    <w:rsid w:val="00530204"/>
    <w:rsid w:val="00534C5F"/>
    <w:rsid w:val="00540257"/>
    <w:rsid w:val="0054192F"/>
    <w:rsid w:val="00544EB3"/>
    <w:rsid w:val="0054594B"/>
    <w:rsid w:val="0054749B"/>
    <w:rsid w:val="00551CC6"/>
    <w:rsid w:val="00560541"/>
    <w:rsid w:val="005672D0"/>
    <w:rsid w:val="00572CEB"/>
    <w:rsid w:val="005834C9"/>
    <w:rsid w:val="005A1500"/>
    <w:rsid w:val="005A58BA"/>
    <w:rsid w:val="005A5D30"/>
    <w:rsid w:val="005A6AB9"/>
    <w:rsid w:val="005C0BBF"/>
    <w:rsid w:val="005C333E"/>
    <w:rsid w:val="005C3AE7"/>
    <w:rsid w:val="005D0677"/>
    <w:rsid w:val="005E294C"/>
    <w:rsid w:val="005E2CE3"/>
    <w:rsid w:val="005E7361"/>
    <w:rsid w:val="005F3F07"/>
    <w:rsid w:val="00603D04"/>
    <w:rsid w:val="00606857"/>
    <w:rsid w:val="00615F42"/>
    <w:rsid w:val="006258C2"/>
    <w:rsid w:val="00626365"/>
    <w:rsid w:val="00630E22"/>
    <w:rsid w:val="0064168C"/>
    <w:rsid w:val="00657B46"/>
    <w:rsid w:val="006751A9"/>
    <w:rsid w:val="006764EC"/>
    <w:rsid w:val="006835FE"/>
    <w:rsid w:val="00693BFD"/>
    <w:rsid w:val="00695065"/>
    <w:rsid w:val="006A1038"/>
    <w:rsid w:val="006A1C25"/>
    <w:rsid w:val="006A649A"/>
    <w:rsid w:val="006B1B49"/>
    <w:rsid w:val="006B6390"/>
    <w:rsid w:val="006C0356"/>
    <w:rsid w:val="006C0843"/>
    <w:rsid w:val="006C74B1"/>
    <w:rsid w:val="006E57AA"/>
    <w:rsid w:val="006F20CF"/>
    <w:rsid w:val="006F38ED"/>
    <w:rsid w:val="00707D4D"/>
    <w:rsid w:val="00714FC4"/>
    <w:rsid w:val="00723503"/>
    <w:rsid w:val="00730C04"/>
    <w:rsid w:val="0073597B"/>
    <w:rsid w:val="007378F6"/>
    <w:rsid w:val="0074545D"/>
    <w:rsid w:val="007522E3"/>
    <w:rsid w:val="0075335B"/>
    <w:rsid w:val="00753C44"/>
    <w:rsid w:val="00754383"/>
    <w:rsid w:val="007564D1"/>
    <w:rsid w:val="00757232"/>
    <w:rsid w:val="00760679"/>
    <w:rsid w:val="00763628"/>
    <w:rsid w:val="00767E99"/>
    <w:rsid w:val="00772E62"/>
    <w:rsid w:val="0077789B"/>
    <w:rsid w:val="00780D29"/>
    <w:rsid w:val="00791C8D"/>
    <w:rsid w:val="00794181"/>
    <w:rsid w:val="007A7F6F"/>
    <w:rsid w:val="007B4C76"/>
    <w:rsid w:val="007C2260"/>
    <w:rsid w:val="007D1E52"/>
    <w:rsid w:val="007D2358"/>
    <w:rsid w:val="007E39E4"/>
    <w:rsid w:val="007E6FB3"/>
    <w:rsid w:val="007F21B4"/>
    <w:rsid w:val="00802553"/>
    <w:rsid w:val="00803EAB"/>
    <w:rsid w:val="00804098"/>
    <w:rsid w:val="008046B5"/>
    <w:rsid w:val="008127C0"/>
    <w:rsid w:val="00812EDD"/>
    <w:rsid w:val="008139C5"/>
    <w:rsid w:val="0081650F"/>
    <w:rsid w:val="00832B31"/>
    <w:rsid w:val="008403E0"/>
    <w:rsid w:val="0084657B"/>
    <w:rsid w:val="00855944"/>
    <w:rsid w:val="00864A18"/>
    <w:rsid w:val="00870833"/>
    <w:rsid w:val="00874571"/>
    <w:rsid w:val="00881F93"/>
    <w:rsid w:val="00882CB5"/>
    <w:rsid w:val="00883641"/>
    <w:rsid w:val="00884E69"/>
    <w:rsid w:val="00890082"/>
    <w:rsid w:val="008A48D2"/>
    <w:rsid w:val="008B2610"/>
    <w:rsid w:val="008B471D"/>
    <w:rsid w:val="008B49E4"/>
    <w:rsid w:val="008B729C"/>
    <w:rsid w:val="008C4A93"/>
    <w:rsid w:val="008E0E49"/>
    <w:rsid w:val="008E35FD"/>
    <w:rsid w:val="008E6227"/>
    <w:rsid w:val="0090543D"/>
    <w:rsid w:val="009056C5"/>
    <w:rsid w:val="009262F2"/>
    <w:rsid w:val="00937791"/>
    <w:rsid w:val="00951933"/>
    <w:rsid w:val="00954343"/>
    <w:rsid w:val="00955271"/>
    <w:rsid w:val="00963C9C"/>
    <w:rsid w:val="00965B6B"/>
    <w:rsid w:val="00971EDB"/>
    <w:rsid w:val="00974D50"/>
    <w:rsid w:val="00987ABE"/>
    <w:rsid w:val="00991EE4"/>
    <w:rsid w:val="009939DC"/>
    <w:rsid w:val="00993B9C"/>
    <w:rsid w:val="009B4E1E"/>
    <w:rsid w:val="009C03FB"/>
    <w:rsid w:val="009C4B4F"/>
    <w:rsid w:val="009F0C02"/>
    <w:rsid w:val="009F5758"/>
    <w:rsid w:val="00A0283F"/>
    <w:rsid w:val="00A04F4A"/>
    <w:rsid w:val="00A26343"/>
    <w:rsid w:val="00A408B5"/>
    <w:rsid w:val="00A529E2"/>
    <w:rsid w:val="00A539F8"/>
    <w:rsid w:val="00A6491A"/>
    <w:rsid w:val="00A6594E"/>
    <w:rsid w:val="00A727B6"/>
    <w:rsid w:val="00A81CC6"/>
    <w:rsid w:val="00A83EC6"/>
    <w:rsid w:val="00A8732C"/>
    <w:rsid w:val="00A9062D"/>
    <w:rsid w:val="00A93F58"/>
    <w:rsid w:val="00A96329"/>
    <w:rsid w:val="00AA134B"/>
    <w:rsid w:val="00AA2CFE"/>
    <w:rsid w:val="00AA5FDA"/>
    <w:rsid w:val="00AA6291"/>
    <w:rsid w:val="00AC0C91"/>
    <w:rsid w:val="00AD37D4"/>
    <w:rsid w:val="00AD7986"/>
    <w:rsid w:val="00AE1188"/>
    <w:rsid w:val="00AE738C"/>
    <w:rsid w:val="00AF1046"/>
    <w:rsid w:val="00AF4466"/>
    <w:rsid w:val="00AF5D1E"/>
    <w:rsid w:val="00AF6981"/>
    <w:rsid w:val="00B032C7"/>
    <w:rsid w:val="00B040A9"/>
    <w:rsid w:val="00B1711E"/>
    <w:rsid w:val="00B17CBE"/>
    <w:rsid w:val="00B17E26"/>
    <w:rsid w:val="00B231A4"/>
    <w:rsid w:val="00B25D20"/>
    <w:rsid w:val="00B31C99"/>
    <w:rsid w:val="00B53BA6"/>
    <w:rsid w:val="00B5731D"/>
    <w:rsid w:val="00B6378B"/>
    <w:rsid w:val="00B63E3A"/>
    <w:rsid w:val="00B71C91"/>
    <w:rsid w:val="00B75965"/>
    <w:rsid w:val="00B771AD"/>
    <w:rsid w:val="00B814CB"/>
    <w:rsid w:val="00B82620"/>
    <w:rsid w:val="00BA0CF8"/>
    <w:rsid w:val="00BA1ADF"/>
    <w:rsid w:val="00BA51FC"/>
    <w:rsid w:val="00BB003A"/>
    <w:rsid w:val="00BB3358"/>
    <w:rsid w:val="00BB3382"/>
    <w:rsid w:val="00BB3643"/>
    <w:rsid w:val="00BC3DA0"/>
    <w:rsid w:val="00BC424B"/>
    <w:rsid w:val="00BE0FDE"/>
    <w:rsid w:val="00BF6AC5"/>
    <w:rsid w:val="00C01121"/>
    <w:rsid w:val="00C030A5"/>
    <w:rsid w:val="00C05A45"/>
    <w:rsid w:val="00C0796F"/>
    <w:rsid w:val="00C11B34"/>
    <w:rsid w:val="00C12C5C"/>
    <w:rsid w:val="00C171FB"/>
    <w:rsid w:val="00C209C2"/>
    <w:rsid w:val="00C2267F"/>
    <w:rsid w:val="00C22AD8"/>
    <w:rsid w:val="00C3557E"/>
    <w:rsid w:val="00C3594B"/>
    <w:rsid w:val="00C43102"/>
    <w:rsid w:val="00C4696B"/>
    <w:rsid w:val="00C50513"/>
    <w:rsid w:val="00C54503"/>
    <w:rsid w:val="00C63055"/>
    <w:rsid w:val="00C73B62"/>
    <w:rsid w:val="00C776B1"/>
    <w:rsid w:val="00C815FE"/>
    <w:rsid w:val="00C847AE"/>
    <w:rsid w:val="00CA04C6"/>
    <w:rsid w:val="00CA26DD"/>
    <w:rsid w:val="00CB12EC"/>
    <w:rsid w:val="00CB5FC4"/>
    <w:rsid w:val="00CC09D7"/>
    <w:rsid w:val="00CC12B8"/>
    <w:rsid w:val="00CD22E3"/>
    <w:rsid w:val="00CD4E44"/>
    <w:rsid w:val="00CD5AE4"/>
    <w:rsid w:val="00CD79FE"/>
    <w:rsid w:val="00CD7A7D"/>
    <w:rsid w:val="00CF2D8E"/>
    <w:rsid w:val="00CF2DFA"/>
    <w:rsid w:val="00CF5AD8"/>
    <w:rsid w:val="00D00122"/>
    <w:rsid w:val="00D01D2A"/>
    <w:rsid w:val="00D10B47"/>
    <w:rsid w:val="00D11EB1"/>
    <w:rsid w:val="00D17F17"/>
    <w:rsid w:val="00D23597"/>
    <w:rsid w:val="00D30BDC"/>
    <w:rsid w:val="00D41247"/>
    <w:rsid w:val="00D57F88"/>
    <w:rsid w:val="00D7105C"/>
    <w:rsid w:val="00D73646"/>
    <w:rsid w:val="00D777B4"/>
    <w:rsid w:val="00D77A90"/>
    <w:rsid w:val="00D8360B"/>
    <w:rsid w:val="00D85676"/>
    <w:rsid w:val="00D96ADA"/>
    <w:rsid w:val="00DA2886"/>
    <w:rsid w:val="00DA5E50"/>
    <w:rsid w:val="00DA7D0C"/>
    <w:rsid w:val="00DB311C"/>
    <w:rsid w:val="00DB432D"/>
    <w:rsid w:val="00DB519B"/>
    <w:rsid w:val="00DC7694"/>
    <w:rsid w:val="00DC7FBE"/>
    <w:rsid w:val="00DD130E"/>
    <w:rsid w:val="00DD308E"/>
    <w:rsid w:val="00DF0C51"/>
    <w:rsid w:val="00DF0D47"/>
    <w:rsid w:val="00DF1652"/>
    <w:rsid w:val="00DF6D37"/>
    <w:rsid w:val="00E048ED"/>
    <w:rsid w:val="00E04FB3"/>
    <w:rsid w:val="00E058F2"/>
    <w:rsid w:val="00E05D9C"/>
    <w:rsid w:val="00E06102"/>
    <w:rsid w:val="00E23E71"/>
    <w:rsid w:val="00E30F19"/>
    <w:rsid w:val="00E33C4A"/>
    <w:rsid w:val="00E357B9"/>
    <w:rsid w:val="00E4321E"/>
    <w:rsid w:val="00E44B80"/>
    <w:rsid w:val="00E47623"/>
    <w:rsid w:val="00E60529"/>
    <w:rsid w:val="00E70D86"/>
    <w:rsid w:val="00E7628E"/>
    <w:rsid w:val="00E82F54"/>
    <w:rsid w:val="00E8649B"/>
    <w:rsid w:val="00E871CD"/>
    <w:rsid w:val="00E90990"/>
    <w:rsid w:val="00E95D3D"/>
    <w:rsid w:val="00EA0E25"/>
    <w:rsid w:val="00EA173C"/>
    <w:rsid w:val="00EB0182"/>
    <w:rsid w:val="00EC127A"/>
    <w:rsid w:val="00EC1FF9"/>
    <w:rsid w:val="00EC2737"/>
    <w:rsid w:val="00EE2716"/>
    <w:rsid w:val="00EE6450"/>
    <w:rsid w:val="00F01C2C"/>
    <w:rsid w:val="00F02FC8"/>
    <w:rsid w:val="00F10ED8"/>
    <w:rsid w:val="00F222BE"/>
    <w:rsid w:val="00F24179"/>
    <w:rsid w:val="00F301F1"/>
    <w:rsid w:val="00F30C22"/>
    <w:rsid w:val="00F33F1A"/>
    <w:rsid w:val="00F34AEC"/>
    <w:rsid w:val="00F547F7"/>
    <w:rsid w:val="00F54CCF"/>
    <w:rsid w:val="00F61D7A"/>
    <w:rsid w:val="00F637B3"/>
    <w:rsid w:val="00F63A62"/>
    <w:rsid w:val="00F66CF7"/>
    <w:rsid w:val="00F67BCB"/>
    <w:rsid w:val="00F77C57"/>
    <w:rsid w:val="00F813C7"/>
    <w:rsid w:val="00F83566"/>
    <w:rsid w:val="00F83A9D"/>
    <w:rsid w:val="00F906B5"/>
    <w:rsid w:val="00F93784"/>
    <w:rsid w:val="00F971CC"/>
    <w:rsid w:val="00FA2CAA"/>
    <w:rsid w:val="00FA3DA1"/>
    <w:rsid w:val="00FA6554"/>
    <w:rsid w:val="00FE16C1"/>
    <w:rsid w:val="00FE19FF"/>
    <w:rsid w:val="00FE33A6"/>
    <w:rsid w:val="00FE5452"/>
    <w:rsid w:val="00FE5E88"/>
    <w:rsid w:val="00FF1A00"/>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paragraph" w:styleId="NormalWeb">
    <w:name w:val="Normal (Web)"/>
    <w:basedOn w:val="Normal"/>
    <w:uiPriority w:val="99"/>
    <w:unhideWhenUsed/>
    <w:rsid w:val="00B032C7"/>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390104"/>
  </w:style>
  <w:style w:type="character" w:customStyle="1" w:styleId="jrnl">
    <w:name w:val="jrnl"/>
    <w:basedOn w:val="DefaultParagraphFont"/>
    <w:rsid w:val="003901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paragraph" w:styleId="NormalWeb">
    <w:name w:val="Normal (Web)"/>
    <w:basedOn w:val="Normal"/>
    <w:uiPriority w:val="99"/>
    <w:unhideWhenUsed/>
    <w:rsid w:val="00B032C7"/>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390104"/>
  </w:style>
  <w:style w:type="character" w:customStyle="1" w:styleId="jrnl">
    <w:name w:val="jrnl"/>
    <w:basedOn w:val="DefaultParagraphFont"/>
    <w:rsid w:val="00390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jm.org/doi/full/10.1056/NEJMoa1500596" TargetMode="External"/><Relationship Id="rId18" Type="http://schemas.openxmlformats.org/officeDocument/2006/relationships/hyperlink" Target="http://cosa-2015.m.asnevents.com.au/schedule/session/7496/abstract/29440" TargetMode="External"/><Relationship Id="rId3" Type="http://schemas.openxmlformats.org/officeDocument/2006/relationships/styles" Target="styles.xml"/><Relationship Id="rId21" Type="http://schemas.openxmlformats.org/officeDocument/2006/relationships/hyperlink" Target="https://clinicaltrials.gov/ct2/show/NCT02060188"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ncbi.nlm.nih.gov/pubmed/18556767" TargetMode="External"/><Relationship Id="rId2" Type="http://schemas.openxmlformats.org/officeDocument/2006/relationships/numbering" Target="numbering.xml"/><Relationship Id="rId16" Type="http://schemas.openxmlformats.org/officeDocument/2006/relationships/hyperlink" Target="http://www.ncbi.nlm.nih.gov/pubmed/11844828" TargetMode="External"/><Relationship Id="rId20" Type="http://schemas.openxmlformats.org/officeDocument/2006/relationships/hyperlink" Target="https://clinicaltrials.gov/ct2/show/NCT024601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cbi.nlm.nih.gov/pubmed/16175654" TargetMode="External"/><Relationship Id="rId23" Type="http://schemas.openxmlformats.org/officeDocument/2006/relationships/fontTable" Target="fontTable.xml"/><Relationship Id="rId10" Type="http://schemas.openxmlformats.org/officeDocument/2006/relationships/hyperlink" Target="mailto:hta@health.gov.au" TargetMode="External"/><Relationship Id="rId19" Type="http://schemas.openxmlformats.org/officeDocument/2006/relationships/hyperlink" Target="https://clinicaltrials.gov/ct2/show/NCT0256300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cpa.edu.au" TargetMode="External"/><Relationship Id="rId22" Type="http://schemas.openxmlformats.org/officeDocument/2006/relationships/hyperlink" Target="https://clinicaltrials.gov/ct2/show/study/NCT022276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3CB68-DC9D-4D1C-AA70-6C19D48E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6029</Words>
  <Characters>34369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MSAC Application Form</vt:lpstr>
    </vt:vector>
  </TitlesOfParts>
  <LinksUpToDate>false</LinksUpToDate>
  <CharactersWithSpaces>40318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Application Form</dc:title>
  <dc:creator/>
  <cp:lastModifiedBy/>
  <cp:revision>1</cp:revision>
  <dcterms:created xsi:type="dcterms:W3CDTF">2016-11-18T02:32:00Z</dcterms:created>
  <dcterms:modified xsi:type="dcterms:W3CDTF">2016-11-18T02:32:00Z</dcterms:modified>
</cp:coreProperties>
</file>