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B948" w14:textId="77777777" w:rsidR="00F84BA7" w:rsidRDefault="00F84BA7" w:rsidP="00F84BA7">
      <w:pPr>
        <w:pStyle w:val="Heading1"/>
        <w:numPr>
          <w:ilvl w:val="0"/>
          <w:numId w:val="0"/>
        </w:numPr>
        <w:pBdr>
          <w:bottom w:val="none" w:sz="0" w:space="0" w:color="auto"/>
        </w:pBdr>
        <w:spacing w:before="0" w:after="360"/>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p w14:paraId="7A128FDE" w14:textId="09BD8E7B" w:rsidR="00772829" w:rsidRPr="00CE28E3" w:rsidRDefault="00865255" w:rsidP="00772829">
      <w:pPr>
        <w:pStyle w:val="Subtitle"/>
      </w:pPr>
      <w:r w:rsidRPr="00865255">
        <w:t>Application No. 1732</w:t>
      </w:r>
      <w:r w:rsidR="002D5EF2">
        <w:t>.1</w:t>
      </w:r>
      <w:r w:rsidRPr="00865255">
        <w:t xml:space="preserve"> </w:t>
      </w:r>
      <w:r w:rsidR="00924DE3">
        <w:t>–</w:t>
      </w:r>
      <w:r w:rsidRPr="00865255">
        <w:t xml:space="preserve"> Imlifidase as a desensitisation treatment to enable kidney transplant in highly sensitised adult transplant </w:t>
      </w:r>
      <w:proofErr w:type="gramStart"/>
      <w:r w:rsidRPr="00865255">
        <w:t>candidates</w:t>
      </w:r>
      <w:proofErr w:type="gramEnd"/>
    </w:p>
    <w:p w14:paraId="10AC407F" w14:textId="753B413C" w:rsidR="003218F4" w:rsidRPr="00C359CC" w:rsidRDefault="003218F4" w:rsidP="00F84BA7">
      <w:pPr>
        <w:tabs>
          <w:tab w:val="left" w:pos="3686"/>
        </w:tabs>
        <w:rPr>
          <w:rFonts w:ascii="Arial" w:hAnsi="Arial" w:cs="Arial"/>
          <w:b/>
          <w:bCs/>
        </w:rPr>
      </w:pPr>
      <w:r w:rsidRPr="00C359CC">
        <w:rPr>
          <w:rFonts w:ascii="Arial" w:hAnsi="Arial" w:cs="Arial"/>
          <w:b/>
          <w:bCs/>
        </w:rPr>
        <w:t>Applicant:</w:t>
      </w:r>
      <w:r w:rsidR="00F84BA7">
        <w:rPr>
          <w:rFonts w:ascii="Arial" w:hAnsi="Arial" w:cs="Arial"/>
          <w:b/>
          <w:bCs/>
        </w:rPr>
        <w:tab/>
      </w:r>
      <w:r w:rsidRPr="00C359CC">
        <w:rPr>
          <w:rFonts w:ascii="Arial" w:hAnsi="Arial" w:cs="Arial"/>
          <w:b/>
          <w:bCs/>
        </w:rPr>
        <w:t>Hansa Biopharma (Australia) Pty Ltd</w:t>
      </w:r>
    </w:p>
    <w:p w14:paraId="3B3301C2" w14:textId="3C0E02D6" w:rsidR="003218F4" w:rsidRDefault="003218F4" w:rsidP="00F84BA7">
      <w:pPr>
        <w:tabs>
          <w:tab w:val="left" w:pos="3686"/>
        </w:tabs>
        <w:spacing w:before="320"/>
        <w:rPr>
          <w:rFonts w:ascii="Arial" w:hAnsi="Arial" w:cs="Arial"/>
          <w:b/>
          <w:bCs/>
        </w:rPr>
      </w:pPr>
      <w:r w:rsidRPr="00C359CC">
        <w:rPr>
          <w:rFonts w:ascii="Arial" w:hAnsi="Arial" w:cs="Arial"/>
          <w:b/>
          <w:bCs/>
        </w:rPr>
        <w:t xml:space="preserve">Date of </w:t>
      </w:r>
      <w:r w:rsidR="00F84BA7">
        <w:rPr>
          <w:rFonts w:ascii="Arial" w:hAnsi="Arial" w:cs="Arial"/>
          <w:b/>
          <w:bCs/>
        </w:rPr>
        <w:t>MSAC</w:t>
      </w:r>
      <w:r w:rsidRPr="00C359CC">
        <w:rPr>
          <w:rFonts w:ascii="Arial" w:hAnsi="Arial" w:cs="Arial"/>
          <w:b/>
          <w:bCs/>
        </w:rPr>
        <w:t xml:space="preserve"> consideration:</w:t>
      </w:r>
      <w:r w:rsidRPr="00C359CC">
        <w:rPr>
          <w:rFonts w:ascii="Arial" w:hAnsi="Arial" w:cs="Arial"/>
          <w:b/>
          <w:bCs/>
        </w:rPr>
        <w:tab/>
      </w:r>
      <w:r w:rsidR="00F84BA7">
        <w:rPr>
          <w:rFonts w:ascii="Arial" w:hAnsi="Arial" w:cs="Arial"/>
          <w:b/>
          <w:bCs/>
        </w:rPr>
        <w:t>1-2 August</w:t>
      </w:r>
      <w:r w:rsidRPr="00C359CC">
        <w:rPr>
          <w:rFonts w:ascii="Arial" w:hAnsi="Arial" w:cs="Arial"/>
          <w:b/>
          <w:bCs/>
        </w:rPr>
        <w:t xml:space="preserve"> 2024</w:t>
      </w:r>
    </w:p>
    <w:p w14:paraId="1CC0D3B5" w14:textId="77777777" w:rsidR="00F84BA7" w:rsidRPr="00415A9B" w:rsidRDefault="00F84BA7" w:rsidP="00F84BA7">
      <w:pPr>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6BF31FF2" w14:textId="3A218A02" w:rsidR="00772829" w:rsidRDefault="00772829" w:rsidP="00772829">
      <w:pPr>
        <w:spacing w:after="240"/>
        <w:rPr>
          <w:iCs/>
        </w:rPr>
      </w:pPr>
      <w:bookmarkStart w:id="1" w:name="_Hlk69734469"/>
      <w:r w:rsidRPr="009A3778">
        <w:rPr>
          <w:iCs/>
        </w:rPr>
        <w:t xml:space="preserve">An application requesting </w:t>
      </w:r>
      <w:r w:rsidR="00E33E73" w:rsidRPr="00E33E73">
        <w:rPr>
          <w:iCs/>
        </w:rPr>
        <w:t>public funding for imlifidase (Idefirix®) pursuant to the National Health Reform Agreement (NHRA) Addendum</w:t>
      </w:r>
      <w:r w:rsidR="00E259D5">
        <w:rPr>
          <w:iCs/>
        </w:rPr>
        <w:t>—</w:t>
      </w:r>
      <w:r w:rsidR="00E33E73" w:rsidRPr="00E33E73">
        <w:rPr>
          <w:iCs/>
        </w:rPr>
        <w:t xml:space="preserve">funding for Highly Specialised </w:t>
      </w:r>
      <w:r w:rsidR="00676847">
        <w:rPr>
          <w:iCs/>
        </w:rPr>
        <w:t>Therapies</w:t>
      </w:r>
      <w:r w:rsidR="001B483F">
        <w:rPr>
          <w:iCs/>
        </w:rPr>
        <w:t>—</w:t>
      </w:r>
      <w:r w:rsidR="00A1031C" w:rsidRPr="009A3778">
        <w:rPr>
          <w:iCs/>
        </w:rPr>
        <w:t xml:space="preserve">was received from </w:t>
      </w:r>
      <w:r w:rsidR="00A1031C" w:rsidRPr="00AB001A">
        <w:rPr>
          <w:iCs/>
        </w:rPr>
        <w:t>Hansa Biopharma Australia</w:t>
      </w:r>
      <w:r w:rsidR="00A1031C" w:rsidRPr="009A3778">
        <w:rPr>
          <w:iCs/>
        </w:rPr>
        <w:t xml:space="preserve"> by the Department of Health</w:t>
      </w:r>
      <w:r w:rsidR="00EE26E6">
        <w:rPr>
          <w:iCs/>
        </w:rPr>
        <w:t xml:space="preserve"> and Aged Care</w:t>
      </w:r>
      <w:r w:rsidR="000002B1">
        <w:rPr>
          <w:iCs/>
        </w:rPr>
        <w:t xml:space="preserve"> (the department)</w:t>
      </w:r>
      <w:r w:rsidR="00A1031C" w:rsidRPr="009A3778">
        <w:rPr>
          <w:iCs/>
        </w:rPr>
        <w:t>.</w:t>
      </w:r>
      <w:r w:rsidR="00E33E73" w:rsidRPr="00E33E73">
        <w:rPr>
          <w:iCs/>
        </w:rPr>
        <w:t xml:space="preserve"> Funding is sought for use of imlifidase in the desensitisation treatment of highly sensitised (HS) adult kidney transplant patients with a positive crossmatch against an available deceased donor (DD) or living donor (LD), who are unlikely to be transplanted under current kidney allocation systems</w:t>
      </w:r>
      <w:r w:rsidR="00A1031C">
        <w:rPr>
          <w:iCs/>
        </w:rPr>
        <w:t>.</w:t>
      </w:r>
    </w:p>
    <w:p w14:paraId="7DC821A3" w14:textId="77777777" w:rsidR="00F84BA7" w:rsidRDefault="00F84BA7" w:rsidP="00F84BA7">
      <w:pPr>
        <w:pStyle w:val="Heading2"/>
        <w:numPr>
          <w:ilvl w:val="0"/>
          <w:numId w:val="0"/>
        </w:numPr>
      </w:pPr>
      <w:r>
        <w:t>2.</w:t>
      </w:r>
      <w:r>
        <w:tab/>
        <w:t>MSAC’s advice to the Minister</w:t>
      </w:r>
    </w:p>
    <w:p w14:paraId="53812B56" w14:textId="33B8316A" w:rsidR="008F0096" w:rsidRDefault="00F84BA7" w:rsidP="008F0096">
      <w:pPr>
        <w:rPr>
          <w:szCs w:val="24"/>
        </w:rPr>
      </w:pPr>
      <w:r w:rsidRPr="00C86E49">
        <w:rPr>
          <w:rFonts w:eastAsia="Calibri" w:cs="Times New Roman"/>
        </w:rPr>
        <w:t xml:space="preserve">After considering the strength of the available evidence in relation to comparative safety, clinical effectiveness, </w:t>
      </w:r>
      <w:proofErr w:type="gramStart"/>
      <w:r w:rsidRPr="00C86E49">
        <w:rPr>
          <w:rFonts w:eastAsia="Calibri" w:cs="Times New Roman"/>
        </w:rPr>
        <w:t>cost-effectiveness</w:t>
      </w:r>
      <w:proofErr w:type="gramEnd"/>
      <w:r w:rsidRPr="00C86E49">
        <w:rPr>
          <w:rFonts w:eastAsia="Calibri" w:cs="Times New Roman"/>
        </w:rPr>
        <w:t xml:space="preserve"> and total cost, </w:t>
      </w:r>
      <w:r w:rsidR="008F0096" w:rsidRPr="00F94921">
        <w:rPr>
          <w:szCs w:val="24"/>
        </w:rPr>
        <w:t xml:space="preserve">MSAC </w:t>
      </w:r>
      <w:r w:rsidR="008F0096">
        <w:rPr>
          <w:szCs w:val="24"/>
        </w:rPr>
        <w:t xml:space="preserve">deferred its decision on public funding for </w:t>
      </w:r>
      <w:r w:rsidR="008F0096">
        <w:t>i</w:t>
      </w:r>
      <w:r w:rsidR="008F0096" w:rsidRPr="00CC465C">
        <w:t xml:space="preserve">mlifidase as a desensitisation treatment to enable kidney transplant in highly sensitised adult transplant </w:t>
      </w:r>
      <w:r w:rsidR="00022F6F" w:rsidRPr="00E33E73">
        <w:rPr>
          <w:iCs/>
        </w:rPr>
        <w:t>patients</w:t>
      </w:r>
      <w:r w:rsidR="0039723D">
        <w:t xml:space="preserve"> </w:t>
      </w:r>
      <w:r w:rsidR="0039723D" w:rsidRPr="0039723D">
        <w:t xml:space="preserve">with a </w:t>
      </w:r>
      <w:r w:rsidR="00022F6F" w:rsidRPr="00E33E73">
        <w:rPr>
          <w:iCs/>
        </w:rPr>
        <w:t>positive crossmatch against an available deceased donor (DD)</w:t>
      </w:r>
      <w:r w:rsidR="0039723D" w:rsidRPr="0039723D">
        <w:t xml:space="preserve"> or </w:t>
      </w:r>
      <w:r w:rsidR="00022F6F" w:rsidRPr="00E33E73">
        <w:rPr>
          <w:iCs/>
        </w:rPr>
        <w:t>living donor (LD), who are unlikely to be transplanted under current kidney allocation systems</w:t>
      </w:r>
      <w:r w:rsidR="008F0096">
        <w:t>.</w:t>
      </w:r>
    </w:p>
    <w:p w14:paraId="197A4C88" w14:textId="467C1BA4" w:rsidR="00AE5D14" w:rsidRDefault="00AE5D14" w:rsidP="00AE5D14">
      <w:pPr>
        <w:pStyle w:val="paragraph"/>
        <w:spacing w:before="0" w:beforeAutospacing="0" w:after="0" w:afterAutospacing="0"/>
        <w:textAlignment w:val="baseline"/>
        <w:rPr>
          <w:rStyle w:val="eop"/>
          <w:rFonts w:ascii="Franklin Gothic Book" w:hAnsi="Franklin Gothic Book"/>
          <w:sz w:val="22"/>
          <w:szCs w:val="22"/>
        </w:rPr>
      </w:pPr>
      <w:r>
        <w:rPr>
          <w:rStyle w:val="normaltextrun"/>
          <w:rFonts w:ascii="Franklin Gothic Book" w:hAnsi="Franklin Gothic Book"/>
          <w:sz w:val="22"/>
          <w:szCs w:val="22"/>
        </w:rPr>
        <w:t xml:space="preserve">MSAC considered there is a high unmet clinical need for imlifidase. MSAC considered that while imlifidase was likely to have superior effectiveness and safety compared with dialysis and most of the clinical issues identified by MSAC in the previous application have been resolved, some </w:t>
      </w:r>
      <w:r w:rsidRPr="00583E33">
        <w:rPr>
          <w:rStyle w:val="normaltextrun"/>
          <w:rFonts w:ascii="Franklin Gothic Book" w:hAnsi="Franklin Gothic Book"/>
          <w:sz w:val="22"/>
          <w:szCs w:val="22"/>
        </w:rPr>
        <w:t xml:space="preserve">concerns remained, </w:t>
      </w:r>
      <w:proofErr w:type="gramStart"/>
      <w:r w:rsidR="01C103BB" w:rsidRPr="5A5D1D29">
        <w:rPr>
          <w:rStyle w:val="normaltextrun"/>
          <w:rFonts w:ascii="Franklin Gothic Book" w:hAnsi="Franklin Gothic Book"/>
          <w:sz w:val="22"/>
          <w:szCs w:val="22"/>
        </w:rPr>
        <w:t>i</w:t>
      </w:r>
      <w:r w:rsidRPr="5A5D1D29">
        <w:rPr>
          <w:rStyle w:val="normaltextrun"/>
          <w:rFonts w:ascii="Franklin Gothic Book" w:hAnsi="Franklin Gothic Book"/>
          <w:sz w:val="22"/>
          <w:szCs w:val="22"/>
        </w:rPr>
        <w:t>n</w:t>
      </w:r>
      <w:r w:rsidRPr="00583E33">
        <w:rPr>
          <w:rStyle w:val="normaltextrun"/>
          <w:rFonts w:ascii="Franklin Gothic Book" w:hAnsi="Franklin Gothic Book"/>
          <w:sz w:val="22"/>
          <w:szCs w:val="22"/>
        </w:rPr>
        <w:t xml:space="preserve"> particular the</w:t>
      </w:r>
      <w:proofErr w:type="gramEnd"/>
      <w:r w:rsidRPr="00583E33">
        <w:rPr>
          <w:rStyle w:val="normaltextrun"/>
          <w:rFonts w:ascii="Franklin Gothic Book" w:hAnsi="Franklin Gothic Book"/>
          <w:sz w:val="22"/>
          <w:szCs w:val="22"/>
        </w:rPr>
        <w:t xml:space="preserve"> long-term effectiveness and safety outcomes of imlifidase for delayed graft function, antibody mediated rejection, and chronic kidney disease.</w:t>
      </w:r>
      <w:r>
        <w:rPr>
          <w:rStyle w:val="eop"/>
          <w:rFonts w:ascii="Franklin Gothic Book" w:hAnsi="Franklin Gothic Book"/>
          <w:sz w:val="22"/>
          <w:szCs w:val="22"/>
        </w:rPr>
        <w:t> </w:t>
      </w:r>
    </w:p>
    <w:p w14:paraId="61911A23" w14:textId="52B83098" w:rsidR="00AE5D14" w:rsidRDefault="00AE5D14" w:rsidP="00A0206D">
      <w:pPr>
        <w:pStyle w:val="paragraph"/>
        <w:spacing w:before="240" w:beforeAutospacing="0" w:after="0" w:afterAutospacing="0"/>
        <w:textAlignment w:val="baseline"/>
      </w:pPr>
      <w:r>
        <w:rPr>
          <w:rStyle w:val="normaltextrun"/>
          <w:rFonts w:ascii="Franklin Gothic Book" w:hAnsi="Franklin Gothic Book"/>
          <w:sz w:val="22"/>
          <w:szCs w:val="22"/>
        </w:rPr>
        <w:t xml:space="preserve">MSAC noted unresolved </w:t>
      </w:r>
      <w:r w:rsidRPr="00A862CE">
        <w:rPr>
          <w:rStyle w:val="normaltextrun"/>
          <w:rFonts w:ascii="Franklin Gothic Book" w:hAnsi="Franklin Gothic Book"/>
          <w:sz w:val="22"/>
          <w:szCs w:val="22"/>
        </w:rPr>
        <w:t>uncertainty remained in the economic modelling around the true incremental cost-effectiveness ratio (ICER) for imlifidase. MSAC considered that the assessment did not include all relevant costs and benefits from a health system perspective and should have included non-HS transplant candidates</w:t>
      </w:r>
      <w:r>
        <w:rPr>
          <w:rStyle w:val="normaltextrun"/>
          <w:rFonts w:ascii="Franklin Gothic Book" w:hAnsi="Franklin Gothic Book"/>
          <w:sz w:val="22"/>
          <w:szCs w:val="22"/>
        </w:rPr>
        <w:t xml:space="preserve"> because DD transplants are a highly supply</w:t>
      </w:r>
      <w:r w:rsidR="008C3A6D">
        <w:rPr>
          <w:rStyle w:val="normaltextrun"/>
          <w:rFonts w:ascii="Franklin Gothic Book" w:hAnsi="Franklin Gothic Book"/>
          <w:sz w:val="22"/>
          <w:szCs w:val="22"/>
        </w:rPr>
        <w:t>-</w:t>
      </w:r>
      <w:r>
        <w:rPr>
          <w:rStyle w:val="normaltextrun"/>
          <w:rFonts w:ascii="Franklin Gothic Book" w:hAnsi="Franklin Gothic Book"/>
          <w:sz w:val="22"/>
          <w:szCs w:val="22"/>
        </w:rPr>
        <w:t xml:space="preserve">constrained resource and quantifying the impact on all transplant candidates (not just HS transplant candidates) was important to understanding any unintended negative consequences for non-HS patients from funding imlifidase for HS patients. MSAC noted that while the applicant did not address previous MSAC advice to </w:t>
      </w:r>
      <w:r w:rsidRPr="00A862CE">
        <w:rPr>
          <w:rStyle w:val="normaltextrun"/>
          <w:rFonts w:ascii="Franklin Gothic Book" w:hAnsi="Franklin Gothic Book"/>
          <w:sz w:val="22"/>
          <w:szCs w:val="22"/>
        </w:rPr>
        <w:t xml:space="preserve">report ICERs by DD and LD transplant recipients, the true ICER estimates for each of these populations after taking account of impacts on all transplant recipients was likely </w:t>
      </w:r>
      <w:proofErr w:type="gramStart"/>
      <w:r w:rsidRPr="00A862CE">
        <w:rPr>
          <w:rStyle w:val="normaltextrun"/>
          <w:rFonts w:ascii="Franklin Gothic Book" w:hAnsi="Franklin Gothic Book"/>
          <w:sz w:val="22"/>
          <w:szCs w:val="22"/>
        </w:rPr>
        <w:t>in excess of</w:t>
      </w:r>
      <w:proofErr w:type="gramEnd"/>
      <w:r w:rsidRPr="00A862CE">
        <w:rPr>
          <w:rStyle w:val="normaltextrun"/>
          <w:rFonts w:ascii="Franklin Gothic Book" w:hAnsi="Franklin Gothic Book"/>
          <w:sz w:val="22"/>
          <w:szCs w:val="22"/>
        </w:rPr>
        <w:t xml:space="preserve"> $</w:t>
      </w:r>
      <w:r w:rsidR="00D14702" w:rsidRPr="009E2F9F">
        <w:rPr>
          <w:rStyle w:val="normaltextrun"/>
          <w:rFonts w:ascii="Franklin Gothic Book" w:hAnsi="Franklin Gothic Book"/>
          <w:b/>
          <w:bCs/>
          <w:sz w:val="22"/>
          <w:szCs w:val="22"/>
        </w:rPr>
        <w:t>redacted</w:t>
      </w:r>
      <w:r w:rsidRPr="00A862CE">
        <w:rPr>
          <w:rStyle w:val="normaltextrun"/>
          <w:rFonts w:ascii="Franklin Gothic Book" w:hAnsi="Franklin Gothic Book"/>
          <w:sz w:val="22"/>
          <w:szCs w:val="22"/>
        </w:rPr>
        <w:t>/QALY for DD transplant recipients but dominant for LD transplant recipients. MSAC noted that</w:t>
      </w:r>
      <w:r>
        <w:rPr>
          <w:rStyle w:val="normaltextrun"/>
          <w:rFonts w:ascii="Franklin Gothic Book" w:hAnsi="Franklin Gothic Book"/>
          <w:sz w:val="22"/>
          <w:szCs w:val="22"/>
        </w:rPr>
        <w:t xml:space="preserve"> while there were uncertainties associated with the </w:t>
      </w:r>
      <w:r>
        <w:rPr>
          <w:rStyle w:val="normaltextrun"/>
          <w:rFonts w:ascii="Franklin Gothic Book" w:hAnsi="Franklin Gothic Book"/>
          <w:sz w:val="22"/>
          <w:szCs w:val="22"/>
        </w:rPr>
        <w:lastRenderedPageBreak/>
        <w:t>financial impacts of funding imlifidase, these were mainly due to the impacts being overestimated.</w:t>
      </w:r>
      <w:r>
        <w:rPr>
          <w:rStyle w:val="eop"/>
          <w:rFonts w:ascii="Franklin Gothic Book" w:hAnsi="Franklin Gothic Book"/>
          <w:sz w:val="22"/>
          <w:szCs w:val="22"/>
        </w:rPr>
        <w:t> </w:t>
      </w:r>
    </w:p>
    <w:p w14:paraId="1C1F8D2A" w14:textId="1D85CA0E" w:rsidR="00103D81" w:rsidRPr="00A862CE" w:rsidRDefault="00AE5D14" w:rsidP="00A0206D">
      <w:pPr>
        <w:pStyle w:val="paragraph"/>
        <w:spacing w:before="240" w:beforeAutospacing="0" w:after="0" w:afterAutospacing="0"/>
        <w:textAlignment w:val="baseline"/>
      </w:pPr>
      <w:r w:rsidRPr="00825E18">
        <w:rPr>
          <w:rStyle w:val="normaltextrun"/>
          <w:rFonts w:ascii="Franklin Gothic Book" w:hAnsi="Franklin Gothic Book"/>
          <w:sz w:val="22"/>
          <w:szCs w:val="22"/>
        </w:rPr>
        <w:t xml:space="preserve">MSAC deferred its advice and recommended </w:t>
      </w:r>
      <w:r w:rsidRPr="00A862CE">
        <w:rPr>
          <w:rStyle w:val="normaltextrun"/>
          <w:rFonts w:ascii="Franklin Gothic Book" w:hAnsi="Franklin Gothic Book"/>
          <w:sz w:val="22"/>
          <w:szCs w:val="22"/>
        </w:rPr>
        <w:t xml:space="preserve">engagement with relevant stakeholders including the applicant, jurisdictions, OrganMatch, Australia and New Zealand Dialysis and Transplant Registry, </w:t>
      </w:r>
      <w:proofErr w:type="spellStart"/>
      <w:r w:rsidRPr="00A862CE">
        <w:rPr>
          <w:rStyle w:val="normaltextrun"/>
          <w:rFonts w:ascii="Franklin Gothic Book" w:hAnsi="Franklin Gothic Book"/>
          <w:sz w:val="22"/>
          <w:szCs w:val="22"/>
        </w:rPr>
        <w:t>LifeBlood</w:t>
      </w:r>
      <w:proofErr w:type="spellEnd"/>
      <w:r w:rsidRPr="00A862CE">
        <w:rPr>
          <w:rStyle w:val="normaltextrun"/>
          <w:rFonts w:ascii="Franklin Gothic Book" w:hAnsi="Franklin Gothic Book"/>
          <w:sz w:val="22"/>
          <w:szCs w:val="22"/>
        </w:rPr>
        <w:t>, the Renal Transplant Advisory Committee (RTAC) of the Transplantation Society of Australia and New Zealand and the RTAC/Australian and New Zealand Paired Kidney Exchange Clinical Oversight Subcommittee (RACOS) to work through the above issues and remaining implementation issues including:</w:t>
      </w:r>
      <w:r w:rsidRPr="00A862CE">
        <w:rPr>
          <w:rStyle w:val="eop"/>
          <w:rFonts w:ascii="Franklin Gothic Book" w:hAnsi="Franklin Gothic Book"/>
          <w:sz w:val="22"/>
          <w:szCs w:val="22"/>
        </w:rPr>
        <w:t> </w:t>
      </w:r>
    </w:p>
    <w:p w14:paraId="17C018EF" w14:textId="71DA9837" w:rsidR="00103D81" w:rsidRPr="00A862CE" w:rsidRDefault="00AE5D14" w:rsidP="001F6D92">
      <w:pPr>
        <w:pStyle w:val="paragraph"/>
        <w:numPr>
          <w:ilvl w:val="0"/>
          <w:numId w:val="60"/>
        </w:numPr>
        <w:spacing w:before="0" w:beforeAutospacing="0" w:after="0" w:afterAutospacing="0"/>
        <w:textAlignment w:val="baseline"/>
        <w:rPr>
          <w:rFonts w:ascii="Franklin Gothic Book" w:hAnsi="Franklin Gothic Book"/>
          <w:sz w:val="22"/>
          <w:szCs w:val="22"/>
        </w:rPr>
      </w:pPr>
      <w:r w:rsidRPr="00A862CE">
        <w:rPr>
          <w:rStyle w:val="normaltextrun"/>
          <w:rFonts w:ascii="Franklin Gothic Book" w:hAnsi="Franklin Gothic Book"/>
          <w:sz w:val="22"/>
          <w:szCs w:val="22"/>
        </w:rPr>
        <w:t xml:space="preserve">refining the proposed eligibility criteria including the current proposed criteria for LD transplant recipients which refers to logistical incompatibility with other desensitisation regimes, and with reference to the established ethical principles that guide allocation of transplants in </w:t>
      </w:r>
      <w:proofErr w:type="gramStart"/>
      <w:r w:rsidRPr="00A862CE">
        <w:rPr>
          <w:rStyle w:val="normaltextrun"/>
          <w:rFonts w:ascii="Franklin Gothic Book" w:hAnsi="Franklin Gothic Book"/>
          <w:sz w:val="22"/>
          <w:szCs w:val="22"/>
        </w:rPr>
        <w:t>Australia</w:t>
      </w:r>
      <w:proofErr w:type="gramEnd"/>
      <w:r w:rsidRPr="00A862CE">
        <w:rPr>
          <w:rStyle w:val="eop"/>
          <w:rFonts w:ascii="Franklin Gothic Book" w:hAnsi="Franklin Gothic Book"/>
          <w:sz w:val="22"/>
          <w:szCs w:val="22"/>
        </w:rPr>
        <w:t> </w:t>
      </w:r>
    </w:p>
    <w:p w14:paraId="647DE67B" w14:textId="05DDFAEF" w:rsidR="00103D81" w:rsidRPr="00A862CE" w:rsidRDefault="00AE5D14" w:rsidP="001F6D92">
      <w:pPr>
        <w:pStyle w:val="paragraph"/>
        <w:numPr>
          <w:ilvl w:val="0"/>
          <w:numId w:val="60"/>
        </w:numPr>
        <w:spacing w:before="0" w:beforeAutospacing="0" w:after="0" w:afterAutospacing="0"/>
        <w:textAlignment w:val="baseline"/>
        <w:rPr>
          <w:rFonts w:ascii="Franklin Gothic Book" w:hAnsi="Franklin Gothic Book"/>
          <w:sz w:val="22"/>
          <w:szCs w:val="22"/>
        </w:rPr>
      </w:pPr>
      <w:r w:rsidRPr="00A862CE">
        <w:rPr>
          <w:rStyle w:val="normaltextrun"/>
          <w:rFonts w:ascii="Franklin Gothic Book" w:hAnsi="Franklin Gothic Book"/>
          <w:sz w:val="22"/>
          <w:szCs w:val="22"/>
        </w:rPr>
        <w:t xml:space="preserve">development of national guidelines for imlifidase </w:t>
      </w:r>
      <w:proofErr w:type="gramStart"/>
      <w:r w:rsidRPr="00A862CE">
        <w:rPr>
          <w:rStyle w:val="normaltextrun"/>
          <w:rFonts w:ascii="Franklin Gothic Book" w:hAnsi="Franklin Gothic Book"/>
          <w:sz w:val="22"/>
          <w:szCs w:val="22"/>
        </w:rPr>
        <w:t>use</w:t>
      </w:r>
      <w:proofErr w:type="gramEnd"/>
      <w:r w:rsidRPr="00A862CE">
        <w:rPr>
          <w:rStyle w:val="eop"/>
          <w:rFonts w:ascii="Franklin Gothic Book" w:hAnsi="Franklin Gothic Book"/>
          <w:sz w:val="22"/>
          <w:szCs w:val="22"/>
        </w:rPr>
        <w:t> </w:t>
      </w:r>
    </w:p>
    <w:p w14:paraId="132DFEA7" w14:textId="12B19CB5" w:rsidR="00103D81" w:rsidRPr="00A862CE" w:rsidRDefault="00AE5D14" w:rsidP="001F6D92">
      <w:pPr>
        <w:pStyle w:val="paragraph"/>
        <w:numPr>
          <w:ilvl w:val="0"/>
          <w:numId w:val="60"/>
        </w:numPr>
        <w:spacing w:before="0" w:beforeAutospacing="0" w:after="0" w:afterAutospacing="0"/>
        <w:textAlignment w:val="baseline"/>
        <w:rPr>
          <w:rStyle w:val="eop"/>
          <w:rFonts w:ascii="Franklin Gothic Book" w:eastAsiaTheme="minorHAnsi" w:hAnsi="Franklin Gothic Book" w:cstheme="minorBidi"/>
          <w:sz w:val="22"/>
          <w:szCs w:val="22"/>
          <w:lang w:eastAsia="en-US"/>
        </w:rPr>
      </w:pPr>
      <w:r w:rsidRPr="00A862CE">
        <w:rPr>
          <w:rStyle w:val="normaltextrun"/>
          <w:rFonts w:ascii="Franklin Gothic Book" w:hAnsi="Franklin Gothic Book"/>
          <w:sz w:val="22"/>
          <w:szCs w:val="22"/>
        </w:rPr>
        <w:t xml:space="preserve">addressing accessibility to single antigen bead testing for kidney transplantation centres where imlifidase would be </w:t>
      </w:r>
      <w:proofErr w:type="gramStart"/>
      <w:r w:rsidRPr="00A862CE">
        <w:rPr>
          <w:rStyle w:val="normaltextrun"/>
          <w:rFonts w:ascii="Franklin Gothic Book" w:hAnsi="Franklin Gothic Book"/>
          <w:sz w:val="22"/>
          <w:szCs w:val="22"/>
        </w:rPr>
        <w:t>used</w:t>
      </w:r>
      <w:proofErr w:type="gramEnd"/>
      <w:r w:rsidRPr="00A862CE">
        <w:rPr>
          <w:rStyle w:val="normaltextrun"/>
          <w:rFonts w:ascii="Franklin Gothic Book" w:hAnsi="Franklin Gothic Book"/>
          <w:sz w:val="22"/>
          <w:szCs w:val="22"/>
        </w:rPr>
        <w:t> </w:t>
      </w:r>
      <w:r w:rsidRPr="00A862CE">
        <w:rPr>
          <w:rStyle w:val="eop"/>
          <w:rFonts w:ascii="Franklin Gothic Book" w:hAnsi="Franklin Gothic Book"/>
          <w:sz w:val="22"/>
          <w:szCs w:val="22"/>
        </w:rPr>
        <w:t> </w:t>
      </w:r>
    </w:p>
    <w:p w14:paraId="59D5048F" w14:textId="2397F209" w:rsidR="00103D81" w:rsidRPr="00A862CE" w:rsidRDefault="00825E18" w:rsidP="001F6D92">
      <w:pPr>
        <w:pStyle w:val="paragraph"/>
        <w:numPr>
          <w:ilvl w:val="0"/>
          <w:numId w:val="60"/>
        </w:numPr>
        <w:spacing w:before="0" w:beforeAutospacing="0" w:after="0" w:afterAutospacing="0"/>
        <w:textAlignment w:val="baseline"/>
        <w:rPr>
          <w:rFonts w:ascii="Franklin Gothic Book" w:hAnsi="Franklin Gothic Book"/>
          <w:sz w:val="22"/>
          <w:szCs w:val="22"/>
        </w:rPr>
      </w:pPr>
      <w:r w:rsidRPr="00A862CE">
        <w:rPr>
          <w:rFonts w:ascii="Franklin Gothic Book" w:hAnsi="Franklin Gothic Book"/>
          <w:sz w:val="22"/>
          <w:szCs w:val="22"/>
        </w:rPr>
        <w:t>designing an appropriate pay for performance (</w:t>
      </w:r>
      <w:proofErr w:type="spellStart"/>
      <w:r w:rsidRPr="00A862CE">
        <w:rPr>
          <w:rFonts w:ascii="Franklin Gothic Book" w:hAnsi="Franklin Gothic Book"/>
          <w:sz w:val="22"/>
          <w:szCs w:val="22"/>
        </w:rPr>
        <w:t>PfP</w:t>
      </w:r>
      <w:proofErr w:type="spellEnd"/>
      <w:r w:rsidRPr="00A862CE">
        <w:rPr>
          <w:rFonts w:ascii="Franklin Gothic Book" w:hAnsi="Franklin Gothic Book"/>
          <w:sz w:val="22"/>
          <w:szCs w:val="22"/>
        </w:rPr>
        <w:t xml:space="preserve">) scheme </w:t>
      </w:r>
      <w:r w:rsidRPr="009E2F9F">
        <w:rPr>
          <w:rFonts w:ascii="Franklin Gothic Book" w:hAnsi="Franklin Gothic Book"/>
          <w:sz w:val="22"/>
          <w:szCs w:val="22"/>
        </w:rPr>
        <w:t xml:space="preserve">with a </w:t>
      </w:r>
      <w:proofErr w:type="gramStart"/>
      <w:r w:rsidRPr="009E2F9F">
        <w:rPr>
          <w:rFonts w:ascii="Franklin Gothic Book" w:hAnsi="Franklin Gothic Book"/>
          <w:sz w:val="22"/>
          <w:szCs w:val="22"/>
        </w:rPr>
        <w:t>two tiered</w:t>
      </w:r>
      <w:proofErr w:type="gramEnd"/>
      <w:r w:rsidRPr="009E2F9F">
        <w:rPr>
          <w:rFonts w:ascii="Franklin Gothic Book" w:hAnsi="Franklin Gothic Book"/>
          <w:sz w:val="22"/>
          <w:szCs w:val="22"/>
        </w:rPr>
        <w:t xml:space="preserve"> patient financial cap </w:t>
      </w:r>
      <w:r w:rsidRPr="007D5DEB">
        <w:rPr>
          <w:rFonts w:ascii="Franklin Gothic Book" w:hAnsi="Franklin Gothic Book"/>
          <w:sz w:val="22"/>
          <w:szCs w:val="22"/>
        </w:rPr>
        <w:t>to manage the remaining clinical, economic and financial</w:t>
      </w:r>
      <w:r w:rsidRPr="00A862CE">
        <w:rPr>
          <w:rFonts w:ascii="Franklin Gothic Book" w:hAnsi="Franklin Gothic Book"/>
          <w:sz w:val="22"/>
          <w:szCs w:val="22"/>
        </w:rPr>
        <w:t xml:space="preserve"> uncertainties identified. </w:t>
      </w:r>
    </w:p>
    <w:p w14:paraId="01BF6C12" w14:textId="2273DC30" w:rsidR="00F84BA7" w:rsidRPr="00A862CE" w:rsidRDefault="00825E18" w:rsidP="00AF2A06">
      <w:pPr>
        <w:pStyle w:val="paragraph"/>
        <w:numPr>
          <w:ilvl w:val="0"/>
          <w:numId w:val="60"/>
        </w:numPr>
        <w:spacing w:before="0" w:beforeAutospacing="0" w:after="240" w:afterAutospacing="0"/>
        <w:textAlignment w:val="baseline"/>
      </w:pPr>
      <w:r w:rsidRPr="00A862CE">
        <w:rPr>
          <w:rFonts w:ascii="Franklin Gothic Book" w:hAnsi="Franklin Gothic Book"/>
          <w:sz w:val="22"/>
          <w:szCs w:val="22"/>
        </w:rPr>
        <w:t xml:space="preserve">collection of data for post-implementation review for MSAC consideration (and potential sharing of data between TGA and MSAC) and the timing of the TGA re-consideration of the provisional registration for imlifidase with respect to MSAC review and potential implications for </w:t>
      </w:r>
      <w:proofErr w:type="spellStart"/>
      <w:r w:rsidRPr="00A862CE">
        <w:rPr>
          <w:rFonts w:ascii="Franklin Gothic Book" w:hAnsi="Franklin Gothic Book"/>
          <w:sz w:val="22"/>
          <w:szCs w:val="22"/>
        </w:rPr>
        <w:t>PfP</w:t>
      </w:r>
      <w:proofErr w:type="spellEnd"/>
      <w:r w:rsidRPr="00A862CE">
        <w:rPr>
          <w:rFonts w:ascii="Franklin Gothic Book" w:hAnsi="Franklin Gothic Book"/>
          <w:sz w:val="22"/>
          <w:szCs w:val="22"/>
        </w:rPr>
        <w:t xml:space="preserve"> payment scheduling. </w:t>
      </w:r>
    </w:p>
    <w:tbl>
      <w:tblPr>
        <w:tblStyle w:val="TableGrid"/>
        <w:tblW w:w="0" w:type="auto"/>
        <w:tblLook w:val="04A0" w:firstRow="1" w:lastRow="0" w:firstColumn="1" w:lastColumn="0" w:noHBand="0" w:noVBand="1"/>
        <w:tblDescription w:val="Consumer summary of MSAC consideration"/>
      </w:tblPr>
      <w:tblGrid>
        <w:gridCol w:w="9016"/>
      </w:tblGrid>
      <w:tr w:rsidR="00F84BA7" w:rsidRPr="00C86E49" w14:paraId="7D95135A" w14:textId="77777777" w:rsidTr="00154777">
        <w:trPr>
          <w:tblHeader/>
        </w:trPr>
        <w:tc>
          <w:tcPr>
            <w:tcW w:w="9016" w:type="dxa"/>
          </w:tcPr>
          <w:p w14:paraId="27A199C6" w14:textId="77777777" w:rsidR="00F84BA7" w:rsidRPr="00C86E49" w:rsidRDefault="00F84BA7" w:rsidP="00154777">
            <w:pPr>
              <w:keepNext/>
              <w:keepLines/>
              <w:spacing w:after="200"/>
              <w:outlineLvl w:val="2"/>
              <w:rPr>
                <w:rFonts w:ascii="Franklin Gothic Medium" w:eastAsia="Calibri" w:hAnsi="Franklin Gothic Medium" w:cs="Times New Roman"/>
                <w:iCs/>
                <w:color w:val="1F3763"/>
                <w:sz w:val="24"/>
                <w:szCs w:val="24"/>
              </w:rPr>
            </w:pPr>
            <w:r w:rsidRPr="00C86E49">
              <w:rPr>
                <w:rFonts w:ascii="Franklin Gothic Medium" w:eastAsia="Times New Roman" w:hAnsi="Franklin Gothic Medium" w:cs="Times New Roman"/>
                <w:sz w:val="24"/>
                <w:szCs w:val="24"/>
              </w:rPr>
              <w:t>Consumer summary</w:t>
            </w:r>
          </w:p>
        </w:tc>
      </w:tr>
      <w:tr w:rsidR="00F84BA7" w:rsidRPr="00C86E49" w14:paraId="18D22508" w14:textId="77777777" w:rsidTr="00154777">
        <w:tc>
          <w:tcPr>
            <w:tcW w:w="9016" w:type="dxa"/>
          </w:tcPr>
          <w:p w14:paraId="67C83A08" w14:textId="1638EDDD" w:rsidR="00780181" w:rsidRDefault="00780181" w:rsidP="00780181">
            <w:r w:rsidRPr="00AF46D8">
              <w:t xml:space="preserve">This is an application from </w:t>
            </w:r>
            <w:r>
              <w:t>Hansa Biopharma Australia</w:t>
            </w:r>
            <w:r w:rsidRPr="00AF46D8">
              <w:t xml:space="preserve"> requesting </w:t>
            </w:r>
            <w:r>
              <w:t>public funding</w:t>
            </w:r>
            <w:r w:rsidRPr="00AF46D8">
              <w:t xml:space="preserve"> of</w:t>
            </w:r>
            <w:r>
              <w:t xml:space="preserve"> i</w:t>
            </w:r>
            <w:r w:rsidRPr="00CC465C">
              <w:t>mlifidase as a desensitisation treatment to enable kidney transplant in highly sensitised adult transplant candidates</w:t>
            </w:r>
            <w:r>
              <w:t xml:space="preserve"> with a positive crossmatch against an available deceased or living donor who are unlikely to be transplanted under current kidney allocation systems.</w:t>
            </w:r>
          </w:p>
          <w:p w14:paraId="67BB564B" w14:textId="10721378" w:rsidR="00A44010" w:rsidRDefault="00A44010" w:rsidP="00780181">
            <w:r w:rsidRPr="00A44010">
              <w:t xml:space="preserve">People with end-stage kidney disease need regular dialysis or a kidney transplant to survive. A kidney transplant gives patients a greater chance of survival and a better quality of life than remaining on dialysis. </w:t>
            </w:r>
            <w:proofErr w:type="gramStart"/>
            <w:r w:rsidRPr="00A44010">
              <w:t>However</w:t>
            </w:r>
            <w:proofErr w:type="gramEnd"/>
            <w:r w:rsidRPr="00A44010">
              <w:t xml:space="preserve"> there are a group of people waiting for kidney transplants who have developed antibodies that means that they have a higher chance of rejecting a donated kidney. These people are classified as “highly sensitised” and include groups such as women who have previously been pregnant and people who have already had a transplant.</w:t>
            </w:r>
          </w:p>
          <w:p w14:paraId="60AA8419" w14:textId="5C408467" w:rsidR="006E2D8C" w:rsidRDefault="006E2D8C" w:rsidP="006E2D8C">
            <w:r>
              <w:t xml:space="preserve">Imlifidase is a “desensitisation” treatment that tries to prevent the body from rejecting a newly transplanted kidney. This treatment is used before transplantation in people who are considered “highly sensitised” based on a positive crossmatch test. A positive crossmatch is where a high level of antibodies (measured as calculated panel reactive antibody values, or </w:t>
            </w:r>
            <w:proofErr w:type="spellStart"/>
            <w:r>
              <w:t>cPRA</w:t>
            </w:r>
            <w:proofErr w:type="spellEnd"/>
            <w:r>
              <w:t>) in the person receiving the transplant bind to the cells of the donor (or the donor’s kidney) and destroy them. Imlifidase converts people from crossmatch positive to negative, which reduces the likelihood of the patient’s body rejecting the donated kidney for about 1 week (the peak period for a very serious form of rejection, called hyper-acute rejection).</w:t>
            </w:r>
          </w:p>
          <w:p w14:paraId="4CFECE91" w14:textId="680DE6EA" w:rsidR="00780181" w:rsidRDefault="00780181" w:rsidP="00780181">
            <w:r>
              <w:t xml:space="preserve">MSAC had previously considered imlifidase in July 2023 but </w:t>
            </w:r>
            <w:r w:rsidRPr="00EB30CC">
              <w:t>did not support public funding</w:t>
            </w:r>
            <w:r>
              <w:t xml:space="preserve"> at the time. In this resubmission, the applicant had addressed many of MSAC’s concerns from the previous application. However, MSAC considered that some issues remained in the economic analysis that made it difficult to tell whether imlifidase would be good value for money. This included the </w:t>
            </w:r>
            <w:r w:rsidRPr="002D506F">
              <w:t>potential effect on other patients on the transplant waiting list who might</w:t>
            </w:r>
            <w:r w:rsidR="00035856" w:rsidRPr="002D506F">
              <w:t xml:space="preserve"> have their transplant delayed</w:t>
            </w:r>
            <w:r w:rsidR="00035856">
              <w:t xml:space="preserve"> </w:t>
            </w:r>
            <w:r w:rsidR="00C41EC5">
              <w:t xml:space="preserve">because a donated kidney that would otherwise be available to them is </w:t>
            </w:r>
            <w:r w:rsidR="00035856">
              <w:t xml:space="preserve">transplanted by a person who received imlifidase </w:t>
            </w:r>
            <w:r w:rsidR="00C41EC5">
              <w:t>instead</w:t>
            </w:r>
            <w:r>
              <w:t xml:space="preserve">. MSAC also considered that other issues relating to </w:t>
            </w:r>
            <w:r w:rsidRPr="0025144E">
              <w:t>how imlifidase would be implemented and paid for would benefit from discussion with other stakeholders.</w:t>
            </w:r>
          </w:p>
          <w:p w14:paraId="34DC87D2" w14:textId="77777777" w:rsidR="00F84BA7" w:rsidRPr="00C86E49" w:rsidRDefault="00F84BA7" w:rsidP="00154777">
            <w:pPr>
              <w:keepNext/>
              <w:keepLines/>
              <w:outlineLvl w:val="2"/>
              <w:rPr>
                <w:rFonts w:ascii="Franklin Gothic Medium" w:eastAsia="Times New Roman" w:hAnsi="Franklin Gothic Medium" w:cs="Times New Roman"/>
                <w:sz w:val="24"/>
                <w:szCs w:val="24"/>
              </w:rPr>
            </w:pPr>
            <w:r w:rsidRPr="00C86E49">
              <w:rPr>
                <w:rFonts w:ascii="Franklin Gothic Medium" w:eastAsia="Times New Roman" w:hAnsi="Franklin Gothic Medium" w:cs="Times New Roman"/>
                <w:sz w:val="24"/>
                <w:szCs w:val="24"/>
              </w:rPr>
              <w:lastRenderedPageBreak/>
              <w:t xml:space="preserve">MSAC’s advice to the </w:t>
            </w:r>
            <w:proofErr w:type="gramStart"/>
            <w:r w:rsidRPr="00C86E49">
              <w:rPr>
                <w:rFonts w:ascii="Franklin Gothic Medium" w:eastAsia="Times New Roman" w:hAnsi="Franklin Gothic Medium" w:cs="Times New Roman"/>
                <w:sz w:val="24"/>
                <w:szCs w:val="24"/>
              </w:rPr>
              <w:t>Commonwealth Minister</w:t>
            </w:r>
            <w:proofErr w:type="gramEnd"/>
            <w:r w:rsidRPr="00C86E49">
              <w:rPr>
                <w:rFonts w:ascii="Franklin Gothic Medium" w:eastAsia="Times New Roman" w:hAnsi="Franklin Gothic Medium" w:cs="Times New Roman"/>
                <w:sz w:val="24"/>
                <w:szCs w:val="24"/>
              </w:rPr>
              <w:t xml:space="preserve"> for Health and Aged Care</w:t>
            </w:r>
          </w:p>
          <w:p w14:paraId="0B53618D" w14:textId="63C5441D" w:rsidR="00F84BA7" w:rsidRPr="00C86E49" w:rsidRDefault="008D10F6" w:rsidP="008D10F6">
            <w:pPr>
              <w:spacing w:after="120"/>
              <w:rPr>
                <w:rFonts w:eastAsia="Calibri" w:cs="Times New Roman"/>
              </w:rPr>
            </w:pPr>
            <w:r w:rsidRPr="00AF46D8">
              <w:t xml:space="preserve">MSAC deferred its </w:t>
            </w:r>
            <w:r>
              <w:t>decision on whether to support imlifidase until it could consult with other stakeholders who are involved in the planning and governance of kidney transplants.</w:t>
            </w:r>
          </w:p>
        </w:tc>
      </w:tr>
    </w:tbl>
    <w:p w14:paraId="50E37055" w14:textId="77777777" w:rsidR="00F84BA7" w:rsidRPr="00C86E49" w:rsidRDefault="00F84BA7" w:rsidP="00F84BA7">
      <w:pPr>
        <w:pStyle w:val="Heading2"/>
        <w:numPr>
          <w:ilvl w:val="1"/>
          <w:numId w:val="0"/>
        </w:numPr>
      </w:pPr>
      <w:r w:rsidRPr="00C86E49">
        <w:lastRenderedPageBreak/>
        <w:t>3.</w:t>
      </w:r>
      <w:r w:rsidRPr="00C86E49">
        <w:tab/>
        <w:t>Summary of consideration and rationale for MSAC’s advice</w:t>
      </w:r>
    </w:p>
    <w:p w14:paraId="6B5AB619" w14:textId="2FFE3347" w:rsidR="004E486B" w:rsidRDefault="004E486B" w:rsidP="004E486B">
      <w:r w:rsidRPr="00516D4E">
        <w:t>MSAC</w:t>
      </w:r>
      <w:r>
        <w:t xml:space="preserve"> noted that this was a resubmission from Hansa Biopharma Australia requesting public funding under the National Health Reform Agreement (NHRA) Addendum for highly specialised therapies for the use of imlifidase in the desensitisation therapy of highly sensitised (HS) adult kidney transplant patients with a positive crossmatch against an available deceased donor (DD) or living donor (LD) who are </w:t>
      </w:r>
      <w:r w:rsidR="0009338F">
        <w:t xml:space="preserve">otherwise </w:t>
      </w:r>
      <w:r>
        <w:t>unlikely to be transplanted under current kidney allocation systems</w:t>
      </w:r>
      <w:r w:rsidR="0009338F">
        <w:t xml:space="preserve"> in Australia</w:t>
      </w:r>
      <w:r>
        <w:t>. MSAC noted that imlifidase received provisional registration on the Australian Register of Therapeutic Goods (ARTG; ID 391413) in July 2023.</w:t>
      </w:r>
    </w:p>
    <w:p w14:paraId="1208C6E2" w14:textId="1AFA0838" w:rsidR="004E486B" w:rsidRDefault="004E486B" w:rsidP="004E486B">
      <w:r>
        <w:t>MSAC recalled that it had considered the original application (</w:t>
      </w:r>
      <w:hyperlink r:id="rId9" w:history="1">
        <w:r w:rsidRPr="002748DE">
          <w:rPr>
            <w:rStyle w:val="Hyperlink"/>
          </w:rPr>
          <w:t>1732</w:t>
        </w:r>
      </w:hyperlink>
      <w:r>
        <w:t>) at its July 2023 meeting and</w:t>
      </w:r>
      <w:r w:rsidRPr="00EB30CC">
        <w:t xml:space="preserve"> did not support public funding</w:t>
      </w:r>
      <w:r>
        <w:t xml:space="preserve"> at the time</w:t>
      </w:r>
      <w:r w:rsidRPr="00EB30CC">
        <w:t xml:space="preserve">. The key matters of concern included eligibility criteria and </w:t>
      </w:r>
      <w:r>
        <w:t xml:space="preserve">the </w:t>
      </w:r>
      <w:r w:rsidRPr="00EB30CC">
        <w:t>clinical place of therapy (</w:t>
      </w:r>
      <w:r>
        <w:t>with MSAC recommending</w:t>
      </w:r>
      <w:r w:rsidRPr="00EB30CC">
        <w:t xml:space="preserve"> </w:t>
      </w:r>
      <w:r>
        <w:t xml:space="preserve">a </w:t>
      </w:r>
      <w:r w:rsidRPr="00EB30CC">
        <w:t>revised population and comparators), implementation issues relating to the centres offering the proposed technology, commercial terms</w:t>
      </w:r>
      <w:r>
        <w:t>,</w:t>
      </w:r>
      <w:r w:rsidRPr="00EB30CC">
        <w:t xml:space="preserve"> and concerns regarding the economic and financial modelling.</w:t>
      </w:r>
      <w:r w:rsidR="00E41BC8" w:rsidRPr="00E41BC8">
        <w:t xml:space="preserve"> </w:t>
      </w:r>
      <w:r w:rsidR="00E41BC8">
        <w:t xml:space="preserve">MSAC noted that the applicant had addressed </w:t>
      </w:r>
      <w:r w:rsidR="001B1026">
        <w:t>or partially</w:t>
      </w:r>
      <w:r w:rsidR="00233C02">
        <w:t xml:space="preserve"> addressed</w:t>
      </w:r>
      <w:r w:rsidR="001B1026">
        <w:t xml:space="preserve"> </w:t>
      </w:r>
      <w:r w:rsidR="00E41BC8">
        <w:t>many of these concerns in the resubmission,</w:t>
      </w:r>
      <w:r w:rsidR="009D4C82">
        <w:t xml:space="preserve"> </w:t>
      </w:r>
      <w:r w:rsidR="001B1026">
        <w:t xml:space="preserve">but there were remaining concerns and uncertainties as </w:t>
      </w:r>
      <w:r w:rsidR="00E41BC8">
        <w:t>described below</w:t>
      </w:r>
      <w:r w:rsidR="0049311D">
        <w:t>.</w:t>
      </w:r>
    </w:p>
    <w:p w14:paraId="24CF634C" w14:textId="591D83D4" w:rsidR="00BA71B3" w:rsidRDefault="00BA71B3" w:rsidP="004E486B">
      <w:r>
        <w:t xml:space="preserve">MSAC noted the feedback from states and territories, which expressed concerns about the uncertainty in the evidence base, </w:t>
      </w:r>
      <w:proofErr w:type="gramStart"/>
      <w:r>
        <w:t>comparator</w:t>
      </w:r>
      <w:proofErr w:type="gramEnd"/>
      <w:r>
        <w:t xml:space="preserve"> and placement in the clinical pathway, as well as the </w:t>
      </w:r>
      <w:r w:rsidR="00682F18">
        <w:t xml:space="preserve">mechanisms for ongoing data collection, </w:t>
      </w:r>
      <w:r w:rsidR="0017442B">
        <w:t xml:space="preserve">the </w:t>
      </w:r>
      <w:r>
        <w:t xml:space="preserve">high </w:t>
      </w:r>
      <w:r w:rsidR="008175A3">
        <w:t xml:space="preserve">proposed </w:t>
      </w:r>
      <w:r>
        <w:t>price</w:t>
      </w:r>
      <w:r w:rsidR="008175A3">
        <w:t xml:space="preserve"> of imlifidase</w:t>
      </w:r>
      <w:r>
        <w:t>, the equity and access issues if limited to specialist centres with an annual patient cap, and implementation issues that may limit uptake.</w:t>
      </w:r>
    </w:p>
    <w:p w14:paraId="627C29E1" w14:textId="116B142D" w:rsidR="00B04F0E" w:rsidRDefault="00B04F0E" w:rsidP="004E486B">
      <w:r>
        <w:rPr>
          <w:rStyle w:val="normaltextrun"/>
        </w:rPr>
        <w:t>MSAC considered there is a high unmet clinical need for imlifidase.</w:t>
      </w:r>
    </w:p>
    <w:p w14:paraId="446282E2" w14:textId="2ADA6E0B" w:rsidR="004E486B" w:rsidRPr="001F6D92" w:rsidRDefault="004E486B" w:rsidP="004E486B">
      <w:r>
        <w:t xml:space="preserve">As suggested by MSAC, the resubmission limited the eligibility criteria for potential DD transplant recipients to </w:t>
      </w:r>
      <w:r w:rsidRPr="00020716">
        <w:t xml:space="preserve">those with </w:t>
      </w:r>
      <w:r>
        <w:t>calculated panel reactive antibody (</w:t>
      </w:r>
      <w:proofErr w:type="spellStart"/>
      <w:r w:rsidRPr="00020716">
        <w:t>cPRA</w:t>
      </w:r>
      <w:proofErr w:type="spellEnd"/>
      <w:r>
        <w:t>)</w:t>
      </w:r>
      <w:r w:rsidRPr="00020716">
        <w:t xml:space="preserve"> </w:t>
      </w:r>
      <w:r>
        <w:t xml:space="preserve">values </w:t>
      </w:r>
      <w:r w:rsidRPr="00020716">
        <w:t xml:space="preserve">of 99% or more and who have been on the </w:t>
      </w:r>
      <w:r>
        <w:t>DD waitlist</w:t>
      </w:r>
      <w:r w:rsidRPr="00020716">
        <w:t xml:space="preserve"> for </w:t>
      </w:r>
      <w:r>
        <w:t>at least 2</w:t>
      </w:r>
      <w:r w:rsidRPr="00020716">
        <w:t> years</w:t>
      </w:r>
      <w:r>
        <w:t xml:space="preserve">. For potential LD transplant recipients, the criteria had been modified to </w:t>
      </w:r>
      <w:r w:rsidRPr="00020716">
        <w:t xml:space="preserve">those with </w:t>
      </w:r>
      <w:proofErr w:type="spellStart"/>
      <w:r w:rsidRPr="00020716">
        <w:t>cPRA</w:t>
      </w:r>
      <w:proofErr w:type="spellEnd"/>
      <w:r w:rsidRPr="00020716">
        <w:t xml:space="preserve"> of 99% or more</w:t>
      </w:r>
      <w:r>
        <w:t xml:space="preserve"> and who have failed previous desensitisation regimens, or where these are contraindicated, or where other desensitisation regimens are considered unlikely to be effective or are not logistically compatible with the circumstances. </w:t>
      </w:r>
      <w:r w:rsidR="006B47A4">
        <w:rPr>
          <w:rFonts w:eastAsia="Segoe UI"/>
        </w:rPr>
        <w:t>MSAC</w:t>
      </w:r>
      <w:r w:rsidR="00E90F3F">
        <w:rPr>
          <w:rFonts w:eastAsia="Segoe UI"/>
        </w:rPr>
        <w:t xml:space="preserve"> </w:t>
      </w:r>
      <w:r w:rsidR="007E4628">
        <w:rPr>
          <w:rFonts w:eastAsia="Segoe UI"/>
        </w:rPr>
        <w:t>noted that</w:t>
      </w:r>
      <w:r w:rsidR="006B47A4">
        <w:rPr>
          <w:rFonts w:eastAsia="Segoe UI"/>
        </w:rPr>
        <w:t xml:space="preserve"> the</w:t>
      </w:r>
      <w:r w:rsidR="007E4628">
        <w:rPr>
          <w:rFonts w:eastAsia="Segoe UI"/>
        </w:rPr>
        <w:t xml:space="preserve"> </w:t>
      </w:r>
      <w:r w:rsidR="006E68BC" w:rsidRPr="00825E18">
        <w:rPr>
          <w:rStyle w:val="normaltextrun"/>
        </w:rPr>
        <w:t xml:space="preserve">Renal Transplant Advisory Committee </w:t>
      </w:r>
      <w:r w:rsidR="006E68BC">
        <w:rPr>
          <w:rStyle w:val="normaltextrun"/>
        </w:rPr>
        <w:t>(</w:t>
      </w:r>
      <w:r w:rsidR="007E4628">
        <w:rPr>
          <w:rFonts w:eastAsia="Segoe UI"/>
        </w:rPr>
        <w:t>RTAC</w:t>
      </w:r>
      <w:r w:rsidR="006E68BC">
        <w:rPr>
          <w:rFonts w:eastAsia="Segoe UI"/>
        </w:rPr>
        <w:t>)</w:t>
      </w:r>
      <w:r w:rsidR="003801B8">
        <w:rPr>
          <w:rFonts w:eastAsia="Segoe UI"/>
        </w:rPr>
        <w:t xml:space="preserve"> of the </w:t>
      </w:r>
      <w:r w:rsidR="003801B8">
        <w:t>Transplantation Society of Australia and New Zealand</w:t>
      </w:r>
      <w:r w:rsidR="00870318">
        <w:t xml:space="preserve"> (TSANZ)</w:t>
      </w:r>
      <w:r w:rsidR="007E4628">
        <w:rPr>
          <w:rFonts w:eastAsia="Segoe UI"/>
        </w:rPr>
        <w:t xml:space="preserve"> had </w:t>
      </w:r>
      <w:r w:rsidR="003C2402">
        <w:rPr>
          <w:rFonts w:eastAsia="Segoe UI"/>
        </w:rPr>
        <w:t xml:space="preserve">questioned </w:t>
      </w:r>
      <w:r w:rsidR="007E4628">
        <w:rPr>
          <w:rFonts w:eastAsia="Segoe UI"/>
        </w:rPr>
        <w:t xml:space="preserve">the </w:t>
      </w:r>
      <w:r w:rsidR="006B47A4">
        <w:rPr>
          <w:rFonts w:eastAsia="Segoe UI"/>
        </w:rPr>
        <w:t xml:space="preserve">applicant’s </w:t>
      </w:r>
      <w:r w:rsidR="007E4628">
        <w:rPr>
          <w:rFonts w:eastAsia="Segoe UI"/>
        </w:rPr>
        <w:t>revised eligibility criteria</w:t>
      </w:r>
      <w:r w:rsidR="003C2402">
        <w:rPr>
          <w:rFonts w:eastAsia="Segoe UI"/>
        </w:rPr>
        <w:t xml:space="preserve"> </w:t>
      </w:r>
      <w:r w:rsidR="007E4628">
        <w:rPr>
          <w:rFonts w:eastAsia="Segoe UI"/>
        </w:rPr>
        <w:t xml:space="preserve">for </w:t>
      </w:r>
      <w:r w:rsidR="007E4628">
        <w:t>potential LD transplant</w:t>
      </w:r>
      <w:r w:rsidR="00A27D10">
        <w:t>s</w:t>
      </w:r>
      <w:r w:rsidR="003C2402" w:rsidRPr="00B3150A">
        <w:t xml:space="preserve"> </w:t>
      </w:r>
      <w:r w:rsidR="00B54D93">
        <w:t>citing</w:t>
      </w:r>
      <w:r w:rsidR="00B54D93" w:rsidRPr="00527717">
        <w:t xml:space="preserve"> </w:t>
      </w:r>
      <w:r w:rsidR="003C2402" w:rsidRPr="00527717">
        <w:t xml:space="preserve">logistical </w:t>
      </w:r>
      <w:r w:rsidR="003C2402">
        <w:t>issues preventing the use of existing desensitisation regimens</w:t>
      </w:r>
      <w:r w:rsidR="00A27D10">
        <w:t xml:space="preserve"> because </w:t>
      </w:r>
      <w:r w:rsidR="003C2402">
        <w:t xml:space="preserve">in practice, </w:t>
      </w:r>
      <w:r w:rsidR="003C2402" w:rsidRPr="00B3150A">
        <w:t xml:space="preserve">a </w:t>
      </w:r>
      <w:r w:rsidR="003C2402" w:rsidRPr="00576FA1">
        <w:t>substantial</w:t>
      </w:r>
      <w:r w:rsidR="003C2402" w:rsidRPr="00B3150A">
        <w:t xml:space="preserve"> proportion of recipients managed with </w:t>
      </w:r>
      <w:r w:rsidR="003C2402" w:rsidRPr="00527717">
        <w:t>imlifidase</w:t>
      </w:r>
      <w:r w:rsidR="003C2402">
        <w:t xml:space="preserve"> will require existing desensitising regimens to manage rejection</w:t>
      </w:r>
      <w:r w:rsidR="003C2402" w:rsidRPr="00527717">
        <w:t>.</w:t>
      </w:r>
      <w:r w:rsidR="00A27D10">
        <w:t xml:space="preserve"> </w:t>
      </w:r>
      <w:r w:rsidR="00201F90">
        <w:t xml:space="preserve">MSAC noted that ESC </w:t>
      </w:r>
      <w:r w:rsidR="007D19C0">
        <w:t xml:space="preserve">had </w:t>
      </w:r>
      <w:r w:rsidR="00201F90">
        <w:t xml:space="preserve">similar concerns and </w:t>
      </w:r>
      <w:r w:rsidR="00CD608D">
        <w:t xml:space="preserve">agreed with ESC </w:t>
      </w:r>
      <w:r w:rsidR="00A27D10">
        <w:t>that this criterion should be revised</w:t>
      </w:r>
      <w:r w:rsidR="009016DA">
        <w:t>.</w:t>
      </w:r>
    </w:p>
    <w:p w14:paraId="7A1B714C" w14:textId="1129A29B" w:rsidR="00F507F2" w:rsidRDefault="004E486B" w:rsidP="00F507F2">
      <w:r>
        <w:t xml:space="preserve">RTAC noted that not all patients will be medically suitable to receive imlifidase and, at least initially, </w:t>
      </w:r>
      <w:r w:rsidRPr="0051338A">
        <w:t xml:space="preserve">the ability to </w:t>
      </w:r>
      <w:r>
        <w:t>use</w:t>
      </w:r>
      <w:r w:rsidRPr="0051338A">
        <w:t xml:space="preserve"> imlifidase for DD </w:t>
      </w:r>
      <w:r>
        <w:t>transplants will be affected</w:t>
      </w:r>
      <w:r w:rsidRPr="0051338A">
        <w:t xml:space="preserve"> by logistic considerations (such as the ability to repeat single antigen bead testing </w:t>
      </w:r>
      <w:r>
        <w:t xml:space="preserve">[e.g. Luminex] </w:t>
      </w:r>
      <w:r w:rsidRPr="0051338A">
        <w:t>after administration of imli</w:t>
      </w:r>
      <w:r>
        <w:t>fi</w:t>
      </w:r>
      <w:r w:rsidRPr="0051338A">
        <w:t xml:space="preserve">dase </w:t>
      </w:r>
      <w:r>
        <w:t>before</w:t>
      </w:r>
      <w:r w:rsidRPr="0051338A">
        <w:t xml:space="preserve"> proceeding with transplantation</w:t>
      </w:r>
      <w:r>
        <w:t xml:space="preserve">). </w:t>
      </w:r>
      <w:r w:rsidR="00F507F2" w:rsidRPr="49342470">
        <w:rPr>
          <w:rFonts w:eastAsia="Times New Roman"/>
        </w:rPr>
        <w:t xml:space="preserve">MSAC recalled that ESC requested that the </w:t>
      </w:r>
      <w:r w:rsidR="00EB447F">
        <w:rPr>
          <w:rFonts w:eastAsia="Times New Roman"/>
        </w:rPr>
        <w:t>d</w:t>
      </w:r>
      <w:r w:rsidR="00F507F2" w:rsidRPr="49342470">
        <w:rPr>
          <w:rFonts w:eastAsia="Times New Roman"/>
        </w:rPr>
        <w:t xml:space="preserve">epartment undertake additional consultation with </w:t>
      </w:r>
      <w:r w:rsidR="001D0962">
        <w:rPr>
          <w:rFonts w:eastAsia="Times New Roman"/>
        </w:rPr>
        <w:t>relevant stakeholder</w:t>
      </w:r>
      <w:r w:rsidR="00456FD3">
        <w:rPr>
          <w:rFonts w:eastAsia="Times New Roman"/>
        </w:rPr>
        <w:t>s</w:t>
      </w:r>
      <w:r w:rsidR="00F507F2" w:rsidRPr="49342470">
        <w:rPr>
          <w:rFonts w:eastAsia="Times New Roman"/>
        </w:rPr>
        <w:t xml:space="preserve"> to collect additional data on the estimated numbers of patients in the ANZDATA with </w:t>
      </w:r>
      <w:proofErr w:type="spellStart"/>
      <w:r w:rsidR="00F507F2" w:rsidRPr="49342470">
        <w:rPr>
          <w:rFonts w:eastAsia="Times New Roman"/>
        </w:rPr>
        <w:t>cPRA</w:t>
      </w:r>
      <w:proofErr w:type="spellEnd"/>
      <w:r w:rsidR="00F507F2" w:rsidRPr="49342470">
        <w:rPr>
          <w:rFonts w:eastAsia="Times New Roman"/>
        </w:rPr>
        <w:t xml:space="preserve"> ≥99% to assist with the </w:t>
      </w:r>
      <w:r w:rsidR="00F507F2" w:rsidRPr="49342470">
        <w:rPr>
          <w:rFonts w:eastAsia="Times New Roman"/>
        </w:rPr>
        <w:lastRenderedPageBreak/>
        <w:t>enquiry into how many patients would be considered medically suitable for imlifidase</w:t>
      </w:r>
      <w:r w:rsidR="00F507F2">
        <w:rPr>
          <w:rFonts w:eastAsia="Times New Roman"/>
        </w:rPr>
        <w:t xml:space="preserve">. </w:t>
      </w:r>
      <w:r w:rsidR="00F507F2">
        <w:t xml:space="preserve">MSAC noted the following information received from the </w:t>
      </w:r>
      <w:r w:rsidR="00EB447F">
        <w:t>d</w:t>
      </w:r>
      <w:r w:rsidR="00F507F2">
        <w:t>epartment’s further inquiries into these questions:</w:t>
      </w:r>
    </w:p>
    <w:p w14:paraId="09D66953" w14:textId="1FF75C12" w:rsidR="00F507F2" w:rsidRDefault="00F507F2" w:rsidP="00F507F2">
      <w:pPr>
        <w:pStyle w:val="ListParagraph"/>
        <w:numPr>
          <w:ilvl w:val="0"/>
          <w:numId w:val="54"/>
        </w:numPr>
      </w:pPr>
      <w:r>
        <w:t xml:space="preserve">ANZDATA stated that, at the end of 2022, there were 135 patients on the kidney transplant waitlist with PRA &gt;99% (equating to 10.4% of patients on the waiting list), and these patients had a median wait time of 5.2 years. ANZDATA also advised that the use of imlifidase can be recorded at the time of transplant </w:t>
      </w:r>
      <w:r w:rsidRPr="00BF2C51">
        <w:t xml:space="preserve">for the induction variable </w:t>
      </w:r>
      <w:r>
        <w:t>“</w:t>
      </w:r>
      <w:r w:rsidRPr="00BF2C51">
        <w:t>other</w:t>
      </w:r>
      <w:r>
        <w:t>”</w:t>
      </w:r>
      <w:r w:rsidRPr="00BF2C51">
        <w:t>, with the option for free</w:t>
      </w:r>
      <w:r>
        <w:t>-</w:t>
      </w:r>
      <w:r w:rsidRPr="00BF2C51">
        <w:t>text entry</w:t>
      </w:r>
      <w:r>
        <w:t>.</w:t>
      </w:r>
    </w:p>
    <w:p w14:paraId="01933A3F" w14:textId="14271CCC" w:rsidR="00F507F2" w:rsidRDefault="00F507F2" w:rsidP="00F507F2">
      <w:pPr>
        <w:pStyle w:val="ListParagraph"/>
        <w:numPr>
          <w:ilvl w:val="0"/>
          <w:numId w:val="54"/>
        </w:numPr>
      </w:pPr>
      <w:r>
        <w:t>OrganMatch stated that there are 114 patients waiting for a DD kidney with a match panel reactive antibody (</w:t>
      </w:r>
      <w:proofErr w:type="spellStart"/>
      <w:r>
        <w:t>mPRA</w:t>
      </w:r>
      <w:proofErr w:type="spellEnd"/>
      <w:r>
        <w:t>) value &gt;99% who have been waiting more than 2 years, and nine kidney paired donation recipients &gt;99% who have been waiting more than 2 years</w:t>
      </w:r>
      <w:r w:rsidRPr="002D506F">
        <w:t>. OrganMatch advised that it could flag these patients in the database, which would allow review of the numbers of patients transplanted after using imlifidase, as well as the impact of waiting times on imlifidase patients and other patients on the transplant waiting list. These</w:t>
      </w:r>
      <w:r>
        <w:t xml:space="preserve"> data would be included in the annual report from OrganMatch to RTAC.</w:t>
      </w:r>
    </w:p>
    <w:p w14:paraId="082E32FF" w14:textId="77777777" w:rsidR="00F507F2" w:rsidRPr="002D506F" w:rsidRDefault="00F507F2" w:rsidP="00F507F2">
      <w:pPr>
        <w:pStyle w:val="ListParagraph"/>
        <w:numPr>
          <w:ilvl w:val="0"/>
          <w:numId w:val="54"/>
        </w:numPr>
      </w:pPr>
      <w:r>
        <w:t xml:space="preserve">The Organ and Tissue Authority did not know the number of </w:t>
      </w:r>
      <w:r w:rsidRPr="000508F2">
        <w:t xml:space="preserve">recipients who could potentially benefit from the use of </w:t>
      </w:r>
      <w:r>
        <w:t>i</w:t>
      </w:r>
      <w:r w:rsidRPr="000508F2">
        <w:t>mlifidase</w:t>
      </w:r>
      <w:r>
        <w:t xml:space="preserve"> and were uncertain about how it would be used in </w:t>
      </w:r>
      <w:r w:rsidRPr="002D506F">
        <w:t xml:space="preserve">the DD segment.  </w:t>
      </w:r>
    </w:p>
    <w:p w14:paraId="4FCD1C57" w14:textId="6EBFCD33" w:rsidR="004E486B" w:rsidRDefault="002A1C0C" w:rsidP="004E486B">
      <w:r w:rsidRPr="00E45808">
        <w:t xml:space="preserve">RTAC also supported restricting imlifidase use to current centres of excellence but advised that it was reasonable to leave the definition of which centres should be able to access imlifidase to the state transplant advisory committees, aligned with the governance processes outlined within the NHRA (Addendum) </w:t>
      </w:r>
      <w:r w:rsidRPr="00791CF9">
        <w:t>Appendix B, Part F, which states that “States and Territories decide when and where the therapy will be provided”</w:t>
      </w:r>
      <w:r w:rsidRPr="008C4D28">
        <w:t>.</w:t>
      </w:r>
      <w:r w:rsidRPr="00491E19">
        <w:t xml:space="preserve"> MSAC noted the applicant’s survey of transplant centres, in which only one centre indicated that it would not have the capability to administer imlifidase. MSAC agreed with RTAC’s proposed approach of restricting imlifidase use to centres of excellence if imlifidase were funded</w:t>
      </w:r>
      <w:r>
        <w:t xml:space="preserve">. </w:t>
      </w:r>
    </w:p>
    <w:p w14:paraId="48669220" w14:textId="5099F585" w:rsidR="004E486B" w:rsidRDefault="004E486B" w:rsidP="004E486B">
      <w:pPr>
        <w:rPr>
          <w:rFonts w:eastAsia="Times New Roman"/>
          <w:snapToGrid w:val="0"/>
        </w:rPr>
      </w:pPr>
      <w:r>
        <w:t xml:space="preserve">Regarding the comparator, MSAC had previously considered that other </w:t>
      </w:r>
      <w:r w:rsidRPr="00020716">
        <w:rPr>
          <w:rFonts w:eastAsia="Times New Roman"/>
          <w:snapToGrid w:val="0"/>
        </w:rPr>
        <w:t>desensitisation protocols</w:t>
      </w:r>
      <w:r>
        <w:rPr>
          <w:rFonts w:eastAsia="Times New Roman"/>
          <w:snapToGrid w:val="0"/>
        </w:rPr>
        <w:t xml:space="preserve"> (intravenous immunoglobulin [IVIg], rituximab, plasma exchange) were an appropriate comparator, along with dialysis. </w:t>
      </w:r>
      <w:r w:rsidR="00F21052">
        <w:rPr>
          <w:rFonts w:eastAsia="Times New Roman"/>
          <w:snapToGrid w:val="0"/>
        </w:rPr>
        <w:t xml:space="preserve">MSAC </w:t>
      </w:r>
      <w:r w:rsidR="008E2819">
        <w:rPr>
          <w:rFonts w:eastAsia="Times New Roman"/>
          <w:snapToGrid w:val="0"/>
        </w:rPr>
        <w:t>recalled that</w:t>
      </w:r>
      <w:r w:rsidR="00F21052">
        <w:rPr>
          <w:rFonts w:eastAsia="Times New Roman"/>
          <w:snapToGrid w:val="0"/>
        </w:rPr>
        <w:t xml:space="preserve"> </w:t>
      </w:r>
      <w:r w:rsidR="003763B3">
        <w:rPr>
          <w:rFonts w:eastAsia="Times New Roman"/>
          <w:snapToGrid w:val="0"/>
        </w:rPr>
        <w:t>d</w:t>
      </w:r>
      <w:r w:rsidR="003763B3" w:rsidRPr="003763B3">
        <w:rPr>
          <w:rFonts w:eastAsia="Times New Roman"/>
          <w:snapToGrid w:val="0"/>
        </w:rPr>
        <w:t xml:space="preserve">espite </w:t>
      </w:r>
      <w:r w:rsidR="006E3AD8">
        <w:rPr>
          <w:rFonts w:eastAsia="Times New Roman"/>
          <w:snapToGrid w:val="0"/>
        </w:rPr>
        <w:t>its</w:t>
      </w:r>
      <w:r w:rsidR="003763B3" w:rsidRPr="003763B3">
        <w:rPr>
          <w:rFonts w:eastAsia="Times New Roman"/>
          <w:snapToGrid w:val="0"/>
        </w:rPr>
        <w:t xml:space="preserve"> advice</w:t>
      </w:r>
      <w:r w:rsidR="0020430D">
        <w:rPr>
          <w:rFonts w:eastAsia="Times New Roman"/>
          <w:snapToGrid w:val="0"/>
        </w:rPr>
        <w:t xml:space="preserve"> in the previous application (1732)</w:t>
      </w:r>
      <w:r w:rsidR="003763B3" w:rsidRPr="003763B3">
        <w:rPr>
          <w:rFonts w:eastAsia="Times New Roman"/>
          <w:snapToGrid w:val="0"/>
        </w:rPr>
        <w:t xml:space="preserve">, the </w:t>
      </w:r>
      <w:r w:rsidR="00FF783F">
        <w:rPr>
          <w:rFonts w:eastAsia="Times New Roman"/>
          <w:snapToGrid w:val="0"/>
        </w:rPr>
        <w:t>applicant developed assessment report (</w:t>
      </w:r>
      <w:r w:rsidR="003763B3">
        <w:rPr>
          <w:rFonts w:eastAsia="Times New Roman"/>
          <w:snapToGrid w:val="0"/>
        </w:rPr>
        <w:t>ADAR</w:t>
      </w:r>
      <w:r w:rsidR="00FF783F">
        <w:rPr>
          <w:rFonts w:eastAsia="Times New Roman"/>
          <w:snapToGrid w:val="0"/>
        </w:rPr>
        <w:t>)</w:t>
      </w:r>
      <w:r w:rsidR="003763B3">
        <w:rPr>
          <w:rFonts w:eastAsia="Times New Roman"/>
          <w:snapToGrid w:val="0"/>
        </w:rPr>
        <w:t xml:space="preserve"> </w:t>
      </w:r>
      <w:r w:rsidR="003763B3" w:rsidRPr="003763B3">
        <w:rPr>
          <w:rFonts w:eastAsia="Times New Roman"/>
          <w:snapToGrid w:val="0"/>
        </w:rPr>
        <w:t>retain</w:t>
      </w:r>
      <w:r w:rsidR="003763B3">
        <w:rPr>
          <w:rFonts w:eastAsia="Times New Roman"/>
          <w:snapToGrid w:val="0"/>
        </w:rPr>
        <w:t>ed</w:t>
      </w:r>
      <w:r w:rsidR="003763B3" w:rsidRPr="003763B3">
        <w:rPr>
          <w:rFonts w:eastAsia="Times New Roman"/>
          <w:snapToGrid w:val="0"/>
        </w:rPr>
        <w:t xml:space="preserve"> current care (dialysis) as the comparator for both the LD and DD transplant populations</w:t>
      </w:r>
      <w:r w:rsidR="00FF786C">
        <w:rPr>
          <w:rFonts w:eastAsia="Times New Roman"/>
          <w:snapToGrid w:val="0"/>
        </w:rPr>
        <w:t xml:space="preserve">. MSAC noted ESC’s advice that the </w:t>
      </w:r>
      <w:r w:rsidR="003763B3" w:rsidRPr="003763B3">
        <w:rPr>
          <w:rFonts w:eastAsia="Times New Roman"/>
          <w:snapToGrid w:val="0"/>
        </w:rPr>
        <w:t xml:space="preserve">applicant should identify, </w:t>
      </w:r>
      <w:proofErr w:type="gramStart"/>
      <w:r w:rsidR="003763B3" w:rsidRPr="003763B3">
        <w:rPr>
          <w:rFonts w:eastAsia="Times New Roman"/>
          <w:snapToGrid w:val="0"/>
        </w:rPr>
        <w:t>collate</w:t>
      </w:r>
      <w:proofErr w:type="gramEnd"/>
      <w:r w:rsidR="003763B3" w:rsidRPr="003763B3">
        <w:rPr>
          <w:rFonts w:eastAsia="Times New Roman"/>
          <w:snapToGrid w:val="0"/>
        </w:rPr>
        <w:t xml:space="preserve"> and evaluate evidence of effectiveness of other desensitisation treatments</w:t>
      </w:r>
      <w:r w:rsidR="003763B3">
        <w:rPr>
          <w:rFonts w:eastAsia="Times New Roman"/>
          <w:snapToGrid w:val="0"/>
        </w:rPr>
        <w:t xml:space="preserve">. </w:t>
      </w:r>
      <w:r w:rsidR="00A900B7">
        <w:rPr>
          <w:rFonts w:eastAsia="Times New Roman"/>
          <w:snapToGrid w:val="0"/>
        </w:rPr>
        <w:t>MSAC no</w:t>
      </w:r>
      <w:r w:rsidR="000F3C48">
        <w:rPr>
          <w:rFonts w:eastAsia="Times New Roman"/>
          <w:snapToGrid w:val="0"/>
        </w:rPr>
        <w:t xml:space="preserve">ted the pre-MSAC response reasserted that </w:t>
      </w:r>
      <w:r w:rsidR="00A900B7" w:rsidRPr="00A900B7">
        <w:rPr>
          <w:rFonts w:eastAsia="Times New Roman"/>
          <w:snapToGrid w:val="0"/>
        </w:rPr>
        <w:t>no alternate desensitisation regimens or agents are registered by the TGA</w:t>
      </w:r>
      <w:r w:rsidR="000F3C48">
        <w:rPr>
          <w:rFonts w:eastAsia="Times New Roman"/>
          <w:snapToGrid w:val="0"/>
        </w:rPr>
        <w:t xml:space="preserve">. </w:t>
      </w:r>
      <w:r>
        <w:rPr>
          <w:rFonts w:eastAsia="Times New Roman"/>
          <w:snapToGrid w:val="0"/>
        </w:rPr>
        <w:t>MSAC noted the applicant’s survey of transplant centres, which indicated that a</w:t>
      </w:r>
      <w:r w:rsidRPr="00F7091A">
        <w:rPr>
          <w:rFonts w:eastAsia="Times New Roman"/>
          <w:snapToGrid w:val="0"/>
        </w:rPr>
        <w:t>ll centres had HS patients on their waitlist</w:t>
      </w:r>
      <w:r>
        <w:rPr>
          <w:rFonts w:eastAsia="Times New Roman"/>
          <w:snapToGrid w:val="0"/>
        </w:rPr>
        <w:t>,</w:t>
      </w:r>
      <w:r w:rsidRPr="00F7091A">
        <w:rPr>
          <w:rFonts w:eastAsia="Times New Roman"/>
          <w:snapToGrid w:val="0"/>
        </w:rPr>
        <w:t xml:space="preserve"> but only 45% had attempted currently available desensitisation regimens in the past year. Of those centres that did attempt desensitisation regimens, </w:t>
      </w:r>
      <w:r w:rsidR="005157E7">
        <w:rPr>
          <w:rFonts w:eastAsia="Times New Roman"/>
          <w:snapToGrid w:val="0"/>
        </w:rPr>
        <w:t>the reg</w:t>
      </w:r>
      <w:r w:rsidR="00B83336">
        <w:rPr>
          <w:rFonts w:eastAsia="Times New Roman"/>
          <w:snapToGrid w:val="0"/>
        </w:rPr>
        <w:t>i</w:t>
      </w:r>
      <w:r w:rsidR="005157E7">
        <w:rPr>
          <w:rFonts w:eastAsia="Times New Roman"/>
          <w:snapToGrid w:val="0"/>
        </w:rPr>
        <w:t>mens</w:t>
      </w:r>
      <w:r w:rsidR="00B83336">
        <w:rPr>
          <w:rFonts w:eastAsia="Times New Roman"/>
          <w:snapToGrid w:val="0"/>
        </w:rPr>
        <w:t xml:space="preserve"> </w:t>
      </w:r>
      <w:r w:rsidRPr="00F7091A">
        <w:rPr>
          <w:rFonts w:eastAsia="Times New Roman"/>
          <w:snapToGrid w:val="0"/>
        </w:rPr>
        <w:t>w</w:t>
      </w:r>
      <w:r w:rsidR="005157E7">
        <w:rPr>
          <w:rFonts w:eastAsia="Times New Roman"/>
          <w:snapToGrid w:val="0"/>
        </w:rPr>
        <w:t>ere</w:t>
      </w:r>
      <w:r w:rsidRPr="00F7091A">
        <w:rPr>
          <w:rFonts w:eastAsia="Times New Roman"/>
          <w:snapToGrid w:val="0"/>
        </w:rPr>
        <w:t xml:space="preserve"> only offered on average to </w:t>
      </w:r>
      <w:r>
        <w:rPr>
          <w:rFonts w:eastAsia="Times New Roman"/>
          <w:snapToGrid w:val="0"/>
        </w:rPr>
        <w:t xml:space="preserve">less than </w:t>
      </w:r>
      <w:r w:rsidRPr="00F7091A">
        <w:rPr>
          <w:rFonts w:eastAsia="Times New Roman"/>
          <w:snapToGrid w:val="0"/>
        </w:rPr>
        <w:t xml:space="preserve">20% of HS patients. </w:t>
      </w:r>
      <w:r>
        <w:rPr>
          <w:rFonts w:eastAsia="Times New Roman"/>
          <w:snapToGrid w:val="0"/>
        </w:rPr>
        <w:t>More than</w:t>
      </w:r>
      <w:r w:rsidRPr="00F7091A">
        <w:rPr>
          <w:rFonts w:eastAsia="Times New Roman"/>
          <w:snapToGrid w:val="0"/>
        </w:rPr>
        <w:t xml:space="preserve"> 80% of respondents cited an inadequate response </w:t>
      </w:r>
      <w:r w:rsidR="00B8468B">
        <w:rPr>
          <w:rFonts w:eastAsia="Times New Roman"/>
          <w:snapToGrid w:val="0"/>
        </w:rPr>
        <w:t xml:space="preserve">as the reason </w:t>
      </w:r>
      <w:r w:rsidRPr="00F7091A">
        <w:rPr>
          <w:rFonts w:eastAsia="Times New Roman"/>
          <w:snapToGrid w:val="0"/>
        </w:rPr>
        <w:t>for not offering desensitisation regimens.</w:t>
      </w:r>
      <w:r>
        <w:rPr>
          <w:rFonts w:eastAsia="Times New Roman"/>
          <w:snapToGrid w:val="0"/>
        </w:rPr>
        <w:t xml:space="preserve"> </w:t>
      </w:r>
      <w:r w:rsidRPr="00F7091A">
        <w:rPr>
          <w:rFonts w:eastAsia="Times New Roman"/>
          <w:snapToGrid w:val="0"/>
        </w:rPr>
        <w:t xml:space="preserve">Considering these </w:t>
      </w:r>
      <w:r w:rsidRPr="002D506F">
        <w:rPr>
          <w:rFonts w:eastAsia="Times New Roman"/>
          <w:snapToGrid w:val="0"/>
        </w:rPr>
        <w:t>results, MSAC agreed that the comparator should remain as current care in the absence of imlifidase – that</w:t>
      </w:r>
      <w:r>
        <w:rPr>
          <w:rFonts w:eastAsia="Times New Roman"/>
          <w:snapToGrid w:val="0"/>
        </w:rPr>
        <w:t xml:space="preserve"> is,</w:t>
      </w:r>
      <w:r w:rsidRPr="00F7091A">
        <w:rPr>
          <w:rFonts w:eastAsia="Times New Roman"/>
          <w:snapToGrid w:val="0"/>
        </w:rPr>
        <w:t xml:space="preserve"> dialysis until a transplant becomes available</w:t>
      </w:r>
      <w:r>
        <w:rPr>
          <w:rFonts w:eastAsia="Times New Roman"/>
          <w:snapToGrid w:val="0"/>
        </w:rPr>
        <w:t>. For LD recipients, MSAC noted the absence of clinical guidelines to guide desensitisation protocols,</w:t>
      </w:r>
      <w:r w:rsidR="001E2FE1">
        <w:rPr>
          <w:rFonts w:eastAsia="Times New Roman"/>
          <w:snapToGrid w:val="0"/>
        </w:rPr>
        <w:t xml:space="preserve"> which meant that </w:t>
      </w:r>
      <w:r w:rsidR="00A27F0B">
        <w:rPr>
          <w:rFonts w:eastAsia="Times New Roman"/>
          <w:snapToGrid w:val="0"/>
        </w:rPr>
        <w:t xml:space="preserve">the decision about </w:t>
      </w:r>
      <w:r w:rsidR="001E2FE1">
        <w:rPr>
          <w:rFonts w:eastAsia="Times New Roman"/>
          <w:snapToGrid w:val="0"/>
        </w:rPr>
        <w:t xml:space="preserve">when to </w:t>
      </w:r>
      <w:r w:rsidR="006E2663">
        <w:rPr>
          <w:rFonts w:eastAsia="Times New Roman"/>
          <w:snapToGrid w:val="0"/>
        </w:rPr>
        <w:t xml:space="preserve">use imlifidase </w:t>
      </w:r>
      <w:r w:rsidR="00976A48">
        <w:rPr>
          <w:rFonts w:eastAsia="Times New Roman"/>
          <w:snapToGrid w:val="0"/>
        </w:rPr>
        <w:t xml:space="preserve">was highly </w:t>
      </w:r>
      <w:r>
        <w:rPr>
          <w:rFonts w:eastAsia="Times New Roman"/>
          <w:snapToGrid w:val="0"/>
        </w:rPr>
        <w:t>dependent on clinical judgement.</w:t>
      </w:r>
    </w:p>
    <w:p w14:paraId="2200A799" w14:textId="22A3F3E8" w:rsidR="004E486B" w:rsidRDefault="004E486B" w:rsidP="004E486B">
      <w:r w:rsidRPr="00020716">
        <w:rPr>
          <w:rFonts w:eastAsia="Times New Roman"/>
          <w:snapToGrid w:val="0"/>
        </w:rPr>
        <w:t>MSAC</w:t>
      </w:r>
      <w:r w:rsidR="00F745E3">
        <w:rPr>
          <w:rFonts w:eastAsia="Times New Roman"/>
          <w:snapToGrid w:val="0"/>
        </w:rPr>
        <w:t xml:space="preserve"> recalled that in the previous application (1732) it</w:t>
      </w:r>
      <w:r w:rsidRPr="00020716">
        <w:rPr>
          <w:rFonts w:eastAsia="Times New Roman"/>
          <w:snapToGrid w:val="0"/>
        </w:rPr>
        <w:t xml:space="preserve"> </w:t>
      </w:r>
      <w:r>
        <w:rPr>
          <w:rFonts w:eastAsia="Times New Roman"/>
          <w:snapToGrid w:val="0"/>
        </w:rPr>
        <w:t xml:space="preserve">had </w:t>
      </w:r>
      <w:r w:rsidRPr="00020716">
        <w:rPr>
          <w:rFonts w:eastAsia="Times New Roman"/>
          <w:snapToGrid w:val="0"/>
        </w:rPr>
        <w:t>requested updated clinical data consistent with the proposed new population restriction</w:t>
      </w:r>
      <w:r>
        <w:rPr>
          <w:rFonts w:eastAsia="Times New Roman"/>
          <w:snapToGrid w:val="0"/>
        </w:rPr>
        <w:t xml:space="preserve">, including follow-up of initial trials, results of new and current phase 3 trials, and phase 4 trial data from the UK and Europe. MSAC noted that </w:t>
      </w:r>
      <w:r w:rsidR="00653FF6">
        <w:rPr>
          <w:rFonts w:eastAsia="Times New Roman"/>
          <w:snapToGrid w:val="0"/>
        </w:rPr>
        <w:t xml:space="preserve">additional </w:t>
      </w:r>
      <w:r>
        <w:rPr>
          <w:rFonts w:eastAsia="Times New Roman"/>
          <w:snapToGrid w:val="0"/>
        </w:rPr>
        <w:t>data had been provided</w:t>
      </w:r>
      <w:r w:rsidR="00653FF6">
        <w:rPr>
          <w:rFonts w:eastAsia="Times New Roman"/>
          <w:snapToGrid w:val="0"/>
        </w:rPr>
        <w:t xml:space="preserve"> in the form of</w:t>
      </w:r>
      <w:r w:rsidR="009974F5">
        <w:rPr>
          <w:rFonts w:eastAsia="Times New Roman"/>
          <w:snapToGrid w:val="0"/>
        </w:rPr>
        <w:t xml:space="preserve"> </w:t>
      </w:r>
      <w:r w:rsidR="005A51A5">
        <w:rPr>
          <w:rFonts w:eastAsia="Times New Roman"/>
          <w:snapToGrid w:val="0"/>
        </w:rPr>
        <w:t>a p</w:t>
      </w:r>
      <w:r w:rsidR="005A51A5" w:rsidRPr="005A51A5">
        <w:rPr>
          <w:rFonts w:eastAsia="Times New Roman"/>
          <w:snapToGrid w:val="0"/>
        </w:rPr>
        <w:t xml:space="preserve">ooled analysis of </w:t>
      </w:r>
      <w:r w:rsidR="009974F5" w:rsidRPr="009974F5">
        <w:rPr>
          <w:rFonts w:eastAsia="Times New Roman"/>
          <w:snapToGrid w:val="0"/>
        </w:rPr>
        <w:t xml:space="preserve">the 17-HMedIdeS-14 5-year observational study with </w:t>
      </w:r>
      <w:r w:rsidR="005A51A5" w:rsidRPr="005A51A5">
        <w:rPr>
          <w:rFonts w:eastAsia="Times New Roman"/>
          <w:snapToGrid w:val="0"/>
        </w:rPr>
        <w:t>6-month phase II data</w:t>
      </w:r>
      <w:r>
        <w:rPr>
          <w:rFonts w:eastAsia="Times New Roman"/>
          <w:snapToGrid w:val="0"/>
        </w:rPr>
        <w:t>, but agreed with ESC that these data were very limited.</w:t>
      </w:r>
    </w:p>
    <w:p w14:paraId="0E2A677C" w14:textId="57511928" w:rsidR="004E486B" w:rsidRDefault="004E486B" w:rsidP="004E486B">
      <w:pPr>
        <w:rPr>
          <w:rFonts w:eastAsia="Times New Roman"/>
          <w:snapToGrid w:val="0"/>
        </w:rPr>
      </w:pPr>
      <w:r w:rsidRPr="00020716">
        <w:rPr>
          <w:rFonts w:eastAsia="Times New Roman"/>
          <w:snapToGrid w:val="0"/>
        </w:rPr>
        <w:lastRenderedPageBreak/>
        <w:t xml:space="preserve">MSAC </w:t>
      </w:r>
      <w:r w:rsidR="000C74B3">
        <w:rPr>
          <w:rFonts w:eastAsia="Times New Roman"/>
          <w:snapToGrid w:val="0"/>
        </w:rPr>
        <w:t xml:space="preserve">recalled that it had </w:t>
      </w:r>
      <w:r>
        <w:rPr>
          <w:rFonts w:eastAsia="Times New Roman"/>
          <w:snapToGrid w:val="0"/>
        </w:rPr>
        <w:t>expressed concern regarding</w:t>
      </w:r>
      <w:r w:rsidRPr="00020716">
        <w:rPr>
          <w:rFonts w:eastAsia="Times New Roman"/>
          <w:snapToGrid w:val="0"/>
        </w:rPr>
        <w:t xml:space="preserve"> the effectiveness outcomes</w:t>
      </w:r>
      <w:r w:rsidR="000C74B3">
        <w:rPr>
          <w:rFonts w:eastAsia="Times New Roman"/>
          <w:snapToGrid w:val="0"/>
        </w:rPr>
        <w:t xml:space="preserve"> reported in the previous ADAR</w:t>
      </w:r>
      <w:r w:rsidRPr="00020716">
        <w:rPr>
          <w:rFonts w:eastAsia="Times New Roman"/>
          <w:snapToGrid w:val="0"/>
        </w:rPr>
        <w:t>, especially the rates of hyperacute rejection (33%)</w:t>
      </w:r>
      <w:r>
        <w:rPr>
          <w:rFonts w:eastAsia="Times New Roman"/>
          <w:snapToGrid w:val="0"/>
        </w:rPr>
        <w:t>,</w:t>
      </w:r>
      <w:r w:rsidRPr="00E62C03">
        <w:rPr>
          <w:rFonts w:eastAsia="Times New Roman"/>
          <w:snapToGrid w:val="0"/>
        </w:rPr>
        <w:t xml:space="preserve"> </w:t>
      </w:r>
      <w:r>
        <w:rPr>
          <w:rFonts w:eastAsia="Times New Roman"/>
          <w:snapToGrid w:val="0"/>
        </w:rPr>
        <w:t xml:space="preserve">delayed graft function (DGF, </w:t>
      </w:r>
      <w:r w:rsidRPr="00E62C03">
        <w:rPr>
          <w:rFonts w:eastAsia="Times New Roman"/>
          <w:snapToGrid w:val="0"/>
        </w:rPr>
        <w:t xml:space="preserve">41%), </w:t>
      </w:r>
      <w:r>
        <w:rPr>
          <w:rFonts w:eastAsia="Times New Roman"/>
          <w:snapToGrid w:val="0"/>
        </w:rPr>
        <w:t xml:space="preserve">antibody-mediated rejection (AMR, </w:t>
      </w:r>
      <w:r w:rsidRPr="00E62C03">
        <w:rPr>
          <w:rFonts w:eastAsia="Times New Roman"/>
          <w:snapToGrid w:val="0"/>
        </w:rPr>
        <w:t xml:space="preserve">24%), and </w:t>
      </w:r>
      <w:r>
        <w:rPr>
          <w:rFonts w:eastAsia="Times New Roman"/>
          <w:snapToGrid w:val="0"/>
        </w:rPr>
        <w:t>chronic kidney disease (CKD)</w:t>
      </w:r>
      <w:r w:rsidRPr="00E62C03">
        <w:rPr>
          <w:rFonts w:eastAsia="Times New Roman"/>
          <w:snapToGrid w:val="0"/>
        </w:rPr>
        <w:t xml:space="preserve"> at stages 3–5 (50% at 6 months)</w:t>
      </w:r>
      <w:r>
        <w:rPr>
          <w:rFonts w:eastAsia="Times New Roman"/>
          <w:snapToGrid w:val="0"/>
        </w:rPr>
        <w:t xml:space="preserve">. The </w:t>
      </w:r>
      <w:r w:rsidR="000C74B3">
        <w:rPr>
          <w:rFonts w:eastAsia="Times New Roman"/>
          <w:snapToGrid w:val="0"/>
        </w:rPr>
        <w:t xml:space="preserve">resubmission ADAR </w:t>
      </w:r>
      <w:r>
        <w:rPr>
          <w:rFonts w:eastAsia="Times New Roman"/>
          <w:snapToGrid w:val="0"/>
        </w:rPr>
        <w:t xml:space="preserve">noted that </w:t>
      </w:r>
      <w:r w:rsidRPr="002D506F">
        <w:rPr>
          <w:rFonts w:eastAsia="Times New Roman"/>
          <w:snapToGrid w:val="0"/>
        </w:rPr>
        <w:t>the 33% hyperacute rejection</w:t>
      </w:r>
      <w:r w:rsidR="00B8468B" w:rsidRPr="002D506F">
        <w:rPr>
          <w:rFonts w:eastAsia="Times New Roman"/>
          <w:snapToGrid w:val="0"/>
        </w:rPr>
        <w:t xml:space="preserve"> rate</w:t>
      </w:r>
      <w:r w:rsidRPr="002D506F">
        <w:rPr>
          <w:rFonts w:eastAsia="Times New Roman"/>
          <w:snapToGrid w:val="0"/>
        </w:rPr>
        <w:t xml:space="preserve"> was a typographical error, and this had been revised to 2%. However, the </w:t>
      </w:r>
      <w:r w:rsidR="000C74B3" w:rsidRPr="002D506F">
        <w:rPr>
          <w:rFonts w:eastAsia="Times New Roman"/>
          <w:snapToGrid w:val="0"/>
        </w:rPr>
        <w:t>resubmission ADAR</w:t>
      </w:r>
      <w:r w:rsidRPr="002D506F">
        <w:rPr>
          <w:rFonts w:eastAsia="Times New Roman"/>
          <w:snapToGrid w:val="0"/>
        </w:rPr>
        <w:t xml:space="preserve"> did not provide additional information about </w:t>
      </w:r>
      <w:r w:rsidR="009A7E06" w:rsidRPr="002D506F">
        <w:rPr>
          <w:rFonts w:eastAsia="Times New Roman"/>
          <w:snapToGrid w:val="0"/>
        </w:rPr>
        <w:t xml:space="preserve">rates of </w:t>
      </w:r>
      <w:r w:rsidRPr="002D506F">
        <w:rPr>
          <w:rFonts w:eastAsia="Times New Roman"/>
          <w:snapToGrid w:val="0"/>
        </w:rPr>
        <w:t>DGF, AMR or CKD.</w:t>
      </w:r>
    </w:p>
    <w:p w14:paraId="0BD0BDCB" w14:textId="1276C951" w:rsidR="004E486B" w:rsidRPr="001F6D92" w:rsidRDefault="004E486B" w:rsidP="004E486B">
      <w:pPr>
        <w:rPr>
          <w:rFonts w:eastAsia="Times New Roman"/>
          <w:snapToGrid w:val="0"/>
        </w:rPr>
      </w:pPr>
      <w:r w:rsidRPr="00020716">
        <w:rPr>
          <w:rFonts w:eastAsia="Times New Roman"/>
          <w:snapToGrid w:val="0"/>
        </w:rPr>
        <w:t>MSAC</w:t>
      </w:r>
      <w:r>
        <w:rPr>
          <w:rFonts w:eastAsia="Times New Roman"/>
          <w:snapToGrid w:val="0"/>
        </w:rPr>
        <w:t xml:space="preserve"> had</w:t>
      </w:r>
      <w:r w:rsidRPr="00020716">
        <w:rPr>
          <w:rFonts w:eastAsia="Times New Roman"/>
          <w:snapToGrid w:val="0"/>
        </w:rPr>
        <w:t xml:space="preserve"> questioned the applicability of the clinical trial data to Australian kidney transplant patients</w:t>
      </w:r>
      <w:r>
        <w:rPr>
          <w:rFonts w:eastAsia="Times New Roman"/>
          <w:snapToGrid w:val="0"/>
        </w:rPr>
        <w:t xml:space="preserve">. </w:t>
      </w:r>
      <w:r w:rsidR="00482782" w:rsidRPr="49342470">
        <w:rPr>
          <w:rFonts w:eastAsia="Times New Roman"/>
        </w:rPr>
        <w:t xml:space="preserve">To address this concern the ADAR reported the results of </w:t>
      </w:r>
      <w:r w:rsidR="00C0561A" w:rsidRPr="49342470">
        <w:rPr>
          <w:rFonts w:eastAsia="Times New Roman"/>
        </w:rPr>
        <w:t xml:space="preserve">a </w:t>
      </w:r>
      <w:r>
        <w:rPr>
          <w:rFonts w:eastAsia="Times New Roman"/>
          <w:snapToGrid w:val="0"/>
        </w:rPr>
        <w:t>survey of transplant centres</w:t>
      </w:r>
      <w:r w:rsidR="00C0561A" w:rsidRPr="49342470">
        <w:rPr>
          <w:rFonts w:eastAsia="Times New Roman"/>
        </w:rPr>
        <w:t xml:space="preserve"> which </w:t>
      </w:r>
      <w:r>
        <w:rPr>
          <w:rFonts w:eastAsia="Times New Roman"/>
          <w:snapToGrid w:val="0"/>
        </w:rPr>
        <w:t>indicated that 9</w:t>
      </w:r>
      <w:r w:rsidRPr="004450B7">
        <w:rPr>
          <w:rFonts w:eastAsia="Times New Roman"/>
          <w:snapToGrid w:val="0"/>
        </w:rPr>
        <w:t xml:space="preserve"> of 11 </w:t>
      </w:r>
      <w:r>
        <w:rPr>
          <w:rFonts w:eastAsia="Times New Roman"/>
          <w:snapToGrid w:val="0"/>
        </w:rPr>
        <w:t xml:space="preserve">centres </w:t>
      </w:r>
      <w:r w:rsidRPr="004450B7">
        <w:rPr>
          <w:rFonts w:eastAsia="Times New Roman"/>
          <w:snapToGrid w:val="0"/>
        </w:rPr>
        <w:t>(8</w:t>
      </w:r>
      <w:r w:rsidR="0096795C">
        <w:rPr>
          <w:rFonts w:eastAsia="Times New Roman"/>
          <w:snapToGrid w:val="0"/>
        </w:rPr>
        <w:t>2</w:t>
      </w:r>
      <w:r w:rsidRPr="004450B7">
        <w:rPr>
          <w:rFonts w:eastAsia="Times New Roman"/>
          <w:snapToGrid w:val="0"/>
        </w:rPr>
        <w:t xml:space="preserve">%) </w:t>
      </w:r>
      <w:r w:rsidR="00C0561A" w:rsidRPr="49342470">
        <w:rPr>
          <w:rFonts w:eastAsia="Times New Roman"/>
        </w:rPr>
        <w:t xml:space="preserve">considered that </w:t>
      </w:r>
      <w:r w:rsidR="00F129D6" w:rsidRPr="49342470">
        <w:rPr>
          <w:rFonts w:eastAsia="Times New Roman"/>
        </w:rPr>
        <w:t>the results of the trial data were applicable while</w:t>
      </w:r>
      <w:r w:rsidRPr="004450B7">
        <w:rPr>
          <w:rFonts w:eastAsia="Times New Roman"/>
          <w:snapToGrid w:val="0"/>
        </w:rPr>
        <w:t xml:space="preserve"> the other </w:t>
      </w:r>
      <w:r>
        <w:rPr>
          <w:rFonts w:eastAsia="Times New Roman"/>
          <w:snapToGrid w:val="0"/>
        </w:rPr>
        <w:t>2</w:t>
      </w:r>
      <w:r w:rsidRPr="004450B7">
        <w:rPr>
          <w:rFonts w:eastAsia="Times New Roman"/>
          <w:snapToGrid w:val="0"/>
        </w:rPr>
        <w:t xml:space="preserve"> (18%) responded</w:t>
      </w:r>
      <w:r w:rsidR="00F129D6" w:rsidRPr="49342470">
        <w:rPr>
          <w:rFonts w:eastAsia="Times New Roman"/>
        </w:rPr>
        <w:t xml:space="preserve"> that they were</w:t>
      </w:r>
      <w:r w:rsidRPr="004450B7">
        <w:rPr>
          <w:rFonts w:eastAsia="Times New Roman"/>
          <w:snapToGrid w:val="0"/>
        </w:rPr>
        <w:t xml:space="preserve"> ‘unsure’. </w:t>
      </w:r>
      <w:r w:rsidR="00893390">
        <w:rPr>
          <w:rFonts w:eastAsia="Times New Roman"/>
        </w:rPr>
        <w:t xml:space="preserve">MSAC noted </w:t>
      </w:r>
      <w:r w:rsidR="006108F7">
        <w:rPr>
          <w:rFonts w:eastAsia="Times New Roman"/>
        </w:rPr>
        <w:t xml:space="preserve">that the patient population presented in the survey did not align with that proposed in the application. Furthermore, MSAC noted </w:t>
      </w:r>
      <w:r w:rsidR="00893390">
        <w:rPr>
          <w:rFonts w:eastAsia="Times New Roman"/>
        </w:rPr>
        <w:t xml:space="preserve">that </w:t>
      </w:r>
      <w:r w:rsidR="00971548">
        <w:rPr>
          <w:rFonts w:eastAsia="Times New Roman"/>
        </w:rPr>
        <w:t xml:space="preserve">as </w:t>
      </w:r>
      <w:r w:rsidR="00893390">
        <w:rPr>
          <w:rFonts w:eastAsia="Times New Roman"/>
        </w:rPr>
        <w:t xml:space="preserve">this is a survey based on opinion </w:t>
      </w:r>
      <w:r w:rsidR="00971548">
        <w:rPr>
          <w:rFonts w:eastAsia="Times New Roman"/>
        </w:rPr>
        <w:t>it</w:t>
      </w:r>
      <w:r w:rsidR="00893390">
        <w:rPr>
          <w:rFonts w:eastAsia="Times New Roman"/>
        </w:rPr>
        <w:t xml:space="preserve"> cannot be verified.</w:t>
      </w:r>
      <w:r w:rsidR="00D330EB">
        <w:t xml:space="preserve"> </w:t>
      </w:r>
      <w:r w:rsidR="006F6C78">
        <w:t xml:space="preserve">MSAC noted that the pre-MSAC response </w:t>
      </w:r>
      <w:r w:rsidR="00175FDA">
        <w:t xml:space="preserve">reasserted the claim that imlifidase had a </w:t>
      </w:r>
      <w:r w:rsidR="006F6C78" w:rsidRPr="006F6C78">
        <w:t>universally reliable mode of action for rapidly cleaving IgG in humans irrespective of the heterogeneity observed in the trial population</w:t>
      </w:r>
      <w:r w:rsidR="00175FDA">
        <w:t>.</w:t>
      </w:r>
    </w:p>
    <w:p w14:paraId="142871EF" w14:textId="0AFDB8B7" w:rsidR="0081249E" w:rsidRDefault="004E486B" w:rsidP="004E486B">
      <w:r>
        <w:t xml:space="preserve">MSAC </w:t>
      </w:r>
      <w:r w:rsidR="00FF783F">
        <w:t>considered that the resubmission ADAR had partially addressed MSAC’s previous advice that the economic model should include clinical data to fit the new proposed population.</w:t>
      </w:r>
      <w:r w:rsidR="00C3312E">
        <w:t xml:space="preserve"> MSAC noted that although the economic model included clinical data from the pooled AUS-UTT-A population which better reflects the proposed population, this is restricted to patients who have been on the waitlist for at least 2 years, a requirement </w:t>
      </w:r>
      <w:r w:rsidR="0053753C">
        <w:t>not applicable to</w:t>
      </w:r>
      <w:r w:rsidR="00C3312E">
        <w:t xml:space="preserve"> the proposed LD population. </w:t>
      </w:r>
      <w:r w:rsidR="009A7093">
        <w:t xml:space="preserve">MSAC </w:t>
      </w:r>
      <w:r w:rsidR="00915618">
        <w:t xml:space="preserve">agreed that its previous concerns in </w:t>
      </w:r>
      <w:r w:rsidR="002865B3">
        <w:t xml:space="preserve">application </w:t>
      </w:r>
      <w:r w:rsidR="00915618">
        <w:t xml:space="preserve">1732 that the </w:t>
      </w:r>
      <w:r w:rsidR="00915618" w:rsidRPr="00F27150">
        <w:t>economic model underestimated the probability of transplantation without imlifidase treatment</w:t>
      </w:r>
      <w:r w:rsidR="002D1687">
        <w:t xml:space="preserve"> </w:t>
      </w:r>
      <w:r w:rsidR="00915618">
        <w:t>had been addressed in the resubmission ADAR by</w:t>
      </w:r>
      <w:r w:rsidR="00CE4224">
        <w:t xml:space="preserve"> assuming a </w:t>
      </w:r>
      <w:r w:rsidR="00CE4224" w:rsidRPr="00CE4224">
        <w:t>constant annual transplant rate of 13% in the current care arm of the model</w:t>
      </w:r>
      <w:r w:rsidR="00971548">
        <w:t>, which</w:t>
      </w:r>
      <w:r w:rsidR="00CE4224">
        <w:t xml:space="preserve"> was derived from OrganMatch data.</w:t>
      </w:r>
    </w:p>
    <w:p w14:paraId="67612D22" w14:textId="7BA89FB1" w:rsidR="004A4D29" w:rsidRDefault="00EF7823" w:rsidP="004A4D29">
      <w:r>
        <w:t>MSAC noted that</w:t>
      </w:r>
      <w:r w:rsidR="00135CA0" w:rsidRPr="00135CA0">
        <w:t xml:space="preserve"> </w:t>
      </w:r>
      <w:r w:rsidR="00135CA0" w:rsidRPr="002D506F">
        <w:t>the ADAR economic model base case still did not include all relevant costs and benefits from a health system perspective</w:t>
      </w:r>
      <w:r w:rsidR="000770B1">
        <w:t xml:space="preserve"> as had been previously advised in application 1732</w:t>
      </w:r>
      <w:r w:rsidR="00347781">
        <w:t>.</w:t>
      </w:r>
      <w:r w:rsidR="00135CA0" w:rsidRPr="00135CA0">
        <w:t xml:space="preserve"> </w:t>
      </w:r>
      <w:r w:rsidR="000B322B">
        <w:t xml:space="preserve">MSAC noted that there were three </w:t>
      </w:r>
      <w:r w:rsidR="00150375">
        <w:t xml:space="preserve">spillovers associated with </w:t>
      </w:r>
      <w:r w:rsidR="00355840">
        <w:t>imlifidase</w:t>
      </w:r>
      <w:r w:rsidR="00150375">
        <w:t xml:space="preserve"> (a </w:t>
      </w:r>
      <w:r w:rsidR="00205F7D">
        <w:t>‘</w:t>
      </w:r>
      <w:r w:rsidR="00150375">
        <w:t>spillover</w:t>
      </w:r>
      <w:r w:rsidR="00205F7D">
        <w:t>’</w:t>
      </w:r>
      <w:r w:rsidR="00150375">
        <w:t xml:space="preserve"> in this case meaning an impact, which </w:t>
      </w:r>
      <w:r w:rsidR="00355840">
        <w:t xml:space="preserve">can </w:t>
      </w:r>
      <w:r w:rsidR="00150375">
        <w:t>either be positive or negative</w:t>
      </w:r>
      <w:r w:rsidR="00205F7D">
        <w:t>,</w:t>
      </w:r>
      <w:r w:rsidR="00355840">
        <w:t xml:space="preserve"> on </w:t>
      </w:r>
      <w:r w:rsidR="00DE6300">
        <w:t>non-recipients of imlifidase</w:t>
      </w:r>
      <w:r w:rsidR="00150375">
        <w:t>)</w:t>
      </w:r>
      <w:r w:rsidR="00205F7D">
        <w:t>.</w:t>
      </w:r>
      <w:r w:rsidR="00A614E6">
        <w:t xml:space="preserve"> The first was a negative spillover</w:t>
      </w:r>
      <w:r w:rsidR="007C628A">
        <w:t xml:space="preserve"> due to</w:t>
      </w:r>
      <w:r w:rsidR="007C628A" w:rsidRPr="007C628A">
        <w:t xml:space="preserve"> </w:t>
      </w:r>
      <w:r w:rsidR="00796A3E">
        <w:t xml:space="preserve">non-HS patients </w:t>
      </w:r>
      <w:r w:rsidR="007C628A" w:rsidRPr="007C628A">
        <w:t xml:space="preserve">on the DD transplant waitlist </w:t>
      </w:r>
      <w:r w:rsidR="00796A3E">
        <w:t>being</w:t>
      </w:r>
      <w:r w:rsidR="007C628A" w:rsidRPr="007C628A">
        <w:t xml:space="preserve"> displaced by the allocation of a DD transplant to an imlifidase</w:t>
      </w:r>
      <w:r w:rsidR="00A90B94">
        <w:t xml:space="preserve"> recipient </w:t>
      </w:r>
      <w:r w:rsidR="007C628A" w:rsidRPr="007C628A">
        <w:t xml:space="preserve">due to the scarcity of </w:t>
      </w:r>
      <w:r w:rsidR="00796A3E">
        <w:t>DD</w:t>
      </w:r>
      <w:r w:rsidR="007C628A" w:rsidRPr="007C628A">
        <w:t xml:space="preserve"> kidneys</w:t>
      </w:r>
      <w:r w:rsidR="00796A3E">
        <w:t xml:space="preserve">. The second was a positive </w:t>
      </w:r>
      <w:r w:rsidR="006B0CF1">
        <w:t xml:space="preserve">spillover </w:t>
      </w:r>
      <w:r w:rsidR="00DE6300">
        <w:t xml:space="preserve">due to </w:t>
      </w:r>
      <w:r w:rsidR="0014058B">
        <w:t xml:space="preserve">an imlifidase-facilitated transplant completing a </w:t>
      </w:r>
      <w:r w:rsidR="00FB6DD4" w:rsidRPr="00FB6DD4">
        <w:t>LD kidney donation chain</w:t>
      </w:r>
      <w:r w:rsidR="00FB6DD4">
        <w:t xml:space="preserve"> </w:t>
      </w:r>
      <w:r w:rsidR="0014058B">
        <w:t xml:space="preserve">(which benefits people on the chain who are not recipients of </w:t>
      </w:r>
      <w:r w:rsidR="00FE319D">
        <w:t xml:space="preserve">imlifidase) </w:t>
      </w:r>
      <w:r w:rsidR="00FB6DD4">
        <w:t xml:space="preserve">and the third was a positive spillover </w:t>
      </w:r>
      <w:r w:rsidR="00FB6DD4" w:rsidRPr="00FB6DD4">
        <w:t>due to imlifidase</w:t>
      </w:r>
      <w:r w:rsidR="00032D12">
        <w:t xml:space="preserve">-facilitated transplants reducing the </w:t>
      </w:r>
      <w:r w:rsidR="00FB6DD4" w:rsidRPr="00FB6DD4">
        <w:t>waitlist for DD transplants</w:t>
      </w:r>
      <w:r w:rsidR="00DE6300">
        <w:t xml:space="preserve"> </w:t>
      </w:r>
      <w:r w:rsidR="00E5466B">
        <w:t xml:space="preserve">leading to a potential increase in the pool </w:t>
      </w:r>
      <w:r w:rsidR="001D27DA">
        <w:t>of donor kidneys</w:t>
      </w:r>
      <w:r w:rsidR="00032D12">
        <w:t>.</w:t>
      </w:r>
      <w:r w:rsidR="002B069F">
        <w:t xml:space="preserve"> MSAC noted that the base case economic model did not include any of these spillovers though the ADAR included a scenario analysis which took account of the first two spillovers</w:t>
      </w:r>
      <w:r w:rsidR="00484193">
        <w:t xml:space="preserve"> (</w:t>
      </w:r>
      <w:r w:rsidR="00ED422D">
        <w:t>the third spillover was not included in any</w:t>
      </w:r>
      <w:r w:rsidR="001F5B80">
        <w:t xml:space="preserve"> </w:t>
      </w:r>
      <w:r w:rsidR="002B069F">
        <w:t xml:space="preserve">scenario analyses because </w:t>
      </w:r>
      <w:r w:rsidR="001F5B80">
        <w:t>it was considered too uncertain to quantify</w:t>
      </w:r>
      <w:r w:rsidR="00484193">
        <w:t xml:space="preserve">). </w:t>
      </w:r>
      <w:r w:rsidR="004A4D29">
        <w:t xml:space="preserve">MSAC noted that that the size of the second spillover was based on expert opinion and </w:t>
      </w:r>
      <w:r w:rsidR="004A4D29" w:rsidRPr="001F5B80">
        <w:t>there was significant uncertainty about the number of patients in a completed LD kidney donation chain facilitated by imlifidase</w:t>
      </w:r>
      <w:r w:rsidR="004A4D29">
        <w:t>.</w:t>
      </w:r>
    </w:p>
    <w:p w14:paraId="6BF129AB" w14:textId="42B8E10B" w:rsidR="00726F69" w:rsidRDefault="00484193" w:rsidP="00C25F1F">
      <w:r>
        <w:t xml:space="preserve">MSAC noted that </w:t>
      </w:r>
      <w:r w:rsidR="00F538E9">
        <w:t xml:space="preserve">the base case </w:t>
      </w:r>
      <w:r w:rsidR="007F3BA1">
        <w:t>was highly sensitive to</w:t>
      </w:r>
      <w:r w:rsidR="00D3146D">
        <w:t xml:space="preserve"> </w:t>
      </w:r>
      <w:r w:rsidR="007F3BA1">
        <w:t xml:space="preserve">the first kind of (negative) spillover because </w:t>
      </w:r>
      <w:r w:rsidR="00EF3DD2">
        <w:t xml:space="preserve">the claimed cost offsets for dialysis for patients receiving imlifidase </w:t>
      </w:r>
      <w:r w:rsidR="000768DE">
        <w:t>would be</w:t>
      </w:r>
      <w:r w:rsidR="00EF3DD2">
        <w:t xml:space="preserve"> negligible </w:t>
      </w:r>
      <w:r w:rsidR="000768DE">
        <w:t>after accounting for</w:t>
      </w:r>
      <w:r w:rsidR="00EF3DD2">
        <w:t xml:space="preserve"> the additional costs of ongoing dialysis for </w:t>
      </w:r>
      <w:r w:rsidR="00C25F1F">
        <w:t xml:space="preserve">displaced </w:t>
      </w:r>
      <w:r w:rsidR="00EF3DD2">
        <w:t xml:space="preserve">non-HS patients who do not receive a DD transplant. </w:t>
      </w:r>
      <w:r w:rsidR="0080597F">
        <w:t xml:space="preserve">In </w:t>
      </w:r>
      <w:proofErr w:type="gramStart"/>
      <w:r w:rsidR="0080597F">
        <w:t>addition</w:t>
      </w:r>
      <w:proofErr w:type="gramEnd"/>
      <w:r w:rsidR="0080597F">
        <w:t xml:space="preserve"> the health outcomes of these displaced </w:t>
      </w:r>
      <w:r w:rsidR="000768DE">
        <w:t xml:space="preserve">non-HS </w:t>
      </w:r>
      <w:r w:rsidR="0080597F">
        <w:t>patients wh</w:t>
      </w:r>
      <w:r w:rsidR="00922F2F">
        <w:t>o</w:t>
      </w:r>
      <w:r w:rsidR="0080597F">
        <w:t xml:space="preserve"> would have been worse off due to displacement were also not included in any </w:t>
      </w:r>
      <w:r w:rsidR="002508AE">
        <w:t xml:space="preserve">scenario </w:t>
      </w:r>
      <w:r w:rsidR="0080597F">
        <w:t>analysis in the ADAR.</w:t>
      </w:r>
    </w:p>
    <w:p w14:paraId="06A5E868" w14:textId="0D1640F4" w:rsidR="0007284E" w:rsidRDefault="00347781" w:rsidP="001F5B80">
      <w:r w:rsidRPr="00347781">
        <w:t xml:space="preserve">MSAC noted </w:t>
      </w:r>
      <w:r>
        <w:t xml:space="preserve">that </w:t>
      </w:r>
      <w:r w:rsidRPr="00347781">
        <w:t>the pre-MSAC response</w:t>
      </w:r>
      <w:r>
        <w:t xml:space="preserve"> continued to </w:t>
      </w:r>
      <w:r w:rsidR="00A24E7A">
        <w:t>contend</w:t>
      </w:r>
      <w:r w:rsidR="00A24E7A" w:rsidRPr="00347781">
        <w:t xml:space="preserve"> </w:t>
      </w:r>
      <w:r w:rsidRPr="00347781">
        <w:t>against including</w:t>
      </w:r>
      <w:r w:rsidR="00051292">
        <w:t xml:space="preserve"> </w:t>
      </w:r>
      <w:r w:rsidR="00AE65EE">
        <w:t>negative spillovers</w:t>
      </w:r>
      <w:r w:rsidR="007108A2">
        <w:t xml:space="preserve"> </w:t>
      </w:r>
      <w:r w:rsidRPr="00347781">
        <w:t xml:space="preserve">in the </w:t>
      </w:r>
      <w:r w:rsidR="00AE65EE">
        <w:t xml:space="preserve">base case </w:t>
      </w:r>
      <w:r w:rsidRPr="00347781">
        <w:t xml:space="preserve">economic model, as </w:t>
      </w:r>
      <w:r w:rsidR="00AE65EE">
        <w:t>(by definition)</w:t>
      </w:r>
      <w:r w:rsidRPr="00347781">
        <w:t xml:space="preserve"> they are </w:t>
      </w:r>
      <w:r w:rsidR="00AE65EE">
        <w:t>impacts</w:t>
      </w:r>
      <w:r w:rsidRPr="00347781">
        <w:t xml:space="preserve"> outside the target </w:t>
      </w:r>
      <w:r w:rsidRPr="00347781">
        <w:lastRenderedPageBreak/>
        <w:t>population</w:t>
      </w:r>
      <w:r w:rsidR="000D0C5F">
        <w:t xml:space="preserve"> and that this was </w:t>
      </w:r>
      <w:r w:rsidR="00925FE1">
        <w:t xml:space="preserve">the approach adopted </w:t>
      </w:r>
      <w:r w:rsidR="00051292">
        <w:t>in</w:t>
      </w:r>
      <w:r w:rsidR="00925FE1">
        <w:t xml:space="preserve"> </w:t>
      </w:r>
      <w:r w:rsidR="00870318">
        <w:t>health technology assessment</w:t>
      </w:r>
      <w:r w:rsidR="003661C5">
        <w:t xml:space="preserve"> for imlifidase in other countries such as t</w:t>
      </w:r>
      <w:r w:rsidR="003661C5" w:rsidRPr="003661C5">
        <w:t>he NICE/ERG analysis resulting in a UK decision to reimburse imlifidase</w:t>
      </w:r>
      <w:r w:rsidR="003661C5">
        <w:t xml:space="preserve">. </w:t>
      </w:r>
      <w:r w:rsidR="008364B3">
        <w:t xml:space="preserve">The pre-MSAC response also </w:t>
      </w:r>
      <w:r w:rsidR="003F48D6">
        <w:t xml:space="preserve">asserted </w:t>
      </w:r>
      <w:r w:rsidR="009C4879">
        <w:t>that any</w:t>
      </w:r>
      <w:r w:rsidR="00BD2AA1">
        <w:t xml:space="preserve"> negative</w:t>
      </w:r>
      <w:r w:rsidR="009C4879">
        <w:t xml:space="preserve"> impacts </w:t>
      </w:r>
      <w:r w:rsidR="00697D25">
        <w:t xml:space="preserve">on non-HS patients </w:t>
      </w:r>
      <w:r w:rsidR="009C4879">
        <w:t xml:space="preserve">were </w:t>
      </w:r>
      <w:r w:rsidR="000229C2">
        <w:t>i</w:t>
      </w:r>
      <w:r w:rsidR="009C4879">
        <w:t xml:space="preserve">n terms of </w:t>
      </w:r>
      <w:r w:rsidR="00697D25">
        <w:t>a short delay in kidney transplantation rather than being denied transplantation altoge</w:t>
      </w:r>
      <w:r w:rsidR="000229C2">
        <w:t>t</w:t>
      </w:r>
      <w:r w:rsidR="00697D25">
        <w:t>her</w:t>
      </w:r>
      <w:r w:rsidR="0008147D">
        <w:t xml:space="preserve"> and cited new data from the </w:t>
      </w:r>
      <w:r w:rsidR="000D0C5F" w:rsidRPr="000D0C5F">
        <w:t>TSANZ Annual Scientific Meeting in June 2024</w:t>
      </w:r>
      <w:r w:rsidR="000D0C5F">
        <w:t xml:space="preserve"> </w:t>
      </w:r>
      <w:r w:rsidR="00FE1BCF">
        <w:t>that the median wait time from a declined organ offer to the next offer was 1.7 months. However, MSAC was uncertain whether this would be analogous to the wait time of a displaced patient to the next offer.</w:t>
      </w:r>
      <w:r w:rsidR="00EC429C">
        <w:t xml:space="preserve"> The pre-MSAC response also reasserted that</w:t>
      </w:r>
      <w:r w:rsidR="00416224">
        <w:t xml:space="preserve"> imlifidase was the only </w:t>
      </w:r>
      <w:r w:rsidR="00416224" w:rsidRPr="00416224">
        <w:t xml:space="preserve">treatment option </w:t>
      </w:r>
      <w:r w:rsidR="00416224">
        <w:t xml:space="preserve">that </w:t>
      </w:r>
      <w:r w:rsidR="00416224" w:rsidRPr="00416224">
        <w:t>enable</w:t>
      </w:r>
      <w:r w:rsidR="00416224">
        <w:t>d</w:t>
      </w:r>
      <w:r w:rsidR="00416224" w:rsidRPr="00416224">
        <w:t xml:space="preserve"> equity of access to kidney transplantation for a small subset of HS patients</w:t>
      </w:r>
      <w:r w:rsidR="00416224">
        <w:t xml:space="preserve">. </w:t>
      </w:r>
      <w:r w:rsidR="00996B76">
        <w:t>MSAC acknowledged that imlifidase restores health equity to a disadvantaged group with high clinical need, which includes females and First Nations patients</w:t>
      </w:r>
      <w:r w:rsidR="00BF38F2">
        <w:t xml:space="preserve">. </w:t>
      </w:r>
      <w:proofErr w:type="gramStart"/>
      <w:r w:rsidR="00BF38F2">
        <w:t>However</w:t>
      </w:r>
      <w:proofErr w:type="gramEnd"/>
      <w:r w:rsidR="00BF38F2">
        <w:t xml:space="preserve"> MSAC </w:t>
      </w:r>
      <w:r w:rsidR="000A7572">
        <w:t>con</w:t>
      </w:r>
      <w:r w:rsidR="00EE7FE1">
        <w:t>sidered</w:t>
      </w:r>
      <w:r w:rsidR="000A7572">
        <w:t xml:space="preserve"> that the base case model </w:t>
      </w:r>
      <w:r w:rsidR="00135CA0" w:rsidRPr="00135CA0">
        <w:t xml:space="preserve">should </w:t>
      </w:r>
      <w:r w:rsidR="00EE7FE1">
        <w:t>i</w:t>
      </w:r>
      <w:r w:rsidR="00135CA0" w:rsidRPr="00135CA0">
        <w:t>nclude</w:t>
      </w:r>
      <w:r w:rsidR="00FD4876">
        <w:t xml:space="preserve"> </w:t>
      </w:r>
      <w:r w:rsidR="00832324">
        <w:t>impacts</w:t>
      </w:r>
      <w:r w:rsidR="00135CA0">
        <w:t xml:space="preserve"> on</w:t>
      </w:r>
      <w:r w:rsidR="00135CA0" w:rsidRPr="00135CA0">
        <w:t xml:space="preserve"> non-HS transplant candidates because DD transplants are </w:t>
      </w:r>
      <w:r w:rsidR="00F77094">
        <w:t>highly supply</w:t>
      </w:r>
      <w:r w:rsidR="008A3768">
        <w:t>-</w:t>
      </w:r>
      <w:r w:rsidR="00F77094">
        <w:t>constrained</w:t>
      </w:r>
      <w:r w:rsidR="00135CA0" w:rsidRPr="00135CA0">
        <w:t xml:space="preserve"> and quantifying the impact on all transplant candidates (not just HS transplant candidates) was important to understanding any unintended negative consequences for non-HS patients from funding imlifidase for HS patients</w:t>
      </w:r>
      <w:r w:rsidR="00BF38F2">
        <w:t xml:space="preserve"> and </w:t>
      </w:r>
      <w:r w:rsidR="00897A48">
        <w:t xml:space="preserve">hence </w:t>
      </w:r>
      <w:r w:rsidR="00FD4876">
        <w:t xml:space="preserve">understanding </w:t>
      </w:r>
      <w:r w:rsidR="00BF38F2">
        <w:t>an</w:t>
      </w:r>
      <w:r w:rsidR="00113874">
        <w:t>y equity versus efficiency</w:t>
      </w:r>
      <w:r w:rsidR="00A33206">
        <w:t xml:space="preserve"> </w:t>
      </w:r>
      <w:proofErr w:type="spellStart"/>
      <w:r w:rsidR="00A33206">
        <w:t>tradeoffs</w:t>
      </w:r>
      <w:proofErr w:type="spellEnd"/>
      <w:r w:rsidR="00A33206">
        <w:t xml:space="preserve"> associated with the funding of imlifidase.</w:t>
      </w:r>
    </w:p>
    <w:p w14:paraId="3A1AF998" w14:textId="2F2DAD27" w:rsidR="0007284E" w:rsidRDefault="0007284E" w:rsidP="0007284E">
      <w:r>
        <w:t>MSAC</w:t>
      </w:r>
      <w:r w:rsidR="00C2798D">
        <w:t xml:space="preserve"> recalled that in application 1732 it had also requested that different incremental cost-effectiveness ratios (ICERs) for DD and LD recipients should be reported but these had </w:t>
      </w:r>
      <w:r w:rsidR="00643F55">
        <w:t xml:space="preserve">not </w:t>
      </w:r>
      <w:r w:rsidR="00E833CD">
        <w:t xml:space="preserve">been addressed by the </w:t>
      </w:r>
      <w:r w:rsidR="00A23126">
        <w:t xml:space="preserve">resubmission </w:t>
      </w:r>
      <w:r w:rsidR="00E833CD">
        <w:t xml:space="preserve">ADAR. </w:t>
      </w:r>
      <w:proofErr w:type="gramStart"/>
      <w:r w:rsidR="00E833CD">
        <w:t>However</w:t>
      </w:r>
      <w:proofErr w:type="gramEnd"/>
      <w:r w:rsidR="00E833CD">
        <w:t xml:space="preserve"> MSAC </w:t>
      </w:r>
      <w:r>
        <w:t>noted that these estimates were reported as spillover scenarios by the commentary.</w:t>
      </w:r>
    </w:p>
    <w:p w14:paraId="408D32D9" w14:textId="08716136" w:rsidR="00794D95" w:rsidRDefault="00794D95" w:rsidP="004E486B">
      <w:r>
        <w:t xml:space="preserve">MSAC </w:t>
      </w:r>
      <w:r w:rsidR="000709EC">
        <w:t xml:space="preserve">recalled that it had expressed concerns </w:t>
      </w:r>
      <w:r w:rsidR="00534623">
        <w:t xml:space="preserve">that the previous submission </w:t>
      </w:r>
      <w:r w:rsidR="000709EC">
        <w:t>ADAR</w:t>
      </w:r>
      <w:r w:rsidR="00534623">
        <w:t>’s</w:t>
      </w:r>
      <w:r w:rsidR="000709EC">
        <w:t xml:space="preserve"> </w:t>
      </w:r>
      <w:r w:rsidRPr="00794D95">
        <w:t xml:space="preserve">economic model </w:t>
      </w:r>
      <w:r w:rsidR="000709EC">
        <w:t>was incomplete</w:t>
      </w:r>
      <w:r w:rsidR="00534623">
        <w:t xml:space="preserve"> because it</w:t>
      </w:r>
      <w:r w:rsidR="000709EC">
        <w:t xml:space="preserve"> </w:t>
      </w:r>
      <w:r w:rsidR="000709EC" w:rsidRPr="000709EC">
        <w:t>did not include the cost of extra immunological tests and increased staffing requirements and delayed or potentially no transplantation outcomes in some cases</w:t>
      </w:r>
      <w:r w:rsidR="00534623">
        <w:t xml:space="preserve">. MSAC considered that this has been partially addressed in the resubmission ADAR by adding costs for </w:t>
      </w:r>
      <w:r w:rsidR="00EE4F2C" w:rsidRPr="00EE4F2C">
        <w:t>an additional 8 Luminex tests into the base case costings</w:t>
      </w:r>
      <w:r w:rsidR="00D347C8">
        <w:t xml:space="preserve"> (</w:t>
      </w:r>
      <w:r w:rsidR="00EE4F2C" w:rsidRPr="00EE4F2C">
        <w:t>based on French guidelines</w:t>
      </w:r>
      <w:r w:rsidR="00D347C8">
        <w:t>)</w:t>
      </w:r>
      <w:r w:rsidR="006108CE" w:rsidRPr="006108CE">
        <w:t xml:space="preserve"> </w:t>
      </w:r>
      <w:r w:rsidR="006108CE">
        <w:t xml:space="preserve">while the </w:t>
      </w:r>
      <w:r w:rsidR="006108CE" w:rsidRPr="006108CE">
        <w:t>probability of no transplantation was already included in the model (i.e. 1 minus 96.3%).</w:t>
      </w:r>
      <w:r w:rsidR="006108CE">
        <w:t xml:space="preserve"> </w:t>
      </w:r>
      <w:proofErr w:type="gramStart"/>
      <w:r w:rsidR="006108CE">
        <w:t>However</w:t>
      </w:r>
      <w:proofErr w:type="gramEnd"/>
      <w:r w:rsidR="006108CE">
        <w:t xml:space="preserve"> MSAC </w:t>
      </w:r>
      <w:r w:rsidR="00B43764">
        <w:t xml:space="preserve">agreed with the commentary that it was unclear whether adding the cost of an additional eight tests was sufficient to account for the complex </w:t>
      </w:r>
      <w:r w:rsidR="00F47DC2">
        <w:t>implementation costs associated with imli</w:t>
      </w:r>
      <w:r w:rsidR="00D81067">
        <w:t>fidase.</w:t>
      </w:r>
    </w:p>
    <w:p w14:paraId="0A68C464" w14:textId="77777777" w:rsidR="004F744F" w:rsidRDefault="004F744F" w:rsidP="004F744F">
      <w:r>
        <w:t>MSAC noted the</w:t>
      </w:r>
      <w:r w:rsidRPr="00933BA4">
        <w:t xml:space="preserve"> </w:t>
      </w:r>
      <w:r>
        <w:t xml:space="preserve">data provided about </w:t>
      </w:r>
      <w:r w:rsidRPr="00491E19">
        <w:rPr>
          <w:b/>
          <w:bCs/>
        </w:rPr>
        <w:t>redacted</w:t>
      </w:r>
      <w:r w:rsidRPr="002D506F">
        <w:t xml:space="preserve"> </w:t>
      </w:r>
      <w:r>
        <w:t>whose treatment costs were estimated at $</w:t>
      </w:r>
      <w:r w:rsidRPr="00491E19">
        <w:rPr>
          <w:b/>
          <w:bCs/>
        </w:rPr>
        <w:t>redacted</w:t>
      </w:r>
      <w:r>
        <w:t xml:space="preserve">. The department confirmed that some components of these costs were categorised differently resulting in different total cost calculations, therefore making comparisons difficult. MSAC also noted that these data were from </w:t>
      </w:r>
      <w:r w:rsidRPr="00491E19">
        <w:rPr>
          <w:b/>
          <w:bCs/>
        </w:rPr>
        <w:t>redacted</w:t>
      </w:r>
      <w:r>
        <w:t xml:space="preserve">, so the applicability is </w:t>
      </w:r>
      <w:proofErr w:type="gramStart"/>
      <w:r>
        <w:t>unclear</w:t>
      </w:r>
      <w:proofErr w:type="gramEnd"/>
      <w:r>
        <w:t xml:space="preserve"> and the data </w:t>
      </w:r>
      <w:r w:rsidRPr="002D506F">
        <w:t>may not be useful to include in the analysis</w:t>
      </w:r>
      <w:r>
        <w:t>.</w:t>
      </w:r>
    </w:p>
    <w:p w14:paraId="620DBBA2" w14:textId="69F4AC0B" w:rsidR="004E486B" w:rsidRDefault="004E486B" w:rsidP="004E486B">
      <w:r>
        <w:t>The model also does not include treatment-emergent adverse events or health-related quality of life, for which there may be a substantial difference between those who receive imlifidase and those who do not. MSAC also queried why the applicant’s micro-costing approach in the model result</w:t>
      </w:r>
      <w:r w:rsidR="00E52DB1">
        <w:t>ed</w:t>
      </w:r>
      <w:r>
        <w:t xml:space="preserve"> in significantly different ICERs compared with using the Kidney Health Australia inflated cost </w:t>
      </w:r>
      <w:proofErr w:type="gramStart"/>
      <w:r>
        <w:t>data, and</w:t>
      </w:r>
      <w:proofErr w:type="gramEnd"/>
      <w:r>
        <w:t xml:space="preserve"> requested that this difference be justified by the applicant.</w:t>
      </w:r>
    </w:p>
    <w:p w14:paraId="17F011A0" w14:textId="0BC79583" w:rsidR="00041669" w:rsidRDefault="002A7EA6" w:rsidP="004E486B">
      <w:r w:rsidRPr="002D506F">
        <w:t xml:space="preserve">MSAC considered that </w:t>
      </w:r>
      <w:r w:rsidR="004E486B" w:rsidRPr="002D506F">
        <w:t xml:space="preserve">OrganMatch data could </w:t>
      </w:r>
      <w:r w:rsidR="00B97DCB" w:rsidRPr="002D506F">
        <w:t xml:space="preserve">have </w:t>
      </w:r>
      <w:r w:rsidR="004E486B" w:rsidRPr="002D506F">
        <w:t>be</w:t>
      </w:r>
      <w:r w:rsidR="00B97DCB" w:rsidRPr="002D506F">
        <w:t>en</w:t>
      </w:r>
      <w:r w:rsidR="004E486B" w:rsidRPr="002D506F">
        <w:t xml:space="preserve"> used in a microsimulation model</w:t>
      </w:r>
      <w:r w:rsidRPr="002D506F">
        <w:t xml:space="preserve"> to capture the </w:t>
      </w:r>
      <w:r w:rsidR="00AE555D" w:rsidRPr="002D506F">
        <w:t xml:space="preserve">differential </w:t>
      </w:r>
      <w:r w:rsidRPr="002D506F">
        <w:t>waiting time impacts</w:t>
      </w:r>
      <w:r w:rsidR="00AE555D" w:rsidRPr="002D506F">
        <w:t xml:space="preserve"> of imlifidase on HS and non-HS patients</w:t>
      </w:r>
      <w:r w:rsidR="004E486B" w:rsidRPr="002D506F">
        <w:t xml:space="preserve">, although MSAC noted that microsimulation models tend to increase complexity and uncertainty, and </w:t>
      </w:r>
      <w:r w:rsidR="00B31AEF" w:rsidRPr="002D506F">
        <w:t>microsimulations</w:t>
      </w:r>
      <w:r w:rsidR="004E486B" w:rsidRPr="002D506F">
        <w:t xml:space="preserve"> should only be attempted if there are sufficient data.</w:t>
      </w:r>
    </w:p>
    <w:p w14:paraId="43E41A1B" w14:textId="05E4E7DC" w:rsidR="004E486B" w:rsidRPr="007D5DEB" w:rsidRDefault="00991402" w:rsidP="004E486B">
      <w:r>
        <w:t xml:space="preserve">MSAC considered that </w:t>
      </w:r>
      <w:r w:rsidR="00B97DCB">
        <w:t>in the absence of such models, th</w:t>
      </w:r>
      <w:r w:rsidR="00D62A5D">
        <w:t>e</w:t>
      </w:r>
      <w:r w:rsidR="00B97DCB">
        <w:t xml:space="preserve"> ADAR economic model should have been revised to </w:t>
      </w:r>
      <w:r w:rsidR="004E486B">
        <w:t xml:space="preserve">include </w:t>
      </w:r>
      <w:r w:rsidR="004E486B" w:rsidRPr="002D506F">
        <w:t xml:space="preserve">separate models for DD and LD patients (in line with previous MSAC advice) </w:t>
      </w:r>
      <w:r w:rsidR="00B97DCB" w:rsidRPr="002D506F">
        <w:t xml:space="preserve">incorporating </w:t>
      </w:r>
      <w:r w:rsidR="00375745" w:rsidRPr="002D506F">
        <w:t xml:space="preserve">all </w:t>
      </w:r>
      <w:r w:rsidR="004E486B" w:rsidRPr="002D506F">
        <w:t xml:space="preserve">spillover effects </w:t>
      </w:r>
      <w:r w:rsidR="00375745" w:rsidRPr="002D506F">
        <w:t xml:space="preserve">but </w:t>
      </w:r>
      <w:r w:rsidR="004E486B" w:rsidRPr="002D506F">
        <w:t>using more conservative estimates of LD chain closure. MSAC considered</w:t>
      </w:r>
      <w:r w:rsidR="004E486B">
        <w:t xml:space="preserve"> that the additional scenario analysis prepared by the </w:t>
      </w:r>
      <w:r w:rsidR="00606941">
        <w:t>c</w:t>
      </w:r>
      <w:r w:rsidR="004E486B">
        <w:t xml:space="preserve">ommentary that </w:t>
      </w:r>
      <w:r w:rsidR="004E486B">
        <w:lastRenderedPageBreak/>
        <w:t>split LD and DD recipients and incorporated spillover scenarios was the most reliable model to inform decision-making</w:t>
      </w:r>
      <w:r w:rsidR="006F666A">
        <w:t xml:space="preserve"> and these reported that the </w:t>
      </w:r>
      <w:r w:rsidR="006F666A" w:rsidRPr="002D506F">
        <w:t>ICER for LD recipients was dominant but for DD recipients it was</w:t>
      </w:r>
      <w:r w:rsidR="006A62D5" w:rsidRPr="002D506F">
        <w:t xml:space="preserve"> a</w:t>
      </w:r>
      <w:r w:rsidR="001C0D42" w:rsidRPr="002D506F">
        <w:t>s</w:t>
      </w:r>
      <w:r w:rsidR="006A62D5" w:rsidRPr="002D506F">
        <w:t xml:space="preserve"> high</w:t>
      </w:r>
      <w:r w:rsidR="001C0D42" w:rsidRPr="002D506F">
        <w:t xml:space="preserve"> as</w:t>
      </w:r>
      <w:r w:rsidR="006F666A" w:rsidRPr="002D506F">
        <w:t xml:space="preserve"> $</w:t>
      </w:r>
      <w:r w:rsidR="00FC6828" w:rsidRPr="009E2F9F">
        <w:rPr>
          <w:b/>
          <w:bCs/>
        </w:rPr>
        <w:t>redacted</w:t>
      </w:r>
      <w:r w:rsidR="006F666A" w:rsidRPr="007D5DEB">
        <w:t>.</w:t>
      </w:r>
      <w:r w:rsidR="00440C71" w:rsidRPr="007D5DEB">
        <w:t xml:space="preserve"> </w:t>
      </w:r>
      <w:r w:rsidR="004E486B" w:rsidRPr="007D5DEB">
        <w:t>However, MSAC acknowledged that uncertainty would remain (as it is impossible to accurately predict when and from what source the next kidney might be available), so ICERs could be expressed as a range.</w:t>
      </w:r>
    </w:p>
    <w:p w14:paraId="1C3B9416" w14:textId="5AFBD441" w:rsidR="00B675FF" w:rsidRDefault="004E486B" w:rsidP="00C55834">
      <w:pPr>
        <w:pStyle w:val="ListParagraph"/>
        <w:numPr>
          <w:ilvl w:val="0"/>
          <w:numId w:val="61"/>
        </w:numPr>
      </w:pPr>
      <w:r w:rsidRPr="007D5DEB">
        <w:t xml:space="preserve">Regarding the financial analysis, MSAC agreed with ESC that the applicant had addressed MSAC’s concerns regarding incomplete </w:t>
      </w:r>
      <w:proofErr w:type="gramStart"/>
      <w:r w:rsidRPr="007D5DEB">
        <w:t>costs, and</w:t>
      </w:r>
      <w:proofErr w:type="gramEnd"/>
      <w:r w:rsidRPr="007D5DEB">
        <w:t xml:space="preserve"> included a fixed cost per patient irrespective of patient weight and second administrations. MSAC also noted the applicant’s revised price to incorporate a </w:t>
      </w:r>
      <w:r w:rsidR="00FC6828" w:rsidRPr="009E2F9F">
        <w:rPr>
          <w:b/>
          <w:bCs/>
        </w:rPr>
        <w:t>redacted</w:t>
      </w:r>
      <w:r w:rsidRPr="007D5DEB">
        <w:t>% discount on the previous cost of imlifidase</w:t>
      </w:r>
      <w:r w:rsidR="002B666C" w:rsidRPr="007D5DEB">
        <w:t xml:space="preserve"> and an overall</w:t>
      </w:r>
      <w:r w:rsidR="00FC6828" w:rsidRPr="007D5DEB">
        <w:t xml:space="preserve"> </w:t>
      </w:r>
      <w:r w:rsidR="00FC6828" w:rsidRPr="009E2F9F">
        <w:rPr>
          <w:b/>
          <w:bCs/>
        </w:rPr>
        <w:t>redacted</w:t>
      </w:r>
      <w:r w:rsidR="002B666C" w:rsidRPr="007D5DEB">
        <w:t>% discoun</w:t>
      </w:r>
      <w:r w:rsidR="002B666C">
        <w:t>t</w:t>
      </w:r>
      <w:r w:rsidR="00731BBD">
        <w:t xml:space="preserve"> after taking account of payments being restricted to</w:t>
      </w:r>
      <w:r w:rsidR="00802A3F">
        <w:t xml:space="preserve"> the </w:t>
      </w:r>
      <w:r w:rsidR="00154777">
        <w:t xml:space="preserve">fixed </w:t>
      </w:r>
      <w:r w:rsidR="00802A3F">
        <w:t>price of a</w:t>
      </w:r>
      <w:r w:rsidR="00731BBD">
        <w:t xml:space="preserve"> single dose per patient regardless of </w:t>
      </w:r>
      <w:r w:rsidR="00802A3F">
        <w:t xml:space="preserve">number of doses </w:t>
      </w:r>
      <w:proofErr w:type="gramStart"/>
      <w:r w:rsidR="00802A3F">
        <w:t>actually used</w:t>
      </w:r>
      <w:proofErr w:type="gramEnd"/>
      <w:r>
        <w:t>.</w:t>
      </w:r>
    </w:p>
    <w:p w14:paraId="61582959" w14:textId="3ED845DA" w:rsidR="00B675FF" w:rsidRDefault="00B675FF" w:rsidP="00B675FF">
      <w:r>
        <w:t xml:space="preserve">Regarding the potential number of patients who would be treated each year, RTAC estimated a maximum of </w:t>
      </w:r>
      <w:r w:rsidRPr="009E2F9F">
        <w:t>10</w:t>
      </w:r>
      <w:r w:rsidRPr="007D5DEB">
        <w:t>–</w:t>
      </w:r>
      <w:r w:rsidR="000A61B4" w:rsidRPr="009E2F9F">
        <w:t>15</w:t>
      </w:r>
      <w:r w:rsidR="00F4233F" w:rsidRPr="007D5DEB">
        <w:t xml:space="preserve"> </w:t>
      </w:r>
      <w:r w:rsidRPr="007D5DEB">
        <w:t xml:space="preserve">imlifidase-facilitated transplants per year (and a likely initial bolus effect due to the approximately 100 patients on the waiting list who would be eligible). However, MSAC noted the applicant’s pre-MSAC response, which indicated that an appropriate patient cap should be set at </w:t>
      </w:r>
      <w:r w:rsidR="00FC6828" w:rsidRPr="009E2F9F">
        <w:rPr>
          <w:b/>
          <w:bCs/>
        </w:rPr>
        <w:t>redacted</w:t>
      </w:r>
      <w:r w:rsidRPr="007D5DEB">
        <w:t xml:space="preserve"> patients per year to achieve parity between kidney transplants of HS and non-HS patients within 5 years. As part of the hearing (see below), the applicant reiterated that the potential number of patients would be around </w:t>
      </w:r>
      <w:r w:rsidR="00FC6828" w:rsidRPr="009E2F9F">
        <w:rPr>
          <w:b/>
          <w:bCs/>
        </w:rPr>
        <w:t>redacted</w:t>
      </w:r>
      <w:r w:rsidRPr="007D5DEB">
        <w:t xml:space="preserve"> patients per year.</w:t>
      </w:r>
      <w:r w:rsidR="007B21B4" w:rsidRPr="007D5DEB">
        <w:t xml:space="preserve"> MSAC agreed that a financial cap of </w:t>
      </w:r>
      <w:r w:rsidR="00FC6828" w:rsidRPr="007D5DEB">
        <w:rPr>
          <w:b/>
          <w:bCs/>
        </w:rPr>
        <w:t>redacted</w:t>
      </w:r>
      <w:r w:rsidR="007B21B4" w:rsidRPr="007D5DEB">
        <w:t xml:space="preserve"> patients a year may be insufficient to address the waitlist issue. Overall, MSAC considered that the financial estimates remained uncertain, but that these were likely to be overestimated.</w:t>
      </w:r>
    </w:p>
    <w:p w14:paraId="1DD8CBDE" w14:textId="3D9EAFB5" w:rsidR="004E486B" w:rsidRDefault="004E486B" w:rsidP="004E486B">
      <w:r>
        <w:t>MSAC noted the applicant’s consideration of mechanisms for data monitoring and post-implementation review in the resubmission. MSAC had also requested further information on the planned Australian observational study, but this was not provided by the applicant.</w:t>
      </w:r>
      <w:r w:rsidR="00522995">
        <w:t xml:space="preserve"> </w:t>
      </w:r>
      <w:r w:rsidR="00471D34">
        <w:t xml:space="preserve">Based on the information provided </w:t>
      </w:r>
      <w:r w:rsidR="00C8679F">
        <w:t>in the ADAR and repeated in the pre-MSAC response</w:t>
      </w:r>
      <w:r w:rsidR="005E5D5C">
        <w:t>,</w:t>
      </w:r>
      <w:r w:rsidR="00471D34">
        <w:t xml:space="preserve"> MSAC considered that there were weaknesses with the proposed study because it was a single arm </w:t>
      </w:r>
      <w:proofErr w:type="gramStart"/>
      <w:r w:rsidR="00471D34">
        <w:t>stud</w:t>
      </w:r>
      <w:r w:rsidR="00934C1D">
        <w:t>y</w:t>
      </w:r>
      <w:proofErr w:type="gramEnd"/>
      <w:r w:rsidR="00934C1D">
        <w:t xml:space="preserve"> and</w:t>
      </w:r>
      <w:r w:rsidR="002F1893">
        <w:t xml:space="preserve"> it was unclear how eligibility </w:t>
      </w:r>
      <w:r w:rsidR="005E5D5C">
        <w:t>would be</w:t>
      </w:r>
      <w:r w:rsidR="002F1893">
        <w:t xml:space="preserve"> determine</w:t>
      </w:r>
      <w:r w:rsidR="00934C1D">
        <w:t>d.</w:t>
      </w:r>
    </w:p>
    <w:p w14:paraId="2111B601" w14:textId="75DBD420" w:rsidR="004E486B" w:rsidRPr="006245F4" w:rsidRDefault="004E486B" w:rsidP="004E486B">
      <w:pPr>
        <w:rPr>
          <w:b/>
          <w:bCs/>
        </w:rPr>
      </w:pPr>
      <w:r w:rsidRPr="006245F4">
        <w:rPr>
          <w:b/>
          <w:bCs/>
        </w:rPr>
        <w:t>Applicant hearing</w:t>
      </w:r>
    </w:p>
    <w:p w14:paraId="3F7FFA3D" w14:textId="7AAC4A4A" w:rsidR="004E486B" w:rsidRDefault="004E486B" w:rsidP="004E486B">
      <w:r>
        <w:t>The applicant was granted a hearing, during which a clinician supporting the applicant presented information on a patient case study using imlifidase</w:t>
      </w:r>
      <w:r w:rsidR="00EC4F91">
        <w:t xml:space="preserve"> in Australia</w:t>
      </w:r>
      <w:r>
        <w:t xml:space="preserve">. MSAC noted the substantial decrease in crossmatch antibodies after imlifidase compared with plasma exchange; however, antibodies rebound substantially after 7–8 days and may return to previous levels, meaning that patients are still at risk of acute rejection. Imlifidase prevents hyperacute rejection, which can be aggressive and difficult to control, but not other rejection events. The applicant stated that managing antibody rebound after imlifidase </w:t>
      </w:r>
      <w:r w:rsidR="002B1D6F">
        <w:t xml:space="preserve">is a key challenge and </w:t>
      </w:r>
      <w:r>
        <w:t xml:space="preserve">requires costly and intensive </w:t>
      </w:r>
      <w:proofErr w:type="gramStart"/>
      <w:r>
        <w:t>management, but</w:t>
      </w:r>
      <w:proofErr w:type="gramEnd"/>
      <w:r>
        <w:t xml:space="preserve"> can be done using standard approaches.</w:t>
      </w:r>
    </w:p>
    <w:p w14:paraId="2BAFC0A4" w14:textId="3554ADBD" w:rsidR="004E486B" w:rsidRDefault="004E486B" w:rsidP="004E486B">
      <w:r>
        <w:t xml:space="preserve">Regarding the projected number of patients who would receive imlifidase each year in Australia, the applicant noted that ANZDATA indicated that 135 patients in 2022 </w:t>
      </w:r>
      <w:r w:rsidR="00F372ED">
        <w:t xml:space="preserve">had a PRA </w:t>
      </w:r>
      <w:r w:rsidR="0053753C">
        <w:t>&gt;</w:t>
      </w:r>
      <w:r w:rsidR="00F372ED">
        <w:t>99%</w:t>
      </w:r>
      <w:r>
        <w:t xml:space="preserve">, and that most of </w:t>
      </w:r>
      <w:r w:rsidRPr="002C663F">
        <w:t xml:space="preserve">these </w:t>
      </w:r>
      <w:r w:rsidR="002B1D6F" w:rsidRPr="002C663F">
        <w:t xml:space="preserve">patients </w:t>
      </w:r>
      <w:r w:rsidRPr="002C663F">
        <w:t xml:space="preserve">would have been on dialysis for </w:t>
      </w:r>
      <w:r w:rsidR="00F372ED" w:rsidRPr="002C663F">
        <w:t xml:space="preserve">at least </w:t>
      </w:r>
      <w:r w:rsidRPr="002C663F">
        <w:t xml:space="preserve">2 years. </w:t>
      </w:r>
      <w:r w:rsidR="00F372ED" w:rsidRPr="002C663F">
        <w:t xml:space="preserve">The applicant noted that not </w:t>
      </w:r>
      <w:proofErr w:type="gramStart"/>
      <w:r w:rsidR="00F372ED" w:rsidRPr="002C663F">
        <w:t>all of</w:t>
      </w:r>
      <w:proofErr w:type="gramEnd"/>
      <w:r w:rsidR="00F372ED" w:rsidRPr="002C663F">
        <w:t xml:space="preserve"> these patients w</w:t>
      </w:r>
      <w:r w:rsidR="002E0592" w:rsidRPr="002C663F">
        <w:t>ould</w:t>
      </w:r>
      <w:r w:rsidR="00F372ED" w:rsidRPr="002C663F">
        <w:t xml:space="preserve"> be medically suitable to receive imlifidase</w:t>
      </w:r>
      <w:r w:rsidR="002E0592" w:rsidRPr="002C663F">
        <w:t xml:space="preserve"> and</w:t>
      </w:r>
      <w:r w:rsidRPr="002C663F">
        <w:t xml:space="preserve"> estimated that around 110 of these patients would be eligible. The applicant </w:t>
      </w:r>
      <w:r w:rsidR="002E0592" w:rsidRPr="002C663F">
        <w:t xml:space="preserve">further noted </w:t>
      </w:r>
      <w:r w:rsidRPr="002C663F">
        <w:t xml:space="preserve">that around </w:t>
      </w:r>
      <w:r w:rsidR="00952E1C" w:rsidRPr="002C663F">
        <w:br/>
      </w:r>
      <w:r w:rsidR="00FC6828" w:rsidRPr="002C663F">
        <w:rPr>
          <w:b/>
          <w:bCs/>
        </w:rPr>
        <w:t>redacted</w:t>
      </w:r>
      <w:r w:rsidRPr="002C663F">
        <w:t>–</w:t>
      </w:r>
      <w:r w:rsidR="00FC6828" w:rsidRPr="002C663F">
        <w:rPr>
          <w:b/>
          <w:bCs/>
        </w:rPr>
        <w:t xml:space="preserve"> redacted</w:t>
      </w:r>
      <w:r w:rsidRPr="002C663F">
        <w:t xml:space="preserve"> suitable patients would enter the waitlist each year. </w:t>
      </w:r>
      <w:r w:rsidR="00F372ED" w:rsidRPr="002C663F">
        <w:t xml:space="preserve">The applicant stated that there is likely to be a </w:t>
      </w:r>
      <w:r w:rsidRPr="002C663F">
        <w:t xml:space="preserve">backlog of </w:t>
      </w:r>
      <w:proofErr w:type="gramStart"/>
      <w:r w:rsidRPr="002C663F">
        <w:t xml:space="preserve">patients, </w:t>
      </w:r>
      <w:r w:rsidR="00F372ED" w:rsidRPr="002C663F">
        <w:t>and</w:t>
      </w:r>
      <w:proofErr w:type="gramEnd"/>
      <w:r w:rsidRPr="002C663F">
        <w:t xml:space="preserve"> noted that the Hansa Global Access Program includes </w:t>
      </w:r>
      <w:r w:rsidR="00FC6828" w:rsidRPr="002C663F">
        <w:rPr>
          <w:b/>
          <w:bCs/>
        </w:rPr>
        <w:t>redacted</w:t>
      </w:r>
      <w:r w:rsidR="00952E1C" w:rsidRPr="009E2F9F">
        <w:t> </w:t>
      </w:r>
      <w:r w:rsidRPr="002C663F">
        <w:t>currently registered patients who would be interested in receiving imlifidase.</w:t>
      </w:r>
    </w:p>
    <w:p w14:paraId="107E1C30" w14:textId="77777777" w:rsidR="004E486B" w:rsidRDefault="004E486B" w:rsidP="004E486B">
      <w:r>
        <w:t xml:space="preserve">Regarding which patients would be medically suitable to receive imlifidase, the applicant noted that this is affected by two factors. Firstly, the patient must be sufficiently highly sensitised to be </w:t>
      </w:r>
      <w:r>
        <w:lastRenderedPageBreak/>
        <w:t>eligible to receive imlifidase. Secondly, a suitable donor kidney must be available for that patient. Because the availability of a donor kidney is effectively a chance event, it cannot be assumed that all those patients who are eligible to receive imlifidase will receive it.</w:t>
      </w:r>
    </w:p>
    <w:p w14:paraId="510C114A" w14:textId="6A791D67" w:rsidR="004E486B" w:rsidRDefault="004E486B" w:rsidP="004E486B">
      <w:r>
        <w:t xml:space="preserve">Regarding access to single bead antigen testing (such as Luminex), MSAC noted feedback from Lifeblood Services stating that transplantation-matching laboratories that use this test are in Sydney, </w:t>
      </w:r>
      <w:proofErr w:type="gramStart"/>
      <w:r>
        <w:t>Melbourne</w:t>
      </w:r>
      <w:proofErr w:type="gramEnd"/>
      <w:r>
        <w:t xml:space="preserve"> and Adelaide</w:t>
      </w:r>
      <w:r w:rsidR="00660FD5">
        <w:t xml:space="preserve"> and </w:t>
      </w:r>
      <w:r w:rsidR="00265142">
        <w:t>that it was the responsibility of the transplant unit to discuss the timing of imlifidase treatment to determine local availability for testing</w:t>
      </w:r>
      <w:r>
        <w:t xml:space="preserve">. The applicant </w:t>
      </w:r>
      <w:r w:rsidR="002E761D">
        <w:t xml:space="preserve">noted that single antigen bead testing is an essential requirement </w:t>
      </w:r>
      <w:r>
        <w:t>for all patients on the transplant waiting list</w:t>
      </w:r>
      <w:r w:rsidR="003A70CD">
        <w:t xml:space="preserve"> (whether or not their transplantation will be facilitated by imlifidase</w:t>
      </w:r>
      <w:proofErr w:type="gramStart"/>
      <w:r w:rsidR="003A70CD">
        <w:t>)</w:t>
      </w:r>
      <w:r>
        <w:t>, and</w:t>
      </w:r>
      <w:proofErr w:type="gramEnd"/>
      <w:r>
        <w:t xml:space="preserve"> </w:t>
      </w:r>
      <w:r w:rsidR="00631310">
        <w:t xml:space="preserve">expressed the view </w:t>
      </w:r>
      <w:r w:rsidR="002E761D">
        <w:t>that the</w:t>
      </w:r>
      <w:r>
        <w:t xml:space="preserve"> existing arrangements </w:t>
      </w:r>
      <w:r w:rsidR="00F245A6">
        <w:t>function</w:t>
      </w:r>
      <w:r>
        <w:t xml:space="preserve"> well and </w:t>
      </w:r>
      <w:r w:rsidR="00F245A6">
        <w:t xml:space="preserve">are </w:t>
      </w:r>
      <w:r>
        <w:t>adequately resourced, so access to testing should not be an issue.</w:t>
      </w:r>
    </w:p>
    <w:p w14:paraId="57001208" w14:textId="77777777" w:rsidR="004E486B" w:rsidRPr="00F179AE" w:rsidRDefault="004E486B" w:rsidP="004E486B">
      <w:pPr>
        <w:rPr>
          <w:b/>
          <w:bCs/>
        </w:rPr>
      </w:pPr>
      <w:r w:rsidRPr="00F179AE">
        <w:rPr>
          <w:b/>
          <w:bCs/>
        </w:rPr>
        <w:t>Further MSAC discussion</w:t>
      </w:r>
    </w:p>
    <w:p w14:paraId="38C0A80E" w14:textId="4369D87A" w:rsidR="004E486B" w:rsidRDefault="004E486B" w:rsidP="004E486B">
      <w:r>
        <w:t>MSAC noted that the antibody rebound management mentioned in the hearing had not been included in the economic model, and expressed concern that the ICER did not include all components of patient care. Given that the applicant identified that management of rebound is costly and intensive, MSAC considered that this may have an important impact on cost-effectiveness.</w:t>
      </w:r>
    </w:p>
    <w:p w14:paraId="712FE949" w14:textId="19EA97B2" w:rsidR="00306D39" w:rsidRDefault="00B210BC" w:rsidP="00925478">
      <w:pPr>
        <w:rPr>
          <w:rStyle w:val="normaltextrun"/>
        </w:rPr>
      </w:pPr>
      <w:r>
        <w:rPr>
          <w:rStyle w:val="normaltextrun"/>
        </w:rPr>
        <w:t xml:space="preserve">MSAC recommended </w:t>
      </w:r>
      <w:r w:rsidR="000C04F2">
        <w:rPr>
          <w:rStyle w:val="normaltextrun"/>
        </w:rPr>
        <w:t>further</w:t>
      </w:r>
      <w:r>
        <w:rPr>
          <w:rStyle w:val="normaltextrun"/>
        </w:rPr>
        <w:t xml:space="preserve"> engagement with relevant stakeholders including the applicant, jurisdictions, OrganMatch, Australia and New Zealand Dialysis and Transplant Registry, </w:t>
      </w:r>
      <w:proofErr w:type="spellStart"/>
      <w:r>
        <w:rPr>
          <w:rStyle w:val="normaltextrun"/>
        </w:rPr>
        <w:t>LifeBlood</w:t>
      </w:r>
      <w:proofErr w:type="spellEnd"/>
      <w:r>
        <w:rPr>
          <w:rStyle w:val="normaltextrun"/>
        </w:rPr>
        <w:t xml:space="preserve">, RTAC and the RTAC/Australian and New Zealand Paired Kidney Exchange Clinical Oversight Subcommittee (RACOS) </w:t>
      </w:r>
      <w:r w:rsidR="000C04F2">
        <w:rPr>
          <w:rStyle w:val="normaltextrun"/>
        </w:rPr>
        <w:t>to resolve the</w:t>
      </w:r>
      <w:r w:rsidR="00574CA1">
        <w:rPr>
          <w:rStyle w:val="normaltextrun"/>
        </w:rPr>
        <w:t xml:space="preserve"> </w:t>
      </w:r>
      <w:r w:rsidR="00574CA1">
        <w:t>remaining range of clinical, economic and implementation issues identified</w:t>
      </w:r>
      <w:r w:rsidR="00306D39">
        <w:rPr>
          <w:rStyle w:val="normaltextrun"/>
        </w:rPr>
        <w:t>.</w:t>
      </w:r>
    </w:p>
    <w:p w14:paraId="4900FBB0" w14:textId="4EA294EA" w:rsidR="007D7DF8" w:rsidRDefault="007D7DF8" w:rsidP="007D7DF8">
      <w:r>
        <w:t xml:space="preserve">MSAC considered that RTAC </w:t>
      </w:r>
      <w:proofErr w:type="gramStart"/>
      <w:r>
        <w:t>in particular could</w:t>
      </w:r>
      <w:proofErr w:type="gramEnd"/>
      <w:r>
        <w:t xml:space="preserve"> advise on ethical guidelines and how imlifidase may be positioned within the kidney allocation algorithm. MSAC confirmed that guidelines should also be developed to accommodate the use of imlifidase in clinical pathways. While RTAC had indicated that it would develop guidelines if imlifidase is approved MSAC considered that guidelines would help to inform the parameters for approval. MSAC noted that the current UK guidelines, although not fully aligned with the Australian context, would be a good starting point. MSAC queried whether a working group could be established to consider the issues relevant to guideline development, or whether the </w:t>
      </w:r>
      <w:r w:rsidR="00EB447F">
        <w:t>d</w:t>
      </w:r>
      <w:r>
        <w:t xml:space="preserve">epartment could support or provide resourcing for the relevant </w:t>
      </w:r>
      <w:r w:rsidR="00631310">
        <w:t xml:space="preserve">clinical </w:t>
      </w:r>
      <w:r>
        <w:t>colleges</w:t>
      </w:r>
      <w:r w:rsidR="00631310">
        <w:t>/organisations</w:t>
      </w:r>
      <w:r>
        <w:t xml:space="preserve"> to develop guidelines.</w:t>
      </w:r>
    </w:p>
    <w:p w14:paraId="62E78AAA" w14:textId="0D10E2D2" w:rsidR="00B854EA" w:rsidRPr="009E2F9F" w:rsidRDefault="00B854EA" w:rsidP="00B854EA">
      <w:r>
        <w:t>MSAC considered that</w:t>
      </w:r>
      <w:r w:rsidR="00063DB7">
        <w:t xml:space="preserve"> the development of an appropriate pay for performance (</w:t>
      </w:r>
      <w:proofErr w:type="spellStart"/>
      <w:r w:rsidR="00063DB7">
        <w:t>PfP</w:t>
      </w:r>
      <w:proofErr w:type="spellEnd"/>
      <w:r w:rsidR="00063DB7">
        <w:t xml:space="preserve">) scheme </w:t>
      </w:r>
      <w:r w:rsidR="0097378E">
        <w:t>with</w:t>
      </w:r>
      <w:r w:rsidR="00A073CA">
        <w:t xml:space="preserve"> a risk sharing arrangement </w:t>
      </w:r>
      <w:r w:rsidR="00063DB7">
        <w:t xml:space="preserve">could help address the </w:t>
      </w:r>
      <w:r w:rsidR="00396AE0">
        <w:t xml:space="preserve">remaining clinical, </w:t>
      </w:r>
      <w:proofErr w:type="gramStart"/>
      <w:r w:rsidR="00396AE0">
        <w:t>economic</w:t>
      </w:r>
      <w:proofErr w:type="gramEnd"/>
      <w:r w:rsidR="00396AE0">
        <w:t xml:space="preserve"> and financial uncertainties identified</w:t>
      </w:r>
      <w:r w:rsidR="00396AE0" w:rsidRPr="002C663F">
        <w:t xml:space="preserve">. </w:t>
      </w:r>
      <w:r w:rsidR="00396AE0" w:rsidRPr="009E2F9F">
        <w:t xml:space="preserve">For instance, </w:t>
      </w:r>
      <w:r w:rsidRPr="009E2F9F">
        <w:t xml:space="preserve">a </w:t>
      </w:r>
      <w:proofErr w:type="spellStart"/>
      <w:r w:rsidR="00396AE0" w:rsidRPr="009E2F9F">
        <w:t>PfP</w:t>
      </w:r>
      <w:proofErr w:type="spellEnd"/>
      <w:r w:rsidR="00396AE0" w:rsidRPr="009E2F9F">
        <w:t xml:space="preserve"> scheme with a </w:t>
      </w:r>
      <w:r w:rsidRPr="009E2F9F">
        <w:t>partial payment on successful transplant (with a functioning graft) may be able to manage the risk that imlifidase use may not lead to a successful transplant</w:t>
      </w:r>
      <w:r w:rsidR="00631310" w:rsidRPr="009E2F9F">
        <w:t>,</w:t>
      </w:r>
      <w:r w:rsidRPr="009E2F9F">
        <w:t xml:space="preserve"> </w:t>
      </w:r>
      <w:r w:rsidR="00396AE0" w:rsidRPr="009E2F9F">
        <w:t>while</w:t>
      </w:r>
      <w:r w:rsidRPr="009E2F9F">
        <w:t xml:space="preserve"> a second outcomes-based payment at one year or other</w:t>
      </w:r>
      <w:r w:rsidR="00667A0E" w:rsidRPr="009E2F9F">
        <w:t xml:space="preserve"> suitable</w:t>
      </w:r>
      <w:r w:rsidRPr="009E2F9F">
        <w:t xml:space="preserve"> interval </w:t>
      </w:r>
      <w:r w:rsidR="00396AE0" w:rsidRPr="009E2F9F">
        <w:t xml:space="preserve">could be used to mitigate </w:t>
      </w:r>
      <w:r w:rsidRPr="009E2F9F">
        <w:t>the risks associated with poor transplant outcomes.</w:t>
      </w:r>
      <w:r w:rsidRPr="002C663F">
        <w:t xml:space="preserve"> MSAC noted that the provisional approval of imlifidase on the ARTG is conditional on a regulatory</w:t>
      </w:r>
      <w:r>
        <w:t xml:space="preserve"> study with a primary endpoint of graft survival at 12 months. </w:t>
      </w:r>
      <w:r w:rsidR="00631310">
        <w:t xml:space="preserve">MSAC noted that </w:t>
      </w:r>
      <w:r w:rsidR="005B0B6E">
        <w:t>th</w:t>
      </w:r>
      <w:r>
        <w:t xml:space="preserve">e data from this regulatory study </w:t>
      </w:r>
      <w:r w:rsidR="005B0B6E">
        <w:t>may be suitable</w:t>
      </w:r>
      <w:r>
        <w:t xml:space="preserve"> as the basis for </w:t>
      </w:r>
      <w:r w:rsidR="00396AE0">
        <w:t xml:space="preserve">designing </w:t>
      </w:r>
      <w:r w:rsidR="007D0088">
        <w:t xml:space="preserve">the proposed </w:t>
      </w:r>
      <w:proofErr w:type="spellStart"/>
      <w:r>
        <w:t>PfP</w:t>
      </w:r>
      <w:proofErr w:type="spellEnd"/>
      <w:r>
        <w:t xml:space="preserve"> model, along with other clinical data and input from states and territories. The </w:t>
      </w:r>
      <w:proofErr w:type="spellStart"/>
      <w:r>
        <w:t>PfP</w:t>
      </w:r>
      <w:proofErr w:type="spellEnd"/>
      <w:r>
        <w:t xml:space="preserve"> arrangement should also specify a maximum price.</w:t>
      </w:r>
      <w:r w:rsidR="00A073CA">
        <w:t xml:space="preserve"> </w:t>
      </w:r>
      <w:r w:rsidRPr="009E2F9F">
        <w:t xml:space="preserve">MSAC considered </w:t>
      </w:r>
      <w:r w:rsidR="007D0088" w:rsidRPr="009E2F9F">
        <w:t>that</w:t>
      </w:r>
      <w:r w:rsidRPr="009E2F9F">
        <w:t xml:space="preserve"> a two-tier </w:t>
      </w:r>
      <w:r w:rsidR="007D0088" w:rsidRPr="009E2F9F">
        <w:t xml:space="preserve">price </w:t>
      </w:r>
      <w:r w:rsidRPr="009E2F9F">
        <w:t xml:space="preserve">cap could be applied as part of a risk-sharing arrangement; for example, the first </w:t>
      </w:r>
      <w:r w:rsidR="00706FD3" w:rsidRPr="009E2F9F">
        <w:rPr>
          <w:b/>
          <w:bCs/>
        </w:rPr>
        <w:t>redacted</w:t>
      </w:r>
      <w:r w:rsidRPr="009E2F9F">
        <w:t xml:space="preserve"> patients would attract a scheduled </w:t>
      </w:r>
      <w:proofErr w:type="spellStart"/>
      <w:r w:rsidRPr="009E2F9F">
        <w:t>PfP</w:t>
      </w:r>
      <w:proofErr w:type="spellEnd"/>
      <w:r w:rsidRPr="009E2F9F">
        <w:t xml:space="preserve"> payment, then the second tier of patients (up to a maximum of</w:t>
      </w:r>
      <w:r w:rsidR="00706FD3" w:rsidRPr="009E2F9F">
        <w:t xml:space="preserve"> </w:t>
      </w:r>
      <w:r w:rsidR="00706FD3" w:rsidRPr="009E2F9F">
        <w:rPr>
          <w:b/>
          <w:bCs/>
        </w:rPr>
        <w:t>redacted</w:t>
      </w:r>
      <w:r w:rsidR="008F54CD" w:rsidRPr="009E2F9F">
        <w:t>,</w:t>
      </w:r>
      <w:r w:rsidR="00667A0E" w:rsidRPr="009E2F9F">
        <w:t xml:space="preserve"> based on </w:t>
      </w:r>
      <w:r w:rsidR="008F54CD" w:rsidRPr="009E2F9F">
        <w:t xml:space="preserve">the </w:t>
      </w:r>
      <w:r w:rsidR="00667A0E" w:rsidRPr="009E2F9F">
        <w:t>applicant</w:t>
      </w:r>
      <w:r w:rsidR="008F54CD" w:rsidRPr="009E2F9F">
        <w:t>’s</w:t>
      </w:r>
      <w:r w:rsidR="00667A0E" w:rsidRPr="009E2F9F">
        <w:t xml:space="preserve"> </w:t>
      </w:r>
      <w:r w:rsidR="008F54CD" w:rsidRPr="009E2F9F">
        <w:t>pre-MSAC response</w:t>
      </w:r>
      <w:r w:rsidR="00667A0E" w:rsidRPr="009E2F9F">
        <w:t xml:space="preserve"> regarding the </w:t>
      </w:r>
      <w:r w:rsidR="008F54CD" w:rsidRPr="009E2F9F">
        <w:t xml:space="preserve">number needed to treat to achieve equity in transplant rates between HS and non-HS patients </w:t>
      </w:r>
      <w:r w:rsidR="008B3BF3" w:rsidRPr="009E2F9F">
        <w:t>in</w:t>
      </w:r>
      <w:r w:rsidR="008F54CD" w:rsidRPr="009E2F9F">
        <w:t xml:space="preserve"> 5 years</w:t>
      </w:r>
      <w:r w:rsidRPr="009E2F9F">
        <w:t xml:space="preserve">) would attract a reduced </w:t>
      </w:r>
      <w:proofErr w:type="spellStart"/>
      <w:r w:rsidRPr="009E2F9F">
        <w:t>PfP</w:t>
      </w:r>
      <w:proofErr w:type="spellEnd"/>
      <w:r w:rsidRPr="009E2F9F">
        <w:t xml:space="preserve"> payment.</w:t>
      </w:r>
    </w:p>
    <w:p w14:paraId="0F9BA6EA" w14:textId="385B280F" w:rsidR="00925478" w:rsidRDefault="00574CA1" w:rsidP="00925478">
      <w:r>
        <w:rPr>
          <w:rStyle w:val="normaltextrun"/>
        </w:rPr>
        <w:lastRenderedPageBreak/>
        <w:t>Therefore</w:t>
      </w:r>
      <w:r w:rsidR="00AB0370">
        <w:rPr>
          <w:rStyle w:val="normaltextrun"/>
        </w:rPr>
        <w:t>,</w:t>
      </w:r>
      <w:r>
        <w:rPr>
          <w:rStyle w:val="normaltextrun"/>
        </w:rPr>
        <w:t xml:space="preserve"> MSAC deferred its advice pending </w:t>
      </w:r>
      <w:r w:rsidR="007D0088">
        <w:rPr>
          <w:rStyle w:val="normaltextrun"/>
        </w:rPr>
        <w:t>the p</w:t>
      </w:r>
      <w:r w:rsidR="000C04F2">
        <w:rPr>
          <w:rStyle w:val="normaltextrun"/>
        </w:rPr>
        <w:t xml:space="preserve">roposed engagement with the </w:t>
      </w:r>
      <w:proofErr w:type="gramStart"/>
      <w:r w:rsidR="000C04F2">
        <w:rPr>
          <w:rStyle w:val="normaltextrun"/>
        </w:rPr>
        <w:t>aforementioned stakeholders</w:t>
      </w:r>
      <w:proofErr w:type="gramEnd"/>
      <w:r w:rsidR="000C04F2">
        <w:rPr>
          <w:rStyle w:val="normaltextrun"/>
        </w:rPr>
        <w:t xml:space="preserve"> </w:t>
      </w:r>
      <w:r>
        <w:rPr>
          <w:rStyle w:val="normaltextrun"/>
        </w:rPr>
        <w:t xml:space="preserve">to address </w:t>
      </w:r>
      <w:r w:rsidR="00133C59">
        <w:rPr>
          <w:rStyle w:val="normaltextrun"/>
        </w:rPr>
        <w:t>the following issues</w:t>
      </w:r>
      <w:r w:rsidR="002238A3">
        <w:t>:</w:t>
      </w:r>
    </w:p>
    <w:p w14:paraId="200A2A23" w14:textId="6CB2884C" w:rsidR="002238A3" w:rsidRDefault="002238A3" w:rsidP="00925478">
      <w:pPr>
        <w:pStyle w:val="ListParagraph"/>
        <w:numPr>
          <w:ilvl w:val="0"/>
          <w:numId w:val="54"/>
        </w:numPr>
        <w:rPr>
          <w:rStyle w:val="eop"/>
        </w:rPr>
      </w:pPr>
      <w:r>
        <w:rPr>
          <w:rStyle w:val="normaltextrun"/>
        </w:rPr>
        <w:t xml:space="preserve">refining the proposed eligibility criteria including the current proposed criteria for LD transplant recipients which refers to logistical incompatibility with other desensitisation regimes, and with reference to the established ethical principles that guide allocation of transplants in </w:t>
      </w:r>
      <w:proofErr w:type="gramStart"/>
      <w:r>
        <w:rPr>
          <w:rStyle w:val="normaltextrun"/>
        </w:rPr>
        <w:t>Australia</w:t>
      </w:r>
      <w:proofErr w:type="gramEnd"/>
      <w:r>
        <w:rPr>
          <w:rStyle w:val="eop"/>
        </w:rPr>
        <w:t> </w:t>
      </w:r>
    </w:p>
    <w:p w14:paraId="49AA7863" w14:textId="77777777" w:rsidR="00925478" w:rsidRDefault="002238A3" w:rsidP="00925478">
      <w:pPr>
        <w:pStyle w:val="ListParagraph"/>
        <w:numPr>
          <w:ilvl w:val="0"/>
          <w:numId w:val="54"/>
        </w:numPr>
        <w:rPr>
          <w:rStyle w:val="eop"/>
        </w:rPr>
      </w:pPr>
      <w:r w:rsidRPr="00925478">
        <w:rPr>
          <w:rStyle w:val="normaltextrun"/>
        </w:rPr>
        <w:t xml:space="preserve">development of national guidelines for imlifidase </w:t>
      </w:r>
      <w:proofErr w:type="gramStart"/>
      <w:r w:rsidRPr="00925478">
        <w:rPr>
          <w:rStyle w:val="normaltextrun"/>
        </w:rPr>
        <w:t>use</w:t>
      </w:r>
      <w:proofErr w:type="gramEnd"/>
    </w:p>
    <w:p w14:paraId="1B033C25" w14:textId="1E368451" w:rsidR="002238A3" w:rsidRDefault="002238A3" w:rsidP="00925478">
      <w:pPr>
        <w:pStyle w:val="ListParagraph"/>
        <w:numPr>
          <w:ilvl w:val="0"/>
          <w:numId w:val="54"/>
        </w:numPr>
        <w:rPr>
          <w:rStyle w:val="eop"/>
        </w:rPr>
      </w:pPr>
      <w:r w:rsidRPr="00925478">
        <w:rPr>
          <w:rStyle w:val="normaltextrun"/>
        </w:rPr>
        <w:t xml:space="preserve">addressing </w:t>
      </w:r>
      <w:r w:rsidR="00925478">
        <w:rPr>
          <w:rStyle w:val="normaltextrun"/>
        </w:rPr>
        <w:t xml:space="preserve">any remaining issues relating to </w:t>
      </w:r>
      <w:r w:rsidRPr="00925478">
        <w:rPr>
          <w:rStyle w:val="normaltextrun"/>
        </w:rPr>
        <w:t>accessibility to single antigen bead testing for</w:t>
      </w:r>
      <w:r w:rsidR="00925478">
        <w:rPr>
          <w:rStyle w:val="normaltextrun"/>
        </w:rPr>
        <w:t xml:space="preserve"> </w:t>
      </w:r>
      <w:r w:rsidRPr="00925478">
        <w:rPr>
          <w:rStyle w:val="normaltextrun"/>
        </w:rPr>
        <w:t xml:space="preserve">kidney transplantation centres where imlifidase would be </w:t>
      </w:r>
      <w:proofErr w:type="gramStart"/>
      <w:r w:rsidRPr="00925478">
        <w:rPr>
          <w:rStyle w:val="normaltextrun"/>
        </w:rPr>
        <w:t>used</w:t>
      </w:r>
      <w:proofErr w:type="gramEnd"/>
      <w:r w:rsidRPr="00925478">
        <w:rPr>
          <w:rStyle w:val="normaltextrun"/>
        </w:rPr>
        <w:t> </w:t>
      </w:r>
      <w:r w:rsidRPr="00925478">
        <w:rPr>
          <w:rStyle w:val="eop"/>
        </w:rPr>
        <w:t> </w:t>
      </w:r>
    </w:p>
    <w:p w14:paraId="34F2185F" w14:textId="12CBB564" w:rsidR="007D7289" w:rsidRDefault="007D7289" w:rsidP="005724F6">
      <w:pPr>
        <w:pStyle w:val="ListParagraph"/>
        <w:numPr>
          <w:ilvl w:val="0"/>
          <w:numId w:val="54"/>
        </w:numPr>
        <w:rPr>
          <w:rStyle w:val="normaltextrun"/>
        </w:rPr>
      </w:pPr>
      <w:r w:rsidRPr="00925478">
        <w:rPr>
          <w:rStyle w:val="normaltextrun"/>
        </w:rPr>
        <w:t xml:space="preserve">designing an appropriate </w:t>
      </w:r>
      <w:proofErr w:type="spellStart"/>
      <w:r w:rsidRPr="00925478">
        <w:rPr>
          <w:rStyle w:val="normaltextrun"/>
        </w:rPr>
        <w:t>P</w:t>
      </w:r>
      <w:r>
        <w:rPr>
          <w:rStyle w:val="normaltextrun"/>
        </w:rPr>
        <w:t>f</w:t>
      </w:r>
      <w:r w:rsidRPr="00925478">
        <w:rPr>
          <w:rStyle w:val="normaltextrun"/>
        </w:rPr>
        <w:t>P</w:t>
      </w:r>
      <w:proofErr w:type="spellEnd"/>
      <w:r w:rsidRPr="00925478">
        <w:rPr>
          <w:rStyle w:val="normaltextrun"/>
        </w:rPr>
        <w:t xml:space="preserve"> scheme with </w:t>
      </w:r>
      <w:r w:rsidRPr="00430B28">
        <w:rPr>
          <w:rStyle w:val="normaltextrun"/>
        </w:rPr>
        <w:t xml:space="preserve">a </w:t>
      </w:r>
      <w:proofErr w:type="gramStart"/>
      <w:r w:rsidRPr="009E2F9F">
        <w:rPr>
          <w:rStyle w:val="normaltextrun"/>
        </w:rPr>
        <w:t>two tiered</w:t>
      </w:r>
      <w:proofErr w:type="gramEnd"/>
      <w:r w:rsidRPr="00430B28">
        <w:rPr>
          <w:rStyle w:val="normaltextrun"/>
        </w:rPr>
        <w:t xml:space="preserve"> patient</w:t>
      </w:r>
      <w:r w:rsidRPr="00925478">
        <w:rPr>
          <w:rStyle w:val="normaltextrun"/>
        </w:rPr>
        <w:t xml:space="preserve"> financial cap</w:t>
      </w:r>
    </w:p>
    <w:p w14:paraId="71C944FC" w14:textId="20D2C98D" w:rsidR="00925478" w:rsidRDefault="005724F6" w:rsidP="00925478">
      <w:pPr>
        <w:pStyle w:val="ListParagraph"/>
        <w:numPr>
          <w:ilvl w:val="0"/>
          <w:numId w:val="54"/>
        </w:numPr>
        <w:rPr>
          <w:rStyle w:val="eop"/>
        </w:rPr>
      </w:pPr>
      <w:r w:rsidRPr="00925478">
        <w:rPr>
          <w:rStyle w:val="normaltextrun"/>
        </w:rPr>
        <w:t xml:space="preserve">collection of data for post-implementation review for MSAC consideration (and potential sharing of data between TGA and MSAC) and the timing of the TGA re-consideration of the provisional registration for imlifidase with respect to MSAC review and potential implications for </w:t>
      </w:r>
      <w:proofErr w:type="spellStart"/>
      <w:r w:rsidRPr="00925478">
        <w:rPr>
          <w:rStyle w:val="normaltextrun"/>
        </w:rPr>
        <w:t>PfP</w:t>
      </w:r>
      <w:proofErr w:type="spellEnd"/>
      <w:r w:rsidRPr="00925478">
        <w:rPr>
          <w:rStyle w:val="normaltextrun"/>
        </w:rPr>
        <w:t xml:space="preserve"> payment scheduling</w:t>
      </w:r>
      <w:r w:rsidR="007D7289">
        <w:rPr>
          <w:rStyle w:val="eop"/>
        </w:rPr>
        <w:t>.</w:t>
      </w:r>
    </w:p>
    <w:p w14:paraId="2DA5FAFC" w14:textId="4E37B19E" w:rsidR="007071FD" w:rsidRDefault="004E486B" w:rsidP="004E486B">
      <w:r>
        <w:t xml:space="preserve">MSAC and the </w:t>
      </w:r>
      <w:r w:rsidR="00EB447F">
        <w:t>d</w:t>
      </w:r>
      <w:r>
        <w:t>epartment agreed to finalise a set of questions and issues that require input from these stakeholders.</w:t>
      </w:r>
      <w:r w:rsidR="00870318">
        <w:t xml:space="preserve"> </w:t>
      </w:r>
      <w:r>
        <w:t>MSAC considered that th</w:t>
      </w:r>
      <w:r w:rsidR="00B210BC">
        <w:t xml:space="preserve">is </w:t>
      </w:r>
      <w:r>
        <w:t>pathway would be preferable to a resubmission</w:t>
      </w:r>
      <w:r w:rsidR="008B3BF3">
        <w:t xml:space="preserve"> to address and manage the remaining uncertainties in the current application</w:t>
      </w:r>
      <w:r>
        <w:t>, and therefore deferred its advice until further information could be sought</w:t>
      </w:r>
      <w:r w:rsidR="00BA71B3">
        <w:t xml:space="preserve"> through the engagement proposed</w:t>
      </w:r>
      <w:r>
        <w:t>.</w:t>
      </w:r>
    </w:p>
    <w:p w14:paraId="6710B69D" w14:textId="0F61D4D4" w:rsidR="00772829" w:rsidRPr="00CE28E3" w:rsidRDefault="00F84BA7" w:rsidP="002A18BE">
      <w:pPr>
        <w:pStyle w:val="Heading2"/>
        <w:numPr>
          <w:ilvl w:val="0"/>
          <w:numId w:val="0"/>
        </w:numPr>
      </w:pPr>
      <w:bookmarkStart w:id="2" w:name="_Toc69491416"/>
      <w:bookmarkEnd w:id="1"/>
      <w:r>
        <w:t>4</w:t>
      </w:r>
      <w:r w:rsidR="00C36633">
        <w:t>.</w:t>
      </w:r>
      <w:r w:rsidR="00C36633">
        <w:tab/>
      </w:r>
      <w:r w:rsidR="00772829" w:rsidRPr="00CE28E3">
        <w:t>Background</w:t>
      </w:r>
      <w:bookmarkEnd w:id="2"/>
    </w:p>
    <w:p w14:paraId="2B998DF7" w14:textId="65E8CB6E" w:rsidR="00226196" w:rsidRDefault="007B2E0F" w:rsidP="00B606BB">
      <w:pPr>
        <w:rPr>
          <w:lang w:val="en-US"/>
        </w:rPr>
      </w:pPr>
      <w:bookmarkStart w:id="3" w:name="_Hlk69734494"/>
      <w:r>
        <w:rPr>
          <w:lang w:val="en-US"/>
        </w:rPr>
        <w:t xml:space="preserve">The applicant has previously </w:t>
      </w:r>
      <w:proofErr w:type="gramStart"/>
      <w:r>
        <w:rPr>
          <w:lang w:val="en-US"/>
        </w:rPr>
        <w:t>submitted an application</w:t>
      </w:r>
      <w:proofErr w:type="gramEnd"/>
      <w:r w:rsidR="00EA6380">
        <w:rPr>
          <w:lang w:val="en-US"/>
        </w:rPr>
        <w:t xml:space="preserve"> </w:t>
      </w:r>
      <w:r w:rsidR="00EA6380" w:rsidRPr="009A3778">
        <w:rPr>
          <w:iCs/>
        </w:rPr>
        <w:t xml:space="preserve">requesting </w:t>
      </w:r>
      <w:r w:rsidR="00EA6380" w:rsidRPr="00E33E73">
        <w:rPr>
          <w:iCs/>
        </w:rPr>
        <w:t>public funding for imlifidase</w:t>
      </w:r>
      <w:r w:rsidR="00B606BB">
        <w:rPr>
          <w:lang w:val="en-US"/>
        </w:rPr>
        <w:t xml:space="preserve"> </w:t>
      </w:r>
      <w:r w:rsidR="001C7FC4">
        <w:rPr>
          <w:lang w:val="en-US"/>
        </w:rPr>
        <w:t xml:space="preserve">to the Medical Services Advisory Committee (MSAC) </w:t>
      </w:r>
      <w:r w:rsidR="00B606BB">
        <w:rPr>
          <w:lang w:val="en-US"/>
        </w:rPr>
        <w:t>(Application 1732)</w:t>
      </w:r>
      <w:r w:rsidR="00C00342">
        <w:rPr>
          <w:lang w:val="en-US"/>
        </w:rPr>
        <w:t xml:space="preserve">. After </w:t>
      </w:r>
      <w:r w:rsidR="00CE3679">
        <w:rPr>
          <w:lang w:val="en-US"/>
        </w:rPr>
        <w:t>considering the strength of the available evidence in relation to comparative safety, clinical effectiveness, cost effectiveness and total cost,</w:t>
      </w:r>
      <w:r w:rsidR="006A6156">
        <w:rPr>
          <w:lang w:val="en-US"/>
        </w:rPr>
        <w:t xml:space="preserve"> </w:t>
      </w:r>
      <w:r w:rsidR="00927485">
        <w:rPr>
          <w:lang w:val="en-US"/>
        </w:rPr>
        <w:t>MSAC did not support public funding</w:t>
      </w:r>
      <w:r w:rsidR="00D76984">
        <w:rPr>
          <w:lang w:val="en-US"/>
        </w:rPr>
        <w:t>.</w:t>
      </w:r>
      <w:r w:rsidR="00CE3679">
        <w:rPr>
          <w:rStyle w:val="FootnoteReference"/>
          <w:lang w:val="en-US"/>
        </w:rPr>
        <w:footnoteReference w:id="2"/>
      </w:r>
    </w:p>
    <w:p w14:paraId="7BF0E8FC" w14:textId="30645E17" w:rsidR="00505966" w:rsidRPr="00226196" w:rsidRDefault="00505966" w:rsidP="005B1AEB">
      <w:pPr>
        <w:rPr>
          <w:lang w:val="en-US"/>
        </w:rPr>
      </w:pPr>
      <w:r w:rsidRPr="00505966">
        <w:rPr>
          <w:lang w:val="en-US"/>
        </w:rPr>
        <w:t xml:space="preserve">MSAC provided a list of recommendations to the </w:t>
      </w:r>
      <w:r w:rsidR="00895ECF">
        <w:rPr>
          <w:lang w:val="en-US"/>
        </w:rPr>
        <w:t>a</w:t>
      </w:r>
      <w:r w:rsidRPr="00505966">
        <w:rPr>
          <w:lang w:val="en-US"/>
        </w:rPr>
        <w:t>pplicant including reconsideration of the proposed price</w:t>
      </w:r>
      <w:r w:rsidR="00D4199F">
        <w:rPr>
          <w:lang w:val="en-US"/>
        </w:rPr>
        <w:t xml:space="preserve"> and the eligibility criteria/clinical place of the therapy</w:t>
      </w:r>
      <w:r w:rsidR="005B1AEB">
        <w:rPr>
          <w:lang w:val="en-US"/>
        </w:rPr>
        <w:t xml:space="preserve">. </w:t>
      </w:r>
      <w:r w:rsidRPr="00505966">
        <w:rPr>
          <w:lang w:val="en-US"/>
        </w:rPr>
        <w:t xml:space="preserve">MSAC advised </w:t>
      </w:r>
      <w:r w:rsidRPr="00527717">
        <w:rPr>
          <w:lang w:val="en-US"/>
        </w:rPr>
        <w:t xml:space="preserve">that consultation is required from the Renal Transplant Advisory Committee (RTAC) </w:t>
      </w:r>
      <w:r w:rsidR="00165269" w:rsidRPr="6C317D1E">
        <w:rPr>
          <w:lang w:val="en-US"/>
        </w:rPr>
        <w:t xml:space="preserve">of the Transplantation Society of Australia and New Zealand (TSANZ) </w:t>
      </w:r>
      <w:r w:rsidRPr="00527717">
        <w:rPr>
          <w:lang w:val="en-US"/>
        </w:rPr>
        <w:t xml:space="preserve">to ascertain the clinical place of therapy in Australia, with separate consideration of </w:t>
      </w:r>
      <w:r w:rsidR="007D35CC">
        <w:rPr>
          <w:lang w:val="en-US"/>
        </w:rPr>
        <w:t>DD</w:t>
      </w:r>
      <w:r w:rsidRPr="00527717">
        <w:rPr>
          <w:lang w:val="en-US"/>
        </w:rPr>
        <w:t xml:space="preserve"> and </w:t>
      </w:r>
      <w:r w:rsidR="007D35CC">
        <w:rPr>
          <w:lang w:val="en-US"/>
        </w:rPr>
        <w:t>LD</w:t>
      </w:r>
      <w:r w:rsidRPr="00527717">
        <w:rPr>
          <w:lang w:val="en-US"/>
        </w:rPr>
        <w:t xml:space="preserve"> kidney recipients </w:t>
      </w:r>
      <w:proofErr w:type="gramStart"/>
      <w:r w:rsidRPr="00527717">
        <w:rPr>
          <w:lang w:val="en-US"/>
        </w:rPr>
        <w:t>in light of</w:t>
      </w:r>
      <w:proofErr w:type="gramEnd"/>
      <w:r w:rsidRPr="00527717">
        <w:rPr>
          <w:lang w:val="en-US"/>
        </w:rPr>
        <w:t xml:space="preserve"> other potential comparators</w:t>
      </w:r>
      <w:r w:rsidR="00D95CF6" w:rsidRPr="6C317D1E">
        <w:rPr>
          <w:i/>
          <w:iCs/>
          <w:lang w:val="en-US"/>
        </w:rPr>
        <w:t>.</w:t>
      </w:r>
      <w:r w:rsidRPr="00505966">
        <w:rPr>
          <w:lang w:val="en-US"/>
        </w:rPr>
        <w:t xml:space="preserve"> MSAC advised that any resubmission would need to be considered first by the Evaluation Sub-</w:t>
      </w:r>
      <w:r w:rsidR="00422EE3">
        <w:rPr>
          <w:lang w:val="en-US"/>
        </w:rPr>
        <w:t>C</w:t>
      </w:r>
      <w:r w:rsidRPr="00505966">
        <w:rPr>
          <w:lang w:val="en-US"/>
        </w:rPr>
        <w:t>ommittee (ESC) before returning to MSAC.</w:t>
      </w:r>
    </w:p>
    <w:p w14:paraId="7C804BB9" w14:textId="177393FD" w:rsidR="000B6B15" w:rsidRDefault="00AA1A90" w:rsidP="009373C5">
      <w:r>
        <w:t>Table 2</w:t>
      </w:r>
      <w:r w:rsidR="00E11714">
        <w:t xml:space="preserve"> </w:t>
      </w:r>
      <w:r w:rsidR="000B6B15" w:rsidRPr="000B6B15">
        <w:t xml:space="preserve">summarises </w:t>
      </w:r>
      <w:r w:rsidR="00C00342">
        <w:t xml:space="preserve">the key matters of concern from </w:t>
      </w:r>
      <w:r w:rsidR="000B6B15" w:rsidRPr="000B6B15">
        <w:t>MSAC</w:t>
      </w:r>
      <w:r w:rsidR="00201909">
        <w:t>’</w:t>
      </w:r>
      <w:r w:rsidR="000B6B15" w:rsidRPr="000B6B15">
        <w:t xml:space="preserve">s previous </w:t>
      </w:r>
      <w:r w:rsidR="00C00342">
        <w:t>consideration of the proposed technology</w:t>
      </w:r>
      <w:r w:rsidR="000B6B15" w:rsidRPr="000B6B15">
        <w:t>.</w:t>
      </w:r>
    </w:p>
    <w:p w14:paraId="68D2EF4D" w14:textId="6B095083" w:rsidR="006645AD" w:rsidRDefault="006645AD" w:rsidP="006645AD">
      <w:pPr>
        <w:pStyle w:val="Caption"/>
      </w:pPr>
      <w:bookmarkStart w:id="4" w:name="_Ref163648789"/>
      <w:r>
        <w:lastRenderedPageBreak/>
        <w:t xml:space="preserve">Table </w:t>
      </w:r>
      <w:bookmarkEnd w:id="4"/>
      <w:r w:rsidR="00AA1A90">
        <w:t xml:space="preserve">2 </w:t>
      </w:r>
      <w:r>
        <w:t xml:space="preserve">Key matters of concern from </w:t>
      </w:r>
      <w:r w:rsidR="005D3493">
        <w:t>MSAC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2977"/>
        <w:gridCol w:w="4485"/>
      </w:tblGrid>
      <w:tr w:rsidR="00020716" w:rsidRPr="00201909" w14:paraId="7B9CF3C2" w14:textId="77777777" w:rsidTr="00527717">
        <w:trPr>
          <w:cantSplit/>
          <w:tblHeader/>
        </w:trPr>
        <w:tc>
          <w:tcPr>
            <w:tcW w:w="862" w:type="pct"/>
            <w:tcBorders>
              <w:bottom w:val="single" w:sz="4" w:space="0" w:color="auto"/>
            </w:tcBorders>
          </w:tcPr>
          <w:p w14:paraId="535994C8" w14:textId="77777777" w:rsidR="00020716" w:rsidRPr="00201909" w:rsidRDefault="00020716" w:rsidP="00201909">
            <w:pPr>
              <w:pStyle w:val="TableText"/>
              <w:rPr>
                <w:b/>
                <w:bCs/>
                <w:lang w:val="en-US" w:eastAsia="en-AU"/>
              </w:rPr>
            </w:pPr>
            <w:r w:rsidRPr="00201909">
              <w:rPr>
                <w:b/>
                <w:bCs/>
                <w:lang w:val="en-US" w:eastAsia="en-AU"/>
              </w:rPr>
              <w:t>Component</w:t>
            </w:r>
          </w:p>
        </w:tc>
        <w:tc>
          <w:tcPr>
            <w:tcW w:w="1651" w:type="pct"/>
            <w:tcBorders>
              <w:bottom w:val="single" w:sz="4" w:space="0" w:color="auto"/>
            </w:tcBorders>
          </w:tcPr>
          <w:p w14:paraId="2EAD991F" w14:textId="77777777" w:rsidR="00020716" w:rsidRPr="00201909" w:rsidRDefault="00020716" w:rsidP="00201909">
            <w:pPr>
              <w:pStyle w:val="TableText"/>
              <w:rPr>
                <w:b/>
                <w:bCs/>
                <w:lang w:val="en-US" w:eastAsia="en-AU"/>
              </w:rPr>
            </w:pPr>
            <w:r w:rsidRPr="00201909">
              <w:rPr>
                <w:b/>
                <w:bCs/>
                <w:lang w:val="en-US" w:eastAsia="en-AU"/>
              </w:rPr>
              <w:t>Matter of concern</w:t>
            </w:r>
          </w:p>
        </w:tc>
        <w:tc>
          <w:tcPr>
            <w:tcW w:w="2487" w:type="pct"/>
          </w:tcPr>
          <w:p w14:paraId="54D7F348" w14:textId="2C379041" w:rsidR="00020716" w:rsidRPr="00201909" w:rsidRDefault="00020716" w:rsidP="00201909">
            <w:pPr>
              <w:pStyle w:val="TableText"/>
              <w:rPr>
                <w:b/>
                <w:bCs/>
                <w:lang w:val="en-US" w:eastAsia="en-AU"/>
              </w:rPr>
            </w:pPr>
            <w:r w:rsidRPr="00201909">
              <w:rPr>
                <w:b/>
                <w:bCs/>
                <w:lang w:val="en-US" w:eastAsia="en-AU"/>
              </w:rPr>
              <w:t>How the current assessment report addresses it</w:t>
            </w:r>
          </w:p>
        </w:tc>
      </w:tr>
      <w:tr w:rsidR="00020716" w:rsidRPr="00020716" w14:paraId="4CA0211B" w14:textId="77777777" w:rsidTr="00527717">
        <w:trPr>
          <w:cantSplit/>
        </w:trPr>
        <w:tc>
          <w:tcPr>
            <w:tcW w:w="862" w:type="pct"/>
            <w:tcBorders>
              <w:bottom w:val="single" w:sz="4" w:space="0" w:color="auto"/>
            </w:tcBorders>
          </w:tcPr>
          <w:p w14:paraId="4F405B2D" w14:textId="3E7FE000" w:rsidR="00020716" w:rsidRPr="00020716" w:rsidRDefault="00020716" w:rsidP="00201909">
            <w:pPr>
              <w:pStyle w:val="TableText"/>
            </w:pPr>
            <w:r w:rsidRPr="00020716">
              <w:t xml:space="preserve">Eligibility </w:t>
            </w:r>
            <w:r w:rsidR="00201909">
              <w:t>c</w:t>
            </w:r>
            <w:r w:rsidRPr="00020716">
              <w:t>riteria/</w:t>
            </w:r>
            <w:r w:rsidR="00201909">
              <w:t>c</w:t>
            </w:r>
            <w:r w:rsidRPr="00020716">
              <w:t>linical place in therapy</w:t>
            </w:r>
          </w:p>
        </w:tc>
        <w:tc>
          <w:tcPr>
            <w:tcW w:w="1651" w:type="pct"/>
          </w:tcPr>
          <w:p w14:paraId="1C956B27" w14:textId="65F87016" w:rsidR="00020716" w:rsidRPr="009545D8" w:rsidRDefault="0049697C" w:rsidP="00D94794">
            <w:pPr>
              <w:pStyle w:val="TableText"/>
            </w:pPr>
            <w:r>
              <w:rPr>
                <w:rFonts w:eastAsia="Times New Roman"/>
                <w:snapToGrid w:val="0"/>
              </w:rPr>
              <w:t>MSAC suggest</w:t>
            </w:r>
            <w:r w:rsidR="006E0D62">
              <w:rPr>
                <w:rFonts w:eastAsia="Times New Roman"/>
                <w:snapToGrid w:val="0"/>
              </w:rPr>
              <w:t>ed</w:t>
            </w:r>
            <w:r>
              <w:rPr>
                <w:rFonts w:eastAsia="Times New Roman"/>
                <w:snapToGrid w:val="0"/>
              </w:rPr>
              <w:t xml:space="preserve"> eligibility criteria should be</w:t>
            </w:r>
            <w:r w:rsidR="00020716" w:rsidRPr="00020716">
              <w:rPr>
                <w:rFonts w:eastAsia="Times New Roman"/>
                <w:snapToGrid w:val="0"/>
              </w:rPr>
              <w:t xml:space="preserve"> </w:t>
            </w:r>
            <w:r w:rsidR="00020716" w:rsidRPr="00020716">
              <w:t>limit</w:t>
            </w:r>
            <w:r>
              <w:t>ed</w:t>
            </w:r>
            <w:r w:rsidR="00020716" w:rsidRPr="00020716">
              <w:t xml:space="preserve"> to those with </w:t>
            </w:r>
            <w:proofErr w:type="spellStart"/>
            <w:r w:rsidR="00020716" w:rsidRPr="00020716">
              <w:t>cPRA</w:t>
            </w:r>
            <w:proofErr w:type="spellEnd"/>
            <w:r w:rsidR="00020716" w:rsidRPr="00020716">
              <w:t xml:space="preserve"> of 99% or more and who have been on the </w:t>
            </w:r>
            <w:r w:rsidR="004A2E3F">
              <w:t>waitlist</w:t>
            </w:r>
            <w:r w:rsidR="00020716" w:rsidRPr="00020716">
              <w:t xml:space="preserve"> for </w:t>
            </w:r>
            <w:r w:rsidR="00F857AC">
              <w:t>&gt;2</w:t>
            </w:r>
            <w:r w:rsidR="00020716" w:rsidRPr="00020716">
              <w:t> years</w:t>
            </w:r>
            <w:r w:rsidR="003B680E">
              <w:t xml:space="preserve"> for those on the </w:t>
            </w:r>
            <w:r w:rsidR="002F316F">
              <w:t xml:space="preserve">DD waiting list </w:t>
            </w:r>
            <w:r w:rsidR="00A40888">
              <w:t xml:space="preserve">and those with </w:t>
            </w:r>
            <w:proofErr w:type="spellStart"/>
            <w:r w:rsidR="00A40888" w:rsidRPr="00020716">
              <w:t>cPRA</w:t>
            </w:r>
            <w:proofErr w:type="spellEnd"/>
            <w:r w:rsidR="00A40888" w:rsidRPr="00020716">
              <w:t xml:space="preserve"> of 99% or more</w:t>
            </w:r>
            <w:r w:rsidR="00D94794">
              <w:t xml:space="preserve"> who have failed plasma exchange desensitisation</w:t>
            </w:r>
            <w:r w:rsidR="009545D8">
              <w:t xml:space="preserve"> </w:t>
            </w:r>
            <w:r w:rsidR="003F03EC">
              <w:t>t</w:t>
            </w:r>
            <w:r w:rsidR="00D94794">
              <w:t>reatment</w:t>
            </w:r>
            <w:r w:rsidR="00AC57A6">
              <w:t xml:space="preserve"> for those who are potential recipients of LD kidneys</w:t>
            </w:r>
            <w:proofErr w:type="gramStart"/>
            <w:r w:rsidR="00D94794">
              <w:t xml:space="preserve"> </w:t>
            </w:r>
            <w:r w:rsidR="00A40888">
              <w:t xml:space="preserve"> </w:t>
            </w:r>
            <w:r w:rsidR="00020716" w:rsidRPr="00020716">
              <w:t xml:space="preserve"> (</w:t>
            </w:r>
            <w:proofErr w:type="gramEnd"/>
            <w:r w:rsidR="00020716" w:rsidRPr="00020716">
              <w:t>PSD</w:t>
            </w:r>
            <w:r w:rsidR="001E59FE">
              <w:t>,</w:t>
            </w:r>
            <w:r w:rsidR="00020716" w:rsidRPr="00020716">
              <w:t xml:space="preserve"> p</w:t>
            </w:r>
            <w:r w:rsidR="001E59FE">
              <w:t>.</w:t>
            </w:r>
            <w:r w:rsidR="00920D5F">
              <w:t>8</w:t>
            </w:r>
            <w:r w:rsidR="00020716" w:rsidRPr="00020716">
              <w:t>)</w:t>
            </w:r>
            <w:r w:rsidR="001E59FE">
              <w:t>.</w:t>
            </w:r>
          </w:p>
        </w:tc>
        <w:tc>
          <w:tcPr>
            <w:tcW w:w="2487" w:type="pct"/>
          </w:tcPr>
          <w:p w14:paraId="4C465A66" w14:textId="32C9711B" w:rsidR="00020716" w:rsidRPr="00020716" w:rsidRDefault="00020716" w:rsidP="00201909">
            <w:pPr>
              <w:pStyle w:val="TableText"/>
              <w:rPr>
                <w:rFonts w:eastAsia="Segoe UI"/>
              </w:rPr>
            </w:pPr>
            <w:r w:rsidRPr="00020716">
              <w:rPr>
                <w:rFonts w:eastAsia="Segoe UI"/>
              </w:rPr>
              <w:t>Addressed</w:t>
            </w:r>
            <w:r w:rsidR="00B5257F">
              <w:rPr>
                <w:rFonts w:eastAsia="Segoe UI"/>
              </w:rPr>
              <w:t xml:space="preserve"> for t</w:t>
            </w:r>
            <w:r w:rsidR="000B25F8">
              <w:rPr>
                <w:rFonts w:eastAsia="Segoe UI"/>
              </w:rPr>
              <w:t>hose on the DD waiting list</w:t>
            </w:r>
            <w:r w:rsidR="001D4EF7">
              <w:rPr>
                <w:rFonts w:eastAsia="Segoe UI"/>
              </w:rPr>
              <w:t>.</w:t>
            </w:r>
          </w:p>
          <w:p w14:paraId="4206E621" w14:textId="157A695B" w:rsidR="00020716" w:rsidRPr="00020716" w:rsidRDefault="00020716" w:rsidP="00201909">
            <w:pPr>
              <w:pStyle w:val="TableText"/>
              <w:rPr>
                <w:rFonts w:eastAsia="Segoe UI"/>
                <w:snapToGrid w:val="0"/>
              </w:rPr>
            </w:pPr>
            <w:r w:rsidRPr="00F51FFC">
              <w:rPr>
                <w:rFonts w:eastAsia="Segoe UI"/>
              </w:rPr>
              <w:t xml:space="preserve">The </w:t>
            </w:r>
            <w:hyperlink w:anchor="_Executive_Summary">
              <w:r w:rsidRPr="2C398CF2">
                <w:rPr>
                  <w:rFonts w:eastAsia="Segoe UI"/>
                </w:rPr>
                <w:t>patient eligibility criteria</w:t>
              </w:r>
            </w:hyperlink>
            <w:r w:rsidRPr="00F51FFC">
              <w:rPr>
                <w:rFonts w:eastAsia="Segoe UI"/>
              </w:rPr>
              <w:t xml:space="preserve"> used in </w:t>
            </w:r>
            <w:r w:rsidR="00981F69">
              <w:rPr>
                <w:rFonts w:eastAsia="Segoe UI"/>
              </w:rPr>
              <w:t>the</w:t>
            </w:r>
            <w:r w:rsidR="00981F69" w:rsidRPr="00F51FFC">
              <w:rPr>
                <w:rFonts w:eastAsia="Segoe UI"/>
              </w:rPr>
              <w:t xml:space="preserve"> </w:t>
            </w:r>
            <w:r w:rsidR="00981F69">
              <w:rPr>
                <w:rFonts w:eastAsia="Segoe UI"/>
              </w:rPr>
              <w:t>ADAR</w:t>
            </w:r>
            <w:r w:rsidRPr="00F51FFC">
              <w:rPr>
                <w:rFonts w:eastAsia="Segoe UI"/>
              </w:rPr>
              <w:t xml:space="preserve"> </w:t>
            </w:r>
            <w:r w:rsidR="005C597C">
              <w:rPr>
                <w:rFonts w:eastAsia="Segoe UI"/>
              </w:rPr>
              <w:t>fo</w:t>
            </w:r>
            <w:r w:rsidR="00132D1A">
              <w:rPr>
                <w:rFonts w:eastAsia="Segoe UI"/>
              </w:rPr>
              <w:t xml:space="preserve">r </w:t>
            </w:r>
            <w:r w:rsidR="00F90F35">
              <w:rPr>
                <w:rFonts w:eastAsia="Segoe UI"/>
              </w:rPr>
              <w:t xml:space="preserve">both those on the DD waiting list and those who are potential recipients of LD kidneys </w:t>
            </w:r>
            <w:r w:rsidR="2C0FAFF1" w:rsidRPr="2C398CF2">
              <w:rPr>
                <w:rFonts w:eastAsia="Segoe UI"/>
              </w:rPr>
              <w:t xml:space="preserve">largely </w:t>
            </w:r>
            <w:r w:rsidRPr="00F51FFC">
              <w:rPr>
                <w:rFonts w:eastAsia="Segoe UI"/>
              </w:rPr>
              <w:t>align</w:t>
            </w:r>
            <w:r w:rsidR="00981F69">
              <w:rPr>
                <w:rFonts w:eastAsia="Segoe UI"/>
              </w:rPr>
              <w:t>ed</w:t>
            </w:r>
            <w:r w:rsidRPr="00F51FFC">
              <w:rPr>
                <w:rFonts w:eastAsia="Segoe UI"/>
              </w:rPr>
              <w:t xml:space="preserve"> with that suggested in the PSD</w:t>
            </w:r>
            <w:r w:rsidR="00B24695">
              <w:rPr>
                <w:rFonts w:eastAsia="Segoe UI"/>
              </w:rPr>
              <w:t xml:space="preserve"> for </w:t>
            </w:r>
            <w:r w:rsidR="000D1BCF">
              <w:rPr>
                <w:rFonts w:eastAsia="Segoe UI"/>
              </w:rPr>
              <w:t>those on the DD waiting list</w:t>
            </w:r>
            <w:r w:rsidRPr="00F51FFC">
              <w:rPr>
                <w:rFonts w:eastAsia="Segoe UI"/>
              </w:rPr>
              <w:t xml:space="preserve">. These </w:t>
            </w:r>
            <w:r w:rsidR="00BF4379">
              <w:rPr>
                <w:rFonts w:eastAsia="Segoe UI"/>
              </w:rPr>
              <w:t>criteria had</w:t>
            </w:r>
            <w:r w:rsidR="00BF4379" w:rsidRPr="00020716">
              <w:rPr>
                <w:rFonts w:eastAsia="Segoe UI"/>
              </w:rPr>
              <w:t xml:space="preserve"> </w:t>
            </w:r>
            <w:r w:rsidRPr="00020716">
              <w:rPr>
                <w:rFonts w:eastAsia="Segoe UI"/>
              </w:rPr>
              <w:t xml:space="preserve">an impact on the following aspects of the </w:t>
            </w:r>
            <w:r w:rsidR="00BF4379">
              <w:rPr>
                <w:rFonts w:eastAsia="Segoe UI"/>
              </w:rPr>
              <w:t>ADAR</w:t>
            </w:r>
            <w:r w:rsidRPr="00020716">
              <w:rPr>
                <w:rFonts w:eastAsia="Segoe UI"/>
              </w:rPr>
              <w:t>:</w:t>
            </w:r>
          </w:p>
          <w:p w14:paraId="0388E258" w14:textId="134CE73A" w:rsidR="00846FC0" w:rsidRPr="00846FC0" w:rsidRDefault="000A5F50" w:rsidP="00527717">
            <w:pPr>
              <w:pStyle w:val="TableText"/>
              <w:numPr>
                <w:ilvl w:val="0"/>
                <w:numId w:val="18"/>
              </w:numPr>
              <w:ind w:left="313" w:hanging="284"/>
              <w:rPr>
                <w:rFonts w:eastAsia="Segoe UI"/>
                <w:snapToGrid w:val="0"/>
              </w:rPr>
            </w:pPr>
            <w:r>
              <w:rPr>
                <w:rFonts w:eastAsia="Segoe UI"/>
              </w:rPr>
              <w:t>I</w:t>
            </w:r>
            <w:r w:rsidR="00020716" w:rsidRPr="00020716">
              <w:rPr>
                <w:rFonts w:eastAsia="Segoe UI"/>
              </w:rPr>
              <w:t xml:space="preserve">nformation on clinical efficacy and safety </w:t>
            </w:r>
            <w:r w:rsidR="00BF4379">
              <w:rPr>
                <w:rFonts w:eastAsia="Segoe UI"/>
              </w:rPr>
              <w:t>were</w:t>
            </w:r>
            <w:r w:rsidR="00BF4379" w:rsidRPr="00020716">
              <w:rPr>
                <w:rFonts w:eastAsia="Segoe UI"/>
              </w:rPr>
              <w:t xml:space="preserve"> </w:t>
            </w:r>
            <w:r w:rsidR="00020716" w:rsidRPr="00527717">
              <w:rPr>
                <w:rFonts w:eastAsiaTheme="minorEastAsia"/>
              </w:rPr>
              <w:t>presented</w:t>
            </w:r>
            <w:r w:rsidR="00020716" w:rsidRPr="00020716">
              <w:rPr>
                <w:rFonts w:eastAsia="Segoe UI"/>
              </w:rPr>
              <w:t xml:space="preserve"> for this population</w:t>
            </w:r>
            <w:r>
              <w:rPr>
                <w:rFonts w:eastAsia="Segoe UI"/>
              </w:rPr>
              <w:t>.</w:t>
            </w:r>
          </w:p>
          <w:p w14:paraId="09A113A8" w14:textId="683AE20B" w:rsidR="00846FC0" w:rsidRPr="00846FC0" w:rsidRDefault="000A5F50" w:rsidP="00527717">
            <w:pPr>
              <w:pStyle w:val="TableText"/>
              <w:numPr>
                <w:ilvl w:val="0"/>
                <w:numId w:val="18"/>
              </w:numPr>
              <w:ind w:left="313" w:hanging="284"/>
              <w:rPr>
                <w:rFonts w:eastAsia="Segoe UI"/>
                <w:snapToGrid w:val="0"/>
              </w:rPr>
            </w:pPr>
            <w:r>
              <w:rPr>
                <w:rFonts w:eastAsia="Segoe UI"/>
              </w:rPr>
              <w:t>T</w:t>
            </w:r>
            <w:r w:rsidR="00020716" w:rsidRPr="00846FC0">
              <w:rPr>
                <w:rFonts w:eastAsia="Segoe UI"/>
              </w:rPr>
              <w:t xml:space="preserve">he </w:t>
            </w:r>
            <w:r w:rsidR="00846FC0" w:rsidRPr="00846FC0">
              <w:rPr>
                <w:rFonts w:eastAsia="Segoe UI"/>
              </w:rPr>
              <w:t>b</w:t>
            </w:r>
            <w:r w:rsidR="00020716" w:rsidRPr="00846FC0">
              <w:rPr>
                <w:rFonts w:eastAsia="Segoe UI"/>
              </w:rPr>
              <w:t xml:space="preserve">udget </w:t>
            </w:r>
            <w:r w:rsidR="00846FC0" w:rsidRPr="00846FC0">
              <w:rPr>
                <w:rFonts w:eastAsia="Segoe UI"/>
              </w:rPr>
              <w:t>i</w:t>
            </w:r>
            <w:r w:rsidR="00020716" w:rsidRPr="00846FC0">
              <w:rPr>
                <w:rFonts w:eastAsia="Segoe UI"/>
              </w:rPr>
              <w:t xml:space="preserve">mpact </w:t>
            </w:r>
            <w:r w:rsidR="00846FC0" w:rsidRPr="00846FC0">
              <w:rPr>
                <w:rFonts w:eastAsia="Segoe UI"/>
              </w:rPr>
              <w:t>m</w:t>
            </w:r>
            <w:r w:rsidR="00020716" w:rsidRPr="00846FC0">
              <w:rPr>
                <w:rFonts w:eastAsia="Segoe UI"/>
              </w:rPr>
              <w:t xml:space="preserve">odel </w:t>
            </w:r>
            <w:r w:rsidR="00BF4379">
              <w:rPr>
                <w:rFonts w:eastAsia="Segoe UI"/>
              </w:rPr>
              <w:t>was</w:t>
            </w:r>
            <w:r w:rsidR="00020716" w:rsidRPr="00846FC0">
              <w:rPr>
                <w:rFonts w:eastAsia="Segoe UI"/>
              </w:rPr>
              <w:t xml:space="preserve"> updated to correspond to the </w:t>
            </w:r>
            <w:r w:rsidR="00020716" w:rsidRPr="00527717">
              <w:rPr>
                <w:rFonts w:eastAsiaTheme="minorEastAsia"/>
              </w:rPr>
              <w:t>eligible</w:t>
            </w:r>
            <w:r w:rsidR="00020716" w:rsidRPr="00846FC0">
              <w:rPr>
                <w:rFonts w:eastAsia="Segoe UI"/>
              </w:rPr>
              <w:t xml:space="preserve"> </w:t>
            </w:r>
            <w:proofErr w:type="gramStart"/>
            <w:r w:rsidR="00020716" w:rsidRPr="00846FC0">
              <w:rPr>
                <w:rFonts w:eastAsia="Segoe UI"/>
              </w:rPr>
              <w:t>population</w:t>
            </w:r>
            <w:proofErr w:type="gramEnd"/>
          </w:p>
          <w:p w14:paraId="5BD15EF6" w14:textId="10D56421" w:rsidR="00A23A10" w:rsidRPr="00527717" w:rsidRDefault="000A5F50" w:rsidP="00A23A10">
            <w:pPr>
              <w:pStyle w:val="TableText"/>
              <w:numPr>
                <w:ilvl w:val="0"/>
                <w:numId w:val="18"/>
              </w:numPr>
              <w:ind w:left="313" w:hanging="284"/>
              <w:rPr>
                <w:rFonts w:eastAsia="Segoe UI"/>
                <w:snapToGrid w:val="0"/>
              </w:rPr>
            </w:pPr>
            <w:r>
              <w:rPr>
                <w:rFonts w:eastAsia="Segoe UI"/>
              </w:rPr>
              <w:t>I</w:t>
            </w:r>
            <w:r w:rsidR="00020716" w:rsidRPr="00846FC0">
              <w:rPr>
                <w:rFonts w:eastAsia="Segoe UI"/>
              </w:rPr>
              <w:t xml:space="preserve">nputs in the CUA </w:t>
            </w:r>
            <w:r w:rsidR="00BF4379">
              <w:rPr>
                <w:rFonts w:eastAsia="Segoe UI"/>
              </w:rPr>
              <w:t>were</w:t>
            </w:r>
            <w:r w:rsidR="00020716" w:rsidRPr="00846FC0">
              <w:rPr>
                <w:rFonts w:eastAsia="Segoe UI"/>
              </w:rPr>
              <w:t xml:space="preserve"> updated to this new population.</w:t>
            </w:r>
          </w:p>
          <w:p w14:paraId="40E5D819" w14:textId="2C099518" w:rsidR="00A23A10" w:rsidRPr="00A23A10" w:rsidRDefault="001F152E" w:rsidP="00527717">
            <w:pPr>
              <w:pStyle w:val="TableText"/>
              <w:rPr>
                <w:rFonts w:eastAsia="Segoe UI"/>
                <w:snapToGrid w:val="0"/>
              </w:rPr>
            </w:pPr>
            <w:r>
              <w:rPr>
                <w:rFonts w:eastAsia="Segoe UI"/>
              </w:rPr>
              <w:t xml:space="preserve">However, </w:t>
            </w:r>
            <w:r w:rsidR="005C597C">
              <w:rPr>
                <w:rFonts w:eastAsia="Segoe UI"/>
              </w:rPr>
              <w:t xml:space="preserve">for those who are potential recipients of LD kidneys </w:t>
            </w:r>
            <w:r>
              <w:rPr>
                <w:rFonts w:eastAsia="Segoe UI"/>
              </w:rPr>
              <w:t>t</w:t>
            </w:r>
            <w:r w:rsidR="00981F69">
              <w:rPr>
                <w:rFonts w:eastAsia="Segoe UI"/>
              </w:rPr>
              <w:t>he</w:t>
            </w:r>
            <w:r w:rsidR="00A23A10">
              <w:rPr>
                <w:rFonts w:eastAsia="Segoe UI"/>
              </w:rPr>
              <w:t xml:space="preserve"> commentary notes </w:t>
            </w:r>
            <w:r w:rsidR="005567B5">
              <w:rPr>
                <w:rFonts w:eastAsia="Segoe UI"/>
              </w:rPr>
              <w:t xml:space="preserve">that the </w:t>
            </w:r>
            <w:r w:rsidR="005C597C">
              <w:rPr>
                <w:rFonts w:eastAsia="Segoe UI"/>
              </w:rPr>
              <w:t xml:space="preserve">MSAC </w:t>
            </w:r>
            <w:r w:rsidR="005567B5">
              <w:rPr>
                <w:rFonts w:eastAsia="Segoe UI"/>
              </w:rPr>
              <w:t xml:space="preserve">proposed eligibility criteria for patients with an LD does not restrict eligibility </w:t>
            </w:r>
            <w:r w:rsidR="00256154">
              <w:rPr>
                <w:rFonts w:eastAsia="Segoe UI"/>
              </w:rPr>
              <w:t>to patients who have been on the waitlist ≥2 years</w:t>
            </w:r>
            <w:r w:rsidR="005142B2">
              <w:rPr>
                <w:rFonts w:eastAsia="Segoe UI"/>
              </w:rPr>
              <w:t xml:space="preserve"> but the economi</w:t>
            </w:r>
            <w:r w:rsidR="0066598C">
              <w:rPr>
                <w:rFonts w:eastAsia="Segoe UI"/>
              </w:rPr>
              <w:t>c and financial modelling rely on data for those on the waitlist ≥2 years</w:t>
            </w:r>
            <w:r w:rsidR="002A5E1C">
              <w:rPr>
                <w:rFonts w:eastAsia="Segoe UI"/>
              </w:rPr>
              <w:t>.</w:t>
            </w:r>
            <w:r w:rsidR="007949E1">
              <w:rPr>
                <w:rFonts w:eastAsia="Segoe UI"/>
              </w:rPr>
              <w:t xml:space="preserve"> In </w:t>
            </w:r>
            <w:proofErr w:type="gramStart"/>
            <w:r w:rsidR="007949E1">
              <w:rPr>
                <w:rFonts w:eastAsia="Segoe UI"/>
              </w:rPr>
              <w:t>addition</w:t>
            </w:r>
            <w:proofErr w:type="gramEnd"/>
            <w:r w:rsidR="007949E1">
              <w:rPr>
                <w:rFonts w:eastAsia="Segoe UI"/>
              </w:rPr>
              <w:t xml:space="preserve"> the applicant has proposed some additional </w:t>
            </w:r>
            <w:r w:rsidR="00FF425A">
              <w:rPr>
                <w:rFonts w:eastAsia="Segoe UI"/>
              </w:rPr>
              <w:t>eligibility criteria for patients with an LD (see below).</w:t>
            </w:r>
            <w:r w:rsidR="005142B2">
              <w:rPr>
                <w:rFonts w:eastAsia="Segoe UI"/>
              </w:rPr>
              <w:t xml:space="preserve"> </w:t>
            </w:r>
          </w:p>
        </w:tc>
      </w:tr>
      <w:tr w:rsidR="00BD3002" w:rsidRPr="00020716" w14:paraId="15B6979D" w14:textId="77777777" w:rsidTr="00527717">
        <w:trPr>
          <w:cantSplit/>
        </w:trPr>
        <w:tc>
          <w:tcPr>
            <w:tcW w:w="862" w:type="pct"/>
            <w:tcBorders>
              <w:top w:val="single" w:sz="4" w:space="0" w:color="auto"/>
              <w:bottom w:val="nil"/>
            </w:tcBorders>
          </w:tcPr>
          <w:p w14:paraId="6D00E637" w14:textId="77777777" w:rsidR="00BD3002" w:rsidRPr="00020716" w:rsidRDefault="00BD3002" w:rsidP="00201909">
            <w:pPr>
              <w:pStyle w:val="TableText"/>
            </w:pPr>
          </w:p>
        </w:tc>
        <w:tc>
          <w:tcPr>
            <w:tcW w:w="1651" w:type="pct"/>
          </w:tcPr>
          <w:p w14:paraId="568CAA8A" w14:textId="383BA683" w:rsidR="00BD3002" w:rsidRDefault="00BD3002" w:rsidP="00201909">
            <w:pPr>
              <w:pStyle w:val="TableText"/>
              <w:rPr>
                <w:rFonts w:eastAsia="Times New Roman"/>
                <w:snapToGrid w:val="0"/>
              </w:rPr>
            </w:pPr>
            <w:r>
              <w:rPr>
                <w:rFonts w:eastAsia="Times New Roman"/>
                <w:snapToGrid w:val="0"/>
              </w:rPr>
              <w:t xml:space="preserve">MSAC advised the applicant </w:t>
            </w:r>
            <w:r w:rsidR="009C24EB">
              <w:rPr>
                <w:rFonts w:eastAsia="Times New Roman"/>
                <w:snapToGrid w:val="0"/>
              </w:rPr>
              <w:t xml:space="preserve">to </w:t>
            </w:r>
            <w:r>
              <w:rPr>
                <w:rFonts w:eastAsia="Times New Roman"/>
                <w:snapToGrid w:val="0"/>
              </w:rPr>
              <w:t>c</w:t>
            </w:r>
            <w:r w:rsidRPr="00020716">
              <w:rPr>
                <w:rFonts w:eastAsia="Times New Roman"/>
                <w:snapToGrid w:val="0"/>
              </w:rPr>
              <w:t>onsult with RTAC about the clinical place of the intervention</w:t>
            </w:r>
            <w:proofErr w:type="gramStart"/>
            <w:r w:rsidRPr="00020716">
              <w:rPr>
                <w:rFonts w:eastAsia="Times New Roman"/>
                <w:snapToGrid w:val="0"/>
              </w:rPr>
              <w:t xml:space="preserve"> and in particular</w:t>
            </w:r>
            <w:proofErr w:type="gramEnd"/>
            <w:r w:rsidRPr="00020716">
              <w:rPr>
                <w:rFonts w:eastAsia="Times New Roman"/>
                <w:snapToGrid w:val="0"/>
              </w:rPr>
              <w:t xml:space="preserve"> a revised population, informed by data from ANZDATA</w:t>
            </w:r>
            <w:r w:rsidR="007152AD">
              <w:rPr>
                <w:rFonts w:eastAsia="Times New Roman"/>
                <w:snapToGrid w:val="0"/>
              </w:rPr>
              <w:t>,</w:t>
            </w:r>
            <w:r w:rsidRPr="00020716">
              <w:rPr>
                <w:rFonts w:eastAsia="Times New Roman"/>
                <w:snapToGrid w:val="0"/>
              </w:rPr>
              <w:t xml:space="preserve"> which was more reflective of clinical need</w:t>
            </w:r>
            <w:r>
              <w:rPr>
                <w:rFonts w:eastAsia="Times New Roman"/>
                <w:snapToGrid w:val="0"/>
              </w:rPr>
              <w:t xml:space="preserve"> </w:t>
            </w:r>
            <w:r w:rsidRPr="00020716">
              <w:rPr>
                <w:rFonts w:eastAsia="Times New Roman"/>
                <w:snapToGrid w:val="0"/>
              </w:rPr>
              <w:t>(PSD</w:t>
            </w:r>
            <w:r>
              <w:rPr>
                <w:rFonts w:eastAsia="Times New Roman"/>
                <w:snapToGrid w:val="0"/>
              </w:rPr>
              <w:t>,</w:t>
            </w:r>
            <w:r w:rsidRPr="00020716">
              <w:rPr>
                <w:rFonts w:eastAsia="Times New Roman"/>
                <w:snapToGrid w:val="0"/>
              </w:rPr>
              <w:t xml:space="preserve"> p</w:t>
            </w:r>
            <w:r>
              <w:rPr>
                <w:rFonts w:eastAsia="Times New Roman"/>
                <w:snapToGrid w:val="0"/>
              </w:rPr>
              <w:t>.</w:t>
            </w:r>
            <w:r w:rsidR="0009380C">
              <w:rPr>
                <w:rFonts w:eastAsia="Times New Roman"/>
                <w:snapToGrid w:val="0"/>
              </w:rPr>
              <w:t>8</w:t>
            </w:r>
            <w:r w:rsidRPr="00020716">
              <w:rPr>
                <w:rFonts w:eastAsia="Times New Roman"/>
                <w:snapToGrid w:val="0"/>
              </w:rPr>
              <w:t>)</w:t>
            </w:r>
            <w:r>
              <w:rPr>
                <w:rFonts w:eastAsia="Times New Roman"/>
                <w:snapToGrid w:val="0"/>
              </w:rPr>
              <w:t>.</w:t>
            </w:r>
          </w:p>
        </w:tc>
        <w:tc>
          <w:tcPr>
            <w:tcW w:w="2487" w:type="pct"/>
          </w:tcPr>
          <w:p w14:paraId="46B3A63F" w14:textId="77777777" w:rsidR="00BD3002" w:rsidRDefault="00BD3002" w:rsidP="00201909">
            <w:pPr>
              <w:pStyle w:val="TableText"/>
              <w:rPr>
                <w:rFonts w:eastAsia="Segoe UI"/>
              </w:rPr>
            </w:pPr>
            <w:r>
              <w:rPr>
                <w:rFonts w:eastAsia="Segoe UI"/>
              </w:rPr>
              <w:t>Addressed.</w:t>
            </w:r>
          </w:p>
          <w:p w14:paraId="597FF113" w14:textId="371B2720" w:rsidR="00EA5E98" w:rsidRDefault="00BD3002" w:rsidP="00BD3002">
            <w:pPr>
              <w:pStyle w:val="TableText"/>
              <w:rPr>
                <w:rFonts w:eastAsiaTheme="minorEastAsia"/>
              </w:rPr>
            </w:pPr>
            <w:r w:rsidRPr="00020716">
              <w:rPr>
                <w:rFonts w:eastAsiaTheme="minorEastAsia"/>
              </w:rPr>
              <w:t xml:space="preserve">The </w:t>
            </w:r>
            <w:r>
              <w:rPr>
                <w:rFonts w:eastAsiaTheme="minorEastAsia"/>
              </w:rPr>
              <w:t>a</w:t>
            </w:r>
            <w:r w:rsidRPr="00020716">
              <w:rPr>
                <w:rFonts w:eastAsiaTheme="minorEastAsia"/>
              </w:rPr>
              <w:t>pplicant consulted with RTAC and received a letter</w:t>
            </w:r>
            <w:r>
              <w:rPr>
                <w:rFonts w:eastAsiaTheme="minorEastAsia"/>
              </w:rPr>
              <w:t>, which is provided in Appendix</w:t>
            </w:r>
            <w:r w:rsidR="007174BF">
              <w:rPr>
                <w:rFonts w:eastAsiaTheme="minorEastAsia"/>
              </w:rPr>
              <w:t xml:space="preserve"> G</w:t>
            </w:r>
            <w:r>
              <w:rPr>
                <w:rFonts w:eastAsiaTheme="minorEastAsia"/>
              </w:rPr>
              <w:t xml:space="preserve"> of the ADAR</w:t>
            </w:r>
            <w:r w:rsidR="007174BF">
              <w:rPr>
                <w:rFonts w:eastAsiaTheme="minorEastAsia"/>
              </w:rPr>
              <w:t>.</w:t>
            </w:r>
            <w:r w:rsidRPr="00020716">
              <w:rPr>
                <w:rFonts w:eastAsiaTheme="minorEastAsia"/>
              </w:rPr>
              <w:t xml:space="preserve"> </w:t>
            </w:r>
          </w:p>
          <w:p w14:paraId="6D7752F6" w14:textId="656F0048" w:rsidR="00BD3002" w:rsidRPr="00EA5E98" w:rsidRDefault="009C6FE2" w:rsidP="00201909">
            <w:pPr>
              <w:pStyle w:val="TableText"/>
              <w:rPr>
                <w:rFonts w:eastAsiaTheme="minorEastAsia"/>
                <w:snapToGrid w:val="0"/>
              </w:rPr>
            </w:pPr>
            <w:r w:rsidRPr="009C6FE2">
              <w:rPr>
                <w:rFonts w:eastAsiaTheme="minorEastAsia"/>
              </w:rPr>
              <w:t>The applicant obtained data</w:t>
            </w:r>
            <w:r w:rsidR="00EA5E98" w:rsidRPr="009C6FE2">
              <w:rPr>
                <w:rFonts w:eastAsiaTheme="minorEastAsia"/>
              </w:rPr>
              <w:t xml:space="preserve"> from OrganMatch</w:t>
            </w:r>
            <w:r w:rsidR="00C52FC2">
              <w:rPr>
                <w:rFonts w:eastAsiaTheme="minorEastAsia"/>
              </w:rPr>
              <w:t>,</w:t>
            </w:r>
            <w:r w:rsidR="00EA5E98" w:rsidRPr="009C6FE2">
              <w:rPr>
                <w:rFonts w:eastAsiaTheme="minorEastAsia"/>
              </w:rPr>
              <w:t xml:space="preserve"> which had </w:t>
            </w:r>
            <w:r w:rsidR="00F15B24">
              <w:rPr>
                <w:rFonts w:eastAsiaTheme="minorEastAsia"/>
              </w:rPr>
              <w:t xml:space="preserve">the </w:t>
            </w:r>
            <w:r w:rsidR="00EA5E98" w:rsidRPr="009C6FE2">
              <w:rPr>
                <w:rFonts w:eastAsiaTheme="minorEastAsia"/>
              </w:rPr>
              <w:t>ability to quantify those patients who are still on the</w:t>
            </w:r>
            <w:r w:rsidRPr="009C6FE2">
              <w:rPr>
                <w:rFonts w:eastAsiaTheme="minorEastAsia"/>
              </w:rPr>
              <w:t xml:space="preserve"> DD</w:t>
            </w:r>
            <w:r w:rsidR="00EA5E98" w:rsidRPr="009C6FE2">
              <w:rPr>
                <w:rFonts w:eastAsiaTheme="minorEastAsia"/>
              </w:rPr>
              <w:t xml:space="preserve"> </w:t>
            </w:r>
            <w:r w:rsidR="004A2E3F">
              <w:rPr>
                <w:rFonts w:eastAsiaTheme="minorEastAsia"/>
              </w:rPr>
              <w:t>waitlist</w:t>
            </w:r>
            <w:r w:rsidR="00EA5E98" w:rsidRPr="009C6FE2">
              <w:rPr>
                <w:rFonts w:eastAsiaTheme="minorEastAsia"/>
              </w:rPr>
              <w:t xml:space="preserve"> after 2 years with </w:t>
            </w:r>
            <w:proofErr w:type="spellStart"/>
            <w:r w:rsidR="00EA5E98" w:rsidRPr="009C6FE2">
              <w:rPr>
                <w:rFonts w:eastAsiaTheme="minorEastAsia"/>
              </w:rPr>
              <w:t>cPRA</w:t>
            </w:r>
            <w:proofErr w:type="spellEnd"/>
            <w:r w:rsidR="00EA5E98" w:rsidRPr="009C6FE2">
              <w:rPr>
                <w:rFonts w:eastAsiaTheme="minorEastAsia"/>
              </w:rPr>
              <w:t xml:space="preserve"> ≥99%% </w:t>
            </w:r>
            <w:r w:rsidRPr="009C6FE2">
              <w:rPr>
                <w:rFonts w:eastAsiaTheme="minorEastAsia"/>
              </w:rPr>
              <w:t>as well as</w:t>
            </w:r>
            <w:r w:rsidR="00EA5E98" w:rsidRPr="009C6FE2">
              <w:rPr>
                <w:rFonts w:eastAsiaTheme="minorEastAsia"/>
              </w:rPr>
              <w:t xml:space="preserve"> incident patient</w:t>
            </w:r>
            <w:r w:rsidRPr="009C6FE2">
              <w:rPr>
                <w:rFonts w:eastAsiaTheme="minorEastAsia"/>
              </w:rPr>
              <w:t xml:space="preserve"> numbers</w:t>
            </w:r>
            <w:r w:rsidR="00EA5E98" w:rsidRPr="009C6FE2">
              <w:rPr>
                <w:rFonts w:eastAsiaTheme="minorEastAsia"/>
              </w:rPr>
              <w:t>.</w:t>
            </w:r>
            <w:r w:rsidR="00EA5E98" w:rsidRPr="00020716">
              <w:rPr>
                <w:rFonts w:eastAsiaTheme="minorEastAsia"/>
              </w:rPr>
              <w:t xml:space="preserve"> </w:t>
            </w:r>
          </w:p>
        </w:tc>
      </w:tr>
      <w:tr w:rsidR="00BD3002" w:rsidRPr="00020716" w14:paraId="704E4877" w14:textId="77777777" w:rsidTr="002755D6">
        <w:trPr>
          <w:cantSplit/>
        </w:trPr>
        <w:tc>
          <w:tcPr>
            <w:tcW w:w="862" w:type="pct"/>
            <w:tcBorders>
              <w:top w:val="nil"/>
            </w:tcBorders>
          </w:tcPr>
          <w:p w14:paraId="0B5111C3" w14:textId="77777777" w:rsidR="00BD3002" w:rsidRPr="00020716" w:rsidRDefault="00BD3002" w:rsidP="00201909">
            <w:pPr>
              <w:pStyle w:val="TableText"/>
            </w:pPr>
          </w:p>
        </w:tc>
        <w:tc>
          <w:tcPr>
            <w:tcW w:w="1651" w:type="pct"/>
          </w:tcPr>
          <w:p w14:paraId="40230FBA" w14:textId="6E6AB022" w:rsidR="00BD3002" w:rsidRDefault="00BD3002" w:rsidP="00201909">
            <w:pPr>
              <w:pStyle w:val="TableText"/>
              <w:rPr>
                <w:rFonts w:eastAsia="Times New Roman"/>
                <w:snapToGrid w:val="0"/>
              </w:rPr>
            </w:pPr>
            <w:r>
              <w:rPr>
                <w:rFonts w:eastAsia="Times New Roman"/>
              </w:rPr>
              <w:t>MSAC suggested a revised population descriptor might l</w:t>
            </w:r>
            <w:r w:rsidRPr="00020716">
              <w:rPr>
                <w:rFonts w:eastAsia="Times New Roman"/>
              </w:rPr>
              <w:t xml:space="preserve">imit the eligible population who are potential recipients of LD kidneys to those with </w:t>
            </w:r>
            <w:proofErr w:type="spellStart"/>
            <w:r w:rsidRPr="00020716">
              <w:rPr>
                <w:rFonts w:eastAsia="Times New Roman"/>
              </w:rPr>
              <w:t>cPRA</w:t>
            </w:r>
            <w:proofErr w:type="spellEnd"/>
            <w:r w:rsidRPr="00020716">
              <w:rPr>
                <w:rFonts w:ascii="Arial" w:eastAsia="Times New Roman" w:hAnsi="Arial" w:cs="Arial"/>
              </w:rPr>
              <w:t> </w:t>
            </w:r>
            <w:r>
              <w:rPr>
                <w:rFonts w:eastAsia="Times New Roman" w:cs="Arial"/>
              </w:rPr>
              <w:t>≥</w:t>
            </w:r>
            <w:r w:rsidRPr="00020716">
              <w:rPr>
                <w:rFonts w:eastAsia="Times New Roman"/>
              </w:rPr>
              <w:t>99% who have failed plasma exchange desensitisation treatment so that it is a second</w:t>
            </w:r>
            <w:r w:rsidR="005B26D8">
              <w:rPr>
                <w:rFonts w:eastAsia="Times New Roman"/>
              </w:rPr>
              <w:t>-</w:t>
            </w:r>
            <w:r w:rsidRPr="00020716">
              <w:rPr>
                <w:rFonts w:eastAsia="Times New Roman"/>
              </w:rPr>
              <w:t>line treatment for those who are potential recipients of LD (PSD p</w:t>
            </w:r>
            <w:r>
              <w:rPr>
                <w:rFonts w:eastAsia="Times New Roman"/>
              </w:rPr>
              <w:t>.</w:t>
            </w:r>
            <w:r w:rsidR="00000768">
              <w:rPr>
                <w:rFonts w:eastAsia="Times New Roman"/>
              </w:rPr>
              <w:t>8</w:t>
            </w:r>
            <w:r w:rsidRPr="00020716">
              <w:rPr>
                <w:rFonts w:eastAsia="Times New Roman"/>
              </w:rPr>
              <w:t>)</w:t>
            </w:r>
            <w:r>
              <w:rPr>
                <w:rFonts w:eastAsia="Times New Roman"/>
              </w:rPr>
              <w:t>.</w:t>
            </w:r>
          </w:p>
        </w:tc>
        <w:tc>
          <w:tcPr>
            <w:tcW w:w="2487" w:type="pct"/>
          </w:tcPr>
          <w:p w14:paraId="462FA54D" w14:textId="28A7A4AA" w:rsidR="00EA5E98" w:rsidRPr="00020716" w:rsidRDefault="00EA5E98" w:rsidP="00EA5E98">
            <w:pPr>
              <w:pStyle w:val="TableText"/>
              <w:rPr>
                <w:rFonts w:eastAsiaTheme="minorEastAsia"/>
              </w:rPr>
            </w:pPr>
            <w:r w:rsidRPr="00020716">
              <w:rPr>
                <w:rFonts w:eastAsiaTheme="minorEastAsia"/>
              </w:rPr>
              <w:t xml:space="preserve">Addressed with </w:t>
            </w:r>
            <w:r>
              <w:rPr>
                <w:rFonts w:eastAsiaTheme="minorEastAsia"/>
              </w:rPr>
              <w:t>m</w:t>
            </w:r>
            <w:r w:rsidRPr="00020716">
              <w:rPr>
                <w:rFonts w:eastAsiaTheme="minorEastAsia"/>
              </w:rPr>
              <w:t>odifications</w:t>
            </w:r>
            <w:r w:rsidR="00CC516A">
              <w:rPr>
                <w:rFonts w:eastAsiaTheme="minorEastAsia"/>
              </w:rPr>
              <w:t>.</w:t>
            </w:r>
          </w:p>
          <w:p w14:paraId="2CE5642C" w14:textId="54425827" w:rsidR="00EA5E98" w:rsidRPr="00020716" w:rsidRDefault="00EA5E98" w:rsidP="00EA5E98">
            <w:pPr>
              <w:pStyle w:val="TableText"/>
              <w:rPr>
                <w:rFonts w:eastAsiaTheme="minorEastAsia"/>
              </w:rPr>
            </w:pPr>
            <w:r w:rsidRPr="00020716">
              <w:rPr>
                <w:rFonts w:eastAsiaTheme="minorEastAsia"/>
              </w:rPr>
              <w:t xml:space="preserve">The </w:t>
            </w:r>
            <w:r w:rsidR="00CC516A">
              <w:rPr>
                <w:rFonts w:eastAsiaTheme="minorEastAsia"/>
              </w:rPr>
              <w:t>a</w:t>
            </w:r>
            <w:r w:rsidRPr="00020716">
              <w:rPr>
                <w:rFonts w:eastAsiaTheme="minorEastAsia"/>
              </w:rPr>
              <w:t xml:space="preserve">pplicant modified the proposed LD population to </w:t>
            </w:r>
            <w:r w:rsidR="00572A2E">
              <w:rPr>
                <w:rFonts w:eastAsiaTheme="minorEastAsia"/>
              </w:rPr>
              <w:t>patients</w:t>
            </w:r>
            <w:r w:rsidRPr="00020716">
              <w:rPr>
                <w:rFonts w:eastAsiaTheme="minorEastAsia"/>
              </w:rPr>
              <w:t xml:space="preserve"> with </w:t>
            </w:r>
            <w:proofErr w:type="spellStart"/>
            <w:r w:rsidRPr="00020716">
              <w:rPr>
                <w:rFonts w:eastAsiaTheme="minorEastAsia"/>
              </w:rPr>
              <w:t>cPRA</w:t>
            </w:r>
            <w:proofErr w:type="spellEnd"/>
            <w:r w:rsidRPr="00020716">
              <w:rPr>
                <w:rFonts w:eastAsiaTheme="minorEastAsia"/>
              </w:rPr>
              <w:t xml:space="preserve"> ≥99%</w:t>
            </w:r>
            <w:r w:rsidR="00C6779B">
              <w:rPr>
                <w:rFonts w:eastAsiaTheme="minorEastAsia"/>
              </w:rPr>
              <w:t>.</w:t>
            </w:r>
          </w:p>
          <w:p w14:paraId="14E638CF" w14:textId="61729560" w:rsidR="005B29DE" w:rsidRDefault="00EA5E98" w:rsidP="00AA265E">
            <w:pPr>
              <w:pStyle w:val="TableText"/>
              <w:rPr>
                <w:rFonts w:eastAsiaTheme="minorEastAsia"/>
              </w:rPr>
            </w:pPr>
            <w:r w:rsidRPr="00020716">
              <w:rPr>
                <w:rFonts w:eastAsiaTheme="minorEastAsia"/>
              </w:rPr>
              <w:t xml:space="preserve">The </w:t>
            </w:r>
            <w:r w:rsidR="002F1DA9">
              <w:rPr>
                <w:rFonts w:eastAsiaTheme="minorEastAsia"/>
              </w:rPr>
              <w:t>a</w:t>
            </w:r>
            <w:r w:rsidRPr="00020716">
              <w:rPr>
                <w:rFonts w:eastAsiaTheme="minorEastAsia"/>
              </w:rPr>
              <w:t>pplicant propose</w:t>
            </w:r>
            <w:r w:rsidR="00AA405D">
              <w:rPr>
                <w:rFonts w:eastAsiaTheme="minorEastAsia"/>
              </w:rPr>
              <w:t>d</w:t>
            </w:r>
            <w:r w:rsidRPr="00020716">
              <w:rPr>
                <w:rFonts w:eastAsiaTheme="minorEastAsia"/>
              </w:rPr>
              <w:t xml:space="preserve"> the following additional eligibility criteria for </w:t>
            </w:r>
            <w:r w:rsidR="00AA405D">
              <w:rPr>
                <w:rFonts w:eastAsiaTheme="minorEastAsia"/>
              </w:rPr>
              <w:t>patients with a</w:t>
            </w:r>
            <w:r w:rsidR="006B668D">
              <w:rPr>
                <w:rFonts w:eastAsiaTheme="minorEastAsia"/>
              </w:rPr>
              <w:t>n LD</w:t>
            </w:r>
            <w:r w:rsidR="00AA405D">
              <w:rPr>
                <w:rFonts w:eastAsiaTheme="minorEastAsia"/>
              </w:rPr>
              <w:t>:</w:t>
            </w:r>
            <w:r w:rsidRPr="00020716">
              <w:rPr>
                <w:rFonts w:eastAsiaTheme="minorEastAsia"/>
              </w:rPr>
              <w:t xml:space="preserve"> </w:t>
            </w:r>
          </w:p>
          <w:p w14:paraId="69311316" w14:textId="468814A9" w:rsidR="00AA265E" w:rsidRDefault="00BA227D" w:rsidP="00527717">
            <w:pPr>
              <w:pStyle w:val="TableText"/>
              <w:numPr>
                <w:ilvl w:val="0"/>
                <w:numId w:val="18"/>
              </w:numPr>
              <w:ind w:left="313" w:hanging="284"/>
              <w:rPr>
                <w:rFonts w:eastAsiaTheme="minorEastAsia"/>
              </w:rPr>
            </w:pPr>
            <w:r>
              <w:rPr>
                <w:rFonts w:eastAsiaTheme="minorEastAsia"/>
              </w:rPr>
              <w:t>D</w:t>
            </w:r>
            <w:r w:rsidR="00EA5E98" w:rsidRPr="005B29DE">
              <w:rPr>
                <w:rFonts w:eastAsiaTheme="minorEastAsia"/>
              </w:rPr>
              <w:t xml:space="preserve">esensitisation regimens for organ transplantation have failed or are </w:t>
            </w:r>
            <w:proofErr w:type="gramStart"/>
            <w:r w:rsidR="00EA5E98" w:rsidRPr="005B29DE">
              <w:rPr>
                <w:rFonts w:eastAsiaTheme="minorEastAsia"/>
              </w:rPr>
              <w:t>contraindicated</w:t>
            </w:r>
            <w:r>
              <w:rPr>
                <w:rFonts w:eastAsiaTheme="minorEastAsia"/>
              </w:rPr>
              <w:t>;</w:t>
            </w:r>
            <w:proofErr w:type="gramEnd"/>
            <w:r w:rsidR="00AA265E">
              <w:rPr>
                <w:rFonts w:eastAsiaTheme="minorEastAsia"/>
              </w:rPr>
              <w:t xml:space="preserve"> </w:t>
            </w:r>
            <w:r w:rsidR="00EA5E98" w:rsidRPr="00AA265E">
              <w:rPr>
                <w:rFonts w:eastAsiaTheme="minorEastAsia"/>
              </w:rPr>
              <w:t xml:space="preserve">OR </w:t>
            </w:r>
          </w:p>
          <w:p w14:paraId="38F95567" w14:textId="5A3E3E9F" w:rsidR="005B29DE" w:rsidRPr="00AA265E" w:rsidRDefault="00BA227D" w:rsidP="00527717">
            <w:pPr>
              <w:pStyle w:val="TableText"/>
              <w:numPr>
                <w:ilvl w:val="0"/>
                <w:numId w:val="18"/>
              </w:numPr>
              <w:ind w:left="313" w:hanging="284"/>
              <w:rPr>
                <w:rFonts w:eastAsiaTheme="minorEastAsia"/>
              </w:rPr>
            </w:pPr>
            <w:r>
              <w:rPr>
                <w:rFonts w:eastAsiaTheme="minorEastAsia"/>
              </w:rPr>
              <w:t>B</w:t>
            </w:r>
            <w:r w:rsidRPr="00AA265E">
              <w:rPr>
                <w:rFonts w:eastAsiaTheme="minorEastAsia"/>
              </w:rPr>
              <w:t xml:space="preserve">ased </w:t>
            </w:r>
            <w:r w:rsidR="00EA5E98" w:rsidRPr="00AA265E">
              <w:rPr>
                <w:rFonts w:eastAsiaTheme="minorEastAsia"/>
              </w:rPr>
              <w:t xml:space="preserve">on clinical judgement and experience, plasmapheresis/IVIG/rituximab-based desensitisation regimens are considered unlikely to provide a sufficient decrease in antibodies to enable </w:t>
            </w:r>
            <w:proofErr w:type="gramStart"/>
            <w:r w:rsidR="00EA5E98" w:rsidRPr="00AA265E">
              <w:rPr>
                <w:rFonts w:eastAsiaTheme="minorEastAsia"/>
              </w:rPr>
              <w:t>transplantatio</w:t>
            </w:r>
            <w:r w:rsidR="005B29DE" w:rsidRPr="00AA265E">
              <w:rPr>
                <w:rFonts w:eastAsiaTheme="minorEastAsia"/>
              </w:rPr>
              <w:t>n</w:t>
            </w:r>
            <w:r w:rsidR="0008648A">
              <w:rPr>
                <w:rFonts w:eastAsiaTheme="minorEastAsia"/>
              </w:rPr>
              <w:t>;</w:t>
            </w:r>
            <w:proofErr w:type="gramEnd"/>
            <w:r w:rsidR="00AA265E">
              <w:rPr>
                <w:rFonts w:eastAsiaTheme="minorEastAsia"/>
              </w:rPr>
              <w:t xml:space="preserve"> </w:t>
            </w:r>
            <w:r w:rsidR="00EA5E98" w:rsidRPr="00AA265E">
              <w:rPr>
                <w:rFonts w:eastAsiaTheme="minorEastAsia"/>
              </w:rPr>
              <w:t>OR</w:t>
            </w:r>
          </w:p>
          <w:p w14:paraId="1C1F1AA7" w14:textId="20F550FA" w:rsidR="00BD3002" w:rsidRPr="00AA265E" w:rsidRDefault="007C0766" w:rsidP="00527717">
            <w:pPr>
              <w:pStyle w:val="TableText"/>
              <w:numPr>
                <w:ilvl w:val="0"/>
                <w:numId w:val="18"/>
              </w:numPr>
              <w:ind w:left="313" w:hanging="284"/>
              <w:rPr>
                <w:rFonts w:eastAsiaTheme="minorEastAsia"/>
              </w:rPr>
            </w:pPr>
            <w:r>
              <w:rPr>
                <w:rFonts w:eastAsiaTheme="minorEastAsia"/>
              </w:rPr>
              <w:t>P</w:t>
            </w:r>
            <w:r w:rsidRPr="005B29DE">
              <w:rPr>
                <w:rFonts w:eastAsiaTheme="minorEastAsia"/>
              </w:rPr>
              <w:t>lasmapheresis</w:t>
            </w:r>
            <w:r w:rsidR="00EA5E98" w:rsidRPr="005B29DE">
              <w:rPr>
                <w:rFonts w:eastAsiaTheme="minorEastAsia"/>
              </w:rPr>
              <w:t xml:space="preserve">/IVIG/rituximab-based desensitisation regimens are not logistically compatible with the patient’s circumstance or the organisation of the transplant centre. </w:t>
            </w:r>
          </w:p>
        </w:tc>
      </w:tr>
      <w:tr w:rsidR="00020716" w:rsidRPr="00020716" w14:paraId="316A6D2E" w14:textId="77777777" w:rsidTr="001A45AA">
        <w:trPr>
          <w:cantSplit/>
        </w:trPr>
        <w:tc>
          <w:tcPr>
            <w:tcW w:w="862" w:type="pct"/>
          </w:tcPr>
          <w:p w14:paraId="3622E379" w14:textId="77777777" w:rsidR="00020716" w:rsidRPr="00020716" w:rsidRDefault="00020716" w:rsidP="00201909">
            <w:pPr>
              <w:pStyle w:val="TableText"/>
            </w:pPr>
            <w:r w:rsidRPr="00020716">
              <w:lastRenderedPageBreak/>
              <w:t>Centres offering the proposed technology</w:t>
            </w:r>
          </w:p>
        </w:tc>
        <w:tc>
          <w:tcPr>
            <w:tcW w:w="1651" w:type="pct"/>
          </w:tcPr>
          <w:p w14:paraId="737D6A8D" w14:textId="58105D2B" w:rsidR="00020716" w:rsidRPr="00020716" w:rsidRDefault="00222CD0" w:rsidP="00201909">
            <w:pPr>
              <w:pStyle w:val="TableText"/>
              <w:rPr>
                <w:rFonts w:eastAsia="Times New Roman"/>
                <w:snapToGrid w:val="0"/>
              </w:rPr>
            </w:pPr>
            <w:r>
              <w:rPr>
                <w:rFonts w:eastAsia="Times New Roman"/>
                <w:snapToGrid w:val="0"/>
              </w:rPr>
              <w:t>MSAC advised the applicant</w:t>
            </w:r>
            <w:r w:rsidR="00020716" w:rsidRPr="00020716">
              <w:rPr>
                <w:rFonts w:eastAsia="Times New Roman"/>
                <w:snapToGrid w:val="0"/>
              </w:rPr>
              <w:t xml:space="preserve"> </w:t>
            </w:r>
            <w:r w:rsidR="00DD0DBE">
              <w:rPr>
                <w:rFonts w:eastAsia="Times New Roman"/>
                <w:snapToGrid w:val="0"/>
              </w:rPr>
              <w:t xml:space="preserve">to </w:t>
            </w:r>
            <w:r w:rsidR="00020716" w:rsidRPr="00020716">
              <w:rPr>
                <w:rFonts w:eastAsia="Times New Roman"/>
                <w:snapToGrid w:val="0"/>
              </w:rPr>
              <w:t xml:space="preserve">restrict use to centres of excellence in the management of complex immunological risk, such as a single centre in Queensland, </w:t>
            </w:r>
            <w:r w:rsidR="00376964">
              <w:rPr>
                <w:rFonts w:eastAsia="Times New Roman"/>
                <w:snapToGrid w:val="0"/>
              </w:rPr>
              <w:t>2</w:t>
            </w:r>
            <w:r w:rsidR="00020716" w:rsidRPr="00020716">
              <w:rPr>
                <w:rFonts w:eastAsia="Times New Roman"/>
                <w:snapToGrid w:val="0"/>
              </w:rPr>
              <w:t xml:space="preserve"> in Victoria, </w:t>
            </w:r>
            <w:r w:rsidR="00376964">
              <w:rPr>
                <w:rFonts w:eastAsia="Times New Roman"/>
                <w:snapToGrid w:val="0"/>
              </w:rPr>
              <w:t>2</w:t>
            </w:r>
            <w:r w:rsidR="00020716" w:rsidRPr="00020716">
              <w:rPr>
                <w:rFonts w:eastAsia="Times New Roman"/>
                <w:snapToGrid w:val="0"/>
              </w:rPr>
              <w:t xml:space="preserve"> in New South Wales, </w:t>
            </w:r>
            <w:r w:rsidR="00376964">
              <w:rPr>
                <w:rFonts w:eastAsia="Times New Roman"/>
                <w:snapToGrid w:val="0"/>
              </w:rPr>
              <w:t>1</w:t>
            </w:r>
            <w:r w:rsidR="00020716" w:rsidRPr="00020716">
              <w:rPr>
                <w:rFonts w:eastAsia="Times New Roman"/>
                <w:snapToGrid w:val="0"/>
              </w:rPr>
              <w:t xml:space="preserve"> in Western Australia and </w:t>
            </w:r>
            <w:r w:rsidR="00376964">
              <w:rPr>
                <w:rFonts w:eastAsia="Times New Roman"/>
                <w:snapToGrid w:val="0"/>
              </w:rPr>
              <w:t>1</w:t>
            </w:r>
            <w:r w:rsidR="00020716" w:rsidRPr="00020716">
              <w:rPr>
                <w:rFonts w:eastAsia="Times New Roman"/>
                <w:snapToGrid w:val="0"/>
              </w:rPr>
              <w:t xml:space="preserve"> in South Australia</w:t>
            </w:r>
            <w:r w:rsidR="00376964">
              <w:rPr>
                <w:rFonts w:eastAsia="Times New Roman"/>
                <w:snapToGrid w:val="0"/>
              </w:rPr>
              <w:t xml:space="preserve"> (PSD, p.9).</w:t>
            </w:r>
          </w:p>
        </w:tc>
        <w:tc>
          <w:tcPr>
            <w:tcW w:w="2487" w:type="pct"/>
          </w:tcPr>
          <w:p w14:paraId="2D6D9C02" w14:textId="77777777" w:rsidR="00020716" w:rsidRPr="00020716" w:rsidRDefault="00020716" w:rsidP="00201909">
            <w:pPr>
              <w:pStyle w:val="TableText"/>
              <w:rPr>
                <w:rFonts w:eastAsia="Times New Roman"/>
                <w:snapToGrid w:val="0"/>
              </w:rPr>
            </w:pPr>
            <w:r w:rsidRPr="00020716">
              <w:rPr>
                <w:rFonts w:eastAsia="Times New Roman"/>
                <w:snapToGrid w:val="0"/>
              </w:rPr>
              <w:t xml:space="preserve">Addressed </w:t>
            </w:r>
          </w:p>
          <w:p w14:paraId="6106CB12" w14:textId="5C249204" w:rsidR="00020716" w:rsidRPr="00020716" w:rsidRDefault="00F27017" w:rsidP="00201909">
            <w:pPr>
              <w:pStyle w:val="TableText"/>
              <w:rPr>
                <w:rFonts w:eastAsiaTheme="minorEastAsia"/>
              </w:rPr>
            </w:pPr>
            <w:r>
              <w:rPr>
                <w:rFonts w:eastAsia="Times New Roman"/>
                <w:snapToGrid w:val="0"/>
              </w:rPr>
              <w:t xml:space="preserve">The applicant consulted </w:t>
            </w:r>
            <w:r w:rsidR="00020716" w:rsidRPr="00020716">
              <w:rPr>
                <w:rFonts w:eastAsia="Times New Roman"/>
                <w:snapToGrid w:val="0"/>
              </w:rPr>
              <w:t>RTAC</w:t>
            </w:r>
            <w:r>
              <w:rPr>
                <w:rFonts w:eastAsia="Times New Roman"/>
                <w:snapToGrid w:val="0"/>
              </w:rPr>
              <w:t xml:space="preserve">, who provided the following advice (full response available in </w:t>
            </w:r>
            <w:r>
              <w:rPr>
                <w:rFonts w:eastAsiaTheme="minorEastAsia"/>
              </w:rPr>
              <w:t>Appendix G of the ADAR):</w:t>
            </w:r>
          </w:p>
          <w:p w14:paraId="4DE9871A" w14:textId="69CAAFCA" w:rsidR="00F27017" w:rsidRPr="00014E8F" w:rsidRDefault="00014E8F" w:rsidP="00527717">
            <w:pPr>
              <w:pStyle w:val="TableText"/>
              <w:numPr>
                <w:ilvl w:val="0"/>
                <w:numId w:val="18"/>
              </w:numPr>
              <w:ind w:left="313" w:hanging="284"/>
              <w:rPr>
                <w:rFonts w:eastAsiaTheme="minorEastAsia"/>
                <w:iCs/>
              </w:rPr>
            </w:pPr>
            <w:r w:rsidRPr="00527717">
              <w:rPr>
                <w:rFonts w:eastAsiaTheme="minorEastAsia"/>
                <w:iCs/>
              </w:rPr>
              <w:t>‘</w:t>
            </w:r>
            <w:r w:rsidR="00020716" w:rsidRPr="00527717">
              <w:rPr>
                <w:rFonts w:eastAsiaTheme="minorEastAsia"/>
                <w:iCs/>
              </w:rPr>
              <w:t>As a novel therapy in Australia with an increased risk profile, we would support restricting the use of imlifidase to centres with relevant experience in the management of highly sensitised patients and complex rejection with good access to appropriate support services such as plasma exchange.</w:t>
            </w:r>
            <w:r w:rsidRPr="00527717">
              <w:rPr>
                <w:rFonts w:eastAsiaTheme="minorEastAsia"/>
                <w:iCs/>
              </w:rPr>
              <w:t>’</w:t>
            </w:r>
          </w:p>
          <w:p w14:paraId="5CA96347" w14:textId="1FC6BF09" w:rsidR="00020716" w:rsidRPr="00014E8F" w:rsidRDefault="00014E8F" w:rsidP="00527717">
            <w:pPr>
              <w:pStyle w:val="TableText"/>
              <w:numPr>
                <w:ilvl w:val="0"/>
                <w:numId w:val="18"/>
              </w:numPr>
              <w:ind w:left="313" w:hanging="284"/>
              <w:rPr>
                <w:rFonts w:eastAsiaTheme="minorEastAsia"/>
                <w:iCs/>
              </w:rPr>
            </w:pPr>
            <w:r w:rsidRPr="00527717">
              <w:rPr>
                <w:rFonts w:eastAsiaTheme="minorEastAsia"/>
                <w:iCs/>
              </w:rPr>
              <w:t>‘</w:t>
            </w:r>
            <w:r w:rsidR="00020716" w:rsidRPr="00527717">
              <w:rPr>
                <w:rFonts w:eastAsiaTheme="minorEastAsia"/>
                <w:iCs/>
              </w:rPr>
              <w:t>It would be reasonable to leave the definition of which centres should be able to access imlifidase to the state transplant advisory committees</w:t>
            </w:r>
            <w:r w:rsidR="00F27017" w:rsidRPr="00527717">
              <w:rPr>
                <w:rFonts w:eastAsiaTheme="minorEastAsia"/>
                <w:iCs/>
              </w:rPr>
              <w:t>.</w:t>
            </w:r>
            <w:r w:rsidRPr="00014E8F">
              <w:rPr>
                <w:rFonts w:eastAsiaTheme="minorEastAsia"/>
                <w:iCs/>
              </w:rPr>
              <w:t>’</w:t>
            </w:r>
          </w:p>
          <w:p w14:paraId="1F844C28" w14:textId="79CDF601" w:rsidR="00020716" w:rsidRPr="00400441" w:rsidRDefault="00952A02" w:rsidP="00201909">
            <w:pPr>
              <w:pStyle w:val="TableText"/>
              <w:rPr>
                <w:rFonts w:eastAsiaTheme="minorEastAsia"/>
              </w:rPr>
            </w:pPr>
            <w:r>
              <w:rPr>
                <w:rFonts w:eastAsiaTheme="minorEastAsia"/>
              </w:rPr>
              <w:t xml:space="preserve">In the </w:t>
            </w:r>
            <w:r w:rsidR="00E66331">
              <w:rPr>
                <w:rFonts w:eastAsiaTheme="minorEastAsia"/>
              </w:rPr>
              <w:t xml:space="preserve">applicant’s survey of Australian transplant centres, </w:t>
            </w:r>
            <w:r w:rsidR="007B2FB2">
              <w:rPr>
                <w:rFonts w:eastAsiaTheme="minorEastAsia"/>
              </w:rPr>
              <w:t>one (of 11 responding centres)</w:t>
            </w:r>
            <w:r w:rsidR="00400441">
              <w:rPr>
                <w:rFonts w:eastAsiaTheme="minorEastAsia"/>
              </w:rPr>
              <w:t xml:space="preserve"> thought they </w:t>
            </w:r>
            <w:r w:rsidR="00020716" w:rsidRPr="00020716">
              <w:rPr>
                <w:rFonts w:eastAsiaTheme="minorEastAsia"/>
              </w:rPr>
              <w:t>did not have the capability to administer imlifidase</w:t>
            </w:r>
            <w:r w:rsidR="00400441">
              <w:rPr>
                <w:rFonts w:eastAsiaTheme="minorEastAsia"/>
              </w:rPr>
              <w:t xml:space="preserve"> (full </w:t>
            </w:r>
            <w:r w:rsidR="00A41D1E">
              <w:rPr>
                <w:rFonts w:eastAsiaTheme="minorEastAsia"/>
              </w:rPr>
              <w:t xml:space="preserve">survey </w:t>
            </w:r>
            <w:r w:rsidR="00400441">
              <w:rPr>
                <w:rFonts w:eastAsiaTheme="minorEastAsia"/>
              </w:rPr>
              <w:t>available in Appendix F of the ADAR).</w:t>
            </w:r>
          </w:p>
        </w:tc>
      </w:tr>
      <w:tr w:rsidR="00020716" w:rsidRPr="00020716" w14:paraId="6A3FFF8D" w14:textId="77777777" w:rsidTr="00527717">
        <w:trPr>
          <w:cantSplit/>
        </w:trPr>
        <w:tc>
          <w:tcPr>
            <w:tcW w:w="862" w:type="pct"/>
            <w:tcBorders>
              <w:bottom w:val="single" w:sz="4" w:space="0" w:color="auto"/>
            </w:tcBorders>
          </w:tcPr>
          <w:p w14:paraId="5AEB3E99" w14:textId="77777777" w:rsidR="00020716" w:rsidRPr="00020716" w:rsidRDefault="00020716" w:rsidP="00201909">
            <w:pPr>
              <w:pStyle w:val="TableText"/>
            </w:pPr>
            <w:r w:rsidRPr="00020716">
              <w:t>Comparator</w:t>
            </w:r>
          </w:p>
        </w:tc>
        <w:tc>
          <w:tcPr>
            <w:tcW w:w="1651" w:type="pct"/>
          </w:tcPr>
          <w:p w14:paraId="0DCD58F7" w14:textId="4082B0DB" w:rsidR="00020716" w:rsidRDefault="00020716" w:rsidP="00201909">
            <w:pPr>
              <w:pStyle w:val="TableText"/>
              <w:rPr>
                <w:rFonts w:eastAsia="Times New Roman"/>
                <w:snapToGrid w:val="0"/>
              </w:rPr>
            </w:pPr>
            <w:r w:rsidRPr="00020716">
              <w:rPr>
                <w:rFonts w:eastAsia="Times New Roman"/>
                <w:snapToGrid w:val="0"/>
              </w:rPr>
              <w:t xml:space="preserve">MSAC considered that </w:t>
            </w:r>
            <w:r w:rsidR="007F54DB">
              <w:rPr>
                <w:rFonts w:eastAsia="Times New Roman"/>
                <w:snapToGrid w:val="0"/>
              </w:rPr>
              <w:t>i</w:t>
            </w:r>
            <w:r w:rsidRPr="00020716">
              <w:rPr>
                <w:rFonts w:eastAsia="Times New Roman"/>
                <w:snapToGrid w:val="0"/>
              </w:rPr>
              <w:t>nsufficient attention was placed on potential alternatives as comparators including plasma exchange and other desensitisation protocols differentially applied for potential recipients of LD and DD kidneys</w:t>
            </w:r>
            <w:r w:rsidR="007F54DB">
              <w:rPr>
                <w:rFonts w:eastAsia="Times New Roman"/>
                <w:snapToGrid w:val="0"/>
              </w:rPr>
              <w:t xml:space="preserve"> </w:t>
            </w:r>
            <w:r w:rsidR="007F54DB" w:rsidRPr="00020716">
              <w:rPr>
                <w:rFonts w:eastAsia="Times New Roman"/>
                <w:snapToGrid w:val="0"/>
              </w:rPr>
              <w:t>(PSD, p.</w:t>
            </w:r>
            <w:r w:rsidR="00517509">
              <w:rPr>
                <w:rFonts w:eastAsia="Times New Roman"/>
                <w:snapToGrid w:val="0"/>
              </w:rPr>
              <w:t>8</w:t>
            </w:r>
            <w:r w:rsidR="007F54DB" w:rsidRPr="00020716">
              <w:rPr>
                <w:rFonts w:eastAsia="Times New Roman"/>
                <w:snapToGrid w:val="0"/>
              </w:rPr>
              <w:t>)</w:t>
            </w:r>
            <w:r w:rsidRPr="00020716">
              <w:rPr>
                <w:rFonts w:eastAsia="Times New Roman"/>
                <w:snapToGrid w:val="0"/>
              </w:rPr>
              <w:t>.</w:t>
            </w:r>
          </w:p>
          <w:p w14:paraId="07F17140" w14:textId="77777777" w:rsidR="00DB5FA9" w:rsidRPr="00020716" w:rsidRDefault="00DB5FA9" w:rsidP="00201909">
            <w:pPr>
              <w:pStyle w:val="TableText"/>
              <w:rPr>
                <w:rFonts w:eastAsia="Times New Roman"/>
                <w:snapToGrid w:val="0"/>
              </w:rPr>
            </w:pPr>
          </w:p>
          <w:p w14:paraId="0239F154" w14:textId="01BCB3A4" w:rsidR="00020716" w:rsidRPr="00872152" w:rsidRDefault="00F6188D" w:rsidP="008F2734">
            <w:pPr>
              <w:pStyle w:val="TableText"/>
              <w:rPr>
                <w:rFonts w:eastAsia="Times New Roman"/>
                <w:snapToGrid w:val="0"/>
              </w:rPr>
            </w:pPr>
            <w:r w:rsidRPr="00020716">
              <w:rPr>
                <w:rFonts w:eastAsia="Times New Roman"/>
                <w:snapToGrid w:val="0"/>
              </w:rPr>
              <w:t xml:space="preserve">MSAC considered that desensitisation protocols (IVIG, rituximab, plasma exchange) were a comparator for </w:t>
            </w:r>
            <w:r w:rsidR="007744CE">
              <w:rPr>
                <w:rFonts w:eastAsia="Times New Roman"/>
                <w:snapToGrid w:val="0"/>
              </w:rPr>
              <w:t>i</w:t>
            </w:r>
            <w:r w:rsidRPr="00020716">
              <w:rPr>
                <w:rFonts w:eastAsia="Times New Roman"/>
                <w:snapToGrid w:val="0"/>
              </w:rPr>
              <w:t>mlifidase, noting the likely cost differential between these agents and imlifidase</w:t>
            </w:r>
            <w:r>
              <w:rPr>
                <w:rFonts w:eastAsia="Times New Roman"/>
                <w:snapToGrid w:val="0"/>
              </w:rPr>
              <w:t xml:space="preserve"> (PSD, p.</w:t>
            </w:r>
            <w:r w:rsidR="00371C2E">
              <w:rPr>
                <w:rFonts w:eastAsia="Times New Roman"/>
                <w:snapToGrid w:val="0"/>
              </w:rPr>
              <w:t>6</w:t>
            </w:r>
            <w:r>
              <w:rPr>
                <w:rFonts w:eastAsia="Times New Roman"/>
                <w:snapToGrid w:val="0"/>
              </w:rPr>
              <w:t>)</w:t>
            </w:r>
            <w:r w:rsidRPr="00020716">
              <w:rPr>
                <w:rFonts w:eastAsia="Times New Roman"/>
                <w:snapToGrid w:val="0"/>
              </w:rPr>
              <w:t xml:space="preserve">. </w:t>
            </w:r>
          </w:p>
        </w:tc>
        <w:tc>
          <w:tcPr>
            <w:tcW w:w="2487" w:type="pct"/>
          </w:tcPr>
          <w:p w14:paraId="03EBC384" w14:textId="0B1EEEAE" w:rsidR="00020716" w:rsidRPr="00020716" w:rsidRDefault="00020716" w:rsidP="00201909">
            <w:pPr>
              <w:pStyle w:val="TableText"/>
              <w:rPr>
                <w:rFonts w:eastAsia="Times New Roman"/>
                <w:snapToGrid w:val="0"/>
              </w:rPr>
            </w:pPr>
            <w:r w:rsidRPr="004D6144">
              <w:rPr>
                <w:rFonts w:eastAsia="Times New Roman"/>
                <w:snapToGrid w:val="0"/>
              </w:rPr>
              <w:t>Addressed</w:t>
            </w:r>
            <w:r w:rsidR="00E94F14" w:rsidRPr="004D6144">
              <w:rPr>
                <w:rFonts w:eastAsia="Times New Roman"/>
                <w:snapToGrid w:val="0"/>
              </w:rPr>
              <w:t>.</w:t>
            </w:r>
          </w:p>
          <w:p w14:paraId="27A6C841" w14:textId="77777777" w:rsidR="002C3E78" w:rsidRDefault="00436C6C" w:rsidP="00201909">
            <w:pPr>
              <w:pStyle w:val="TableText"/>
              <w:rPr>
                <w:rFonts w:eastAsia="Times New Roman"/>
                <w:snapToGrid w:val="0"/>
              </w:rPr>
            </w:pPr>
            <w:r>
              <w:rPr>
                <w:rFonts w:eastAsia="Times New Roman"/>
                <w:snapToGrid w:val="0"/>
              </w:rPr>
              <w:t xml:space="preserve">The applicant explored </w:t>
            </w:r>
            <w:r w:rsidR="002C5D2B">
              <w:rPr>
                <w:rFonts w:eastAsia="Times New Roman"/>
                <w:snapToGrid w:val="0"/>
              </w:rPr>
              <w:t>this issue via a surve</w:t>
            </w:r>
            <w:r w:rsidR="00745559">
              <w:rPr>
                <w:rFonts w:eastAsia="Times New Roman"/>
                <w:snapToGrid w:val="0"/>
              </w:rPr>
              <w:t>y</w:t>
            </w:r>
            <w:r w:rsidR="000544DD">
              <w:rPr>
                <w:rFonts w:eastAsia="Times New Roman"/>
                <w:snapToGrid w:val="0"/>
              </w:rPr>
              <w:t xml:space="preserve"> </w:t>
            </w:r>
            <w:r w:rsidR="002C3E78">
              <w:rPr>
                <w:rFonts w:eastAsia="Times New Roman"/>
                <w:snapToGrid w:val="0"/>
              </w:rPr>
              <w:t>of</w:t>
            </w:r>
            <w:r w:rsidR="000544DD">
              <w:rPr>
                <w:rFonts w:eastAsia="Times New Roman"/>
                <w:snapToGrid w:val="0"/>
              </w:rPr>
              <w:t xml:space="preserve"> all </w:t>
            </w:r>
            <w:r w:rsidRPr="00020716">
              <w:rPr>
                <w:rFonts w:eastAsia="Times New Roman"/>
                <w:snapToGrid w:val="0"/>
              </w:rPr>
              <w:t>renal adult transplant centres in Australia</w:t>
            </w:r>
            <w:r w:rsidR="000544DD">
              <w:rPr>
                <w:rFonts w:eastAsia="Times New Roman"/>
                <w:snapToGrid w:val="0"/>
              </w:rPr>
              <w:t xml:space="preserve"> (</w:t>
            </w:r>
            <w:r w:rsidR="002C3E78">
              <w:rPr>
                <w:rFonts w:eastAsia="Times New Roman"/>
                <w:snapToGrid w:val="0"/>
              </w:rPr>
              <w:t xml:space="preserve">11 of 15 responded; </w:t>
            </w:r>
            <w:r w:rsidR="000544DD">
              <w:rPr>
                <w:rFonts w:eastAsia="Times New Roman"/>
                <w:snapToGrid w:val="0"/>
              </w:rPr>
              <w:t xml:space="preserve">results provided in Appendix F of the ADAR). </w:t>
            </w:r>
          </w:p>
          <w:p w14:paraId="474887D6" w14:textId="634FF442" w:rsidR="00436C6C" w:rsidRDefault="00436C6C" w:rsidP="00201909">
            <w:pPr>
              <w:pStyle w:val="TableText"/>
              <w:rPr>
                <w:rFonts w:eastAsia="Times New Roman"/>
                <w:snapToGrid w:val="0"/>
              </w:rPr>
            </w:pPr>
            <w:r w:rsidRPr="00020716">
              <w:rPr>
                <w:rFonts w:eastAsia="Times New Roman"/>
                <w:snapToGrid w:val="0"/>
              </w:rPr>
              <w:t xml:space="preserve">All </w:t>
            </w:r>
            <w:r w:rsidR="000544DD">
              <w:rPr>
                <w:rFonts w:eastAsia="Times New Roman"/>
                <w:snapToGrid w:val="0"/>
              </w:rPr>
              <w:t>centres had</w:t>
            </w:r>
            <w:r w:rsidRPr="00020716">
              <w:rPr>
                <w:rFonts w:eastAsia="Times New Roman"/>
                <w:snapToGrid w:val="0"/>
              </w:rPr>
              <w:t xml:space="preserve"> </w:t>
            </w:r>
            <w:r w:rsidR="000544DD">
              <w:rPr>
                <w:rFonts w:eastAsia="Times New Roman"/>
                <w:snapToGrid w:val="0"/>
              </w:rPr>
              <w:t>HS</w:t>
            </w:r>
            <w:r w:rsidRPr="00020716">
              <w:rPr>
                <w:rFonts w:eastAsia="Times New Roman"/>
                <w:snapToGrid w:val="0"/>
              </w:rPr>
              <w:t xml:space="preserve"> patients on their waitlist but only 45% had attempted currently available desensitisation regimens in the past year</w:t>
            </w:r>
            <w:r w:rsidR="000544DD">
              <w:rPr>
                <w:rFonts w:eastAsia="Times New Roman"/>
                <w:snapToGrid w:val="0"/>
              </w:rPr>
              <w:t>.</w:t>
            </w:r>
            <w:r w:rsidRPr="00020716">
              <w:rPr>
                <w:rFonts w:eastAsia="Times New Roman"/>
                <w:snapToGrid w:val="0"/>
              </w:rPr>
              <w:t xml:space="preserve"> </w:t>
            </w:r>
            <w:r w:rsidR="004D6144" w:rsidRPr="000A09ED">
              <w:t xml:space="preserve">Of those centres that did attempt desensitisation </w:t>
            </w:r>
            <w:r w:rsidR="004D6144" w:rsidRPr="004D6144">
              <w:t>regimens, it was only offered on average to &lt;20% of HS patients.</w:t>
            </w:r>
            <w:r w:rsidR="004D6144" w:rsidRPr="004D6144" w:rsidDel="004D6144">
              <w:rPr>
                <w:rFonts w:eastAsia="Times New Roman"/>
                <w:snapToGrid w:val="0"/>
              </w:rPr>
              <w:t xml:space="preserve"> </w:t>
            </w:r>
            <w:r w:rsidRPr="004D6144">
              <w:rPr>
                <w:rFonts w:eastAsia="Times New Roman"/>
                <w:snapToGrid w:val="0"/>
              </w:rPr>
              <w:t>O</w:t>
            </w:r>
            <w:r w:rsidRPr="00020716">
              <w:rPr>
                <w:rFonts w:eastAsia="Times New Roman"/>
                <w:snapToGrid w:val="0"/>
              </w:rPr>
              <w:t>ver 80% of respondent</w:t>
            </w:r>
            <w:r w:rsidR="00D16E1B">
              <w:rPr>
                <w:rFonts w:eastAsia="Times New Roman"/>
                <w:snapToGrid w:val="0"/>
              </w:rPr>
              <w:t>s</w:t>
            </w:r>
            <w:r w:rsidRPr="00020716">
              <w:rPr>
                <w:rFonts w:eastAsia="Times New Roman"/>
                <w:snapToGrid w:val="0"/>
              </w:rPr>
              <w:t xml:space="preserve"> cited an inadequate response for not offering desensit</w:t>
            </w:r>
            <w:r w:rsidR="00165269">
              <w:rPr>
                <w:rFonts w:eastAsia="Times New Roman"/>
                <w:snapToGrid w:val="0"/>
              </w:rPr>
              <w:t>is</w:t>
            </w:r>
            <w:r w:rsidRPr="00020716">
              <w:rPr>
                <w:rFonts w:eastAsia="Times New Roman"/>
                <w:snapToGrid w:val="0"/>
              </w:rPr>
              <w:t>ation regimens</w:t>
            </w:r>
            <w:r w:rsidR="00D16E1B">
              <w:rPr>
                <w:rFonts w:eastAsia="Times New Roman"/>
                <w:snapToGrid w:val="0"/>
              </w:rPr>
              <w:t>.</w:t>
            </w:r>
          </w:p>
          <w:p w14:paraId="06B84193" w14:textId="269B9044" w:rsidR="00020716" w:rsidRPr="00020716" w:rsidRDefault="008E16BE" w:rsidP="00201909">
            <w:pPr>
              <w:pStyle w:val="TableText"/>
              <w:rPr>
                <w:rFonts w:eastAsia="Times New Roman"/>
                <w:snapToGrid w:val="0"/>
              </w:rPr>
            </w:pPr>
            <w:r>
              <w:rPr>
                <w:rFonts w:eastAsia="Times New Roman"/>
                <w:snapToGrid w:val="0"/>
              </w:rPr>
              <w:t xml:space="preserve">Considering these results, the </w:t>
            </w:r>
            <w:r w:rsidR="00DA68C5">
              <w:rPr>
                <w:rFonts w:eastAsia="Times New Roman"/>
                <w:snapToGrid w:val="0"/>
              </w:rPr>
              <w:t xml:space="preserve">ADAR </w:t>
            </w:r>
            <w:r>
              <w:rPr>
                <w:rFonts w:eastAsia="Times New Roman"/>
                <w:snapToGrid w:val="0"/>
              </w:rPr>
              <w:t>retained the comparator as c</w:t>
            </w:r>
            <w:r w:rsidR="00020716" w:rsidRPr="00020716">
              <w:rPr>
                <w:rFonts w:eastAsia="Times New Roman"/>
                <w:snapToGrid w:val="0"/>
              </w:rPr>
              <w:t>urrent care in the absence of imlifidase: dialysis until a transplant becomes available.</w:t>
            </w:r>
          </w:p>
          <w:p w14:paraId="78337C99" w14:textId="2C509A55" w:rsidR="00020716" w:rsidRPr="00020716" w:rsidRDefault="00020716" w:rsidP="00201909">
            <w:pPr>
              <w:pStyle w:val="TableText"/>
              <w:rPr>
                <w:rFonts w:eastAsia="Times New Roman"/>
                <w:snapToGrid w:val="0"/>
              </w:rPr>
            </w:pPr>
            <w:proofErr w:type="gramStart"/>
            <w:r w:rsidRPr="00020716">
              <w:rPr>
                <w:rFonts w:eastAsia="Times New Roman"/>
                <w:snapToGrid w:val="0"/>
              </w:rPr>
              <w:t>With regard to</w:t>
            </w:r>
            <w:proofErr w:type="gramEnd"/>
            <w:r w:rsidRPr="00020716">
              <w:rPr>
                <w:rFonts w:eastAsia="Times New Roman"/>
                <w:snapToGrid w:val="0"/>
              </w:rPr>
              <w:t xml:space="preserve"> </w:t>
            </w:r>
            <w:r w:rsidR="00F20B3C">
              <w:rPr>
                <w:rFonts w:eastAsia="Times New Roman"/>
                <w:snapToGrid w:val="0"/>
              </w:rPr>
              <w:t>LDs,</w:t>
            </w:r>
            <w:r w:rsidRPr="00020716">
              <w:rPr>
                <w:rFonts w:eastAsia="Times New Roman"/>
                <w:snapToGrid w:val="0"/>
              </w:rPr>
              <w:t xml:space="preserve"> the </w:t>
            </w:r>
            <w:r w:rsidR="00F20B3C">
              <w:rPr>
                <w:rFonts w:eastAsia="Times New Roman"/>
                <w:snapToGrid w:val="0"/>
              </w:rPr>
              <w:t>applicant</w:t>
            </w:r>
            <w:r w:rsidRPr="00020716">
              <w:rPr>
                <w:rFonts w:eastAsia="Times New Roman"/>
                <w:snapToGrid w:val="0"/>
              </w:rPr>
              <w:t xml:space="preserve"> propose</w:t>
            </w:r>
            <w:r w:rsidR="00165269">
              <w:rPr>
                <w:rFonts w:eastAsia="Times New Roman"/>
                <w:snapToGrid w:val="0"/>
              </w:rPr>
              <w:t>d</w:t>
            </w:r>
            <w:r w:rsidRPr="00020716">
              <w:rPr>
                <w:rFonts w:eastAsia="Times New Roman"/>
                <w:snapToGrid w:val="0"/>
              </w:rPr>
              <w:t xml:space="preserve"> that imlifidase </w:t>
            </w:r>
            <w:r w:rsidR="00DC110B">
              <w:rPr>
                <w:rFonts w:eastAsia="Times New Roman"/>
                <w:snapToGrid w:val="0"/>
              </w:rPr>
              <w:t xml:space="preserve">would </w:t>
            </w:r>
            <w:r w:rsidRPr="00020716">
              <w:rPr>
                <w:rFonts w:eastAsia="Times New Roman"/>
                <w:snapToGrid w:val="0"/>
              </w:rPr>
              <w:t>be used after off</w:t>
            </w:r>
            <w:r w:rsidR="008976C2">
              <w:rPr>
                <w:rFonts w:eastAsia="Times New Roman"/>
                <w:snapToGrid w:val="0"/>
              </w:rPr>
              <w:t>-</w:t>
            </w:r>
            <w:r w:rsidRPr="00020716">
              <w:rPr>
                <w:rFonts w:eastAsia="Times New Roman"/>
                <w:snapToGrid w:val="0"/>
              </w:rPr>
              <w:t>label desensit</w:t>
            </w:r>
            <w:r w:rsidR="00165269">
              <w:rPr>
                <w:rFonts w:eastAsia="Times New Roman"/>
                <w:snapToGrid w:val="0"/>
              </w:rPr>
              <w:t>is</w:t>
            </w:r>
            <w:r w:rsidRPr="00020716">
              <w:rPr>
                <w:rFonts w:eastAsia="Times New Roman"/>
                <w:snapToGrid w:val="0"/>
              </w:rPr>
              <w:t>ation therapies have failed (second</w:t>
            </w:r>
            <w:r w:rsidR="00E6657F">
              <w:rPr>
                <w:rFonts w:eastAsia="Times New Roman"/>
                <w:snapToGrid w:val="0"/>
              </w:rPr>
              <w:t>-</w:t>
            </w:r>
            <w:r w:rsidRPr="00020716">
              <w:rPr>
                <w:rFonts w:eastAsia="Times New Roman"/>
                <w:snapToGrid w:val="0"/>
              </w:rPr>
              <w:t>line therapy)</w:t>
            </w:r>
            <w:r w:rsidR="00F0235D">
              <w:rPr>
                <w:rFonts w:eastAsia="Times New Roman"/>
                <w:snapToGrid w:val="0"/>
              </w:rPr>
              <w:t xml:space="preserve">, or </w:t>
            </w:r>
            <w:r w:rsidR="009F6106">
              <w:rPr>
                <w:rFonts w:eastAsia="Times New Roman"/>
                <w:snapToGrid w:val="0"/>
              </w:rPr>
              <w:t xml:space="preserve">for patients whom, </w:t>
            </w:r>
            <w:r w:rsidRPr="00020716">
              <w:rPr>
                <w:rFonts w:eastAsia="Times New Roman"/>
                <w:snapToGrid w:val="0"/>
              </w:rPr>
              <w:t>based on clinical judgement and experience, plasmapheresis</w:t>
            </w:r>
            <w:r w:rsidR="009F6106">
              <w:rPr>
                <w:rFonts w:eastAsia="Times New Roman"/>
                <w:snapToGrid w:val="0"/>
              </w:rPr>
              <w:t xml:space="preserve">, </w:t>
            </w:r>
            <w:r w:rsidRPr="00020716">
              <w:rPr>
                <w:rFonts w:eastAsia="Times New Roman"/>
                <w:snapToGrid w:val="0"/>
              </w:rPr>
              <w:t>IVIG</w:t>
            </w:r>
            <w:r w:rsidR="009F6106">
              <w:rPr>
                <w:rFonts w:eastAsia="Times New Roman"/>
                <w:snapToGrid w:val="0"/>
              </w:rPr>
              <w:t xml:space="preserve"> and </w:t>
            </w:r>
            <w:r w:rsidRPr="00020716">
              <w:rPr>
                <w:rFonts w:eastAsia="Times New Roman"/>
                <w:snapToGrid w:val="0"/>
              </w:rPr>
              <w:t>rituximab-based desensitisation regimens are considered unlikely to provide a sufficient decrease in antibodies to enable transplantation</w:t>
            </w:r>
            <w:r w:rsidR="009F6106">
              <w:rPr>
                <w:rFonts w:eastAsia="Times New Roman"/>
                <w:snapToGrid w:val="0"/>
              </w:rPr>
              <w:t>.</w:t>
            </w:r>
            <w:r w:rsidRPr="00020716">
              <w:rPr>
                <w:rFonts w:eastAsia="Times New Roman"/>
                <w:snapToGrid w:val="0"/>
              </w:rPr>
              <w:t xml:space="preserve"> </w:t>
            </w:r>
          </w:p>
        </w:tc>
      </w:tr>
      <w:tr w:rsidR="00020716" w:rsidRPr="00020716" w14:paraId="2C40C38E" w14:textId="77777777" w:rsidTr="00527717">
        <w:trPr>
          <w:cantSplit/>
          <w:trHeight w:val="1183"/>
        </w:trPr>
        <w:tc>
          <w:tcPr>
            <w:tcW w:w="862" w:type="pct"/>
            <w:tcBorders>
              <w:bottom w:val="nil"/>
            </w:tcBorders>
          </w:tcPr>
          <w:p w14:paraId="343BBBBC" w14:textId="2B3D80ED" w:rsidR="00020716" w:rsidRPr="00020716" w:rsidRDefault="00020716" w:rsidP="00201909">
            <w:pPr>
              <w:pStyle w:val="TableText"/>
            </w:pPr>
            <w:r w:rsidRPr="00020716">
              <w:t xml:space="preserve">Clinical </w:t>
            </w:r>
            <w:r w:rsidR="002709A4">
              <w:t>d</w:t>
            </w:r>
            <w:r w:rsidRPr="00020716">
              <w:t>ata</w:t>
            </w:r>
          </w:p>
        </w:tc>
        <w:tc>
          <w:tcPr>
            <w:tcW w:w="1651" w:type="pct"/>
          </w:tcPr>
          <w:p w14:paraId="7FDBCCBA" w14:textId="46C82E04" w:rsidR="00020716" w:rsidRPr="00020716" w:rsidRDefault="00020716" w:rsidP="00BC1C5D">
            <w:pPr>
              <w:pStyle w:val="TableText"/>
              <w:rPr>
                <w:rFonts w:eastAsia="Times New Roman"/>
                <w:snapToGrid w:val="0"/>
              </w:rPr>
            </w:pPr>
            <w:r w:rsidRPr="00020716">
              <w:rPr>
                <w:rFonts w:eastAsia="Times New Roman"/>
                <w:snapToGrid w:val="0"/>
              </w:rPr>
              <w:t>MSAC requested updated clinical data consistent with the proposed new population restriction</w:t>
            </w:r>
            <w:r w:rsidR="00BB2D45">
              <w:rPr>
                <w:rFonts w:eastAsia="Times New Roman"/>
                <w:snapToGrid w:val="0"/>
              </w:rPr>
              <w:t>, including follow-up of initial trials, results of new and current phase III trials</w:t>
            </w:r>
            <w:r w:rsidR="000B7B56">
              <w:rPr>
                <w:rFonts w:eastAsia="Times New Roman"/>
                <w:snapToGrid w:val="0"/>
              </w:rPr>
              <w:t>, and phase IV data from</w:t>
            </w:r>
            <w:r w:rsidR="004939C1">
              <w:rPr>
                <w:rFonts w:eastAsia="Times New Roman"/>
                <w:snapToGrid w:val="0"/>
              </w:rPr>
              <w:t xml:space="preserve"> the UK and Europe</w:t>
            </w:r>
            <w:r w:rsidR="00EB6511">
              <w:rPr>
                <w:rFonts w:eastAsia="Times New Roman"/>
                <w:snapToGrid w:val="0"/>
              </w:rPr>
              <w:t xml:space="preserve"> </w:t>
            </w:r>
            <w:r w:rsidR="00EB6511" w:rsidRPr="00020716">
              <w:rPr>
                <w:rFonts w:eastAsia="Times New Roman"/>
                <w:snapToGrid w:val="0"/>
              </w:rPr>
              <w:t>(PSD, p.</w:t>
            </w:r>
            <w:r w:rsidR="00903818">
              <w:rPr>
                <w:rFonts w:eastAsia="Times New Roman"/>
                <w:snapToGrid w:val="0"/>
              </w:rPr>
              <w:t>8</w:t>
            </w:r>
            <w:r w:rsidR="00EB6511" w:rsidRPr="00020716">
              <w:rPr>
                <w:rFonts w:eastAsia="Times New Roman"/>
                <w:snapToGrid w:val="0"/>
              </w:rPr>
              <w:t>)</w:t>
            </w:r>
            <w:r w:rsidRPr="00020716">
              <w:rPr>
                <w:rFonts w:eastAsia="Times New Roman"/>
                <w:snapToGrid w:val="0"/>
              </w:rPr>
              <w:t>.</w:t>
            </w:r>
          </w:p>
        </w:tc>
        <w:tc>
          <w:tcPr>
            <w:tcW w:w="2487" w:type="pct"/>
          </w:tcPr>
          <w:p w14:paraId="2E49FB06" w14:textId="77777777" w:rsidR="00020716" w:rsidRPr="00020716" w:rsidRDefault="00020716" w:rsidP="00201909">
            <w:pPr>
              <w:pStyle w:val="TableText"/>
              <w:rPr>
                <w:rFonts w:eastAsia="Times New Roman"/>
                <w:snapToGrid w:val="0"/>
              </w:rPr>
            </w:pPr>
            <w:r w:rsidRPr="00020716">
              <w:rPr>
                <w:rFonts w:eastAsia="Times New Roman"/>
                <w:snapToGrid w:val="0"/>
              </w:rPr>
              <w:t>Addressed.</w:t>
            </w:r>
          </w:p>
          <w:p w14:paraId="14917BA2" w14:textId="39D8122F" w:rsidR="00020716" w:rsidRPr="00020716" w:rsidRDefault="00020716" w:rsidP="00BC1C5D">
            <w:pPr>
              <w:pStyle w:val="TableText"/>
              <w:rPr>
                <w:rFonts w:eastAsia="Times New Roman"/>
                <w:snapToGrid w:val="0"/>
              </w:rPr>
            </w:pPr>
            <w:r w:rsidRPr="00020716">
              <w:rPr>
                <w:rFonts w:eastAsia="Times New Roman"/>
                <w:snapToGrid w:val="0"/>
              </w:rPr>
              <w:t xml:space="preserve">Pooled analysis of the 17-HMedIdeS-14 5-year observational study with 6-month </w:t>
            </w:r>
            <w:r w:rsidR="00664B4C" w:rsidRPr="00020716">
              <w:rPr>
                <w:rFonts w:eastAsia="Times New Roman"/>
                <w:snapToGrid w:val="0"/>
              </w:rPr>
              <w:t xml:space="preserve">phase </w:t>
            </w:r>
            <w:r w:rsidR="00664B4C">
              <w:rPr>
                <w:rFonts w:eastAsia="Times New Roman"/>
                <w:snapToGrid w:val="0"/>
              </w:rPr>
              <w:t>II</w:t>
            </w:r>
            <w:r w:rsidR="00664B4C" w:rsidRPr="00020716">
              <w:rPr>
                <w:rFonts w:eastAsia="Times New Roman"/>
                <w:snapToGrid w:val="0"/>
              </w:rPr>
              <w:t xml:space="preserve"> </w:t>
            </w:r>
            <w:r w:rsidRPr="00020716">
              <w:rPr>
                <w:rFonts w:eastAsia="Times New Roman"/>
                <w:snapToGrid w:val="0"/>
              </w:rPr>
              <w:t xml:space="preserve">data is </w:t>
            </w:r>
            <w:r w:rsidR="00C8798D">
              <w:rPr>
                <w:rFonts w:eastAsia="Times New Roman"/>
                <w:snapToGrid w:val="0"/>
              </w:rPr>
              <w:t>included in the resubmission</w:t>
            </w:r>
            <w:r w:rsidRPr="00020716">
              <w:rPr>
                <w:rFonts w:eastAsia="Times New Roman"/>
                <w:snapToGrid w:val="0"/>
              </w:rPr>
              <w:t xml:space="preserve">, with additional analysis on </w:t>
            </w:r>
            <w:r w:rsidR="004E5862">
              <w:rPr>
                <w:rFonts w:eastAsia="Times New Roman"/>
                <w:snapToGrid w:val="0"/>
              </w:rPr>
              <w:t xml:space="preserve">an </w:t>
            </w:r>
            <w:r w:rsidRPr="00020716">
              <w:rPr>
                <w:rFonts w:eastAsia="Times New Roman"/>
                <w:snapToGrid w:val="0"/>
              </w:rPr>
              <w:t xml:space="preserve">AUS-UTT-A </w:t>
            </w:r>
            <w:r w:rsidR="004E5862">
              <w:rPr>
                <w:rFonts w:eastAsia="Times New Roman"/>
                <w:snapToGrid w:val="0"/>
              </w:rPr>
              <w:t xml:space="preserve">population </w:t>
            </w:r>
            <w:r w:rsidRPr="00020716">
              <w:rPr>
                <w:rFonts w:eastAsia="Times New Roman"/>
                <w:snapToGrid w:val="0"/>
              </w:rPr>
              <w:t xml:space="preserve">(N=24). </w:t>
            </w:r>
            <w:r w:rsidR="004F3428">
              <w:rPr>
                <w:rFonts w:eastAsia="Times New Roman"/>
                <w:snapToGrid w:val="0"/>
              </w:rPr>
              <w:t>These</w:t>
            </w:r>
            <w:r w:rsidRPr="00020716">
              <w:rPr>
                <w:rFonts w:eastAsia="Times New Roman"/>
                <w:snapToGrid w:val="0"/>
              </w:rPr>
              <w:t xml:space="preserve"> data </w:t>
            </w:r>
            <w:r w:rsidR="00A7307F">
              <w:rPr>
                <w:rFonts w:eastAsia="Times New Roman"/>
                <w:snapToGrid w:val="0"/>
              </w:rPr>
              <w:t>are</w:t>
            </w:r>
            <w:r w:rsidRPr="00020716">
              <w:rPr>
                <w:rFonts w:eastAsia="Times New Roman"/>
                <w:snapToGrid w:val="0"/>
              </w:rPr>
              <w:t xml:space="preserve"> presented in </w:t>
            </w:r>
            <w:r w:rsidR="004F3428">
              <w:rPr>
                <w:rFonts w:eastAsia="Times New Roman"/>
                <w:snapToGrid w:val="0"/>
              </w:rPr>
              <w:t xml:space="preserve">the clinical evidence review section of the ADAR and used to inform the updated CUA. </w:t>
            </w:r>
          </w:p>
        </w:tc>
      </w:tr>
      <w:tr w:rsidR="00D474E4" w:rsidRPr="00020716" w14:paraId="4544D2CE" w14:textId="77777777" w:rsidTr="00527717">
        <w:trPr>
          <w:cantSplit/>
        </w:trPr>
        <w:tc>
          <w:tcPr>
            <w:tcW w:w="862" w:type="pct"/>
            <w:tcBorders>
              <w:top w:val="nil"/>
              <w:bottom w:val="nil"/>
            </w:tcBorders>
          </w:tcPr>
          <w:p w14:paraId="7B918C58" w14:textId="77777777" w:rsidR="00D474E4" w:rsidRPr="00020716" w:rsidRDefault="00D474E4" w:rsidP="00201909">
            <w:pPr>
              <w:pStyle w:val="TableText"/>
            </w:pPr>
          </w:p>
        </w:tc>
        <w:tc>
          <w:tcPr>
            <w:tcW w:w="1651" w:type="pct"/>
          </w:tcPr>
          <w:p w14:paraId="19C20043" w14:textId="578B28AD" w:rsidR="00D474E4" w:rsidRPr="00020716" w:rsidRDefault="00D474E4" w:rsidP="00201909">
            <w:pPr>
              <w:pStyle w:val="TableText"/>
              <w:rPr>
                <w:rFonts w:eastAsia="Times New Roman"/>
                <w:snapToGrid w:val="0"/>
              </w:rPr>
            </w:pPr>
            <w:r w:rsidRPr="00020716">
              <w:rPr>
                <w:rFonts w:eastAsia="Times New Roman"/>
                <w:snapToGrid w:val="0"/>
              </w:rPr>
              <w:t>MSAC considered the effectiveness outcomes to be concerning, especially the rates of hyperacute rejection (33%)</w:t>
            </w:r>
            <w:r w:rsidR="000817B3">
              <w:rPr>
                <w:rFonts w:eastAsia="Times New Roman"/>
                <w:snapToGrid w:val="0"/>
              </w:rPr>
              <w:t>,</w:t>
            </w:r>
            <w:r w:rsidR="00E62C03" w:rsidRPr="00E62C03">
              <w:rPr>
                <w:rFonts w:eastAsia="Times New Roman"/>
                <w:snapToGrid w:val="0"/>
              </w:rPr>
              <w:t xml:space="preserve"> </w:t>
            </w:r>
            <w:r w:rsidR="00787CC3">
              <w:rPr>
                <w:rFonts w:eastAsia="Times New Roman"/>
                <w:snapToGrid w:val="0"/>
              </w:rPr>
              <w:t>DGF</w:t>
            </w:r>
            <w:r w:rsidR="00E62C03" w:rsidRPr="00E62C03">
              <w:rPr>
                <w:rFonts w:eastAsia="Times New Roman"/>
                <w:snapToGrid w:val="0"/>
              </w:rPr>
              <w:t xml:space="preserve"> (41%), </w:t>
            </w:r>
            <w:r w:rsidR="00787CC3">
              <w:rPr>
                <w:rFonts w:eastAsia="Times New Roman"/>
                <w:snapToGrid w:val="0"/>
              </w:rPr>
              <w:t>AMR</w:t>
            </w:r>
            <w:r w:rsidR="00E62C03" w:rsidRPr="00E62C03">
              <w:rPr>
                <w:rFonts w:eastAsia="Times New Roman"/>
                <w:snapToGrid w:val="0"/>
              </w:rPr>
              <w:t xml:space="preserve"> (24%), and </w:t>
            </w:r>
            <w:r w:rsidR="002042A4">
              <w:rPr>
                <w:rFonts w:eastAsia="Times New Roman"/>
                <w:snapToGrid w:val="0"/>
              </w:rPr>
              <w:t>CKD</w:t>
            </w:r>
            <w:r w:rsidR="00E62C03" w:rsidRPr="00E62C03">
              <w:rPr>
                <w:rFonts w:eastAsia="Times New Roman"/>
                <w:snapToGrid w:val="0"/>
              </w:rPr>
              <w:t xml:space="preserve"> at stages 3–5 (50% at 6 months)</w:t>
            </w:r>
            <w:r w:rsidR="00787CC3">
              <w:rPr>
                <w:rFonts w:eastAsia="Times New Roman"/>
                <w:snapToGrid w:val="0"/>
              </w:rPr>
              <w:t xml:space="preserve"> (PSD, p.</w:t>
            </w:r>
            <w:r w:rsidR="006C5E97">
              <w:rPr>
                <w:rFonts w:eastAsia="Times New Roman"/>
                <w:snapToGrid w:val="0"/>
              </w:rPr>
              <w:t>6</w:t>
            </w:r>
            <w:r w:rsidR="00787CC3">
              <w:rPr>
                <w:rFonts w:eastAsia="Times New Roman"/>
                <w:snapToGrid w:val="0"/>
              </w:rPr>
              <w:t>)</w:t>
            </w:r>
            <w:r w:rsidRPr="00020716">
              <w:rPr>
                <w:rFonts w:eastAsia="Times New Roman"/>
                <w:snapToGrid w:val="0"/>
              </w:rPr>
              <w:t>.</w:t>
            </w:r>
          </w:p>
        </w:tc>
        <w:tc>
          <w:tcPr>
            <w:tcW w:w="2487" w:type="pct"/>
          </w:tcPr>
          <w:p w14:paraId="6022E1CD" w14:textId="77777777" w:rsidR="00D474E4" w:rsidRPr="00020716" w:rsidRDefault="00D474E4" w:rsidP="00D474E4">
            <w:pPr>
              <w:pStyle w:val="TableText"/>
              <w:rPr>
                <w:rFonts w:eastAsia="Times New Roman"/>
                <w:snapToGrid w:val="0"/>
              </w:rPr>
            </w:pPr>
            <w:r w:rsidRPr="00020716">
              <w:rPr>
                <w:rFonts w:eastAsia="Times New Roman"/>
                <w:snapToGrid w:val="0"/>
              </w:rPr>
              <w:t xml:space="preserve">Addressed. </w:t>
            </w:r>
          </w:p>
          <w:p w14:paraId="353D5FCC" w14:textId="173E19DB" w:rsidR="00D474E4" w:rsidRPr="00020716" w:rsidRDefault="00A7307F" w:rsidP="00D474E4">
            <w:pPr>
              <w:pStyle w:val="TableText"/>
              <w:rPr>
                <w:rFonts w:eastAsia="Times New Roman"/>
                <w:snapToGrid w:val="0"/>
              </w:rPr>
            </w:pPr>
            <w:r>
              <w:rPr>
                <w:rFonts w:eastAsia="Times New Roman"/>
                <w:snapToGrid w:val="0"/>
              </w:rPr>
              <w:t xml:space="preserve">The applicant </w:t>
            </w:r>
            <w:r w:rsidR="00066332">
              <w:rPr>
                <w:rFonts w:eastAsia="Times New Roman"/>
                <w:snapToGrid w:val="0"/>
              </w:rPr>
              <w:t>noted a t</w:t>
            </w:r>
            <w:r w:rsidR="00D474E4" w:rsidRPr="00020716">
              <w:rPr>
                <w:rFonts w:eastAsia="Times New Roman"/>
                <w:snapToGrid w:val="0"/>
              </w:rPr>
              <w:t xml:space="preserve">ypographical error in </w:t>
            </w:r>
            <w:r>
              <w:rPr>
                <w:rFonts w:eastAsia="Times New Roman"/>
                <w:snapToGrid w:val="0"/>
              </w:rPr>
              <w:t>the orig</w:t>
            </w:r>
            <w:r w:rsidR="00066332">
              <w:rPr>
                <w:rFonts w:eastAsia="Times New Roman"/>
                <w:snapToGrid w:val="0"/>
              </w:rPr>
              <w:t>inal ADAR.</w:t>
            </w:r>
          </w:p>
          <w:p w14:paraId="595A3BF2" w14:textId="3F85E2F8" w:rsidR="00BC1C5D" w:rsidRPr="00020716" w:rsidRDefault="00BC1C5D" w:rsidP="00BC1C5D">
            <w:pPr>
              <w:pStyle w:val="TableText"/>
              <w:rPr>
                <w:rFonts w:eastAsia="Times New Roman"/>
                <w:snapToGrid w:val="0"/>
              </w:rPr>
            </w:pPr>
            <w:bookmarkStart w:id="5" w:name="_Hlk158446530"/>
            <w:r w:rsidRPr="00020716">
              <w:rPr>
                <w:rFonts w:eastAsia="Times New Roman"/>
                <w:snapToGrid w:val="0"/>
              </w:rPr>
              <w:t>The number of hyperacute rejection</w:t>
            </w:r>
            <w:r w:rsidR="00FA5FC4">
              <w:rPr>
                <w:rFonts w:eastAsia="Times New Roman"/>
                <w:snapToGrid w:val="0"/>
              </w:rPr>
              <w:t>s</w:t>
            </w:r>
            <w:r w:rsidRPr="00020716">
              <w:rPr>
                <w:rFonts w:eastAsia="Times New Roman"/>
                <w:snapToGrid w:val="0"/>
              </w:rPr>
              <w:t xml:space="preserve"> was erroneously shown to </w:t>
            </w:r>
            <w:r w:rsidRPr="00FA5FC4">
              <w:rPr>
                <w:rFonts w:eastAsia="Times New Roman"/>
                <w:snapToGrid w:val="0"/>
              </w:rPr>
              <w:t xml:space="preserve">be 15 (33%), while only one patient (2%) experienced hyperacute rejection in the </w:t>
            </w:r>
            <w:r w:rsidR="00C819DD">
              <w:rPr>
                <w:rFonts w:eastAsia="Times New Roman"/>
                <w:snapToGrid w:val="0"/>
              </w:rPr>
              <w:t>a</w:t>
            </w:r>
            <w:r w:rsidRPr="00FA5FC4">
              <w:rPr>
                <w:rFonts w:eastAsia="Times New Roman"/>
                <w:snapToGrid w:val="0"/>
              </w:rPr>
              <w:t>ll-</w:t>
            </w:r>
            <w:r w:rsidR="00C819DD">
              <w:rPr>
                <w:rFonts w:eastAsia="Times New Roman"/>
                <w:snapToGrid w:val="0"/>
              </w:rPr>
              <w:t>t</w:t>
            </w:r>
            <w:r w:rsidRPr="00FA5FC4">
              <w:rPr>
                <w:rFonts w:eastAsia="Times New Roman"/>
                <w:snapToGrid w:val="0"/>
              </w:rPr>
              <w:t>ransplanted population</w:t>
            </w:r>
            <w:r w:rsidRPr="00020716">
              <w:rPr>
                <w:rFonts w:eastAsia="Times New Roman"/>
                <w:snapToGrid w:val="0"/>
              </w:rPr>
              <w:t xml:space="preserve">. </w:t>
            </w:r>
          </w:p>
          <w:p w14:paraId="4290BA38" w14:textId="3DB9E813" w:rsidR="00D474E4" w:rsidRPr="00020716" w:rsidRDefault="00BC1C5D" w:rsidP="00201909">
            <w:pPr>
              <w:pStyle w:val="TableText"/>
              <w:rPr>
                <w:rFonts w:eastAsia="Times New Roman"/>
                <w:snapToGrid w:val="0"/>
              </w:rPr>
            </w:pPr>
            <w:r w:rsidRPr="00020716">
              <w:rPr>
                <w:rFonts w:eastAsia="Times New Roman"/>
                <w:snapToGrid w:val="0"/>
              </w:rPr>
              <w:t>Th</w:t>
            </w:r>
            <w:r w:rsidR="00C819DD">
              <w:rPr>
                <w:rFonts w:eastAsia="Times New Roman"/>
                <w:snapToGrid w:val="0"/>
              </w:rPr>
              <w:t>e</w:t>
            </w:r>
            <w:r w:rsidRPr="00020716">
              <w:rPr>
                <w:rFonts w:eastAsia="Times New Roman"/>
                <w:snapToGrid w:val="0"/>
              </w:rPr>
              <w:t xml:space="preserve"> one patient who had hyperacute rejection</w:t>
            </w:r>
            <w:r w:rsidR="00C819DD">
              <w:rPr>
                <w:rFonts w:eastAsia="Times New Roman"/>
                <w:snapToGrid w:val="0"/>
              </w:rPr>
              <w:t xml:space="preserve"> </w:t>
            </w:r>
            <w:r w:rsidRPr="00020716">
              <w:rPr>
                <w:rFonts w:eastAsia="Times New Roman"/>
                <w:snapToGrid w:val="0"/>
              </w:rPr>
              <w:t xml:space="preserve">was deemed a non-IgG mediated hyperacute </w:t>
            </w:r>
            <w:r w:rsidR="000A4330" w:rsidRPr="00020716">
              <w:rPr>
                <w:rFonts w:eastAsia="Times New Roman"/>
                <w:snapToGrid w:val="0"/>
              </w:rPr>
              <w:t>rejection and</w:t>
            </w:r>
            <w:r w:rsidRPr="00020716">
              <w:rPr>
                <w:rFonts w:eastAsia="Times New Roman"/>
                <w:snapToGrid w:val="0"/>
              </w:rPr>
              <w:t xml:space="preserve"> showed evidence of being IgM mediated. This patient is excluded in the AUS-UTT-A population due to the</w:t>
            </w:r>
            <w:r w:rsidR="000A4330">
              <w:rPr>
                <w:rFonts w:eastAsia="Times New Roman"/>
                <w:snapToGrid w:val="0"/>
              </w:rPr>
              <w:t>ir</w:t>
            </w:r>
            <w:r w:rsidRPr="00020716">
              <w:rPr>
                <w:rFonts w:eastAsia="Times New Roman"/>
                <w:snapToGrid w:val="0"/>
              </w:rPr>
              <w:t xml:space="preserve"> </w:t>
            </w:r>
            <w:proofErr w:type="spellStart"/>
            <w:r w:rsidRPr="00020716">
              <w:rPr>
                <w:rFonts w:eastAsia="Times New Roman"/>
                <w:snapToGrid w:val="0"/>
              </w:rPr>
              <w:t>cPRA</w:t>
            </w:r>
            <w:proofErr w:type="spellEnd"/>
            <w:r w:rsidRPr="00020716">
              <w:rPr>
                <w:rFonts w:eastAsia="Times New Roman"/>
                <w:snapToGrid w:val="0"/>
              </w:rPr>
              <w:t xml:space="preserve"> level</w:t>
            </w:r>
            <w:bookmarkEnd w:id="5"/>
            <w:r w:rsidR="00737AAB">
              <w:rPr>
                <w:rFonts w:eastAsia="Times New Roman"/>
                <w:snapToGrid w:val="0"/>
              </w:rPr>
              <w:t>.</w:t>
            </w:r>
          </w:p>
        </w:tc>
      </w:tr>
      <w:tr w:rsidR="00D474E4" w:rsidRPr="00020716" w14:paraId="26786692" w14:textId="77777777" w:rsidTr="00527717">
        <w:trPr>
          <w:cantSplit/>
        </w:trPr>
        <w:tc>
          <w:tcPr>
            <w:tcW w:w="862" w:type="pct"/>
            <w:tcBorders>
              <w:top w:val="nil"/>
              <w:bottom w:val="single" w:sz="4" w:space="0" w:color="auto"/>
            </w:tcBorders>
          </w:tcPr>
          <w:p w14:paraId="4AA29FFC" w14:textId="77777777" w:rsidR="00D474E4" w:rsidRPr="00020716" w:rsidRDefault="00D474E4" w:rsidP="00201909">
            <w:pPr>
              <w:pStyle w:val="TableText"/>
            </w:pPr>
          </w:p>
        </w:tc>
        <w:tc>
          <w:tcPr>
            <w:tcW w:w="1651" w:type="pct"/>
          </w:tcPr>
          <w:p w14:paraId="5BE05A3E" w14:textId="234E90E0" w:rsidR="00D474E4" w:rsidRPr="00020716" w:rsidRDefault="00BC1C5D" w:rsidP="00201909">
            <w:pPr>
              <w:pStyle w:val="TableText"/>
              <w:rPr>
                <w:rFonts w:eastAsia="Times New Roman"/>
                <w:snapToGrid w:val="0"/>
              </w:rPr>
            </w:pPr>
            <w:r w:rsidRPr="00020716">
              <w:rPr>
                <w:rFonts w:eastAsia="Times New Roman"/>
                <w:snapToGrid w:val="0"/>
              </w:rPr>
              <w:t>MSAC questioned the applicability of the clinical trial data to Australian kidney transplant patients</w:t>
            </w:r>
            <w:r w:rsidR="008A33BC">
              <w:rPr>
                <w:rFonts w:eastAsia="Times New Roman"/>
                <w:snapToGrid w:val="0"/>
              </w:rPr>
              <w:t xml:space="preserve"> (PSD, p.6)</w:t>
            </w:r>
            <w:r w:rsidRPr="00020716">
              <w:rPr>
                <w:rFonts w:eastAsia="Times New Roman"/>
                <w:snapToGrid w:val="0"/>
              </w:rPr>
              <w:t>.</w:t>
            </w:r>
          </w:p>
        </w:tc>
        <w:tc>
          <w:tcPr>
            <w:tcW w:w="2487" w:type="pct"/>
          </w:tcPr>
          <w:p w14:paraId="7E7B3719" w14:textId="77777777" w:rsidR="00BC1C5D" w:rsidRPr="00020716" w:rsidRDefault="00BC1C5D" w:rsidP="00BC1C5D">
            <w:pPr>
              <w:pStyle w:val="TableText"/>
              <w:rPr>
                <w:rFonts w:eastAsia="Times New Roman"/>
                <w:snapToGrid w:val="0"/>
              </w:rPr>
            </w:pPr>
            <w:r w:rsidRPr="00020716">
              <w:rPr>
                <w:rFonts w:eastAsia="Times New Roman"/>
                <w:snapToGrid w:val="0"/>
              </w:rPr>
              <w:t xml:space="preserve">Addressed. </w:t>
            </w:r>
          </w:p>
          <w:p w14:paraId="48F2D23E" w14:textId="2009053C" w:rsidR="00D474E4" w:rsidRPr="00020716" w:rsidRDefault="00926753" w:rsidP="00DE6163">
            <w:pPr>
              <w:pStyle w:val="TableText"/>
              <w:rPr>
                <w:rFonts w:eastAsia="Times New Roman"/>
                <w:snapToGrid w:val="0"/>
              </w:rPr>
            </w:pPr>
            <w:r>
              <w:rPr>
                <w:rFonts w:eastAsia="Times New Roman"/>
                <w:snapToGrid w:val="0"/>
              </w:rPr>
              <w:t>The applicant</w:t>
            </w:r>
            <w:r w:rsidR="00BC1C5D" w:rsidRPr="00020716">
              <w:rPr>
                <w:rFonts w:eastAsia="Times New Roman"/>
                <w:snapToGrid w:val="0"/>
              </w:rPr>
              <w:t xml:space="preserve"> asked </w:t>
            </w:r>
            <w:r w:rsidR="007D582E">
              <w:rPr>
                <w:rFonts w:eastAsia="Times New Roman"/>
                <w:snapToGrid w:val="0"/>
              </w:rPr>
              <w:t xml:space="preserve">Australian </w:t>
            </w:r>
            <w:r w:rsidR="007D582E" w:rsidRPr="00020716">
              <w:rPr>
                <w:rFonts w:eastAsia="Times New Roman"/>
                <w:snapToGrid w:val="0"/>
              </w:rPr>
              <w:t xml:space="preserve">transplant centres </w:t>
            </w:r>
            <w:r w:rsidR="00BC1C5D" w:rsidRPr="00020716">
              <w:rPr>
                <w:rFonts w:eastAsia="Times New Roman"/>
                <w:snapToGrid w:val="0"/>
              </w:rPr>
              <w:t xml:space="preserve">in the clinical survey if the trial results </w:t>
            </w:r>
            <w:r w:rsidR="00163614">
              <w:rPr>
                <w:rFonts w:eastAsia="Times New Roman"/>
                <w:snapToGrid w:val="0"/>
              </w:rPr>
              <w:t xml:space="preserve">were </w:t>
            </w:r>
            <w:r w:rsidR="00BC1C5D" w:rsidRPr="00020716">
              <w:rPr>
                <w:rFonts w:eastAsia="Times New Roman"/>
                <w:snapToGrid w:val="0"/>
              </w:rPr>
              <w:t>generalisable to the Australian population. Nine of 11</w:t>
            </w:r>
            <w:r w:rsidR="00DA43AB">
              <w:rPr>
                <w:rFonts w:eastAsia="Times New Roman"/>
                <w:snapToGrid w:val="0"/>
              </w:rPr>
              <w:t xml:space="preserve"> (81.8%)</w:t>
            </w:r>
            <w:r w:rsidR="00BC1C5D" w:rsidRPr="00020716">
              <w:rPr>
                <w:rFonts w:eastAsia="Times New Roman"/>
                <w:snapToGrid w:val="0"/>
              </w:rPr>
              <w:t xml:space="preserve"> responded yes</w:t>
            </w:r>
            <w:r w:rsidR="00DA43AB">
              <w:rPr>
                <w:rFonts w:eastAsia="Times New Roman"/>
                <w:snapToGrid w:val="0"/>
              </w:rPr>
              <w:t>; the</w:t>
            </w:r>
            <w:r w:rsidR="004F2463">
              <w:rPr>
                <w:rFonts w:eastAsia="Times New Roman"/>
                <w:snapToGrid w:val="0"/>
              </w:rPr>
              <w:t xml:space="preserve"> </w:t>
            </w:r>
            <w:r w:rsidR="00DA43AB">
              <w:rPr>
                <w:rFonts w:eastAsia="Times New Roman"/>
                <w:snapToGrid w:val="0"/>
              </w:rPr>
              <w:t>other 2 (</w:t>
            </w:r>
            <w:r w:rsidR="00D629BC">
              <w:rPr>
                <w:rFonts w:eastAsia="Times New Roman"/>
                <w:snapToGrid w:val="0"/>
              </w:rPr>
              <w:t>18.2%)</w:t>
            </w:r>
            <w:r w:rsidR="00DA43AB">
              <w:rPr>
                <w:rFonts w:eastAsia="Times New Roman"/>
                <w:snapToGrid w:val="0"/>
              </w:rPr>
              <w:t xml:space="preserve"> </w:t>
            </w:r>
            <w:r w:rsidR="00D629BC">
              <w:rPr>
                <w:rFonts w:eastAsia="Times New Roman"/>
                <w:snapToGrid w:val="0"/>
              </w:rPr>
              <w:t>responded</w:t>
            </w:r>
            <w:r w:rsidR="00BC1C5D" w:rsidRPr="00020716">
              <w:rPr>
                <w:rFonts w:eastAsia="Times New Roman"/>
                <w:snapToGrid w:val="0"/>
              </w:rPr>
              <w:t xml:space="preserve"> </w:t>
            </w:r>
            <w:r w:rsidR="00DE6163">
              <w:rPr>
                <w:rFonts w:eastAsia="Times New Roman"/>
                <w:snapToGrid w:val="0"/>
              </w:rPr>
              <w:t>‘</w:t>
            </w:r>
            <w:r w:rsidR="00BC1C5D" w:rsidRPr="00020716">
              <w:rPr>
                <w:rFonts w:eastAsia="Times New Roman"/>
                <w:snapToGrid w:val="0"/>
              </w:rPr>
              <w:t>unsure</w:t>
            </w:r>
            <w:r w:rsidR="00DE6163">
              <w:rPr>
                <w:rFonts w:eastAsia="Times New Roman"/>
                <w:snapToGrid w:val="0"/>
              </w:rPr>
              <w:t>’</w:t>
            </w:r>
            <w:r w:rsidR="00EB5BE7">
              <w:rPr>
                <w:rFonts w:eastAsia="Times New Roman"/>
                <w:snapToGrid w:val="0"/>
              </w:rPr>
              <w:t>.</w:t>
            </w:r>
            <w:r w:rsidR="00BC1C5D" w:rsidRPr="00020716">
              <w:rPr>
                <w:rFonts w:eastAsia="Times New Roman"/>
                <w:snapToGrid w:val="0"/>
              </w:rPr>
              <w:t xml:space="preserve"> No respondents said the results were not generalisable</w:t>
            </w:r>
            <w:r w:rsidR="00DE6163">
              <w:rPr>
                <w:rFonts w:eastAsia="Times New Roman"/>
                <w:snapToGrid w:val="0"/>
              </w:rPr>
              <w:t>.</w:t>
            </w:r>
          </w:p>
        </w:tc>
      </w:tr>
      <w:tr w:rsidR="00020716" w:rsidRPr="00020716" w14:paraId="2ACA4F7E" w14:textId="77777777" w:rsidTr="00527717">
        <w:trPr>
          <w:cantSplit/>
        </w:trPr>
        <w:tc>
          <w:tcPr>
            <w:tcW w:w="862" w:type="pct"/>
            <w:tcBorders>
              <w:bottom w:val="single" w:sz="4" w:space="0" w:color="auto"/>
            </w:tcBorders>
          </w:tcPr>
          <w:p w14:paraId="4B9ADFEC" w14:textId="34540549" w:rsidR="00020716" w:rsidRPr="00020716" w:rsidRDefault="00020716" w:rsidP="00201909">
            <w:pPr>
              <w:pStyle w:val="TableText"/>
            </w:pPr>
            <w:r w:rsidRPr="00020716">
              <w:t>Cost effectiveness</w:t>
            </w:r>
          </w:p>
        </w:tc>
        <w:tc>
          <w:tcPr>
            <w:tcW w:w="1651" w:type="pct"/>
          </w:tcPr>
          <w:p w14:paraId="0F8D4990" w14:textId="29594D1E" w:rsidR="00020716" w:rsidRPr="00020716" w:rsidRDefault="00020716" w:rsidP="00201909">
            <w:pPr>
              <w:pStyle w:val="TableText"/>
              <w:rPr>
                <w:rFonts w:eastAsia="Times New Roman"/>
                <w:snapToGrid w:val="0"/>
              </w:rPr>
            </w:pPr>
            <w:r w:rsidRPr="00020716">
              <w:rPr>
                <w:rFonts w:eastAsia="Times New Roman"/>
                <w:snapToGrid w:val="0"/>
              </w:rPr>
              <w:t>MSAC noted</w:t>
            </w:r>
            <w:r w:rsidR="000C2393">
              <w:rPr>
                <w:rFonts w:eastAsia="Times New Roman"/>
                <w:snapToGrid w:val="0"/>
              </w:rPr>
              <w:t xml:space="preserve"> the economic model </w:t>
            </w:r>
            <w:r w:rsidRPr="00020716">
              <w:rPr>
                <w:rFonts w:eastAsia="Times New Roman"/>
                <w:snapToGrid w:val="0"/>
              </w:rPr>
              <w:t>did not consider displacement in the context of a fixed and limited resource</w:t>
            </w:r>
            <w:r w:rsidR="000C2393">
              <w:rPr>
                <w:rFonts w:eastAsia="Times New Roman"/>
                <w:snapToGrid w:val="0"/>
              </w:rPr>
              <w:t xml:space="preserve"> (PSD, p.6).</w:t>
            </w:r>
          </w:p>
        </w:tc>
        <w:tc>
          <w:tcPr>
            <w:tcW w:w="2487" w:type="pct"/>
          </w:tcPr>
          <w:p w14:paraId="3A4BD136" w14:textId="77777777" w:rsidR="00020716" w:rsidRPr="00020716" w:rsidRDefault="00020716" w:rsidP="00201909">
            <w:pPr>
              <w:pStyle w:val="TableText"/>
              <w:rPr>
                <w:rFonts w:eastAsia="Times New Roman"/>
              </w:rPr>
            </w:pPr>
            <w:r w:rsidRPr="00020716">
              <w:rPr>
                <w:rFonts w:eastAsia="Times New Roman"/>
              </w:rPr>
              <w:t>Addressed.</w:t>
            </w:r>
          </w:p>
          <w:p w14:paraId="2CED6862" w14:textId="6211B4FA" w:rsidR="00020716" w:rsidRPr="000A74F2" w:rsidRDefault="00020716" w:rsidP="000A74F2">
            <w:pPr>
              <w:pStyle w:val="TableText"/>
              <w:rPr>
                <w:rFonts w:eastAsia="Times New Roman"/>
              </w:rPr>
            </w:pPr>
            <w:r w:rsidRPr="00020716">
              <w:rPr>
                <w:rFonts w:eastAsia="Times New Roman"/>
              </w:rPr>
              <w:t>A scenario was added in the cost-effectiveness model to account for displacement.</w:t>
            </w:r>
          </w:p>
        </w:tc>
      </w:tr>
      <w:tr w:rsidR="002755D6" w:rsidRPr="00020716" w14:paraId="60FE9D0C" w14:textId="77777777" w:rsidTr="00527717">
        <w:trPr>
          <w:cantSplit/>
        </w:trPr>
        <w:tc>
          <w:tcPr>
            <w:tcW w:w="862" w:type="pct"/>
            <w:tcBorders>
              <w:top w:val="single" w:sz="4" w:space="0" w:color="auto"/>
            </w:tcBorders>
          </w:tcPr>
          <w:p w14:paraId="1C052986" w14:textId="4BBB5855" w:rsidR="002755D6" w:rsidRPr="00020716" w:rsidRDefault="002755D6" w:rsidP="002755D6">
            <w:pPr>
              <w:pStyle w:val="TableText"/>
            </w:pPr>
          </w:p>
        </w:tc>
        <w:tc>
          <w:tcPr>
            <w:tcW w:w="1651" w:type="pct"/>
          </w:tcPr>
          <w:p w14:paraId="0D16B16E" w14:textId="6DEB519B" w:rsidR="002755D6" w:rsidRPr="00020716" w:rsidRDefault="002755D6" w:rsidP="002755D6">
            <w:pPr>
              <w:pStyle w:val="TableText"/>
              <w:rPr>
                <w:rFonts w:eastAsia="Times New Roman"/>
                <w:snapToGrid w:val="0"/>
              </w:rPr>
            </w:pPr>
            <w:r>
              <w:rPr>
                <w:rFonts w:eastAsia="Times New Roman"/>
                <w:snapToGrid w:val="0"/>
              </w:rPr>
              <w:t>MSAC noted the economic</w:t>
            </w:r>
            <w:r w:rsidRPr="00020716">
              <w:rPr>
                <w:rFonts w:eastAsia="Times New Roman"/>
                <w:snapToGrid w:val="0"/>
              </w:rPr>
              <w:t xml:space="preserve"> model underestimated the probability of transplantation without imlifidase treatment; the </w:t>
            </w:r>
            <w:r>
              <w:rPr>
                <w:rFonts w:eastAsia="Times New Roman"/>
                <w:snapToGrid w:val="0"/>
              </w:rPr>
              <w:t>a</w:t>
            </w:r>
            <w:r w:rsidRPr="00020716">
              <w:rPr>
                <w:rFonts w:eastAsia="Times New Roman"/>
                <w:snapToGrid w:val="0"/>
              </w:rPr>
              <w:t xml:space="preserve">pplicant estimated this as 5% per year, but the </w:t>
            </w:r>
            <w:r>
              <w:rPr>
                <w:rFonts w:eastAsia="Times New Roman"/>
                <w:snapToGrid w:val="0"/>
              </w:rPr>
              <w:t>assessment group</w:t>
            </w:r>
            <w:r w:rsidRPr="00020716">
              <w:rPr>
                <w:rFonts w:eastAsia="Times New Roman"/>
                <w:snapToGrid w:val="0"/>
              </w:rPr>
              <w:t xml:space="preserve"> noted that data from the ANZ</w:t>
            </w:r>
            <w:r>
              <w:rPr>
                <w:rFonts w:eastAsia="Times New Roman"/>
                <w:snapToGrid w:val="0"/>
              </w:rPr>
              <w:t xml:space="preserve">KX </w:t>
            </w:r>
            <w:r w:rsidRPr="00020716">
              <w:rPr>
                <w:rFonts w:eastAsia="Times New Roman"/>
                <w:snapToGrid w:val="0"/>
              </w:rPr>
              <w:t>indicated a higher rate (e.g. 19.6% by the second year of the projected time horizon)</w:t>
            </w:r>
            <w:r>
              <w:rPr>
                <w:rFonts w:eastAsia="Times New Roman"/>
                <w:snapToGrid w:val="0"/>
              </w:rPr>
              <w:t xml:space="preserve"> (PSD, p.6).</w:t>
            </w:r>
          </w:p>
        </w:tc>
        <w:tc>
          <w:tcPr>
            <w:tcW w:w="2487" w:type="pct"/>
          </w:tcPr>
          <w:p w14:paraId="77A68E8F" w14:textId="77777777" w:rsidR="002755D6" w:rsidRPr="00020716" w:rsidRDefault="002755D6" w:rsidP="002755D6">
            <w:pPr>
              <w:pStyle w:val="TableText"/>
              <w:rPr>
                <w:rFonts w:eastAsia="Times New Roman"/>
              </w:rPr>
            </w:pPr>
            <w:r w:rsidRPr="00020716">
              <w:rPr>
                <w:rFonts w:eastAsia="Times New Roman"/>
              </w:rPr>
              <w:t>Addressed.</w:t>
            </w:r>
          </w:p>
          <w:p w14:paraId="3AA181D5" w14:textId="151A8A98" w:rsidR="002755D6" w:rsidRPr="00020716" w:rsidRDefault="002755D6" w:rsidP="002755D6">
            <w:pPr>
              <w:pStyle w:val="TableText"/>
              <w:rPr>
                <w:rFonts w:eastAsia="Times New Roman"/>
              </w:rPr>
            </w:pPr>
            <w:r>
              <w:t>The applicant obtained data from OrganMatch to better estimate the probability of transplantation without imlifidase in the model. Based on these data, a constant annual transplant rate of 13% was adopted in the current care arm of the model.</w:t>
            </w:r>
          </w:p>
        </w:tc>
      </w:tr>
      <w:tr w:rsidR="009A7505" w:rsidRPr="00020716" w14:paraId="507EAC86" w14:textId="77777777" w:rsidTr="005B5F4D">
        <w:trPr>
          <w:cantSplit/>
        </w:trPr>
        <w:tc>
          <w:tcPr>
            <w:tcW w:w="862" w:type="pct"/>
            <w:tcBorders>
              <w:top w:val="single" w:sz="4" w:space="0" w:color="auto"/>
            </w:tcBorders>
          </w:tcPr>
          <w:p w14:paraId="211347DF" w14:textId="77777777" w:rsidR="009A7505" w:rsidRPr="00020716" w:rsidRDefault="009A7505" w:rsidP="002755D6">
            <w:pPr>
              <w:pStyle w:val="TableText"/>
            </w:pPr>
          </w:p>
        </w:tc>
        <w:tc>
          <w:tcPr>
            <w:tcW w:w="1651" w:type="pct"/>
          </w:tcPr>
          <w:p w14:paraId="7BB8FBB1" w14:textId="0C901635" w:rsidR="009A7505" w:rsidRDefault="0069156C" w:rsidP="002755D6">
            <w:pPr>
              <w:pStyle w:val="TableText"/>
              <w:rPr>
                <w:rFonts w:eastAsia="Times New Roman"/>
                <w:snapToGrid w:val="0"/>
              </w:rPr>
            </w:pPr>
            <w:r>
              <w:rPr>
                <w:rFonts w:eastAsia="Times New Roman"/>
                <w:snapToGrid w:val="0"/>
              </w:rPr>
              <w:t xml:space="preserve">MSAC advised the resubmission should revise </w:t>
            </w:r>
            <w:r w:rsidR="00754003">
              <w:rPr>
                <w:rFonts w:eastAsia="Times New Roman"/>
                <w:snapToGrid w:val="0"/>
              </w:rPr>
              <w:t xml:space="preserve">the economic model </w:t>
            </w:r>
            <w:r w:rsidR="00EE36FF">
              <w:rPr>
                <w:rFonts w:eastAsia="Times New Roman"/>
                <w:snapToGrid w:val="0"/>
              </w:rPr>
              <w:t xml:space="preserve">including clinical data </w:t>
            </w:r>
            <w:r w:rsidR="00BB5D52">
              <w:rPr>
                <w:rFonts w:eastAsia="Times New Roman"/>
                <w:snapToGrid w:val="0"/>
              </w:rPr>
              <w:t>to fit the new proposed population</w:t>
            </w:r>
            <w:r w:rsidR="007C50B6">
              <w:rPr>
                <w:rFonts w:eastAsia="Times New Roman"/>
                <w:snapToGrid w:val="0"/>
              </w:rPr>
              <w:t xml:space="preserve"> and </w:t>
            </w:r>
            <w:r w:rsidR="00934C8B">
              <w:rPr>
                <w:rFonts w:eastAsia="Times New Roman"/>
                <w:snapToGrid w:val="0"/>
              </w:rPr>
              <w:t>using revised comparators</w:t>
            </w:r>
            <w:r w:rsidR="00BC73E4">
              <w:rPr>
                <w:rFonts w:eastAsia="Times New Roman"/>
                <w:snapToGrid w:val="0"/>
              </w:rPr>
              <w:t xml:space="preserve"> (PSD, p</w:t>
            </w:r>
            <w:r w:rsidR="00804A22">
              <w:rPr>
                <w:rFonts w:eastAsia="Times New Roman"/>
                <w:snapToGrid w:val="0"/>
              </w:rPr>
              <w:t>. 9)</w:t>
            </w:r>
            <w:r w:rsidR="00934C8B">
              <w:rPr>
                <w:rFonts w:eastAsia="Times New Roman"/>
                <w:snapToGrid w:val="0"/>
              </w:rPr>
              <w:t>.</w:t>
            </w:r>
          </w:p>
        </w:tc>
        <w:tc>
          <w:tcPr>
            <w:tcW w:w="2487" w:type="pct"/>
          </w:tcPr>
          <w:p w14:paraId="59CEA19E" w14:textId="77777777" w:rsidR="009A7505" w:rsidRDefault="00D04E61" w:rsidP="002755D6">
            <w:pPr>
              <w:pStyle w:val="TableText"/>
              <w:rPr>
                <w:rFonts w:eastAsia="Times New Roman"/>
              </w:rPr>
            </w:pPr>
            <w:r>
              <w:rPr>
                <w:rFonts w:eastAsia="Times New Roman"/>
              </w:rPr>
              <w:t>Partially addressed.</w:t>
            </w:r>
          </w:p>
          <w:p w14:paraId="0132863D" w14:textId="4CD9680E" w:rsidR="00A547B1" w:rsidRDefault="004F7AF8" w:rsidP="002755D6">
            <w:pPr>
              <w:pStyle w:val="TableText"/>
              <w:rPr>
                <w:rFonts w:eastAsia="Times New Roman"/>
              </w:rPr>
            </w:pPr>
            <w:r w:rsidRPr="004F7AF8">
              <w:rPr>
                <w:rFonts w:eastAsia="Times New Roman"/>
              </w:rPr>
              <w:t xml:space="preserve">Data from the pooled AUS-UTT-A population </w:t>
            </w:r>
            <w:r w:rsidR="002E5089">
              <w:rPr>
                <w:rFonts w:eastAsia="Times New Roman"/>
              </w:rPr>
              <w:t>was</w:t>
            </w:r>
            <w:r w:rsidRPr="004F7AF8">
              <w:rPr>
                <w:rFonts w:eastAsia="Times New Roman"/>
              </w:rPr>
              <w:t xml:space="preserve"> used </w:t>
            </w:r>
            <w:r w:rsidR="00185A06">
              <w:rPr>
                <w:rFonts w:eastAsia="Times New Roman"/>
              </w:rPr>
              <w:t>in the resubmission base case</w:t>
            </w:r>
            <w:r w:rsidRPr="004F7AF8">
              <w:rPr>
                <w:rFonts w:eastAsia="Times New Roman"/>
              </w:rPr>
              <w:t xml:space="preserve">. </w:t>
            </w:r>
            <w:r w:rsidR="00185A06">
              <w:rPr>
                <w:rFonts w:eastAsia="Times New Roman"/>
              </w:rPr>
              <w:t>This</w:t>
            </w:r>
            <w:r w:rsidRPr="004F7AF8">
              <w:rPr>
                <w:rFonts w:eastAsia="Times New Roman"/>
              </w:rPr>
              <w:t xml:space="preserve"> group better reflects the proposed population</w:t>
            </w:r>
            <w:r w:rsidR="002B11F5">
              <w:rPr>
                <w:rFonts w:eastAsia="Times New Roman"/>
              </w:rPr>
              <w:t xml:space="preserve"> than the all-transplanted population</w:t>
            </w:r>
            <w:r w:rsidR="00C76570">
              <w:rPr>
                <w:rFonts w:eastAsia="Times New Roman"/>
              </w:rPr>
              <w:t xml:space="preserve">; </w:t>
            </w:r>
            <w:r w:rsidR="006F2792">
              <w:rPr>
                <w:rFonts w:eastAsia="Times New Roman"/>
              </w:rPr>
              <w:t>however,</w:t>
            </w:r>
            <w:r w:rsidR="00C76570">
              <w:rPr>
                <w:rFonts w:eastAsia="Times New Roman"/>
              </w:rPr>
              <w:t xml:space="preserve"> </w:t>
            </w:r>
            <w:r w:rsidR="00147D22">
              <w:rPr>
                <w:rFonts w:eastAsia="Times New Roman"/>
              </w:rPr>
              <w:t>it does not directly align (</w:t>
            </w:r>
            <w:r w:rsidR="00DF07D0" w:rsidRPr="00DF07D0">
              <w:rPr>
                <w:rFonts w:eastAsia="Times New Roman"/>
              </w:rPr>
              <w:t xml:space="preserve">only patients who had been receiving dialysis for ≥2 years prior to DD or LD transplant </w:t>
            </w:r>
            <w:r w:rsidR="00AF20BF">
              <w:rPr>
                <w:rFonts w:eastAsia="Times New Roman"/>
              </w:rPr>
              <w:t>are</w:t>
            </w:r>
            <w:r w:rsidR="00DF07D0" w:rsidRPr="00DF07D0">
              <w:rPr>
                <w:rFonts w:eastAsia="Times New Roman"/>
              </w:rPr>
              <w:t xml:space="preserve"> included</w:t>
            </w:r>
            <w:r w:rsidR="00DF07D0">
              <w:rPr>
                <w:rFonts w:eastAsia="Times New Roman"/>
              </w:rPr>
              <w:t xml:space="preserve">). </w:t>
            </w:r>
          </w:p>
          <w:p w14:paraId="029CB2A9" w14:textId="6E5A6220" w:rsidR="00715368" w:rsidRPr="00020716" w:rsidRDefault="00715368" w:rsidP="002755D6">
            <w:pPr>
              <w:pStyle w:val="TableText"/>
              <w:rPr>
                <w:rFonts w:eastAsia="Times New Roman"/>
              </w:rPr>
            </w:pPr>
            <w:r>
              <w:rPr>
                <w:rFonts w:eastAsia="Times New Roman"/>
              </w:rPr>
              <w:t xml:space="preserve">While the applicant </w:t>
            </w:r>
            <w:r w:rsidRPr="00715368">
              <w:rPr>
                <w:rFonts w:eastAsia="Times New Roman"/>
              </w:rPr>
              <w:t>acknowledged MSAC’s recommendatio</w:t>
            </w:r>
            <w:r>
              <w:rPr>
                <w:rFonts w:eastAsia="Times New Roman"/>
              </w:rPr>
              <w:t>n to revise the comparators</w:t>
            </w:r>
            <w:r w:rsidRPr="00715368">
              <w:rPr>
                <w:rFonts w:eastAsia="Times New Roman"/>
              </w:rPr>
              <w:t>, they argued</w:t>
            </w:r>
            <w:r w:rsidR="00581A0C">
              <w:rPr>
                <w:rFonts w:eastAsia="Times New Roman"/>
              </w:rPr>
              <w:t xml:space="preserve"> that </w:t>
            </w:r>
            <w:r w:rsidR="00581A0C" w:rsidRPr="00715368">
              <w:rPr>
                <w:rFonts w:eastAsia="Times New Roman"/>
              </w:rPr>
              <w:t>dialysis until a transplant becomes available</w:t>
            </w:r>
            <w:r w:rsidR="00581A0C">
              <w:rPr>
                <w:rFonts w:eastAsia="Times New Roman"/>
              </w:rPr>
              <w:t xml:space="preserve"> should be retained as the </w:t>
            </w:r>
            <w:r w:rsidRPr="00715368">
              <w:rPr>
                <w:rFonts w:eastAsia="Times New Roman"/>
              </w:rPr>
              <w:t>comparator, providing evidence from a survey of adult kidney transplant centres in support of their position</w:t>
            </w:r>
            <w:r w:rsidR="003C27EB">
              <w:rPr>
                <w:rFonts w:eastAsia="Times New Roman"/>
              </w:rPr>
              <w:t xml:space="preserve"> (see above)</w:t>
            </w:r>
            <w:r w:rsidRPr="00715368">
              <w:rPr>
                <w:rFonts w:eastAsia="Times New Roman"/>
              </w:rPr>
              <w:t>.</w:t>
            </w:r>
          </w:p>
        </w:tc>
      </w:tr>
      <w:tr w:rsidR="00DC592D" w:rsidRPr="00020716" w14:paraId="521411AF" w14:textId="77777777" w:rsidTr="005B5F4D">
        <w:trPr>
          <w:cantSplit/>
        </w:trPr>
        <w:tc>
          <w:tcPr>
            <w:tcW w:w="862" w:type="pct"/>
            <w:tcBorders>
              <w:top w:val="single" w:sz="4" w:space="0" w:color="auto"/>
            </w:tcBorders>
          </w:tcPr>
          <w:p w14:paraId="74B492AC" w14:textId="77777777" w:rsidR="00DC592D" w:rsidRPr="00020716" w:rsidRDefault="00DC592D" w:rsidP="002755D6">
            <w:pPr>
              <w:pStyle w:val="TableText"/>
            </w:pPr>
          </w:p>
        </w:tc>
        <w:tc>
          <w:tcPr>
            <w:tcW w:w="1651" w:type="pct"/>
          </w:tcPr>
          <w:p w14:paraId="4E6BD448" w14:textId="16AE982E" w:rsidR="00DC592D" w:rsidRDefault="00DC592D" w:rsidP="002755D6">
            <w:pPr>
              <w:pStyle w:val="TableText"/>
              <w:rPr>
                <w:rFonts w:eastAsia="Times New Roman"/>
                <w:snapToGrid w:val="0"/>
              </w:rPr>
            </w:pPr>
            <w:r>
              <w:rPr>
                <w:rFonts w:eastAsia="Times New Roman"/>
                <w:snapToGrid w:val="0"/>
              </w:rPr>
              <w:t xml:space="preserve">MSAC </w:t>
            </w:r>
            <w:r w:rsidR="00BC73E4">
              <w:rPr>
                <w:rFonts w:eastAsia="Times New Roman"/>
                <w:snapToGrid w:val="0"/>
              </w:rPr>
              <w:t xml:space="preserve">advised </w:t>
            </w:r>
            <w:r w:rsidR="008C32A5">
              <w:rPr>
                <w:rFonts w:eastAsia="Times New Roman"/>
                <w:snapToGrid w:val="0"/>
              </w:rPr>
              <w:t xml:space="preserve">the </w:t>
            </w:r>
            <w:r w:rsidR="00F05469">
              <w:rPr>
                <w:rFonts w:eastAsia="Times New Roman"/>
                <w:snapToGrid w:val="0"/>
              </w:rPr>
              <w:t xml:space="preserve">economic model should be revised </w:t>
            </w:r>
            <w:r w:rsidR="00E93AC6">
              <w:rPr>
                <w:rFonts w:eastAsia="Times New Roman"/>
                <w:snapToGrid w:val="0"/>
              </w:rPr>
              <w:t>considering</w:t>
            </w:r>
            <w:r w:rsidR="00BC0093">
              <w:rPr>
                <w:rFonts w:eastAsia="Times New Roman"/>
                <w:snapToGrid w:val="0"/>
              </w:rPr>
              <w:t xml:space="preserve"> </w:t>
            </w:r>
            <w:r w:rsidR="00621BF0">
              <w:rPr>
                <w:rFonts w:eastAsia="Times New Roman"/>
                <w:snapToGrid w:val="0"/>
              </w:rPr>
              <w:t xml:space="preserve">potential </w:t>
            </w:r>
            <w:r w:rsidR="00EA1FCF">
              <w:rPr>
                <w:rFonts w:eastAsia="Times New Roman"/>
                <w:snapToGrid w:val="0"/>
              </w:rPr>
              <w:t xml:space="preserve">differentiation </w:t>
            </w:r>
            <w:r w:rsidR="009A719A">
              <w:rPr>
                <w:rFonts w:eastAsia="Times New Roman"/>
                <w:snapToGrid w:val="0"/>
              </w:rPr>
              <w:t xml:space="preserve">between patients on LD and DD </w:t>
            </w:r>
            <w:r w:rsidR="004A2E3F">
              <w:rPr>
                <w:rFonts w:eastAsia="Times New Roman"/>
                <w:snapToGrid w:val="0"/>
              </w:rPr>
              <w:t>waitlist</w:t>
            </w:r>
            <w:r w:rsidR="009A719A">
              <w:rPr>
                <w:rFonts w:eastAsia="Times New Roman"/>
                <w:snapToGrid w:val="0"/>
              </w:rPr>
              <w:t xml:space="preserve">s </w:t>
            </w:r>
            <w:r w:rsidR="00DC1FEE">
              <w:rPr>
                <w:rFonts w:eastAsia="Times New Roman"/>
                <w:snapToGrid w:val="0"/>
              </w:rPr>
              <w:t xml:space="preserve">after </w:t>
            </w:r>
            <w:r w:rsidR="00E93AC6">
              <w:rPr>
                <w:rFonts w:eastAsia="Times New Roman"/>
                <w:snapToGrid w:val="0"/>
              </w:rPr>
              <w:t>taking account of</w:t>
            </w:r>
            <w:r w:rsidR="00DC1FEE">
              <w:rPr>
                <w:rFonts w:eastAsia="Times New Roman"/>
                <w:snapToGrid w:val="0"/>
              </w:rPr>
              <w:t xml:space="preserve"> different comparators (PSD, p.8).</w:t>
            </w:r>
          </w:p>
        </w:tc>
        <w:tc>
          <w:tcPr>
            <w:tcW w:w="2487" w:type="pct"/>
          </w:tcPr>
          <w:p w14:paraId="6D7C6A5E" w14:textId="77777777" w:rsidR="00385051" w:rsidRDefault="00385051" w:rsidP="00385051">
            <w:pPr>
              <w:pStyle w:val="TableText"/>
              <w:rPr>
                <w:rFonts w:eastAsia="Times New Roman"/>
              </w:rPr>
            </w:pPr>
            <w:r>
              <w:rPr>
                <w:rFonts w:eastAsia="Times New Roman"/>
              </w:rPr>
              <w:t>Partially addressed.</w:t>
            </w:r>
          </w:p>
          <w:p w14:paraId="1BED1414" w14:textId="77777777" w:rsidR="00DC592D" w:rsidRDefault="00E93AC6" w:rsidP="002755D6">
            <w:pPr>
              <w:pStyle w:val="TableText"/>
              <w:rPr>
                <w:rFonts w:eastAsia="Times New Roman"/>
              </w:rPr>
            </w:pPr>
            <w:r>
              <w:rPr>
                <w:rFonts w:eastAsia="Times New Roman"/>
              </w:rPr>
              <w:t xml:space="preserve">The </w:t>
            </w:r>
            <w:r w:rsidR="00C975B1">
              <w:rPr>
                <w:rFonts w:eastAsia="Times New Roman"/>
              </w:rPr>
              <w:t xml:space="preserve">comparator </w:t>
            </w:r>
            <w:r w:rsidR="00CE632B">
              <w:rPr>
                <w:rFonts w:eastAsia="Times New Roman"/>
              </w:rPr>
              <w:t>‘dialysis until a transplant becomes available’ was retained as the comparator for both LD and DD recipients (see above).</w:t>
            </w:r>
          </w:p>
          <w:p w14:paraId="19BBBB7B" w14:textId="5F62A833" w:rsidR="00274691" w:rsidRDefault="00274691" w:rsidP="002755D6">
            <w:pPr>
              <w:pStyle w:val="TableText"/>
              <w:rPr>
                <w:rFonts w:eastAsia="Times New Roman"/>
              </w:rPr>
            </w:pPr>
            <w:r>
              <w:rPr>
                <w:rFonts w:eastAsia="Times New Roman"/>
              </w:rPr>
              <w:t xml:space="preserve">Different </w:t>
            </w:r>
            <w:r w:rsidR="009506BA">
              <w:rPr>
                <w:rFonts w:eastAsia="Times New Roman"/>
              </w:rPr>
              <w:t>ICERs for LD and DD recipients were not included in the ADAR</w:t>
            </w:r>
            <w:r w:rsidR="00F5302D">
              <w:rPr>
                <w:rFonts w:eastAsia="Times New Roman"/>
              </w:rPr>
              <w:t>; however, d</w:t>
            </w:r>
            <w:r w:rsidR="009506BA">
              <w:rPr>
                <w:rFonts w:eastAsia="Times New Roman"/>
              </w:rPr>
              <w:t xml:space="preserve">ifferences between LD and DD recipients </w:t>
            </w:r>
            <w:r w:rsidR="007900F8">
              <w:rPr>
                <w:rFonts w:eastAsia="Times New Roman"/>
              </w:rPr>
              <w:t>regarding</w:t>
            </w:r>
            <w:r w:rsidR="009506BA">
              <w:rPr>
                <w:rFonts w:eastAsia="Times New Roman"/>
              </w:rPr>
              <w:t xml:space="preserve"> </w:t>
            </w:r>
            <w:r w:rsidR="00E85044">
              <w:rPr>
                <w:rFonts w:eastAsia="Times New Roman"/>
              </w:rPr>
              <w:t>spillovers</w:t>
            </w:r>
            <w:r w:rsidR="004741BD">
              <w:rPr>
                <w:rFonts w:eastAsia="Times New Roman"/>
              </w:rPr>
              <w:t xml:space="preserve"> (included in the spillover scenario) were captured</w:t>
            </w:r>
            <w:r w:rsidR="001A7BEF">
              <w:rPr>
                <w:rFonts w:eastAsia="Times New Roman"/>
              </w:rPr>
              <w:t>.</w:t>
            </w:r>
          </w:p>
        </w:tc>
      </w:tr>
      <w:tr w:rsidR="002755D6" w:rsidRPr="00020716" w14:paraId="7AD25B26" w14:textId="77777777" w:rsidTr="001A45AA">
        <w:trPr>
          <w:cantSplit/>
        </w:trPr>
        <w:tc>
          <w:tcPr>
            <w:tcW w:w="862" w:type="pct"/>
          </w:tcPr>
          <w:p w14:paraId="2E587116" w14:textId="36439ABF" w:rsidR="002755D6" w:rsidRPr="00020716" w:rsidRDefault="002755D6" w:rsidP="002755D6">
            <w:pPr>
              <w:pStyle w:val="TableText"/>
            </w:pPr>
            <w:r w:rsidRPr="00020716">
              <w:lastRenderedPageBreak/>
              <w:t xml:space="preserve">Cost effectiveness/ </w:t>
            </w:r>
            <w:r>
              <w:t>b</w:t>
            </w:r>
            <w:r w:rsidRPr="00020716">
              <w:t xml:space="preserve">udget </w:t>
            </w:r>
            <w:r w:rsidR="0038531C">
              <w:t>i</w:t>
            </w:r>
            <w:r w:rsidRPr="00020716">
              <w:t xml:space="preserve">mpact </w:t>
            </w:r>
          </w:p>
        </w:tc>
        <w:tc>
          <w:tcPr>
            <w:tcW w:w="1651" w:type="pct"/>
          </w:tcPr>
          <w:p w14:paraId="5223F589" w14:textId="0988635D" w:rsidR="002755D6" w:rsidRPr="00020716" w:rsidRDefault="002755D6" w:rsidP="002755D6">
            <w:pPr>
              <w:pStyle w:val="TableText"/>
              <w:rPr>
                <w:rFonts w:eastAsia="Times New Roman"/>
                <w:snapToGrid w:val="0"/>
              </w:rPr>
            </w:pPr>
            <w:r w:rsidRPr="00020716">
              <w:rPr>
                <w:rFonts w:eastAsia="Times New Roman"/>
                <w:snapToGrid w:val="0"/>
              </w:rPr>
              <w:t xml:space="preserve">MSAC noted </w:t>
            </w:r>
            <w:r>
              <w:rPr>
                <w:rFonts w:eastAsia="Times New Roman"/>
                <w:snapToGrid w:val="0"/>
              </w:rPr>
              <w:t xml:space="preserve">the economic model had </w:t>
            </w:r>
            <w:r w:rsidRPr="00020716">
              <w:rPr>
                <w:rFonts w:eastAsia="Times New Roman"/>
                <w:snapToGrid w:val="0"/>
              </w:rPr>
              <w:t>incomplete costs for a complex implementation as it did not include the cost of extra immunological tests and increased staffing requirements and delayed or potentially no transplantation outcomes in some cases</w:t>
            </w:r>
            <w:r>
              <w:rPr>
                <w:rFonts w:eastAsia="Times New Roman"/>
                <w:snapToGrid w:val="0"/>
              </w:rPr>
              <w:t xml:space="preserve"> (PSD, p.6).</w:t>
            </w:r>
          </w:p>
          <w:p w14:paraId="488F635C" w14:textId="38794E88" w:rsidR="002755D6" w:rsidRPr="00020716" w:rsidRDefault="002755D6" w:rsidP="002755D6">
            <w:pPr>
              <w:pStyle w:val="TableText"/>
              <w:rPr>
                <w:rFonts w:eastAsia="Times New Roman"/>
                <w:snapToGrid w:val="0"/>
              </w:rPr>
            </w:pPr>
            <w:r w:rsidRPr="00020716">
              <w:rPr>
                <w:rFonts w:eastAsia="Times New Roman"/>
                <w:snapToGrid w:val="0"/>
              </w:rPr>
              <w:t xml:space="preserve">MSAC noted </w:t>
            </w:r>
            <w:r>
              <w:rPr>
                <w:rFonts w:eastAsia="Times New Roman"/>
                <w:snapToGrid w:val="0"/>
              </w:rPr>
              <w:t>there are</w:t>
            </w:r>
            <w:r w:rsidRPr="00020716">
              <w:rPr>
                <w:rFonts w:eastAsia="Times New Roman"/>
                <w:snapToGrid w:val="0"/>
              </w:rPr>
              <w:t xml:space="preserve"> implementation issues and costs that need to be considered and included in the model, including more immunological testing</w:t>
            </w:r>
            <w:r w:rsidR="00165269">
              <w:rPr>
                <w:rFonts w:eastAsia="Times New Roman"/>
                <w:snapToGrid w:val="0"/>
              </w:rPr>
              <w:t xml:space="preserve">, </w:t>
            </w:r>
            <w:r w:rsidR="00165269" w:rsidRPr="00F5302D">
              <w:rPr>
                <w:rFonts w:eastAsia="Times New Roman"/>
                <w:iCs/>
                <w:snapToGrid w:val="0"/>
              </w:rPr>
              <w:t>delayed DD transplantation, infusion, and</w:t>
            </w:r>
            <w:r w:rsidR="00165269">
              <w:rPr>
                <w:rFonts w:eastAsia="Times New Roman"/>
                <w:snapToGrid w:val="0"/>
              </w:rPr>
              <w:t xml:space="preserve"> the possibility of no transplantation post infusion</w:t>
            </w:r>
            <w:r>
              <w:rPr>
                <w:rFonts w:eastAsia="Times New Roman"/>
                <w:snapToGrid w:val="0"/>
              </w:rPr>
              <w:t xml:space="preserve"> (PSD, p.8).</w:t>
            </w:r>
          </w:p>
        </w:tc>
        <w:tc>
          <w:tcPr>
            <w:tcW w:w="2487" w:type="pct"/>
          </w:tcPr>
          <w:p w14:paraId="3FE38B0D" w14:textId="77777777" w:rsidR="002755D6" w:rsidRDefault="002755D6" w:rsidP="002755D6">
            <w:pPr>
              <w:pStyle w:val="TableText"/>
              <w:rPr>
                <w:rFonts w:eastAsia="Times New Roman"/>
              </w:rPr>
            </w:pPr>
            <w:r w:rsidRPr="00020716">
              <w:rPr>
                <w:rFonts w:eastAsia="Times New Roman"/>
              </w:rPr>
              <w:t>Addressed.</w:t>
            </w:r>
          </w:p>
          <w:p w14:paraId="3A5AF70B" w14:textId="0B413D7A" w:rsidR="002755D6" w:rsidRDefault="002755D6" w:rsidP="002755D6">
            <w:pPr>
              <w:pStyle w:val="TableText"/>
              <w:rPr>
                <w:rFonts w:eastAsia="Times New Roman"/>
              </w:rPr>
            </w:pPr>
            <w:r>
              <w:rPr>
                <w:rFonts w:eastAsia="Times New Roman"/>
              </w:rPr>
              <w:t>The applicant added costs for an additional 8 Luminex tests into the base case costings, based on French guidelines for immunological testing post-iml</w:t>
            </w:r>
            <w:r w:rsidR="00F05346">
              <w:rPr>
                <w:rFonts w:eastAsia="Times New Roman"/>
              </w:rPr>
              <w:t>i</w:t>
            </w:r>
            <w:r>
              <w:rPr>
                <w:rFonts w:eastAsia="Times New Roman"/>
              </w:rPr>
              <w:t>fidase</w:t>
            </w:r>
            <w:r w:rsidR="00AE160A">
              <w:rPr>
                <w:rFonts w:eastAsia="Times New Roman"/>
              </w:rPr>
              <w:t>-</w:t>
            </w:r>
            <w:r>
              <w:rPr>
                <w:rFonts w:eastAsia="Times New Roman"/>
              </w:rPr>
              <w:t>enabled transplantation (</w:t>
            </w:r>
            <w:proofErr w:type="spellStart"/>
            <w:r w:rsidRPr="00C644E6">
              <w:rPr>
                <w:rFonts w:eastAsia="Times New Roman"/>
              </w:rPr>
              <w:t>Couzi</w:t>
            </w:r>
            <w:proofErr w:type="spellEnd"/>
            <w:r w:rsidRPr="00C644E6">
              <w:rPr>
                <w:rFonts w:eastAsia="Times New Roman"/>
              </w:rPr>
              <w:t xml:space="preserve"> et al</w:t>
            </w:r>
            <w:r w:rsidR="00344B53">
              <w:rPr>
                <w:rFonts w:eastAsia="Times New Roman"/>
              </w:rPr>
              <w:t>.</w:t>
            </w:r>
            <w:r w:rsidRPr="00C644E6">
              <w:rPr>
                <w:rFonts w:eastAsia="Times New Roman"/>
              </w:rPr>
              <w:t xml:space="preserve"> 2023)</w:t>
            </w:r>
            <w:r w:rsidR="00344B53">
              <w:rPr>
                <w:rFonts w:eastAsia="Times New Roman"/>
              </w:rPr>
              <w:t>.</w:t>
            </w:r>
            <w:r w:rsidR="00851053" w:rsidRPr="00C644E6">
              <w:rPr>
                <w:rStyle w:val="FootnoteReference"/>
                <w:rFonts w:eastAsia="Times New Roman"/>
              </w:rPr>
              <w:footnoteReference w:id="3"/>
            </w:r>
          </w:p>
          <w:p w14:paraId="65673356" w14:textId="60E035CE" w:rsidR="002755D6" w:rsidRDefault="002755D6" w:rsidP="002755D6">
            <w:pPr>
              <w:pStyle w:val="TableText"/>
              <w:rPr>
                <w:rFonts w:eastAsia="Times New Roman"/>
              </w:rPr>
            </w:pPr>
            <w:r>
              <w:t xml:space="preserve">The </w:t>
            </w:r>
            <w:r w:rsidR="00F5302D">
              <w:t>commentary</w:t>
            </w:r>
            <w:r>
              <w:t xml:space="preserve"> questions </w:t>
            </w:r>
            <w:r w:rsidRPr="001E3DB1">
              <w:t>whether this change is sufficient to address MSAC’s concerns</w:t>
            </w:r>
            <w:r>
              <w:t xml:space="preserve"> with respect to costs associated with implementation challenges</w:t>
            </w:r>
            <w:r w:rsidRPr="001E3DB1">
              <w:t>.</w:t>
            </w:r>
          </w:p>
          <w:p w14:paraId="754FD0D6" w14:textId="0AA791F3" w:rsidR="002755D6" w:rsidRDefault="002755D6" w:rsidP="002755D6">
            <w:pPr>
              <w:pStyle w:val="TableText"/>
              <w:rPr>
                <w:rFonts w:eastAsia="Helvetica"/>
              </w:rPr>
            </w:pPr>
            <w:r w:rsidRPr="00020716">
              <w:rPr>
                <w:rFonts w:eastAsia="Helvetica"/>
              </w:rPr>
              <w:t>The probability of no transplantation was already included in the model (</w:t>
            </w:r>
            <w:r w:rsidR="00BF1FF8">
              <w:rPr>
                <w:rFonts w:eastAsia="Helvetica"/>
              </w:rPr>
              <w:t>i.e. 1</w:t>
            </w:r>
            <w:r w:rsidR="0026684D">
              <w:rPr>
                <w:rFonts w:eastAsia="Helvetica"/>
              </w:rPr>
              <w:t xml:space="preserve"> </w:t>
            </w:r>
            <w:r w:rsidR="00BF1FF8">
              <w:rPr>
                <w:rFonts w:eastAsia="Helvetica"/>
              </w:rPr>
              <w:t xml:space="preserve">minus </w:t>
            </w:r>
            <w:r w:rsidRPr="00020716">
              <w:rPr>
                <w:rFonts w:eastAsia="Helvetica"/>
              </w:rPr>
              <w:t xml:space="preserve">96.3%). </w:t>
            </w:r>
            <w:r>
              <w:rPr>
                <w:rFonts w:eastAsia="Helvetica"/>
              </w:rPr>
              <w:t>No further changes were required.</w:t>
            </w:r>
          </w:p>
          <w:p w14:paraId="0222598E" w14:textId="147CFA6D" w:rsidR="002755D6" w:rsidRPr="007D725E" w:rsidRDefault="003E393D" w:rsidP="002755D6">
            <w:pPr>
              <w:pStyle w:val="TableText"/>
              <w:rPr>
                <w:rFonts w:eastAsia="Helvetica"/>
              </w:rPr>
            </w:pPr>
            <w:r>
              <w:rPr>
                <w:rFonts w:eastAsia="Helvetica"/>
              </w:rPr>
              <w:t xml:space="preserve">The </w:t>
            </w:r>
            <w:r w:rsidR="00F5302D">
              <w:rPr>
                <w:rFonts w:eastAsia="Helvetica"/>
              </w:rPr>
              <w:t>commentary</w:t>
            </w:r>
            <w:r>
              <w:rPr>
                <w:rFonts w:eastAsia="Helvetica"/>
              </w:rPr>
              <w:t xml:space="preserve"> notes that the treatment of ‘delayed DD transplantation’ is considered conceptually separate and is discussed under the previous point about displacement. </w:t>
            </w:r>
          </w:p>
        </w:tc>
      </w:tr>
      <w:tr w:rsidR="002755D6" w:rsidRPr="00020716" w14:paraId="63C1F488" w14:textId="77777777" w:rsidTr="001A45AA">
        <w:trPr>
          <w:cantSplit/>
        </w:trPr>
        <w:tc>
          <w:tcPr>
            <w:tcW w:w="862" w:type="pct"/>
          </w:tcPr>
          <w:p w14:paraId="1CE8ECF7" w14:textId="40DBE7DB" w:rsidR="002755D6" w:rsidRPr="00020716" w:rsidRDefault="002755D6" w:rsidP="002755D6">
            <w:pPr>
              <w:pStyle w:val="TableText"/>
            </w:pPr>
            <w:r w:rsidRPr="00020716">
              <w:t xml:space="preserve">Budget </w:t>
            </w:r>
            <w:r>
              <w:t>i</w:t>
            </w:r>
            <w:r w:rsidRPr="00020716">
              <w:t>mpact</w:t>
            </w:r>
          </w:p>
        </w:tc>
        <w:tc>
          <w:tcPr>
            <w:tcW w:w="1651" w:type="pct"/>
          </w:tcPr>
          <w:p w14:paraId="55549F99" w14:textId="3D673000" w:rsidR="002755D6" w:rsidRDefault="002755D6" w:rsidP="002755D6">
            <w:pPr>
              <w:pStyle w:val="TableText"/>
              <w:rPr>
                <w:rFonts w:eastAsia="Times New Roman"/>
                <w:snapToGrid w:val="0"/>
              </w:rPr>
            </w:pPr>
            <w:r w:rsidRPr="00020716">
              <w:rPr>
                <w:rFonts w:eastAsia="Times New Roman"/>
                <w:snapToGrid w:val="0"/>
              </w:rPr>
              <w:t>MSAC considered that there should be restrictions on use of this therapy, and this should include restricting dosage to one dose (</w:t>
            </w:r>
            <w:r>
              <w:rPr>
                <w:rFonts w:eastAsia="Times New Roman"/>
                <w:snapToGrid w:val="0"/>
              </w:rPr>
              <w:t>2</w:t>
            </w:r>
            <w:r w:rsidRPr="00020716">
              <w:rPr>
                <w:rFonts w:eastAsia="Times New Roman"/>
                <w:snapToGrid w:val="0"/>
              </w:rPr>
              <w:t xml:space="preserve"> vials) per patient</w:t>
            </w:r>
            <w:r>
              <w:rPr>
                <w:rFonts w:eastAsia="Times New Roman"/>
                <w:snapToGrid w:val="0"/>
              </w:rPr>
              <w:t xml:space="preserve"> (PSD, p.</w:t>
            </w:r>
            <w:r w:rsidR="00385B7D">
              <w:rPr>
                <w:rFonts w:eastAsia="Times New Roman"/>
                <w:snapToGrid w:val="0"/>
              </w:rPr>
              <w:t xml:space="preserve"> </w:t>
            </w:r>
            <w:r w:rsidR="00503A4C">
              <w:rPr>
                <w:rFonts w:eastAsia="Times New Roman"/>
                <w:snapToGrid w:val="0"/>
              </w:rPr>
              <w:t>9</w:t>
            </w:r>
            <w:r>
              <w:rPr>
                <w:rFonts w:eastAsia="Times New Roman"/>
                <w:snapToGrid w:val="0"/>
              </w:rPr>
              <w:t>).</w:t>
            </w:r>
          </w:p>
          <w:p w14:paraId="2ED780D8" w14:textId="199FF23B" w:rsidR="002755D6" w:rsidRPr="00020716" w:rsidRDefault="002755D6" w:rsidP="002755D6">
            <w:pPr>
              <w:pStyle w:val="TableText"/>
              <w:rPr>
                <w:rFonts w:eastAsia="Times New Roman"/>
                <w:snapToGrid w:val="0"/>
              </w:rPr>
            </w:pPr>
            <w:r w:rsidRPr="00020716">
              <w:rPr>
                <w:rFonts w:eastAsia="Times New Roman"/>
                <w:snapToGrid w:val="0"/>
              </w:rPr>
              <w:t>MSAC noted that PASC had not recommended a restriction to one dose within the same transplantation attempt as it had considered that there are benefits to having some flexibility in having a second dose available for the small minority of cases where this may be needed</w:t>
            </w:r>
            <w:r w:rsidR="00BA1570">
              <w:rPr>
                <w:rFonts w:eastAsia="Times New Roman"/>
                <w:snapToGrid w:val="0"/>
              </w:rPr>
              <w:t>; h</w:t>
            </w:r>
            <w:r w:rsidRPr="00020716">
              <w:rPr>
                <w:rFonts w:eastAsia="Times New Roman"/>
                <w:snapToGrid w:val="0"/>
              </w:rPr>
              <w:t>owever, MSAC considered that the cost and uncertainty was too high not to impose a restriction on doses and/or vials</w:t>
            </w:r>
            <w:r>
              <w:rPr>
                <w:rFonts w:eastAsia="Times New Roman"/>
                <w:snapToGrid w:val="0"/>
              </w:rPr>
              <w:t xml:space="preserve"> (PSD, p.7).</w:t>
            </w:r>
          </w:p>
        </w:tc>
        <w:tc>
          <w:tcPr>
            <w:tcW w:w="2487" w:type="pct"/>
          </w:tcPr>
          <w:p w14:paraId="0217FADD" w14:textId="77777777" w:rsidR="002755D6" w:rsidRPr="005359B8" w:rsidRDefault="002755D6" w:rsidP="002755D6">
            <w:pPr>
              <w:pStyle w:val="TableText"/>
            </w:pPr>
            <w:r w:rsidRPr="005359B8">
              <w:t xml:space="preserve">Addressed. </w:t>
            </w:r>
          </w:p>
          <w:p w14:paraId="2F261A0B" w14:textId="663F6601" w:rsidR="002755D6" w:rsidRPr="005359B8" w:rsidRDefault="002755D6" w:rsidP="002755D6">
            <w:pPr>
              <w:pStyle w:val="TableText"/>
            </w:pPr>
            <w:r w:rsidRPr="005359B8">
              <w:t xml:space="preserve">The </w:t>
            </w:r>
            <w:r w:rsidR="002213D5">
              <w:t>ADAR</w:t>
            </w:r>
            <w:r w:rsidR="002213D5" w:rsidRPr="005359B8">
              <w:t xml:space="preserve"> </w:t>
            </w:r>
            <w:r w:rsidRPr="005359B8">
              <w:t>align</w:t>
            </w:r>
            <w:r w:rsidR="005359B8" w:rsidRPr="005359B8">
              <w:t>s</w:t>
            </w:r>
            <w:r w:rsidRPr="005359B8">
              <w:t xml:space="preserve"> with PASC recommendation not to restrict the dose provided to patients as some patients may clinically require a second dose but address</w:t>
            </w:r>
            <w:r w:rsidR="00F70648">
              <w:t>ed</w:t>
            </w:r>
            <w:r w:rsidRPr="005359B8">
              <w:t xml:space="preserve"> MSAC</w:t>
            </w:r>
            <w:r w:rsidR="007E4123">
              <w:t>’s</w:t>
            </w:r>
            <w:r w:rsidRPr="005359B8">
              <w:t xml:space="preserve"> concern on the uncertainty associated with the second dose by proposing a fixed cost per patient irrespective of patient weight and second administrations.</w:t>
            </w:r>
          </w:p>
        </w:tc>
      </w:tr>
      <w:tr w:rsidR="002755D6" w:rsidRPr="00020716" w14:paraId="412A3682" w14:textId="77777777" w:rsidTr="001A45AA">
        <w:trPr>
          <w:cantSplit/>
        </w:trPr>
        <w:tc>
          <w:tcPr>
            <w:tcW w:w="862" w:type="pct"/>
          </w:tcPr>
          <w:p w14:paraId="22CEEBC3" w14:textId="0511D5B5" w:rsidR="002755D6" w:rsidRPr="00020716" w:rsidRDefault="002755D6" w:rsidP="002755D6">
            <w:pPr>
              <w:pStyle w:val="TableText"/>
            </w:pPr>
            <w:r w:rsidRPr="00020716">
              <w:t xml:space="preserve">Commercial </w:t>
            </w:r>
            <w:r>
              <w:t>t</w:t>
            </w:r>
            <w:r w:rsidRPr="00020716">
              <w:t>erms</w:t>
            </w:r>
          </w:p>
        </w:tc>
        <w:tc>
          <w:tcPr>
            <w:tcW w:w="1651" w:type="pct"/>
          </w:tcPr>
          <w:p w14:paraId="095768C2" w14:textId="12262510" w:rsidR="002755D6" w:rsidRPr="0097275A" w:rsidRDefault="002755D6" w:rsidP="002755D6">
            <w:pPr>
              <w:pStyle w:val="TableText"/>
            </w:pPr>
            <w:r w:rsidRPr="00020716">
              <w:t xml:space="preserve">MSAC asked the </w:t>
            </w:r>
            <w:r>
              <w:t>a</w:t>
            </w:r>
            <w:r w:rsidRPr="00020716">
              <w:t>pplicant to consider proposing a lower price for the treatment, noting potential other comparators to be explored such as plasma exchange and other desensitisation treatments for patients who are LD and DD kidney recipients and desensitisation enabling participation in paired exchange with LRDs</w:t>
            </w:r>
            <w:r>
              <w:t xml:space="preserve"> (PSD, p.8).</w:t>
            </w:r>
          </w:p>
        </w:tc>
        <w:tc>
          <w:tcPr>
            <w:tcW w:w="2487" w:type="pct"/>
          </w:tcPr>
          <w:p w14:paraId="795A8BB4" w14:textId="6470CCC6" w:rsidR="002755D6" w:rsidRDefault="002755D6" w:rsidP="002755D6">
            <w:pPr>
              <w:pStyle w:val="TableText"/>
            </w:pPr>
            <w:r w:rsidRPr="008248D9">
              <w:t>Addressed</w:t>
            </w:r>
            <w:r>
              <w:t>.</w:t>
            </w:r>
          </w:p>
          <w:p w14:paraId="25F055E8" w14:textId="1639AC62" w:rsidR="002755D6" w:rsidRPr="00430B28" w:rsidRDefault="002755D6" w:rsidP="002755D6">
            <w:pPr>
              <w:pStyle w:val="TableText"/>
            </w:pPr>
            <w:r>
              <w:t xml:space="preserve">The applicant </w:t>
            </w:r>
            <w:r w:rsidRPr="00430B28">
              <w:t xml:space="preserve">added a </w:t>
            </w:r>
            <w:r w:rsidR="006B6DB1" w:rsidRPr="009E2F9F">
              <w:rPr>
                <w:b/>
                <w:bCs/>
              </w:rPr>
              <w:t>redacted</w:t>
            </w:r>
            <w:r w:rsidRPr="00430B28">
              <w:t xml:space="preserve">% discount to the original proposed price per vial of </w:t>
            </w:r>
            <w:r w:rsidR="00D67538" w:rsidRPr="009E2F9F">
              <w:rPr>
                <w:b/>
                <w:bCs/>
              </w:rPr>
              <w:t>redacted</w:t>
            </w:r>
            <w:r w:rsidRPr="00430B28">
              <w:t>.</w:t>
            </w:r>
          </w:p>
          <w:p w14:paraId="3A8E677C" w14:textId="59EE4728" w:rsidR="0057695F" w:rsidRPr="009E2F9F" w:rsidRDefault="002755D6" w:rsidP="002755D6">
            <w:pPr>
              <w:pStyle w:val="TableText"/>
            </w:pPr>
            <w:r w:rsidRPr="00430B28">
              <w:t xml:space="preserve">The </w:t>
            </w:r>
            <w:r w:rsidR="00F70648" w:rsidRPr="00430B28">
              <w:t xml:space="preserve">ADAR </w:t>
            </w:r>
            <w:r w:rsidRPr="00430B28">
              <w:t>adopted a</w:t>
            </w:r>
            <w:r w:rsidR="003971F5" w:rsidRPr="00430B28">
              <w:t xml:space="preserve"> </w:t>
            </w:r>
            <w:r w:rsidR="00110455" w:rsidRPr="009E2F9F">
              <w:rPr>
                <w:b/>
                <w:bCs/>
              </w:rPr>
              <w:t>redacted</w:t>
            </w:r>
            <w:r w:rsidRPr="00430B28">
              <w:t xml:space="preserve"> per patient, estimated at the cost of </w:t>
            </w:r>
            <w:r w:rsidR="00110455" w:rsidRPr="009E2F9F">
              <w:rPr>
                <w:b/>
                <w:bCs/>
              </w:rPr>
              <w:t>redacted</w:t>
            </w:r>
            <w:r w:rsidRPr="00430B28">
              <w:t xml:space="preserve"> across all patients</w:t>
            </w:r>
            <w:r w:rsidR="003971F5" w:rsidRPr="00430B28">
              <w:t xml:space="preserve">, </w:t>
            </w:r>
            <w:r w:rsidR="008E40D5" w:rsidRPr="00430B28">
              <w:t>irrespective of the number of vials and doses expected to be required in practice</w:t>
            </w:r>
            <w:r w:rsidRPr="00430B28">
              <w:t xml:space="preserve">. </w:t>
            </w:r>
            <w:r w:rsidR="008862BA" w:rsidRPr="00430B28">
              <w:t>The</w:t>
            </w:r>
            <w:r w:rsidR="002B37C6" w:rsidRPr="00430B28">
              <w:t xml:space="preserve"> </w:t>
            </w:r>
            <w:r w:rsidR="009C74CF" w:rsidRPr="00430B28">
              <w:t xml:space="preserve">commentary </w:t>
            </w:r>
            <w:r w:rsidR="00392698" w:rsidRPr="00430B28">
              <w:t xml:space="preserve">notes the </w:t>
            </w:r>
            <w:r w:rsidR="002B37C6" w:rsidRPr="00430B28">
              <w:t>amended costing structure affects the proposed funding arrangements</w:t>
            </w:r>
            <w:r w:rsidR="00D67538" w:rsidRPr="00430B28">
              <w:t xml:space="preserve"> </w:t>
            </w:r>
            <w:r w:rsidR="00855BE1" w:rsidRPr="009E2F9F">
              <w:rPr>
                <w:b/>
                <w:bCs/>
              </w:rPr>
              <w:t>redacted</w:t>
            </w:r>
            <w:r w:rsidR="002B37C6" w:rsidRPr="009E2F9F">
              <w:t>.</w:t>
            </w:r>
          </w:p>
          <w:p w14:paraId="2B002F7A" w14:textId="425C169C" w:rsidR="002755D6" w:rsidRPr="00067DF4" w:rsidRDefault="003566E4" w:rsidP="002755D6">
            <w:pPr>
              <w:pStyle w:val="TableText"/>
            </w:pPr>
            <w:r>
              <w:t>Th</w:t>
            </w:r>
            <w:r w:rsidR="00981EEC">
              <w:t>e proposal for reimbursement</w:t>
            </w:r>
            <w:r w:rsidR="007E2700">
              <w:t xml:space="preserve"> and associated costing approach</w:t>
            </w:r>
            <w:r w:rsidR="00981EEC">
              <w:t xml:space="preserve"> differs</w:t>
            </w:r>
            <w:r w:rsidR="00B1635B">
              <w:t xml:space="preserve"> </w:t>
            </w:r>
            <w:r w:rsidR="00981EEC">
              <w:t>from</w:t>
            </w:r>
            <w:r w:rsidR="00B1635B">
              <w:t xml:space="preserve"> the</w:t>
            </w:r>
            <w:r w:rsidRPr="003566E4">
              <w:t xml:space="preserve"> original ADAR</w:t>
            </w:r>
            <w:r w:rsidR="00F63731">
              <w:t>,</w:t>
            </w:r>
            <w:r w:rsidRPr="003566E4">
              <w:t xml:space="preserve"> </w:t>
            </w:r>
            <w:r w:rsidR="00B1635B">
              <w:t xml:space="preserve">which </w:t>
            </w:r>
            <w:r w:rsidRPr="003566E4">
              <w:t xml:space="preserve">used a weight-based costing approach (weighted </w:t>
            </w:r>
            <w:r w:rsidRPr="00430B28">
              <w:t>average of 2.09 vials/patient</w:t>
            </w:r>
            <w:r w:rsidR="00F0457D" w:rsidRPr="00430B28">
              <w:t>/</w:t>
            </w:r>
            <w:r w:rsidRPr="00430B28">
              <w:t>dose)</w:t>
            </w:r>
            <w:r w:rsidR="00D83EB6" w:rsidRPr="00430B28">
              <w:t>,</w:t>
            </w:r>
            <w:r w:rsidR="00301C33" w:rsidRPr="00430B28">
              <w:t xml:space="preserve"> and which</w:t>
            </w:r>
            <w:r w:rsidRPr="00430B28">
              <w:t xml:space="preserve"> also considered that </w:t>
            </w:r>
            <w:r w:rsidRPr="009E2F9F" w:rsidDel="00855BE1">
              <w:t>6.5</w:t>
            </w:r>
            <w:r w:rsidRPr="00232F71">
              <w:t>%</w:t>
            </w:r>
            <w:r w:rsidRPr="003566E4">
              <w:t xml:space="preserve"> of patients require a second dose before transplant. </w:t>
            </w:r>
            <w:r w:rsidR="002755D6" w:rsidRPr="008248D9">
              <w:t xml:space="preserve"> </w:t>
            </w:r>
          </w:p>
        </w:tc>
      </w:tr>
      <w:tr w:rsidR="002755D6" w:rsidRPr="00020716" w14:paraId="11BE9507" w14:textId="77777777" w:rsidTr="001A45AA">
        <w:trPr>
          <w:cantSplit/>
        </w:trPr>
        <w:tc>
          <w:tcPr>
            <w:tcW w:w="862" w:type="pct"/>
          </w:tcPr>
          <w:p w14:paraId="4EB408D0" w14:textId="77777777" w:rsidR="002755D6" w:rsidRPr="00020716" w:rsidRDefault="002755D6" w:rsidP="002755D6">
            <w:pPr>
              <w:pStyle w:val="TableText"/>
            </w:pPr>
          </w:p>
        </w:tc>
        <w:tc>
          <w:tcPr>
            <w:tcW w:w="1651" w:type="pct"/>
          </w:tcPr>
          <w:p w14:paraId="6BC2EB27" w14:textId="3F445EB0" w:rsidR="002755D6" w:rsidRPr="00872152" w:rsidRDefault="002755D6" w:rsidP="002755D6">
            <w:pPr>
              <w:pStyle w:val="TableText"/>
              <w:rPr>
                <w:rFonts w:eastAsia="Franklin Gothic Book"/>
              </w:rPr>
            </w:pPr>
            <w:r>
              <w:t>MSAC advised the applicant would need to r</w:t>
            </w:r>
            <w:r w:rsidRPr="00020716">
              <w:t>estrict payment</w:t>
            </w:r>
            <w:r w:rsidR="00120FA4">
              <w:t xml:space="preserve"> </w:t>
            </w:r>
            <w:r w:rsidRPr="009E2F9F" w:rsidDel="00120FA4">
              <w:t>to a single dose (2 vials only)</w:t>
            </w:r>
            <w:r w:rsidRPr="00020716" w:rsidDel="00120FA4">
              <w:t xml:space="preserve"> </w:t>
            </w:r>
            <w:r w:rsidRPr="00020716">
              <w:rPr>
                <w:rFonts w:eastAsia="Franklin Gothic Book"/>
              </w:rPr>
              <w:t xml:space="preserve">and include a hard cap with </w:t>
            </w:r>
            <w:r w:rsidRPr="009E2F9F" w:rsidDel="00120FA4">
              <w:rPr>
                <w:rFonts w:eastAsia="Franklin Gothic Book"/>
              </w:rPr>
              <w:t>100</w:t>
            </w:r>
            <w:r w:rsidRPr="00020716">
              <w:rPr>
                <w:rFonts w:eastAsia="Franklin Gothic Book"/>
              </w:rPr>
              <w:t>% re</w:t>
            </w:r>
            <w:r w:rsidR="00BE48C7">
              <w:rPr>
                <w:rFonts w:eastAsia="Franklin Gothic Book"/>
              </w:rPr>
              <w:t>bate</w:t>
            </w:r>
            <w:r w:rsidRPr="00020716">
              <w:rPr>
                <w:rFonts w:eastAsia="Franklin Gothic Book"/>
              </w:rPr>
              <w:t xml:space="preserve"> limited to </w:t>
            </w:r>
            <w:r w:rsidR="00120FA4" w:rsidRPr="009E2F9F">
              <w:rPr>
                <w:rFonts w:eastAsia="Franklin Gothic Book"/>
                <w:b/>
              </w:rPr>
              <w:t>redacted</w:t>
            </w:r>
            <w:r w:rsidRPr="00020716">
              <w:rPr>
                <w:rFonts w:eastAsia="Franklin Gothic Book"/>
              </w:rPr>
              <w:t> patients (</w:t>
            </w:r>
            <w:r w:rsidR="00120FA4" w:rsidRPr="009E2F9F">
              <w:rPr>
                <w:rFonts w:eastAsia="Franklin Gothic Book"/>
                <w:b/>
              </w:rPr>
              <w:t>redacted</w:t>
            </w:r>
            <w:r w:rsidRPr="00020716">
              <w:rPr>
                <w:rFonts w:eastAsia="Franklin Gothic Book"/>
              </w:rPr>
              <w:t xml:space="preserve"> DD and </w:t>
            </w:r>
            <w:r w:rsidR="00120FA4" w:rsidRPr="009E2F9F">
              <w:rPr>
                <w:rFonts w:eastAsia="Franklin Gothic Book"/>
                <w:b/>
              </w:rPr>
              <w:t>redacted</w:t>
            </w:r>
            <w:r w:rsidRPr="00020716">
              <w:rPr>
                <w:rFonts w:eastAsia="Franklin Gothic Book"/>
              </w:rPr>
              <w:t> LD) per year (but await clinical advice, especially regarding DD transplantations)</w:t>
            </w:r>
            <w:r>
              <w:rPr>
                <w:rFonts w:eastAsia="Franklin Gothic Book"/>
              </w:rPr>
              <w:t xml:space="preserve"> (PSD, p.</w:t>
            </w:r>
            <w:r w:rsidR="00385B7D">
              <w:rPr>
                <w:rFonts w:eastAsia="Franklin Gothic Book"/>
              </w:rPr>
              <w:t xml:space="preserve"> </w:t>
            </w:r>
            <w:r>
              <w:rPr>
                <w:rFonts w:eastAsia="Franklin Gothic Book"/>
              </w:rPr>
              <w:t>9).</w:t>
            </w:r>
          </w:p>
        </w:tc>
        <w:tc>
          <w:tcPr>
            <w:tcW w:w="2487" w:type="pct"/>
          </w:tcPr>
          <w:p w14:paraId="5ED84293" w14:textId="77777777" w:rsidR="002755D6" w:rsidRPr="008248D9" w:rsidRDefault="002755D6" w:rsidP="002755D6">
            <w:pPr>
              <w:pStyle w:val="TableText"/>
            </w:pPr>
            <w:r w:rsidRPr="008248D9">
              <w:t xml:space="preserve">Partially addressed. </w:t>
            </w:r>
          </w:p>
          <w:p w14:paraId="1975684B" w14:textId="4F226382" w:rsidR="002755D6" w:rsidRPr="009E2F9F" w:rsidRDefault="00120FA4" w:rsidP="002755D6">
            <w:pPr>
              <w:pStyle w:val="TableText"/>
            </w:pPr>
            <w:r w:rsidRPr="009E2F9F">
              <w:rPr>
                <w:rFonts w:eastAsia="Franklin Gothic Book"/>
                <w:b/>
              </w:rPr>
              <w:t>redacted</w:t>
            </w:r>
            <w:r w:rsidR="002755D6" w:rsidRPr="009E2F9F">
              <w:t>.</w:t>
            </w:r>
            <w:r w:rsidR="002755D6" w:rsidRPr="008248D9">
              <w:t xml:space="preserve"> </w:t>
            </w:r>
          </w:p>
          <w:p w14:paraId="3EAB4E09" w14:textId="7F151DC5" w:rsidR="002755D6" w:rsidRDefault="002755D6" w:rsidP="002755D6">
            <w:pPr>
              <w:pStyle w:val="TableText"/>
            </w:pPr>
            <w:r w:rsidRPr="00C343C5">
              <w:t xml:space="preserve">Regarding the proposed patient </w:t>
            </w:r>
            <w:r w:rsidR="00321266" w:rsidRPr="00C343C5">
              <w:t xml:space="preserve">financial </w:t>
            </w:r>
            <w:r w:rsidRPr="00C343C5">
              <w:t xml:space="preserve">cap of </w:t>
            </w:r>
            <w:r w:rsidR="00120FA4" w:rsidRPr="009E2F9F">
              <w:rPr>
                <w:rFonts w:eastAsia="Franklin Gothic Book"/>
                <w:b/>
              </w:rPr>
              <w:t>redacted</w:t>
            </w:r>
            <w:r w:rsidRPr="00C343C5">
              <w:t xml:space="preserve"> patients per year</w:t>
            </w:r>
            <w:r w:rsidR="00321266" w:rsidRPr="00C343C5">
              <w:t xml:space="preserve"> </w:t>
            </w:r>
            <w:r w:rsidR="00C8454D" w:rsidRPr="00C343C5">
              <w:t>(</w:t>
            </w:r>
            <w:r w:rsidR="00321266" w:rsidRPr="00C343C5">
              <w:t xml:space="preserve">i.e. a financial cap involving a </w:t>
            </w:r>
            <w:r w:rsidR="00321266" w:rsidRPr="009E2F9F" w:rsidDel="00120FA4">
              <w:t>100</w:t>
            </w:r>
            <w:r w:rsidR="00321266" w:rsidRPr="00C343C5">
              <w:t>% rebate so that Government does not incur the cost of imlifidase beyond</w:t>
            </w:r>
            <w:r w:rsidR="00120FA4" w:rsidRPr="00C343C5">
              <w:t xml:space="preserve"> </w:t>
            </w:r>
            <w:r w:rsidR="00120FA4" w:rsidRPr="009E2F9F">
              <w:rPr>
                <w:rFonts w:eastAsia="Franklin Gothic Book"/>
                <w:b/>
              </w:rPr>
              <w:t>redacted</w:t>
            </w:r>
            <w:r w:rsidR="00321266" w:rsidRPr="00321266">
              <w:t xml:space="preserve"> patients per year</w:t>
            </w:r>
            <w:r w:rsidR="00321266">
              <w:t>)</w:t>
            </w:r>
            <w:r>
              <w:t xml:space="preserve">, the applicant responded that such a restriction would fail to address the backlog bolus of HS patients waiting for a kidney transplant and would be inadequate to address the incident patients joining the </w:t>
            </w:r>
            <w:r w:rsidR="004A2E3F">
              <w:t>waitlist</w:t>
            </w:r>
            <w:r>
              <w:t xml:space="preserve"> (</w:t>
            </w:r>
            <w:r w:rsidRPr="008248D9">
              <w:t>~</w:t>
            </w:r>
            <w:r w:rsidR="00120FA4" w:rsidRPr="009E2F9F">
              <w:rPr>
                <w:rFonts w:eastAsia="Franklin Gothic Book"/>
                <w:b/>
              </w:rPr>
              <w:t>redacted</w:t>
            </w:r>
            <w:r>
              <w:t xml:space="preserve"> per year). </w:t>
            </w:r>
          </w:p>
          <w:p w14:paraId="27F140D6" w14:textId="2DFF8DA3" w:rsidR="002755D6" w:rsidRPr="00CE6266" w:rsidRDefault="002755D6" w:rsidP="002755D6">
            <w:pPr>
              <w:pStyle w:val="TableText"/>
            </w:pPr>
            <w:r w:rsidRPr="008248D9">
              <w:t>The</w:t>
            </w:r>
            <w:r>
              <w:t>refore, the</w:t>
            </w:r>
            <w:r w:rsidRPr="008248D9">
              <w:t xml:space="preserve"> </w:t>
            </w:r>
            <w:r>
              <w:t>a</w:t>
            </w:r>
            <w:r w:rsidRPr="008248D9">
              <w:t>pplicant propose</w:t>
            </w:r>
            <w:r>
              <w:t>d</w:t>
            </w:r>
            <w:r w:rsidRPr="008248D9">
              <w:t xml:space="preserve"> no </w:t>
            </w:r>
            <w:r w:rsidR="00321266">
              <w:t xml:space="preserve">financial </w:t>
            </w:r>
            <w:r w:rsidRPr="008248D9">
              <w:t>cap</w:t>
            </w:r>
            <w:r w:rsidR="008D3283">
              <w:t xml:space="preserve"> on the number of patients</w:t>
            </w:r>
            <w:r w:rsidRPr="008248D9">
              <w:t xml:space="preserve"> be applied</w:t>
            </w:r>
            <w:r w:rsidRPr="00CE6266">
              <w:t xml:space="preserve">. </w:t>
            </w:r>
          </w:p>
          <w:p w14:paraId="2FC41DF9" w14:textId="4869038F" w:rsidR="002755D6" w:rsidRPr="008248D9" w:rsidRDefault="002755D6" w:rsidP="002755D6">
            <w:pPr>
              <w:pStyle w:val="TableText"/>
            </w:pPr>
            <w:r w:rsidRPr="00CE6266">
              <w:t xml:space="preserve">The </w:t>
            </w:r>
            <w:r w:rsidR="00862FBB">
              <w:t>commentary</w:t>
            </w:r>
            <w:r w:rsidRPr="00CE6266">
              <w:t xml:space="preserve"> agrees with the applicant’s concern</w:t>
            </w:r>
            <w:r w:rsidR="00C644E6" w:rsidRPr="00CE6266">
              <w:t xml:space="preserve"> that </w:t>
            </w:r>
            <w:r w:rsidR="00120FA4" w:rsidRPr="009E2F9F">
              <w:rPr>
                <w:rFonts w:eastAsia="Franklin Gothic Book"/>
                <w:b/>
              </w:rPr>
              <w:t>redacted</w:t>
            </w:r>
            <w:r w:rsidR="00377DF5" w:rsidRPr="00CE6266">
              <w:t xml:space="preserve"> patients per year</w:t>
            </w:r>
            <w:r w:rsidR="00C644E6" w:rsidRPr="00CE6266">
              <w:t xml:space="preserve"> may be too low</w:t>
            </w:r>
            <w:r w:rsidR="00377DF5" w:rsidRPr="00CE6266">
              <w:t xml:space="preserve"> to achieve</w:t>
            </w:r>
            <w:r w:rsidR="00CE6266" w:rsidRPr="00CE6266">
              <w:t xml:space="preserve"> an equitable allocation of donor kidneys</w:t>
            </w:r>
            <w:r w:rsidRPr="00CE6266">
              <w:t>.</w:t>
            </w:r>
          </w:p>
        </w:tc>
      </w:tr>
      <w:tr w:rsidR="002755D6" w:rsidRPr="00020716" w14:paraId="263307A9" w14:textId="77777777" w:rsidTr="001A45AA">
        <w:trPr>
          <w:cantSplit/>
          <w:trHeight w:val="300"/>
        </w:trPr>
        <w:tc>
          <w:tcPr>
            <w:tcW w:w="862" w:type="pct"/>
          </w:tcPr>
          <w:p w14:paraId="0B79F53E" w14:textId="77777777" w:rsidR="002755D6" w:rsidRPr="00020716" w:rsidRDefault="002755D6" w:rsidP="002755D6">
            <w:pPr>
              <w:pStyle w:val="TableText"/>
            </w:pPr>
            <w:r w:rsidRPr="00020716">
              <w:t xml:space="preserve">Other </w:t>
            </w:r>
          </w:p>
        </w:tc>
        <w:tc>
          <w:tcPr>
            <w:tcW w:w="1651" w:type="pct"/>
          </w:tcPr>
          <w:p w14:paraId="45E60C08" w14:textId="1D6DAA4F" w:rsidR="002755D6" w:rsidRPr="00020716" w:rsidRDefault="002755D6" w:rsidP="002755D6">
            <w:pPr>
              <w:pStyle w:val="TableText"/>
              <w:rPr>
                <w:rFonts w:eastAsia="Franklin Gothic Book"/>
              </w:rPr>
            </w:pPr>
            <w:r>
              <w:rPr>
                <w:rFonts w:eastAsia="Franklin Gothic Book"/>
              </w:rPr>
              <w:t>MSAC suggested the applicant c</w:t>
            </w:r>
            <w:r w:rsidRPr="00020716">
              <w:rPr>
                <w:rFonts w:eastAsia="Franklin Gothic Book"/>
              </w:rPr>
              <w:t>onsider mechanisms for data monitoring and post-implementation review</w:t>
            </w:r>
            <w:r>
              <w:rPr>
                <w:rFonts w:eastAsia="Franklin Gothic Book"/>
              </w:rPr>
              <w:t xml:space="preserve"> (PSD, p.</w:t>
            </w:r>
            <w:r w:rsidR="00407423">
              <w:rPr>
                <w:rFonts w:eastAsia="Franklin Gothic Book"/>
              </w:rPr>
              <w:t xml:space="preserve"> </w:t>
            </w:r>
            <w:r>
              <w:rPr>
                <w:rFonts w:eastAsia="Franklin Gothic Book"/>
              </w:rPr>
              <w:t>9)</w:t>
            </w:r>
            <w:r w:rsidR="00407423">
              <w:rPr>
                <w:rFonts w:eastAsia="Franklin Gothic Book"/>
              </w:rPr>
              <w:t>.</w:t>
            </w:r>
          </w:p>
        </w:tc>
        <w:tc>
          <w:tcPr>
            <w:tcW w:w="2487" w:type="pct"/>
          </w:tcPr>
          <w:p w14:paraId="76AEB72F" w14:textId="3C951CFE" w:rsidR="002755D6" w:rsidRPr="00020716" w:rsidRDefault="002755D6" w:rsidP="002755D6">
            <w:pPr>
              <w:pStyle w:val="TableText"/>
              <w:rPr>
                <w:rFonts w:eastAsia="Times New Roman"/>
              </w:rPr>
            </w:pPr>
            <w:r w:rsidRPr="00020716">
              <w:rPr>
                <w:rFonts w:eastAsia="Times New Roman"/>
              </w:rPr>
              <w:t xml:space="preserve">The </w:t>
            </w:r>
            <w:r>
              <w:rPr>
                <w:rFonts w:eastAsia="Times New Roman"/>
              </w:rPr>
              <w:t>a</w:t>
            </w:r>
            <w:r w:rsidRPr="00020716">
              <w:rPr>
                <w:rFonts w:eastAsia="Times New Roman"/>
              </w:rPr>
              <w:t xml:space="preserve">pplicant, as part of </w:t>
            </w:r>
            <w:r>
              <w:rPr>
                <w:rFonts w:eastAsia="Times New Roman"/>
              </w:rPr>
              <w:t>p</w:t>
            </w:r>
            <w:r w:rsidRPr="00020716">
              <w:rPr>
                <w:rFonts w:eastAsia="Times New Roman"/>
              </w:rPr>
              <w:t>rovisional approval</w:t>
            </w:r>
            <w:r w:rsidR="00407423">
              <w:rPr>
                <w:rFonts w:eastAsia="Times New Roman"/>
              </w:rPr>
              <w:t>,</w:t>
            </w:r>
            <w:r w:rsidRPr="00020716">
              <w:rPr>
                <w:rFonts w:eastAsia="Times New Roman"/>
              </w:rPr>
              <w:t xml:space="preserve"> has agreed with the TGA on comprehensive data monitoring and implementation review.</w:t>
            </w:r>
          </w:p>
          <w:p w14:paraId="5D420240" w14:textId="05D089B9" w:rsidR="002755D6" w:rsidRPr="00020716" w:rsidRDefault="002755D6" w:rsidP="002755D6">
            <w:pPr>
              <w:pStyle w:val="TableText"/>
              <w:rPr>
                <w:rFonts w:eastAsia="Times New Roman"/>
              </w:rPr>
            </w:pPr>
            <w:r w:rsidRPr="00020716">
              <w:rPr>
                <w:rFonts w:eastAsia="Times New Roman"/>
              </w:rPr>
              <w:t>The sponsor will provide the CSRs for studies</w:t>
            </w:r>
            <w:r w:rsidR="00DB4BFA">
              <w:rPr>
                <w:rFonts w:eastAsia="Times New Roman"/>
              </w:rPr>
              <w:t>:</w:t>
            </w:r>
          </w:p>
          <w:p w14:paraId="485D45C3" w14:textId="2E3FF2C2" w:rsidR="002755D6" w:rsidRPr="00020716" w:rsidRDefault="002755D6" w:rsidP="00527717">
            <w:pPr>
              <w:pStyle w:val="TableText"/>
              <w:numPr>
                <w:ilvl w:val="0"/>
                <w:numId w:val="18"/>
              </w:numPr>
              <w:ind w:left="313" w:hanging="284"/>
              <w:rPr>
                <w:rFonts w:eastAsia="Times New Roman"/>
              </w:rPr>
            </w:pPr>
            <w:r w:rsidRPr="00020716">
              <w:rPr>
                <w:rFonts w:eastAsia="Times New Roman"/>
              </w:rPr>
              <w:t>Study 17-HMedIdeS-14</w:t>
            </w:r>
            <w:r w:rsidR="008D7E4B">
              <w:rPr>
                <w:rFonts w:eastAsia="Times New Roman"/>
              </w:rPr>
              <w:t>*</w:t>
            </w:r>
            <w:r w:rsidRPr="00020716">
              <w:rPr>
                <w:rFonts w:eastAsia="Times New Roman"/>
              </w:rPr>
              <w:t xml:space="preserve"> </w:t>
            </w:r>
          </w:p>
          <w:p w14:paraId="3D4A34FD" w14:textId="105651A8" w:rsidR="002755D6" w:rsidRPr="00020716" w:rsidRDefault="002755D6" w:rsidP="00527717">
            <w:pPr>
              <w:pStyle w:val="TableText"/>
              <w:numPr>
                <w:ilvl w:val="0"/>
                <w:numId w:val="18"/>
              </w:numPr>
              <w:ind w:left="313" w:hanging="284"/>
              <w:rPr>
                <w:rFonts w:eastAsia="Times New Roman"/>
              </w:rPr>
            </w:pPr>
            <w:r w:rsidRPr="00020716">
              <w:rPr>
                <w:rFonts w:eastAsia="Times New Roman"/>
              </w:rPr>
              <w:t>Study 20-HMedIdeS-19 (expected fourth quarter 2025)</w:t>
            </w:r>
          </w:p>
          <w:p w14:paraId="28B8BED3" w14:textId="022BC085" w:rsidR="002755D6" w:rsidRDefault="002755D6" w:rsidP="00527717">
            <w:pPr>
              <w:pStyle w:val="TableText"/>
              <w:numPr>
                <w:ilvl w:val="0"/>
                <w:numId w:val="18"/>
              </w:numPr>
              <w:ind w:left="313" w:hanging="284"/>
              <w:rPr>
                <w:rFonts w:eastAsia="Times New Roman"/>
              </w:rPr>
            </w:pPr>
            <w:r w:rsidRPr="00020716">
              <w:rPr>
                <w:rFonts w:eastAsia="Times New Roman"/>
              </w:rPr>
              <w:t xml:space="preserve">Study 20-HMedIdeS-17 (expected second </w:t>
            </w:r>
            <w:r w:rsidRPr="00527717">
              <w:rPr>
                <w:rFonts w:eastAsiaTheme="minorEastAsia"/>
              </w:rPr>
              <w:t>quarter</w:t>
            </w:r>
            <w:r w:rsidRPr="00020716">
              <w:rPr>
                <w:rFonts w:eastAsia="Times New Roman"/>
              </w:rPr>
              <w:t xml:space="preserve"> 2025)</w:t>
            </w:r>
            <w:r w:rsidR="00DB4BFA">
              <w:rPr>
                <w:rFonts w:eastAsia="Times New Roman"/>
              </w:rPr>
              <w:t>.</w:t>
            </w:r>
          </w:p>
          <w:p w14:paraId="37BD933C" w14:textId="1D0D77C7" w:rsidR="002755D6" w:rsidRPr="00020716" w:rsidRDefault="002755D6" w:rsidP="002755D6">
            <w:pPr>
              <w:pStyle w:val="TableText"/>
              <w:rPr>
                <w:rFonts w:eastAsia="Times New Roman"/>
              </w:rPr>
            </w:pPr>
            <w:r w:rsidRPr="00020716">
              <w:rPr>
                <w:rFonts w:eastAsia="Times New Roman"/>
              </w:rPr>
              <w:t>Additional</w:t>
            </w:r>
            <w:r>
              <w:rPr>
                <w:rFonts w:eastAsia="Times New Roman"/>
              </w:rPr>
              <w:t>ly</w:t>
            </w:r>
            <w:r w:rsidRPr="00020716">
              <w:rPr>
                <w:rFonts w:eastAsia="Times New Roman"/>
              </w:rPr>
              <w:t xml:space="preserve">, the sponsor </w:t>
            </w:r>
            <w:r>
              <w:rPr>
                <w:rFonts w:eastAsia="Times New Roman"/>
              </w:rPr>
              <w:t>will</w:t>
            </w:r>
            <w:r w:rsidRPr="00020716">
              <w:rPr>
                <w:rFonts w:eastAsia="Times New Roman"/>
              </w:rPr>
              <w:t xml:space="preserve"> provide the </w:t>
            </w:r>
            <w:r>
              <w:rPr>
                <w:rFonts w:eastAsia="Times New Roman"/>
              </w:rPr>
              <w:t>CSRs</w:t>
            </w:r>
            <w:r w:rsidRPr="00020716">
              <w:rPr>
                <w:rFonts w:eastAsia="Times New Roman"/>
              </w:rPr>
              <w:t xml:space="preserve"> for the following studies, once available:</w:t>
            </w:r>
          </w:p>
          <w:p w14:paraId="7EC63CD6" w14:textId="1F9020ED" w:rsidR="002755D6" w:rsidRPr="00020716" w:rsidRDefault="002755D6" w:rsidP="00527717">
            <w:pPr>
              <w:pStyle w:val="TableText"/>
              <w:numPr>
                <w:ilvl w:val="0"/>
                <w:numId w:val="18"/>
              </w:numPr>
              <w:ind w:left="313" w:hanging="284"/>
              <w:rPr>
                <w:rFonts w:eastAsia="Times New Roman"/>
              </w:rPr>
            </w:pPr>
            <w:r w:rsidRPr="00020716">
              <w:rPr>
                <w:rFonts w:eastAsia="Times New Roman"/>
              </w:rPr>
              <w:t>Study 20-HMedIdeS-20 (expected fourth quarter 2030)</w:t>
            </w:r>
          </w:p>
          <w:p w14:paraId="7E162EAE" w14:textId="349F884E" w:rsidR="002755D6" w:rsidRDefault="002755D6" w:rsidP="00527717">
            <w:pPr>
              <w:pStyle w:val="TableText"/>
              <w:numPr>
                <w:ilvl w:val="0"/>
                <w:numId w:val="18"/>
              </w:numPr>
              <w:ind w:left="313" w:hanging="284"/>
              <w:rPr>
                <w:rFonts w:eastAsia="Times New Roman"/>
              </w:rPr>
            </w:pPr>
            <w:r w:rsidRPr="00020716">
              <w:rPr>
                <w:rFonts w:eastAsia="Times New Roman"/>
              </w:rPr>
              <w:t xml:space="preserve">Study 21-HMedIdeS-25 (expected second </w:t>
            </w:r>
            <w:r w:rsidRPr="00527717">
              <w:rPr>
                <w:rFonts w:eastAsiaTheme="minorEastAsia"/>
              </w:rPr>
              <w:t>quarter</w:t>
            </w:r>
            <w:r w:rsidRPr="00020716">
              <w:rPr>
                <w:rFonts w:eastAsia="Times New Roman"/>
              </w:rPr>
              <w:t xml:space="preserve"> 2029)</w:t>
            </w:r>
          </w:p>
          <w:p w14:paraId="3E326A62" w14:textId="77777777" w:rsidR="002755D6" w:rsidRDefault="002755D6" w:rsidP="00527717">
            <w:pPr>
              <w:pStyle w:val="TableText"/>
              <w:numPr>
                <w:ilvl w:val="0"/>
                <w:numId w:val="18"/>
              </w:numPr>
              <w:ind w:left="313" w:hanging="284"/>
              <w:rPr>
                <w:rFonts w:eastAsia="Times New Roman"/>
              </w:rPr>
            </w:pPr>
            <w:r w:rsidRPr="00766886">
              <w:rPr>
                <w:rFonts w:eastAsia="Times New Roman"/>
              </w:rPr>
              <w:t xml:space="preserve">An observational study of renal transplant recipients (from </w:t>
            </w:r>
            <w:r w:rsidR="006B668D">
              <w:rPr>
                <w:rFonts w:eastAsia="Times New Roman"/>
              </w:rPr>
              <w:t>DDs</w:t>
            </w:r>
            <w:r w:rsidR="006B668D" w:rsidRPr="00766886">
              <w:rPr>
                <w:rFonts w:eastAsia="Times New Roman"/>
              </w:rPr>
              <w:t xml:space="preserve"> </w:t>
            </w:r>
            <w:r w:rsidRPr="00766886">
              <w:rPr>
                <w:rFonts w:eastAsia="Times New Roman"/>
              </w:rPr>
              <w:t xml:space="preserve">or </w:t>
            </w:r>
            <w:r w:rsidR="006B668D">
              <w:rPr>
                <w:rFonts w:eastAsia="Times New Roman"/>
              </w:rPr>
              <w:t>LD</w:t>
            </w:r>
            <w:r w:rsidRPr="00766886">
              <w:rPr>
                <w:rFonts w:eastAsia="Times New Roman"/>
              </w:rPr>
              <w:t xml:space="preserve">s) </w:t>
            </w:r>
            <w:r w:rsidRPr="00527717">
              <w:rPr>
                <w:rFonts w:eastAsiaTheme="minorEastAsia"/>
              </w:rPr>
              <w:t>following</w:t>
            </w:r>
            <w:r w:rsidRPr="00766886">
              <w:rPr>
                <w:rFonts w:eastAsia="Times New Roman"/>
              </w:rPr>
              <w:t xml:space="preserve"> </w:t>
            </w:r>
            <w:r w:rsidRPr="64F9E3C0">
              <w:rPr>
                <w:rFonts w:eastAsia="Times New Roman"/>
              </w:rPr>
              <w:t>desensitisation</w:t>
            </w:r>
            <w:r w:rsidRPr="00766886">
              <w:rPr>
                <w:rFonts w:eastAsia="Times New Roman"/>
              </w:rPr>
              <w:t xml:space="preserve"> with imlifidase conducted in Australia.</w:t>
            </w:r>
          </w:p>
          <w:p w14:paraId="4FBD24A1" w14:textId="0D11BFEB" w:rsidR="00FF425A" w:rsidRPr="00766886" w:rsidRDefault="00FF425A" w:rsidP="00044A9F">
            <w:pPr>
              <w:pStyle w:val="TableText"/>
              <w:rPr>
                <w:rFonts w:eastAsia="Times New Roman"/>
              </w:rPr>
            </w:pPr>
            <w:r>
              <w:rPr>
                <w:rFonts w:eastAsia="Times New Roman"/>
              </w:rPr>
              <w:t>MSAC may wish to consider if th</w:t>
            </w:r>
            <w:r w:rsidR="00BD48B7">
              <w:rPr>
                <w:rFonts w:eastAsia="Times New Roman"/>
              </w:rPr>
              <w:t>is</w:t>
            </w:r>
            <w:r w:rsidR="00D232FF">
              <w:rPr>
                <w:rFonts w:eastAsia="Times New Roman"/>
              </w:rPr>
              <w:t xml:space="preserve"> sufficiently addresses </w:t>
            </w:r>
            <w:r w:rsidR="00BF1FF8">
              <w:rPr>
                <w:rFonts w:eastAsia="Times New Roman"/>
              </w:rPr>
              <w:t>its recommendation</w:t>
            </w:r>
            <w:r w:rsidR="0019251D">
              <w:rPr>
                <w:rFonts w:eastAsia="Times New Roman"/>
              </w:rPr>
              <w:t>.</w:t>
            </w:r>
          </w:p>
        </w:tc>
      </w:tr>
    </w:tbl>
    <w:p w14:paraId="0B00C7CF" w14:textId="77777777" w:rsidR="00AD2C6B" w:rsidRPr="00527717" w:rsidRDefault="00AD2C6B" w:rsidP="00CF0BEA">
      <w:pPr>
        <w:pStyle w:val="Tablenotes"/>
        <w:rPr>
          <w:b/>
          <w:bCs/>
          <w:u w:val="single"/>
        </w:rPr>
      </w:pPr>
      <w:r w:rsidRPr="00527717">
        <w:rPr>
          <w:b/>
          <w:bCs/>
          <w:u w:val="single"/>
        </w:rPr>
        <w:t>Abbreviations</w:t>
      </w:r>
    </w:p>
    <w:p w14:paraId="05155F7A" w14:textId="17B6DB61" w:rsidR="00020716" w:rsidRDefault="007174BF" w:rsidP="00CF0BEA">
      <w:pPr>
        <w:pStyle w:val="Tablenotes"/>
      </w:pPr>
      <w:r>
        <w:t>ADAR = applicant developed assessment report,</w:t>
      </w:r>
      <w:r w:rsidR="00ED51F8">
        <w:t xml:space="preserve"> </w:t>
      </w:r>
      <w:r w:rsidR="00D40F1A">
        <w:t>AMR = antibody</w:t>
      </w:r>
      <w:r w:rsidR="00EB23C6">
        <w:t>-</w:t>
      </w:r>
      <w:r w:rsidR="00D40F1A">
        <w:t xml:space="preserve">mediated rejection, </w:t>
      </w:r>
      <w:r w:rsidR="001A45AA">
        <w:t xml:space="preserve">ANZKX = Australian and New Zealand Paired Kidney Exchange, </w:t>
      </w:r>
      <w:r w:rsidR="00ED51F8">
        <w:t>AUS-UTT-A = Australia</w:t>
      </w:r>
      <w:r w:rsidR="005E0F71">
        <w:t xml:space="preserve"> – </w:t>
      </w:r>
      <w:r w:rsidR="00EB23C6">
        <w:t>u</w:t>
      </w:r>
      <w:r w:rsidR="005E0F71">
        <w:t xml:space="preserve">nlikely </w:t>
      </w:r>
      <w:r w:rsidR="00EB23C6">
        <w:t>t</w:t>
      </w:r>
      <w:r w:rsidR="00084F23">
        <w:t xml:space="preserve">o </w:t>
      </w:r>
      <w:r w:rsidR="00EB23C6">
        <w:t>t</w:t>
      </w:r>
      <w:r w:rsidR="00084F23">
        <w:t>ransplant</w:t>
      </w:r>
      <w:r w:rsidR="00DC7809">
        <w:t xml:space="preserve"> – </w:t>
      </w:r>
      <w:r w:rsidR="00DD5EE7">
        <w:t>a</w:t>
      </w:r>
      <w:r w:rsidR="00DC7809">
        <w:t xml:space="preserve">gnostic </w:t>
      </w:r>
      <w:r w:rsidR="00C7044D">
        <w:t xml:space="preserve">(includes </w:t>
      </w:r>
      <w:r w:rsidR="00BA1C61">
        <w:t>both</w:t>
      </w:r>
      <w:r w:rsidR="00C7044D">
        <w:t xml:space="preserve"> living donor and deceased donor transplants</w:t>
      </w:r>
      <w:r w:rsidR="00BA1C61">
        <w:t xml:space="preserve"> in patients with a </w:t>
      </w:r>
      <w:proofErr w:type="spellStart"/>
      <w:r w:rsidR="00BA1C61">
        <w:t>cPRA</w:t>
      </w:r>
      <w:proofErr w:type="spellEnd"/>
      <w:r w:rsidR="00BA1C61">
        <w:t xml:space="preserve"> ≥99% and who had been waitlist for ≥2 years</w:t>
      </w:r>
      <w:r w:rsidR="00C7044D">
        <w:t>)</w:t>
      </w:r>
      <w:r w:rsidR="004C7D4A">
        <w:t>,</w:t>
      </w:r>
      <w:r>
        <w:t xml:space="preserve"> </w:t>
      </w:r>
      <w:r w:rsidR="002042A4">
        <w:t xml:space="preserve">CKD = chronic kidney disease, </w:t>
      </w:r>
      <w:proofErr w:type="spellStart"/>
      <w:r w:rsidR="00CF0BEA">
        <w:t>cPRA</w:t>
      </w:r>
      <w:proofErr w:type="spellEnd"/>
      <w:r w:rsidR="00CF0BEA">
        <w:t xml:space="preserve"> = calculated </w:t>
      </w:r>
      <w:r w:rsidR="00DD5EE7">
        <w:t>p</w:t>
      </w:r>
      <w:r w:rsidR="00CF0BEA">
        <w:t xml:space="preserve">anel </w:t>
      </w:r>
      <w:r w:rsidR="00DD5EE7">
        <w:t>r</w:t>
      </w:r>
      <w:r w:rsidR="00CF0BEA">
        <w:t xml:space="preserve">eactive </w:t>
      </w:r>
      <w:r w:rsidR="007E0121">
        <w:t>a</w:t>
      </w:r>
      <w:r w:rsidR="004E1D04">
        <w:t>ntibody</w:t>
      </w:r>
      <w:r w:rsidR="0002029A">
        <w:t>,</w:t>
      </w:r>
      <w:r w:rsidR="00846FC0">
        <w:t xml:space="preserve"> </w:t>
      </w:r>
      <w:r w:rsidR="00A47127">
        <w:t xml:space="preserve">CSR = clinical study report, </w:t>
      </w:r>
      <w:r w:rsidR="00846FC0">
        <w:t>CUA = cost-utility analysis,</w:t>
      </w:r>
      <w:r w:rsidR="00D66D24">
        <w:t xml:space="preserve"> DD = deceased donor,</w:t>
      </w:r>
      <w:r w:rsidR="00D40F1A">
        <w:t xml:space="preserve"> DGF = delayed graft function,</w:t>
      </w:r>
      <w:r w:rsidR="00EC6F67">
        <w:t xml:space="preserve"> </w:t>
      </w:r>
      <w:r w:rsidR="00EC6F67" w:rsidRPr="00EE63AC">
        <w:t>HS =</w:t>
      </w:r>
      <w:r w:rsidR="00EC6F67">
        <w:t xml:space="preserve"> highly sensitised, IgG = immunoglobulin G, IgM = immunoglobulin M,</w:t>
      </w:r>
      <w:r w:rsidR="0002029A">
        <w:t xml:space="preserve"> </w:t>
      </w:r>
      <w:r w:rsidR="00DB5FA9">
        <w:t xml:space="preserve">IVIG = intravenous immunoglobulin, </w:t>
      </w:r>
      <w:r w:rsidR="00052BCB">
        <w:t xml:space="preserve">LD = living donor, </w:t>
      </w:r>
      <w:r w:rsidR="00526320">
        <w:t>LRD = living related donor,</w:t>
      </w:r>
      <w:r w:rsidR="00F032E2">
        <w:t xml:space="preserve"> MSAC = Medical Services Advisory Committee, PASC = PICO Advisory Sub-Committee,</w:t>
      </w:r>
      <w:r w:rsidR="00526320">
        <w:t xml:space="preserve"> </w:t>
      </w:r>
      <w:r w:rsidR="00F032E2">
        <w:t xml:space="preserve">PSD = public summary document, </w:t>
      </w:r>
      <w:r w:rsidR="0002029A">
        <w:t xml:space="preserve">RTAC = </w:t>
      </w:r>
      <w:r w:rsidR="009B7C33">
        <w:t>Renal Transplant Advisory Committee</w:t>
      </w:r>
      <w:r w:rsidR="006F6526">
        <w:t>, TGA = Therapeutic Goods Administration</w:t>
      </w:r>
      <w:r w:rsidR="009B4860">
        <w:t>, UK = United Kingdom</w:t>
      </w:r>
    </w:p>
    <w:p w14:paraId="49EA275E" w14:textId="5D0ADDFF" w:rsidR="008D7E4B" w:rsidRPr="00527717" w:rsidRDefault="008D7E4B" w:rsidP="00CF0BEA">
      <w:pPr>
        <w:pStyle w:val="Tablenotes"/>
        <w:rPr>
          <w:b/>
          <w:bCs/>
          <w:u w:val="single"/>
        </w:rPr>
      </w:pPr>
      <w:r w:rsidRPr="00527717">
        <w:rPr>
          <w:b/>
          <w:bCs/>
          <w:u w:val="single"/>
        </w:rPr>
        <w:t>Note</w:t>
      </w:r>
    </w:p>
    <w:p w14:paraId="7D82FDC4" w14:textId="27B8388B" w:rsidR="008D7E4B" w:rsidRDefault="008D7E4B" w:rsidP="008D7E4B">
      <w:pPr>
        <w:pStyle w:val="Tablenotes"/>
      </w:pPr>
      <w:r w:rsidRPr="008D7E4B">
        <w:t>*</w:t>
      </w:r>
      <w:r>
        <w:t xml:space="preserve"> </w:t>
      </w:r>
      <w:r w:rsidR="00FD0182">
        <w:t xml:space="preserve">CSR </w:t>
      </w:r>
      <w:r w:rsidR="002D5C25">
        <w:t>(version 1)</w:t>
      </w:r>
      <w:r w:rsidR="00FD0182">
        <w:t xml:space="preserve"> for </w:t>
      </w:r>
      <w:r w:rsidR="00FD0182" w:rsidRPr="00020716">
        <w:t>17-HMedIdeS-14</w:t>
      </w:r>
      <w:r w:rsidR="00FD0182">
        <w:t xml:space="preserve">, dated 27 October 2023, was provided </w:t>
      </w:r>
      <w:r w:rsidR="002D5C25">
        <w:t xml:space="preserve">as </w:t>
      </w:r>
      <w:r w:rsidR="00F8201C">
        <w:t>supplementary material to the ADAR submission</w:t>
      </w:r>
      <w:r w:rsidR="004A0D67">
        <w:t>.</w:t>
      </w:r>
    </w:p>
    <w:p w14:paraId="09C319F3" w14:textId="04F35D9A" w:rsidR="004A0D67" w:rsidRPr="00527717" w:rsidRDefault="006F6526" w:rsidP="00CF0BEA">
      <w:pPr>
        <w:pStyle w:val="Tablenotes"/>
        <w:rPr>
          <w:b/>
          <w:bCs/>
          <w:u w:val="single"/>
        </w:rPr>
      </w:pPr>
      <w:r w:rsidRPr="00527717">
        <w:rPr>
          <w:b/>
          <w:bCs/>
          <w:u w:val="single"/>
        </w:rPr>
        <w:t>Source</w:t>
      </w:r>
    </w:p>
    <w:p w14:paraId="51FEB201" w14:textId="013FC2CF" w:rsidR="006F6526" w:rsidRPr="00310C3F" w:rsidRDefault="004A0D67" w:rsidP="00CF0BEA">
      <w:pPr>
        <w:pStyle w:val="Tablenotes"/>
      </w:pPr>
      <w:r>
        <w:t>A</w:t>
      </w:r>
      <w:r w:rsidR="000502CE">
        <w:t>d</w:t>
      </w:r>
      <w:r w:rsidR="00165269">
        <w:t>a</w:t>
      </w:r>
      <w:r w:rsidR="000502CE">
        <w:t>pted from Table 2</w:t>
      </w:r>
      <w:r w:rsidR="002D5EF2">
        <w:t>, pp</w:t>
      </w:r>
      <w:r w:rsidR="00032763">
        <w:t>.</w:t>
      </w:r>
      <w:r w:rsidR="002D5EF2">
        <w:t xml:space="preserve"> 41</w:t>
      </w:r>
      <w:r w:rsidR="00CD2BBF">
        <w:t>–</w:t>
      </w:r>
      <w:r w:rsidR="002D5EF2">
        <w:t xml:space="preserve">45 of the MSAC 1732.1 </w:t>
      </w:r>
      <w:proofErr w:type="spellStart"/>
      <w:r w:rsidR="002D5EF2">
        <w:t>ADAR+in-line</w:t>
      </w:r>
      <w:proofErr w:type="spellEnd"/>
      <w:r w:rsidR="002D5EF2">
        <w:t xml:space="preserve"> </w:t>
      </w:r>
      <w:proofErr w:type="gramStart"/>
      <w:r w:rsidR="002D5EF2">
        <w:t>commentary</w:t>
      </w:r>
      <w:proofErr w:type="gramEnd"/>
    </w:p>
    <w:p w14:paraId="6F52500A" w14:textId="04C38E21" w:rsidR="00772829" w:rsidRPr="00CE28E3" w:rsidRDefault="00F84BA7" w:rsidP="002A18BE">
      <w:pPr>
        <w:pStyle w:val="Heading2"/>
        <w:numPr>
          <w:ilvl w:val="0"/>
          <w:numId w:val="0"/>
        </w:numPr>
      </w:pPr>
      <w:bookmarkStart w:id="6" w:name="_Toc69491417"/>
      <w:bookmarkEnd w:id="3"/>
      <w:r>
        <w:t>5</w:t>
      </w:r>
      <w:r w:rsidR="00C36633">
        <w:t>.</w:t>
      </w:r>
      <w:r w:rsidR="00C36633">
        <w:tab/>
      </w:r>
      <w:r w:rsidR="00772829" w:rsidRPr="00CE28E3">
        <w:t>Prerequisites to implementation of any funding advice</w:t>
      </w:r>
      <w:bookmarkEnd w:id="6"/>
    </w:p>
    <w:p w14:paraId="151D339F" w14:textId="4AB68EFC" w:rsidR="001B3BD9" w:rsidRDefault="004A74F8" w:rsidP="00E3080A">
      <w:r>
        <w:t xml:space="preserve">At the time of </w:t>
      </w:r>
      <w:r w:rsidR="005C3401">
        <w:t xml:space="preserve">the previous </w:t>
      </w:r>
      <w:r w:rsidR="00A60C3D">
        <w:t>submission</w:t>
      </w:r>
      <w:r w:rsidR="005C3401">
        <w:t xml:space="preserve"> (MSAC 1732)</w:t>
      </w:r>
      <w:r>
        <w:t>, i</w:t>
      </w:r>
      <w:r w:rsidR="00AB1FFB" w:rsidRPr="00AB1FFB">
        <w:t xml:space="preserve">mlifidase </w:t>
      </w:r>
      <w:r>
        <w:t>had been</w:t>
      </w:r>
      <w:r w:rsidR="00AB1FFB" w:rsidRPr="00AB1FFB">
        <w:t xml:space="preserve"> granted orphan designation status</w:t>
      </w:r>
      <w:r w:rsidR="009B2A0B">
        <w:t xml:space="preserve"> and provisional pathway determination</w:t>
      </w:r>
      <w:r w:rsidR="00AB1FFB" w:rsidRPr="00AB1FFB">
        <w:t xml:space="preserve"> on</w:t>
      </w:r>
      <w:r w:rsidR="001E04D0">
        <w:t xml:space="preserve"> 9</w:t>
      </w:r>
      <w:r w:rsidR="00AB1FFB" w:rsidRPr="00AB1FFB">
        <w:t xml:space="preserve"> May 2022. </w:t>
      </w:r>
      <w:r w:rsidR="005C3401">
        <w:t>Further, a</w:t>
      </w:r>
      <w:r w:rsidR="00AB1FFB" w:rsidRPr="00AB1FFB">
        <w:t xml:space="preserve"> </w:t>
      </w:r>
      <w:r w:rsidR="007B7A58">
        <w:t>Category 1</w:t>
      </w:r>
      <w:r w:rsidR="00AB1FFB" w:rsidRPr="00AB1FFB">
        <w:t>,</w:t>
      </w:r>
      <w:r w:rsidR="007B7A58">
        <w:t xml:space="preserve"> Type A application </w:t>
      </w:r>
      <w:r w:rsidR="00AB1FFB" w:rsidRPr="00AB1FFB">
        <w:t>ha</w:t>
      </w:r>
      <w:r w:rsidR="00AB1FFB">
        <w:t>d</w:t>
      </w:r>
      <w:r w:rsidR="007B7A58">
        <w:t xml:space="preserve"> been submitted to the </w:t>
      </w:r>
      <w:r w:rsidR="009B2A0B">
        <w:t>Therapeutic Goods Administration (</w:t>
      </w:r>
      <w:r w:rsidR="00AB1FFB" w:rsidRPr="00AB1FFB">
        <w:t>TGA</w:t>
      </w:r>
      <w:r w:rsidR="009B2A0B">
        <w:t>)</w:t>
      </w:r>
      <w:r w:rsidR="00AB1FFB" w:rsidRPr="00AB1FFB">
        <w:t xml:space="preserve"> for the registration of imlifidase</w:t>
      </w:r>
      <w:r w:rsidR="00EB679F">
        <w:t>.</w:t>
      </w:r>
    </w:p>
    <w:p w14:paraId="26894114" w14:textId="62C72553" w:rsidR="00904099" w:rsidRDefault="00BD192E" w:rsidP="00E3080A">
      <w:r>
        <w:lastRenderedPageBreak/>
        <w:t xml:space="preserve">Imlifidase has since </w:t>
      </w:r>
      <w:r w:rsidR="001B3BD9">
        <w:t>(</w:t>
      </w:r>
      <w:r w:rsidR="000A670B">
        <w:t xml:space="preserve">10 </w:t>
      </w:r>
      <w:r w:rsidR="00D81AAF">
        <w:t>July 2023</w:t>
      </w:r>
      <w:r w:rsidR="001B3BD9">
        <w:t xml:space="preserve">) been approved </w:t>
      </w:r>
      <w:r w:rsidR="00EB679F">
        <w:t xml:space="preserve">for provisional registration </w:t>
      </w:r>
      <w:r>
        <w:t>on the Australian Register of Therapeutic Goods (ARTG</w:t>
      </w:r>
      <w:r w:rsidR="008E3846">
        <w:t>; ARTG ID 391413</w:t>
      </w:r>
      <w:r>
        <w:t>)</w:t>
      </w:r>
      <w:r w:rsidR="00AB1FFB">
        <w:t xml:space="preserve"> </w:t>
      </w:r>
      <w:r w:rsidR="00D81AAF">
        <w:t>for the indication:</w:t>
      </w:r>
      <w:r w:rsidR="00BA1441">
        <w:rPr>
          <w:rStyle w:val="FootnoteReference"/>
        </w:rPr>
        <w:footnoteReference w:id="4"/>
      </w:r>
      <w:r w:rsidR="00D6778F">
        <w:t xml:space="preserve"> </w:t>
      </w:r>
    </w:p>
    <w:p w14:paraId="5171642D" w14:textId="7E9AAF22" w:rsidR="004F5328" w:rsidRDefault="007B7A58" w:rsidP="00E3080A">
      <w:pPr>
        <w:ind w:left="1077"/>
      </w:pPr>
      <w:r>
        <w:t>‘</w:t>
      </w:r>
      <w:r w:rsidR="008F05EF" w:rsidRPr="008F05EF">
        <w:t>Idefirix has provisional approval for the desensitisation treatment of highly sensitised adult kidney transplant candidates prior to kidney transplantation from a donor against whom there is a positive crossmatch</w:t>
      </w:r>
      <w:r w:rsidR="008F05EF">
        <w:t>.</w:t>
      </w:r>
      <w:r w:rsidR="00E3080A">
        <w:t xml:space="preserve"> </w:t>
      </w:r>
      <w:r w:rsidR="008F05EF" w:rsidRPr="008F05EF">
        <w:t>The use of Idefirix should be reserved for patients who are otherwise unlikely to receive a kidney transplant</w:t>
      </w:r>
      <w:r w:rsidR="004F5328" w:rsidRPr="004F5328">
        <w:t>.</w:t>
      </w:r>
      <w:r w:rsidR="006D30F6">
        <w:t>’</w:t>
      </w:r>
    </w:p>
    <w:p w14:paraId="0456AED9" w14:textId="64C2FDAA" w:rsidR="007B7A58" w:rsidRPr="007B7A58" w:rsidRDefault="007B7A58" w:rsidP="00E3080A">
      <w:r w:rsidRPr="007B7A58">
        <w:t>Funding for imlifidase is proposed via the NHRA. Subject to a positive recommendation from MSAC, funding agreements will need to be negotiated with each respective state and territory.</w:t>
      </w:r>
    </w:p>
    <w:p w14:paraId="44C3B242" w14:textId="1EBF31E5" w:rsidR="00772829" w:rsidRPr="00CE28E3" w:rsidRDefault="00F84BA7" w:rsidP="002A18BE">
      <w:pPr>
        <w:pStyle w:val="Heading2"/>
        <w:numPr>
          <w:ilvl w:val="0"/>
          <w:numId w:val="0"/>
        </w:numPr>
      </w:pPr>
      <w:bookmarkStart w:id="7" w:name="_Toc69491418"/>
      <w:r>
        <w:t>6</w:t>
      </w:r>
      <w:r w:rsidR="00C36633">
        <w:t>.</w:t>
      </w:r>
      <w:r w:rsidR="00C36633">
        <w:tab/>
      </w:r>
      <w:r w:rsidR="00772829" w:rsidRPr="00CE28E3">
        <w:t>Proposal for public funding</w:t>
      </w:r>
      <w:bookmarkEnd w:id="7"/>
    </w:p>
    <w:p w14:paraId="24123133" w14:textId="668BF789" w:rsidR="00AC6F46" w:rsidRPr="00AC6F46" w:rsidRDefault="00AC6F46" w:rsidP="007637C3">
      <w:r w:rsidRPr="00AC6F46">
        <w:t xml:space="preserve">Funding is sought for the use of imlifidase in the desensitisation treatment of HS adult kidney transplant patients with a positive crossmatch against an available DD or LD who are unlikely to be transplanted under current kidney allocation systems. </w:t>
      </w:r>
    </w:p>
    <w:p w14:paraId="68F62513" w14:textId="0CEFC4BC" w:rsidR="00AC6F46" w:rsidRDefault="00AC6F46" w:rsidP="007637C3">
      <w:r w:rsidRPr="00AC6F46">
        <w:t>Patients would be eligible for imlifidase if they meet the following criteria</w:t>
      </w:r>
      <w:r w:rsidR="00F77294">
        <w:t>.</w:t>
      </w:r>
      <w:r w:rsidRPr="00AC6F46">
        <w:t xml:space="preserve"> </w:t>
      </w:r>
    </w:p>
    <w:p w14:paraId="08B81B4B" w14:textId="29947591" w:rsidR="00574BA4" w:rsidRPr="003A1A50" w:rsidRDefault="003A1A50" w:rsidP="007637C3">
      <w:pPr>
        <w:rPr>
          <w:bCs/>
        </w:rPr>
      </w:pPr>
      <w:r w:rsidRPr="003A1A50">
        <w:rPr>
          <w:bCs/>
        </w:rPr>
        <w:t>For patients waiting for a DD kidney:</w:t>
      </w:r>
    </w:p>
    <w:p w14:paraId="65C43714" w14:textId="53B7FE52" w:rsidR="003A1A50" w:rsidRDefault="00574BA4" w:rsidP="00FC0389">
      <w:pPr>
        <w:pStyle w:val="ListParagraph"/>
        <w:numPr>
          <w:ilvl w:val="0"/>
          <w:numId w:val="19"/>
        </w:numPr>
      </w:pPr>
      <w:r w:rsidRPr="00574BA4">
        <w:t>Have a</w:t>
      </w:r>
      <w:r w:rsidR="00DA0E37">
        <w:t xml:space="preserve"> calculated panel reactive antibody</w:t>
      </w:r>
      <w:r w:rsidRPr="00574BA4">
        <w:t xml:space="preserve"> </w:t>
      </w:r>
      <w:r w:rsidR="00DA0E37">
        <w:t>(</w:t>
      </w:r>
      <w:proofErr w:type="spellStart"/>
      <w:r w:rsidRPr="00574BA4">
        <w:t>cPRA</w:t>
      </w:r>
      <w:proofErr w:type="spellEnd"/>
      <w:r w:rsidR="00DA0E37">
        <w:t>)</w:t>
      </w:r>
      <w:r w:rsidRPr="00574BA4">
        <w:t xml:space="preserve"> ≥99%; AND</w:t>
      </w:r>
    </w:p>
    <w:p w14:paraId="5A054693" w14:textId="55B0B44B" w:rsidR="003A1A50" w:rsidRDefault="00574BA4" w:rsidP="00FC0389">
      <w:pPr>
        <w:pStyle w:val="ListParagraph"/>
        <w:numPr>
          <w:ilvl w:val="0"/>
          <w:numId w:val="19"/>
        </w:numPr>
      </w:pPr>
      <w:r w:rsidRPr="00574BA4">
        <w:t xml:space="preserve">With a positive </w:t>
      </w:r>
      <w:r w:rsidR="00B92702" w:rsidRPr="00B92702">
        <w:t>crossmatch</w:t>
      </w:r>
      <w:r w:rsidR="00B92702" w:rsidRPr="00B92702" w:rsidDel="00B92702">
        <w:t xml:space="preserve"> </w:t>
      </w:r>
      <w:r w:rsidRPr="00574BA4">
        <w:t>against an available donor; AND</w:t>
      </w:r>
    </w:p>
    <w:p w14:paraId="152E4ABF" w14:textId="655B2322" w:rsidR="00AC6F46" w:rsidRDefault="00574BA4" w:rsidP="00FC0389">
      <w:pPr>
        <w:pStyle w:val="ListParagraph"/>
        <w:numPr>
          <w:ilvl w:val="0"/>
          <w:numId w:val="19"/>
        </w:numPr>
      </w:pPr>
      <w:r w:rsidRPr="00574BA4">
        <w:t xml:space="preserve">Active on the </w:t>
      </w:r>
      <w:r w:rsidR="003A1A50">
        <w:t>DD</w:t>
      </w:r>
      <w:r w:rsidRPr="00574BA4">
        <w:t xml:space="preserve"> </w:t>
      </w:r>
      <w:r w:rsidR="004A2E3F">
        <w:t>waitlist</w:t>
      </w:r>
      <w:r w:rsidRPr="00574BA4">
        <w:t xml:space="preserve"> for at least </w:t>
      </w:r>
      <w:r w:rsidR="003A1A50">
        <w:t>2</w:t>
      </w:r>
      <w:r w:rsidRPr="00574BA4">
        <w:t xml:space="preserve"> years.</w:t>
      </w:r>
    </w:p>
    <w:p w14:paraId="22872F3B" w14:textId="5EB8718E" w:rsidR="00AC6F46" w:rsidRPr="00FE4FA0" w:rsidRDefault="00FE4FA0" w:rsidP="007637C3">
      <w:pPr>
        <w:rPr>
          <w:bCs/>
        </w:rPr>
      </w:pPr>
      <w:r w:rsidRPr="00FE4FA0">
        <w:rPr>
          <w:bCs/>
        </w:rPr>
        <w:t>For patients with a</w:t>
      </w:r>
      <w:r w:rsidR="00760621">
        <w:rPr>
          <w:bCs/>
        </w:rPr>
        <w:t>n</w:t>
      </w:r>
      <w:r w:rsidRPr="00FE4FA0">
        <w:rPr>
          <w:bCs/>
        </w:rPr>
        <w:t xml:space="preserve"> LD:</w:t>
      </w:r>
    </w:p>
    <w:p w14:paraId="009EA068" w14:textId="79A2E6F1" w:rsidR="00FE4FA0" w:rsidRDefault="00C75938" w:rsidP="00FC0389">
      <w:pPr>
        <w:pStyle w:val="ListParagraph"/>
        <w:numPr>
          <w:ilvl w:val="0"/>
          <w:numId w:val="20"/>
        </w:numPr>
      </w:pPr>
      <w:r w:rsidRPr="00C75938">
        <w:t xml:space="preserve">Have a </w:t>
      </w:r>
      <w:proofErr w:type="spellStart"/>
      <w:r w:rsidRPr="00C75938">
        <w:t>cPRA</w:t>
      </w:r>
      <w:proofErr w:type="spellEnd"/>
      <w:r w:rsidRPr="00C75938">
        <w:t xml:space="preserve"> ≥99%</w:t>
      </w:r>
      <w:r w:rsidR="00F12EB1">
        <w:t>;</w:t>
      </w:r>
      <w:r w:rsidRPr="00C75938">
        <w:t xml:space="preserve"> AND</w:t>
      </w:r>
    </w:p>
    <w:p w14:paraId="785EDDDD" w14:textId="745FAA16" w:rsidR="00FE4FA0" w:rsidRDefault="00C75938" w:rsidP="00FC0389">
      <w:pPr>
        <w:pStyle w:val="ListParagraph"/>
        <w:numPr>
          <w:ilvl w:val="0"/>
          <w:numId w:val="20"/>
        </w:numPr>
      </w:pPr>
      <w:r w:rsidRPr="00C75938">
        <w:t xml:space="preserve">With a positive crossmatch against an available </w:t>
      </w:r>
      <w:r w:rsidR="00760621">
        <w:t>LD</w:t>
      </w:r>
      <w:r w:rsidR="00F12EB1">
        <w:t>;</w:t>
      </w:r>
      <w:r w:rsidRPr="00C75938">
        <w:t xml:space="preserve"> AND</w:t>
      </w:r>
    </w:p>
    <w:p w14:paraId="21EB66F6" w14:textId="30B58830" w:rsidR="00FE4FA0" w:rsidRDefault="00760621" w:rsidP="00FC0389">
      <w:pPr>
        <w:pStyle w:val="ListParagraph"/>
        <w:numPr>
          <w:ilvl w:val="0"/>
          <w:numId w:val="20"/>
        </w:numPr>
      </w:pPr>
      <w:r>
        <w:t>For w</w:t>
      </w:r>
      <w:r w:rsidR="00C75938" w:rsidRPr="00C75938">
        <w:t xml:space="preserve">hom desensitisation regimens for organ transplantation have failed or are </w:t>
      </w:r>
      <w:proofErr w:type="gramStart"/>
      <w:r w:rsidR="00F12EB1" w:rsidRPr="00C75938">
        <w:t>contraindicated</w:t>
      </w:r>
      <w:r>
        <w:t>;</w:t>
      </w:r>
      <w:proofErr w:type="gramEnd"/>
      <w:r w:rsidR="00F12EB1">
        <w:t xml:space="preserve"> </w:t>
      </w:r>
      <w:r w:rsidR="00C75938" w:rsidRPr="00C75938">
        <w:t>OR</w:t>
      </w:r>
    </w:p>
    <w:p w14:paraId="21147514" w14:textId="223712EA" w:rsidR="00FE4FA0" w:rsidRDefault="00760621" w:rsidP="00FC0389">
      <w:pPr>
        <w:pStyle w:val="ListParagraph"/>
        <w:numPr>
          <w:ilvl w:val="0"/>
          <w:numId w:val="20"/>
        </w:numPr>
      </w:pPr>
      <w:r>
        <w:t>B</w:t>
      </w:r>
      <w:r w:rsidR="00C75938" w:rsidRPr="00C75938">
        <w:t>ased on clinical judgement and experience, plasmapheresis/</w:t>
      </w:r>
      <w:r w:rsidR="00F12EB1">
        <w:t>intravenous immunoglobulin</w:t>
      </w:r>
      <w:r w:rsidR="00C75938" w:rsidRPr="00C75938">
        <w:t xml:space="preserve"> </w:t>
      </w:r>
      <w:r w:rsidR="00F12EB1">
        <w:t>(</w:t>
      </w:r>
      <w:r w:rsidR="00C75938" w:rsidRPr="00C75938">
        <w:t>IVIG</w:t>
      </w:r>
      <w:r w:rsidR="00F12EB1">
        <w:t>)</w:t>
      </w:r>
      <w:r w:rsidR="00C75938" w:rsidRPr="00C75938">
        <w:t xml:space="preserve">/rituximab-based desensitisation regimens are considered unlikely to provide a sufficient decrease in antibodies to enable </w:t>
      </w:r>
      <w:proofErr w:type="gramStart"/>
      <w:r w:rsidR="00F12EB1" w:rsidRPr="00C75938">
        <w:t>transplantation</w:t>
      </w:r>
      <w:r>
        <w:t>;</w:t>
      </w:r>
      <w:proofErr w:type="gramEnd"/>
      <w:r w:rsidR="00F12EB1">
        <w:t xml:space="preserve"> </w:t>
      </w:r>
      <w:r w:rsidR="00C75938" w:rsidRPr="00C75938">
        <w:t>OR</w:t>
      </w:r>
    </w:p>
    <w:p w14:paraId="75E50DBC" w14:textId="35DD56A7" w:rsidR="007D0F8B" w:rsidRDefault="00760621" w:rsidP="00FC0389">
      <w:pPr>
        <w:pStyle w:val="ListParagraph"/>
        <w:numPr>
          <w:ilvl w:val="0"/>
          <w:numId w:val="20"/>
        </w:numPr>
      </w:pPr>
      <w:r>
        <w:t>P</w:t>
      </w:r>
      <w:r w:rsidR="00C75938" w:rsidRPr="00C75938">
        <w:t>lasmapheresis/IVIG/rituximab-based desensitisation regimens are not logistically compatible with the patient’s circumstance or the organisation of the transplant centre</w:t>
      </w:r>
      <w:r w:rsidR="00F12EB1">
        <w:t>.</w:t>
      </w:r>
    </w:p>
    <w:p w14:paraId="1119C859" w14:textId="29109847" w:rsidR="0092067B" w:rsidRDefault="00F538AE" w:rsidP="0092067B">
      <w:r w:rsidRPr="00F538AE">
        <w:t>Imlifidase does not require a</w:t>
      </w:r>
      <w:r w:rsidR="00B63347">
        <w:t xml:space="preserve"> Medicare Benefits Schedule</w:t>
      </w:r>
      <w:r w:rsidRPr="00F538AE">
        <w:t xml:space="preserve"> </w:t>
      </w:r>
      <w:r w:rsidR="00B63347">
        <w:t>(</w:t>
      </w:r>
      <w:r w:rsidRPr="00F538AE">
        <w:t>MBS</w:t>
      </w:r>
      <w:r w:rsidR="00B63347">
        <w:t>)</w:t>
      </w:r>
      <w:r w:rsidRPr="00F538AE">
        <w:t xml:space="preserve"> item code. Funding is</w:t>
      </w:r>
      <w:r w:rsidR="008C7037">
        <w:t xml:space="preserve"> requested</w:t>
      </w:r>
      <w:r w:rsidRPr="00F538AE">
        <w:t xml:space="preserve"> via the NHRA Addendum for </w:t>
      </w:r>
      <w:r w:rsidR="000652B8">
        <w:t>H</w:t>
      </w:r>
      <w:r w:rsidRPr="00F538AE">
        <w:t xml:space="preserve">ighly </w:t>
      </w:r>
      <w:r w:rsidR="000652B8">
        <w:t>S</w:t>
      </w:r>
      <w:r w:rsidRPr="00F538AE">
        <w:t xml:space="preserve">pecialised </w:t>
      </w:r>
      <w:r w:rsidR="002D4349">
        <w:t>Therapies</w:t>
      </w:r>
      <w:r w:rsidRPr="00F538AE">
        <w:t>.</w:t>
      </w:r>
      <w:r w:rsidR="00544A45">
        <w:rPr>
          <w:rStyle w:val="FootnoteReference"/>
        </w:rPr>
        <w:footnoteReference w:id="5"/>
      </w:r>
      <w:r w:rsidRPr="00F538AE">
        <w:t xml:space="preserve"> </w:t>
      </w:r>
    </w:p>
    <w:p w14:paraId="4764AE7F" w14:textId="0965AB10" w:rsidR="00224907" w:rsidRPr="000D6C44" w:rsidRDefault="00224907" w:rsidP="0047601C">
      <w:r w:rsidRPr="00224907">
        <w:t>The requested price per vial of imlifidase (11</w:t>
      </w:r>
      <w:r w:rsidR="00C91787">
        <w:t> </w:t>
      </w:r>
      <w:r w:rsidRPr="00224907">
        <w:t>mg pow</w:t>
      </w:r>
      <w:r w:rsidR="00BA49C3">
        <w:t>d</w:t>
      </w:r>
      <w:r w:rsidRPr="00224907">
        <w:t xml:space="preserve">er for concentrate for solution for infusion) </w:t>
      </w:r>
      <w:r w:rsidR="00AC4358">
        <w:t xml:space="preserve">is </w:t>
      </w:r>
      <w:r w:rsidRPr="000D6C44">
        <w:t>$</w:t>
      </w:r>
      <w:r w:rsidR="00120FA4" w:rsidRPr="009E2F9F">
        <w:rPr>
          <w:rFonts w:eastAsia="Franklin Gothic Book"/>
          <w:b/>
        </w:rPr>
        <w:t>redacted</w:t>
      </w:r>
      <w:r w:rsidRPr="000D6C44">
        <w:t xml:space="preserve"> ($</w:t>
      </w:r>
      <w:r w:rsidR="00120FA4" w:rsidRPr="009E2F9F">
        <w:rPr>
          <w:rFonts w:eastAsia="Franklin Gothic Book"/>
          <w:b/>
        </w:rPr>
        <w:t>redacted</w:t>
      </w:r>
      <w:r w:rsidR="00120FA4" w:rsidRPr="009E2F9F" w:rsidDel="00120FA4">
        <w:t xml:space="preserve"> </w:t>
      </w:r>
      <w:r w:rsidRPr="000D6C44">
        <w:t xml:space="preserve">for </w:t>
      </w:r>
      <w:r w:rsidR="00C91787">
        <w:t>2</w:t>
      </w:r>
      <w:r w:rsidR="00C91787" w:rsidRPr="000D6C44">
        <w:t xml:space="preserve"> </w:t>
      </w:r>
      <w:r w:rsidRPr="000D6C44">
        <w:t xml:space="preserve">vials), which represents a </w:t>
      </w:r>
      <w:r w:rsidR="009379AF" w:rsidRPr="009E78EF">
        <w:rPr>
          <w:b/>
          <w:bCs/>
        </w:rPr>
        <w:t>redacted</w:t>
      </w:r>
      <w:r w:rsidRPr="000D6C44">
        <w:t xml:space="preserve">% discount from the original </w:t>
      </w:r>
      <w:r w:rsidR="00545390">
        <w:t>applicant developed assessment report (</w:t>
      </w:r>
      <w:r w:rsidR="009050C3">
        <w:t>ADAR</w:t>
      </w:r>
      <w:r w:rsidR="00545390">
        <w:t>)</w:t>
      </w:r>
      <w:r w:rsidRPr="00ED1F86">
        <w:t xml:space="preserve">. </w:t>
      </w:r>
      <w:r w:rsidR="00B65E58">
        <w:rPr>
          <w:rFonts w:eastAsia="Franklin Gothic Book"/>
          <w:b/>
        </w:rPr>
        <w:t>R</w:t>
      </w:r>
      <w:r w:rsidR="00120FA4" w:rsidRPr="009E2F9F">
        <w:rPr>
          <w:rFonts w:eastAsia="Franklin Gothic Book"/>
          <w:b/>
        </w:rPr>
        <w:t>edacted</w:t>
      </w:r>
      <w:r w:rsidR="003D3BDF" w:rsidRPr="009E2F9F">
        <w:t>.</w:t>
      </w:r>
      <w:r w:rsidR="00A623C8" w:rsidRPr="00A623C8">
        <w:t xml:space="preserve"> </w:t>
      </w:r>
      <w:r w:rsidR="00A623C8">
        <w:t xml:space="preserve">As discussed in Table </w:t>
      </w:r>
      <w:r w:rsidR="009404F5">
        <w:t>2</w:t>
      </w:r>
      <w:r w:rsidR="00A623C8">
        <w:t>, t</w:t>
      </w:r>
      <w:r w:rsidR="00A623C8" w:rsidRPr="00A623C8">
        <w:t>he commentary notes the amended costing structure affects the proposed funding arrangements but should not impact the number of vials or doses received by patients in clinical practice; that is, costs are being shifted from the healthcare system to the company</w:t>
      </w:r>
      <w:r w:rsidR="00A623C8">
        <w:t>.</w:t>
      </w:r>
      <w:r w:rsidRPr="00ED1F86">
        <w:t xml:space="preserve"> </w:t>
      </w:r>
      <w:r w:rsidR="003D3BDF" w:rsidRPr="00ED1F86">
        <w:t xml:space="preserve">Relative to the </w:t>
      </w:r>
      <w:r w:rsidR="00A7706C">
        <w:t>costs</w:t>
      </w:r>
      <w:r w:rsidR="00AD1E6F">
        <w:t xml:space="preserve"> presented in the original ADAR—</w:t>
      </w:r>
      <w:r w:rsidR="00F011F6" w:rsidRPr="00ED1F86">
        <w:t xml:space="preserve">weight-based </w:t>
      </w:r>
      <w:r w:rsidR="00AD1E6F">
        <w:t>estimation of vials/dose/</w:t>
      </w:r>
      <w:r w:rsidR="00AD1E6F" w:rsidRPr="00C1086F">
        <w:t xml:space="preserve">patient </w:t>
      </w:r>
      <w:r w:rsidR="00F011F6" w:rsidRPr="00C1086F">
        <w:t>(</w:t>
      </w:r>
      <w:r w:rsidR="00ED1F86" w:rsidRPr="009E2F9F" w:rsidDel="00202113">
        <w:t>1</w:t>
      </w:r>
      <w:r w:rsidR="00B16A9F" w:rsidRPr="009E2F9F" w:rsidDel="00202113">
        <w:t xml:space="preserve"> to </w:t>
      </w:r>
      <w:r w:rsidR="00ED1F86" w:rsidRPr="009E2F9F" w:rsidDel="00202113">
        <w:t>3</w:t>
      </w:r>
      <w:r w:rsidR="00ED1F86" w:rsidRPr="00C1086F" w:rsidDel="00202113">
        <w:t xml:space="preserve"> </w:t>
      </w:r>
      <w:r w:rsidR="00ED1F86" w:rsidRPr="00C1086F">
        <w:t>vials/patient/dose</w:t>
      </w:r>
      <w:r w:rsidR="00574791" w:rsidRPr="00C1086F">
        <w:t xml:space="preserve"> [average: </w:t>
      </w:r>
      <w:r w:rsidR="00574791" w:rsidRPr="009E2F9F" w:rsidDel="00202113">
        <w:t>2.09</w:t>
      </w:r>
      <w:r w:rsidR="00574791" w:rsidRPr="00C1086F" w:rsidDel="00202113">
        <w:t xml:space="preserve"> </w:t>
      </w:r>
      <w:r w:rsidR="00574791" w:rsidRPr="00C1086F">
        <w:t>vials]</w:t>
      </w:r>
      <w:r w:rsidR="00AD1E6F" w:rsidRPr="00C1086F">
        <w:t>)</w:t>
      </w:r>
      <w:r w:rsidR="006E648D" w:rsidRPr="00C1086F">
        <w:t xml:space="preserve"> </w:t>
      </w:r>
      <w:r w:rsidR="00414D9C" w:rsidRPr="00C1086F">
        <w:t>and adde</w:t>
      </w:r>
      <w:r w:rsidR="005E4439" w:rsidRPr="00C1086F">
        <w:t xml:space="preserve">d costs for a second dose </w:t>
      </w:r>
      <w:r w:rsidR="00942FFA" w:rsidRPr="00C1086F">
        <w:t>in</w:t>
      </w:r>
      <w:r w:rsidR="00ED1F86" w:rsidRPr="00C1086F">
        <w:t xml:space="preserve"> </w:t>
      </w:r>
      <w:r w:rsidR="00ED1F86" w:rsidRPr="009E2F9F" w:rsidDel="00202113">
        <w:t>6.5</w:t>
      </w:r>
      <w:r w:rsidR="00ED1F86" w:rsidRPr="00C1086F">
        <w:t xml:space="preserve">% </w:t>
      </w:r>
      <w:r w:rsidR="00B16A9F" w:rsidRPr="00C1086F">
        <w:t>patients</w:t>
      </w:r>
      <w:r w:rsidR="00B16A9F">
        <w:t xml:space="preserve"> </w:t>
      </w:r>
      <w:r w:rsidR="00BF0317">
        <w:lastRenderedPageBreak/>
        <w:t>(</w:t>
      </w:r>
      <w:r w:rsidR="005E4439">
        <w:t xml:space="preserve">proportion </w:t>
      </w:r>
      <w:r w:rsidR="00B16A9F">
        <w:t>requiring a</w:t>
      </w:r>
      <w:r w:rsidR="00ED1F86" w:rsidRPr="00ED1F86">
        <w:t xml:space="preserve"> second dose</w:t>
      </w:r>
      <w:r w:rsidR="005E4439">
        <w:t xml:space="preserve"> in the trials</w:t>
      </w:r>
      <w:r w:rsidR="00ED1F86" w:rsidRPr="00ED1F86">
        <w:t>)</w:t>
      </w:r>
      <w:r w:rsidR="00A7706C">
        <w:t>—</w:t>
      </w:r>
      <w:r w:rsidR="00ED1F86" w:rsidRPr="00ED1F86">
        <w:t>th</w:t>
      </w:r>
      <w:r w:rsidR="002E3774">
        <w:t>e</w:t>
      </w:r>
      <w:r w:rsidR="00ED1F86" w:rsidRPr="00ED1F86">
        <w:t xml:space="preserve"> </w:t>
      </w:r>
      <w:r w:rsidR="002E3774">
        <w:t xml:space="preserve">current pricing proposal </w:t>
      </w:r>
      <w:r w:rsidR="00ED1F86" w:rsidRPr="00ED1F86">
        <w:t xml:space="preserve">reflects </w:t>
      </w:r>
      <w:r w:rsidRPr="00ED1F86">
        <w:t xml:space="preserve">a further </w:t>
      </w:r>
      <w:r w:rsidR="00202113" w:rsidRPr="009E2F9F">
        <w:rPr>
          <w:rFonts w:eastAsia="Franklin Gothic Book"/>
          <w:b/>
        </w:rPr>
        <w:t>redacted</w:t>
      </w:r>
      <w:r w:rsidRPr="00ED1F86">
        <w:t xml:space="preserve">% effective reduction in </w:t>
      </w:r>
      <w:r>
        <w:t>cost</w:t>
      </w:r>
      <w:r w:rsidR="002E3774">
        <w:t xml:space="preserve"> (compared to that presented in the original ADAR)</w:t>
      </w:r>
      <w:r w:rsidRPr="00ED1F86">
        <w:t>.</w:t>
      </w:r>
      <w:r w:rsidRPr="000D6C44">
        <w:t xml:space="preserve"> </w:t>
      </w:r>
    </w:p>
    <w:p w14:paraId="34E0B08F" w14:textId="53E61336" w:rsidR="00772829" w:rsidRPr="00CE28E3" w:rsidRDefault="00F84BA7" w:rsidP="002A18BE">
      <w:pPr>
        <w:pStyle w:val="Heading2"/>
        <w:numPr>
          <w:ilvl w:val="0"/>
          <w:numId w:val="0"/>
        </w:numPr>
      </w:pPr>
      <w:bookmarkStart w:id="8" w:name="_Toc69491419"/>
      <w:bookmarkStart w:id="9" w:name="_Ref163483162"/>
      <w:bookmarkStart w:id="10" w:name="_Ref163483188"/>
      <w:bookmarkStart w:id="11" w:name="_Ref163483193"/>
      <w:bookmarkStart w:id="12" w:name="_Ref163552223"/>
      <w:r>
        <w:t>7</w:t>
      </w:r>
      <w:r w:rsidR="00C36633">
        <w:t>.</w:t>
      </w:r>
      <w:r w:rsidR="00C36633">
        <w:tab/>
      </w:r>
      <w:r w:rsidR="00772829" w:rsidRPr="00CE28E3">
        <w:t>Population</w:t>
      </w:r>
      <w:bookmarkEnd w:id="8"/>
      <w:bookmarkEnd w:id="9"/>
      <w:bookmarkEnd w:id="10"/>
      <w:bookmarkEnd w:id="11"/>
      <w:r w:rsidR="00772829" w:rsidRPr="00CE28E3">
        <w:t xml:space="preserve"> </w:t>
      </w:r>
      <w:bookmarkEnd w:id="12"/>
    </w:p>
    <w:p w14:paraId="7FABD390" w14:textId="7B83F57D" w:rsidR="00B16A9F" w:rsidRDefault="00893DF5" w:rsidP="009624CA">
      <w:r w:rsidRPr="00893DF5">
        <w:t xml:space="preserve">The applicant has revised the previously </w:t>
      </w:r>
      <w:r w:rsidRPr="00B81755">
        <w:t>submitted PICO</w:t>
      </w:r>
      <w:r w:rsidR="00E66006" w:rsidRPr="00B81755">
        <w:t xml:space="preserve"> (</w:t>
      </w:r>
      <w:r w:rsidR="00D55955">
        <w:t>p</w:t>
      </w:r>
      <w:r w:rsidR="00E66006" w:rsidRPr="00B81755">
        <w:t xml:space="preserve">opulation, </w:t>
      </w:r>
      <w:r w:rsidR="00D55955">
        <w:t>i</w:t>
      </w:r>
      <w:r w:rsidR="00E66006" w:rsidRPr="00B81755">
        <w:t xml:space="preserve">ntervention, </w:t>
      </w:r>
      <w:r w:rsidR="00D55955">
        <w:t>c</w:t>
      </w:r>
      <w:r w:rsidR="00E66006" w:rsidRPr="00B81755">
        <w:t xml:space="preserve">omparator, </w:t>
      </w:r>
      <w:r w:rsidR="00D55955">
        <w:t>o</w:t>
      </w:r>
      <w:r w:rsidR="00E66006" w:rsidRPr="00B81755">
        <w:t>utcomes)</w:t>
      </w:r>
      <w:r w:rsidRPr="00B81755">
        <w:t xml:space="preserve"> criteria according to guidance from MSAC and RTAC. The </w:t>
      </w:r>
      <w:r w:rsidR="00E66006" w:rsidRPr="00B81755">
        <w:t>HS</w:t>
      </w:r>
      <w:r w:rsidRPr="00B81755">
        <w:t xml:space="preserve"> population has been defined by MSAC in the</w:t>
      </w:r>
      <w:r w:rsidR="00AA795C" w:rsidRPr="00B81755">
        <w:t xml:space="preserve"> Public Summary Document (</w:t>
      </w:r>
      <w:r w:rsidRPr="00B81755">
        <w:t>PSD</w:t>
      </w:r>
      <w:r w:rsidR="00AA795C" w:rsidRPr="00B81755">
        <w:t>)</w:t>
      </w:r>
      <w:r w:rsidR="00B81755" w:rsidRPr="00B81755">
        <w:t xml:space="preserve"> </w:t>
      </w:r>
      <w:r w:rsidRPr="00B81755">
        <w:t>and included</w:t>
      </w:r>
      <w:r w:rsidRPr="00893DF5">
        <w:t xml:space="preserve"> in th</w:t>
      </w:r>
      <w:r w:rsidR="00165269">
        <w:t>e</w:t>
      </w:r>
      <w:r w:rsidRPr="00893DF5">
        <w:t xml:space="preserve"> resubmission of the ADAR. These patients are </w:t>
      </w:r>
      <w:r w:rsidR="00567779">
        <w:t>HS</w:t>
      </w:r>
      <w:r w:rsidRPr="00893DF5">
        <w:t xml:space="preserve"> adult kidney transplant candidates and unlikely to be otherwise transplanted, either on the </w:t>
      </w:r>
      <w:r w:rsidR="00640917">
        <w:t>Australian and New Zealand Paired Kidney Exchange (</w:t>
      </w:r>
      <w:r w:rsidRPr="00893DF5">
        <w:t>ANZKX</w:t>
      </w:r>
      <w:r w:rsidR="00640917">
        <w:t xml:space="preserve">) </w:t>
      </w:r>
      <w:r w:rsidR="0055642E">
        <w:t>p</w:t>
      </w:r>
      <w:r w:rsidR="00640917">
        <w:t>rogram</w:t>
      </w:r>
      <w:r w:rsidRPr="00893DF5">
        <w:t xml:space="preserve"> or </w:t>
      </w:r>
      <w:r w:rsidR="00640917">
        <w:t xml:space="preserve">the </w:t>
      </w:r>
      <w:r w:rsidRPr="00893DF5">
        <w:t xml:space="preserve">OrganMatch waitlist (despite the </w:t>
      </w:r>
      <w:r w:rsidR="00567779">
        <w:t>HS</w:t>
      </w:r>
      <w:r w:rsidRPr="00893DF5">
        <w:t xml:space="preserve"> patients receiving prioritisation on organ allocation algorithms).</w:t>
      </w:r>
    </w:p>
    <w:p w14:paraId="31AB80E8" w14:textId="5956DC66" w:rsidR="00893DF5" w:rsidRPr="009624CA" w:rsidRDefault="00B240D1" w:rsidP="009624CA">
      <w:r>
        <w:t>As noted in the previous section</w:t>
      </w:r>
      <w:r w:rsidR="0040401C">
        <w:t xml:space="preserve">, in response to </w:t>
      </w:r>
      <w:r w:rsidR="00DE7366">
        <w:t>MSAC advice in application 1732</w:t>
      </w:r>
      <w:r>
        <w:t xml:space="preserve"> </w:t>
      </w:r>
      <w:r w:rsidR="000C7366">
        <w:t>f</w:t>
      </w:r>
      <w:r w:rsidR="00893DF5" w:rsidRPr="009624CA">
        <w:t xml:space="preserve">or patients waiting for a </w:t>
      </w:r>
      <w:r w:rsidR="00FC56D8">
        <w:t>DD</w:t>
      </w:r>
      <w:r w:rsidR="00893DF5" w:rsidRPr="009624CA">
        <w:t xml:space="preserve"> kidney, </w:t>
      </w:r>
      <w:r w:rsidR="007140E3">
        <w:t>‘</w:t>
      </w:r>
      <w:r w:rsidR="00567779">
        <w:t>HS</w:t>
      </w:r>
      <w:r w:rsidR="00893DF5" w:rsidRPr="009624CA">
        <w:t xml:space="preserve"> and unlikely to be transplanted</w:t>
      </w:r>
      <w:r w:rsidR="007140E3">
        <w:t>’ has been</w:t>
      </w:r>
      <w:r w:rsidR="00893DF5" w:rsidRPr="009624CA">
        <w:t xml:space="preserve"> defined</w:t>
      </w:r>
      <w:r w:rsidR="007140E3">
        <w:t xml:space="preserve"> by the applicant</w:t>
      </w:r>
      <w:r w:rsidR="00893DF5" w:rsidRPr="009624CA">
        <w:t xml:space="preserve"> </w:t>
      </w:r>
      <w:r w:rsidR="003D44F8" w:rsidRPr="009624CA">
        <w:t>as</w:t>
      </w:r>
      <w:r w:rsidR="00893DF5" w:rsidRPr="009624CA">
        <w:t>: </w:t>
      </w:r>
    </w:p>
    <w:p w14:paraId="0C92904A" w14:textId="77777777" w:rsidR="009624CA" w:rsidRDefault="00893DF5" w:rsidP="00FC0389">
      <w:pPr>
        <w:pStyle w:val="ListParagraph"/>
        <w:numPr>
          <w:ilvl w:val="0"/>
          <w:numId w:val="22"/>
        </w:numPr>
      </w:pPr>
      <w:r w:rsidRPr="009624CA">
        <w:t xml:space="preserve">Have a </w:t>
      </w:r>
      <w:proofErr w:type="spellStart"/>
      <w:r w:rsidRPr="009624CA">
        <w:t>cPR</w:t>
      </w:r>
      <w:r w:rsidR="009624CA">
        <w:t>A</w:t>
      </w:r>
      <w:proofErr w:type="spellEnd"/>
      <w:r w:rsidRPr="009624CA">
        <w:t xml:space="preserve"> </w:t>
      </w:r>
      <w:r w:rsidRPr="009624CA">
        <w:rPr>
          <w:rFonts w:ascii="Arial" w:hAnsi="Arial" w:cs="Arial"/>
        </w:rPr>
        <w:t>≥</w:t>
      </w:r>
      <w:r w:rsidRPr="009624CA">
        <w:t>99%; AND</w:t>
      </w:r>
    </w:p>
    <w:p w14:paraId="46169932" w14:textId="2A5E43D5" w:rsidR="009624CA" w:rsidRDefault="00893DF5" w:rsidP="00FC0389">
      <w:pPr>
        <w:pStyle w:val="ListParagraph"/>
        <w:numPr>
          <w:ilvl w:val="0"/>
          <w:numId w:val="22"/>
        </w:numPr>
      </w:pPr>
      <w:r w:rsidRPr="009624CA">
        <w:t xml:space="preserve">With a positive </w:t>
      </w:r>
      <w:r w:rsidR="00B92702" w:rsidRPr="00B92702">
        <w:t>crossmatch</w:t>
      </w:r>
      <w:r w:rsidR="00B92702" w:rsidRPr="00B92702" w:rsidDel="00B92702">
        <w:t xml:space="preserve"> </w:t>
      </w:r>
      <w:r w:rsidRPr="009624CA">
        <w:t>against an available donor; AND</w:t>
      </w:r>
    </w:p>
    <w:p w14:paraId="3747378D" w14:textId="48A9F3A8" w:rsidR="00893DF5" w:rsidRPr="009624CA" w:rsidRDefault="00893DF5" w:rsidP="00FC0389">
      <w:pPr>
        <w:pStyle w:val="ListParagraph"/>
        <w:numPr>
          <w:ilvl w:val="0"/>
          <w:numId w:val="22"/>
        </w:numPr>
      </w:pPr>
      <w:r w:rsidRPr="009624CA">
        <w:t xml:space="preserve">Active on the </w:t>
      </w:r>
      <w:r w:rsidR="00FC56D8">
        <w:t>DD</w:t>
      </w:r>
      <w:r w:rsidRPr="009624CA">
        <w:t xml:space="preserve"> waitlist for at least </w:t>
      </w:r>
      <w:r w:rsidR="009624CA">
        <w:t>2</w:t>
      </w:r>
      <w:r w:rsidRPr="009624CA">
        <w:t xml:space="preserve"> years. </w:t>
      </w:r>
    </w:p>
    <w:p w14:paraId="56BA5071" w14:textId="3EF9102E" w:rsidR="006872CE" w:rsidRDefault="00892A28" w:rsidP="009624CA">
      <w:r>
        <w:t>The proposed population for patients waiting for a DD kidney is in alignment with MSAC and RTAC advice.</w:t>
      </w:r>
    </w:p>
    <w:p w14:paraId="422AF90F" w14:textId="7255DAD4" w:rsidR="00893DF5" w:rsidRPr="00893DF5" w:rsidRDefault="00893DF5" w:rsidP="009624CA">
      <w:r w:rsidRPr="009624CA">
        <w:t>For patients with</w:t>
      </w:r>
      <w:r w:rsidR="001C7FC4">
        <w:t xml:space="preserve"> an </w:t>
      </w:r>
      <w:r w:rsidR="00BB3B03">
        <w:t>available</w:t>
      </w:r>
      <w:r w:rsidR="001C7FC4">
        <w:t xml:space="preserve"> LD</w:t>
      </w:r>
      <w:r w:rsidRPr="009624CA">
        <w:t xml:space="preserve">, </w:t>
      </w:r>
      <w:r w:rsidR="00EE5096">
        <w:t>‘</w:t>
      </w:r>
      <w:r w:rsidR="00567779">
        <w:t>HS</w:t>
      </w:r>
      <w:r w:rsidRPr="009624CA">
        <w:t xml:space="preserve"> and unlikely to be transplanted</w:t>
      </w:r>
      <w:r w:rsidR="00EE5096">
        <w:t xml:space="preserve">’ has been </w:t>
      </w:r>
      <w:r w:rsidRPr="009624CA">
        <w:t>defined</w:t>
      </w:r>
      <w:r w:rsidR="0026684D">
        <w:t xml:space="preserve"> </w:t>
      </w:r>
      <w:r w:rsidR="00EE5096">
        <w:t xml:space="preserve">by the applicant </w:t>
      </w:r>
      <w:r w:rsidR="00A623C8">
        <w:t>a</w:t>
      </w:r>
      <w:r w:rsidRPr="00893DF5">
        <w:t>s: </w:t>
      </w:r>
    </w:p>
    <w:p w14:paraId="63623934" w14:textId="3986822D" w:rsidR="009624CA" w:rsidRDefault="00893DF5" w:rsidP="00FC0389">
      <w:pPr>
        <w:pStyle w:val="ListParagraph"/>
        <w:numPr>
          <w:ilvl w:val="0"/>
          <w:numId w:val="23"/>
        </w:numPr>
      </w:pPr>
      <w:r w:rsidRPr="00893DF5">
        <w:t xml:space="preserve">Have a </w:t>
      </w:r>
      <w:proofErr w:type="spellStart"/>
      <w:r w:rsidRPr="00893DF5">
        <w:t>cPRA</w:t>
      </w:r>
      <w:proofErr w:type="spellEnd"/>
      <w:r w:rsidRPr="00893DF5">
        <w:t xml:space="preserve"> ≥99%</w:t>
      </w:r>
      <w:r w:rsidR="00D63270">
        <w:t>;</w:t>
      </w:r>
      <w:r w:rsidRPr="00893DF5">
        <w:t xml:space="preserve"> AND </w:t>
      </w:r>
    </w:p>
    <w:p w14:paraId="5D4AAF70" w14:textId="09CB1010" w:rsidR="009624CA" w:rsidRDefault="00893DF5" w:rsidP="00FC0389">
      <w:pPr>
        <w:pStyle w:val="ListParagraph"/>
        <w:numPr>
          <w:ilvl w:val="0"/>
          <w:numId w:val="23"/>
        </w:numPr>
      </w:pPr>
      <w:r w:rsidRPr="00893DF5">
        <w:t xml:space="preserve">With a positive crossmatch against an available </w:t>
      </w:r>
      <w:r w:rsidR="001C7FC4">
        <w:t>LD</w:t>
      </w:r>
      <w:r w:rsidR="00D63270">
        <w:t>;</w:t>
      </w:r>
      <w:r w:rsidRPr="00893DF5">
        <w:t xml:space="preserve"> AND</w:t>
      </w:r>
    </w:p>
    <w:p w14:paraId="37404F08" w14:textId="24C5A50A" w:rsidR="009624CA" w:rsidRDefault="00D045E7" w:rsidP="00FC0389">
      <w:pPr>
        <w:pStyle w:val="ListParagraph"/>
        <w:numPr>
          <w:ilvl w:val="0"/>
          <w:numId w:val="23"/>
        </w:numPr>
      </w:pPr>
      <w:r>
        <w:t>For w</w:t>
      </w:r>
      <w:r w:rsidR="00893DF5" w:rsidRPr="00893DF5">
        <w:t xml:space="preserve">hom desensitisation regimens for organ transplantation have failed or are </w:t>
      </w:r>
      <w:proofErr w:type="gramStart"/>
      <w:r w:rsidR="00893DF5" w:rsidRPr="00893DF5">
        <w:t>contraindicated</w:t>
      </w:r>
      <w:r w:rsidR="00B9520C">
        <w:t>;</w:t>
      </w:r>
      <w:proofErr w:type="gramEnd"/>
      <w:r w:rsidR="00D63270">
        <w:t xml:space="preserve"> </w:t>
      </w:r>
      <w:r w:rsidR="00893DF5" w:rsidRPr="00893DF5">
        <w:t>OR  </w:t>
      </w:r>
    </w:p>
    <w:p w14:paraId="17B7B467" w14:textId="1680B7EC" w:rsidR="009624CA" w:rsidRDefault="00B9520C" w:rsidP="00FC0389">
      <w:pPr>
        <w:pStyle w:val="ListParagraph"/>
        <w:numPr>
          <w:ilvl w:val="0"/>
          <w:numId w:val="23"/>
        </w:numPr>
      </w:pPr>
      <w:r>
        <w:t>B</w:t>
      </w:r>
      <w:r w:rsidR="00893DF5" w:rsidRPr="00893DF5">
        <w:t xml:space="preserve">ased on clinical judgement and experience, plasmapheresis/IVIG/rituximab-based desensitisation regimens are considered unlikely to provide a sufficient decrease in antibodies to enable </w:t>
      </w:r>
      <w:proofErr w:type="gramStart"/>
      <w:r w:rsidR="00893DF5" w:rsidRPr="00893DF5">
        <w:t>transplantation</w:t>
      </w:r>
      <w:r>
        <w:t>;</w:t>
      </w:r>
      <w:proofErr w:type="gramEnd"/>
      <w:r w:rsidR="00D63270">
        <w:t xml:space="preserve"> </w:t>
      </w:r>
      <w:r w:rsidR="00893DF5" w:rsidRPr="00893DF5">
        <w:t>OR</w:t>
      </w:r>
    </w:p>
    <w:p w14:paraId="333A0EED" w14:textId="631C8624" w:rsidR="00893DF5" w:rsidRPr="00B83B6D" w:rsidRDefault="00B9520C" w:rsidP="009E2C11">
      <w:pPr>
        <w:pStyle w:val="ListParagraph"/>
        <w:numPr>
          <w:ilvl w:val="0"/>
          <w:numId w:val="23"/>
        </w:numPr>
      </w:pPr>
      <w:r>
        <w:t>P</w:t>
      </w:r>
      <w:r w:rsidR="00893DF5" w:rsidRPr="00893DF5">
        <w:t>lasmapheresis/IVIG/rituximab-based desensitisation regimens are not logistically compatible with the patient’s circumstance or the organisation of the transplant centre.</w:t>
      </w:r>
    </w:p>
    <w:p w14:paraId="09821893" w14:textId="1502E213" w:rsidR="00576FA1" w:rsidRPr="00576FA1" w:rsidRDefault="00B041B8" w:rsidP="00033B82">
      <w:bookmarkStart w:id="13" w:name="_Hlk166075737"/>
      <w:r>
        <w:t xml:space="preserve">As noted in Table </w:t>
      </w:r>
      <w:r w:rsidR="009C64FF">
        <w:t>2</w:t>
      </w:r>
      <w:r w:rsidR="001C514D">
        <w:t>,</w:t>
      </w:r>
      <w:r>
        <w:t xml:space="preserve"> this represents a modification</w:t>
      </w:r>
      <w:r w:rsidR="00033B82">
        <w:t xml:space="preserve"> (with additional eligibility criteria)</w:t>
      </w:r>
      <w:r>
        <w:t xml:space="preserve"> from what was originally recommended by MSAC</w:t>
      </w:r>
      <w:r w:rsidR="00033B82">
        <w:t xml:space="preserve"> which recommended, for patients with an available </w:t>
      </w:r>
      <w:r w:rsidR="00E026F4">
        <w:t>LD, restricting</w:t>
      </w:r>
      <w:r w:rsidR="00033B82">
        <w:t xml:space="preserve"> eligibility to those with </w:t>
      </w:r>
      <w:r w:rsidR="00C51E66">
        <w:t xml:space="preserve">a </w:t>
      </w:r>
      <w:proofErr w:type="spellStart"/>
      <w:r w:rsidR="00033B82">
        <w:t>cPRA</w:t>
      </w:r>
      <w:proofErr w:type="spellEnd"/>
      <w:r w:rsidR="00033B82">
        <w:t xml:space="preserve"> of 99% or more “who have failed plasma exchange desensitisation treatment so that it is a second line treatment.” </w:t>
      </w:r>
      <w:r w:rsidR="00DD3976" w:rsidRPr="00527717">
        <w:t xml:space="preserve">While RTAC </w:t>
      </w:r>
      <w:r w:rsidR="00D67714">
        <w:t>were generally supportive</w:t>
      </w:r>
      <w:r w:rsidR="00DD3976" w:rsidRPr="00C9683A">
        <w:t xml:space="preserve"> </w:t>
      </w:r>
      <w:r w:rsidR="00D67714">
        <w:t xml:space="preserve">of </w:t>
      </w:r>
      <w:r w:rsidR="00F7117F" w:rsidRPr="00B3150A">
        <w:t xml:space="preserve">the </w:t>
      </w:r>
      <w:r w:rsidR="00D67714">
        <w:t>updated</w:t>
      </w:r>
      <w:r w:rsidR="00F7117F" w:rsidRPr="00B3150A">
        <w:t xml:space="preserve"> </w:t>
      </w:r>
      <w:r w:rsidR="00DD3976" w:rsidRPr="00527717">
        <w:t>population</w:t>
      </w:r>
      <w:r w:rsidR="00D67714">
        <w:t xml:space="preserve"> criteria</w:t>
      </w:r>
      <w:r w:rsidR="00DD3976" w:rsidRPr="00527717">
        <w:t xml:space="preserve">, they </w:t>
      </w:r>
      <w:r w:rsidR="008B13FF">
        <w:t>questioned</w:t>
      </w:r>
      <w:r w:rsidR="00B102F4" w:rsidRPr="00B3150A">
        <w:t xml:space="preserve"> the criteria </w:t>
      </w:r>
      <w:r w:rsidR="004C1499">
        <w:t>regarding</w:t>
      </w:r>
      <w:r w:rsidR="00DD3976" w:rsidRPr="00527717">
        <w:t xml:space="preserve"> logistical </w:t>
      </w:r>
      <w:r w:rsidR="004C1499">
        <w:t>issues</w:t>
      </w:r>
      <w:r w:rsidR="006A5637">
        <w:t xml:space="preserve"> preventing the use of existing desensitisation regimens. RTAC noted that, in practice, </w:t>
      </w:r>
      <w:r w:rsidR="00D44E4B" w:rsidRPr="00B3150A">
        <w:t xml:space="preserve">a </w:t>
      </w:r>
      <w:r w:rsidR="00D44E4B" w:rsidRPr="00576FA1">
        <w:t>substantial</w:t>
      </w:r>
      <w:r w:rsidR="00D44E4B" w:rsidRPr="00B3150A">
        <w:t xml:space="preserve"> proportion of recipients managed with </w:t>
      </w:r>
      <w:r w:rsidR="00DD3976" w:rsidRPr="00527717">
        <w:t>imlifidase</w:t>
      </w:r>
      <w:r w:rsidR="008B13FF">
        <w:t xml:space="preserve"> will require existing desensitising regimens to manage rejection</w:t>
      </w:r>
      <w:r w:rsidR="00DD3976" w:rsidRPr="00527717">
        <w:t>.</w:t>
      </w:r>
      <w:r w:rsidR="00DD3976" w:rsidRPr="00C9683A">
        <w:t xml:space="preserve"> </w:t>
      </w:r>
      <w:r w:rsidR="0018021C" w:rsidRPr="00DD3976">
        <w:t>Th</w:t>
      </w:r>
      <w:r w:rsidR="008B13FF">
        <w:t>is</w:t>
      </w:r>
      <w:r w:rsidR="0018021C" w:rsidRPr="00DD3976">
        <w:t xml:space="preserve"> criteri</w:t>
      </w:r>
      <w:r w:rsidR="008B13FF">
        <w:t>on</w:t>
      </w:r>
      <w:r w:rsidR="0018021C" w:rsidRPr="00DD3976">
        <w:t xml:space="preserve"> </w:t>
      </w:r>
      <w:r w:rsidR="008B13FF">
        <w:t>has</w:t>
      </w:r>
      <w:r w:rsidR="0018021C" w:rsidRPr="00DD3976">
        <w:t xml:space="preserve"> not been </w:t>
      </w:r>
      <w:r w:rsidR="008B13FF">
        <w:t xml:space="preserve">amended by the applicant, and no further comment on how this issue could be overcome was included in the updated </w:t>
      </w:r>
      <w:r w:rsidR="00982409">
        <w:t>ADAR</w:t>
      </w:r>
      <w:r w:rsidR="008B13FF">
        <w:t>.</w:t>
      </w:r>
      <w:bookmarkEnd w:id="13"/>
    </w:p>
    <w:p w14:paraId="66BDFCC1" w14:textId="74F28045" w:rsidR="00772829" w:rsidRPr="00CE28E3" w:rsidRDefault="00F84BA7" w:rsidP="002A18BE">
      <w:pPr>
        <w:pStyle w:val="Heading2"/>
        <w:numPr>
          <w:ilvl w:val="0"/>
          <w:numId w:val="0"/>
        </w:numPr>
      </w:pPr>
      <w:bookmarkStart w:id="14" w:name="_Toc69491420"/>
      <w:bookmarkStart w:id="15" w:name="_Ref163552102"/>
      <w:r>
        <w:t>8</w:t>
      </w:r>
      <w:r w:rsidR="00C36633">
        <w:t>.</w:t>
      </w:r>
      <w:r w:rsidR="00C36633">
        <w:tab/>
      </w:r>
      <w:r w:rsidR="00772829" w:rsidRPr="00CE28E3">
        <w:t>Comparator</w:t>
      </w:r>
      <w:bookmarkEnd w:id="14"/>
      <w:bookmarkEnd w:id="15"/>
    </w:p>
    <w:p w14:paraId="14559095" w14:textId="4C790945" w:rsidR="000A09ED" w:rsidRDefault="00AA5A6E" w:rsidP="00E76AE0">
      <w:pPr>
        <w:pStyle w:val="Instructionaltext"/>
        <w:rPr>
          <w:color w:val="auto"/>
        </w:rPr>
      </w:pPr>
      <w:r>
        <w:rPr>
          <w:color w:val="auto"/>
        </w:rPr>
        <w:t>The comparator proposed by the applicant was dialysis/standard care</w:t>
      </w:r>
      <w:r w:rsidR="00376C95">
        <w:rPr>
          <w:color w:val="auto"/>
        </w:rPr>
        <w:t xml:space="preserve"> until a transplant becomes available. </w:t>
      </w:r>
      <w:r w:rsidR="008822AD" w:rsidRPr="008822AD">
        <w:rPr>
          <w:color w:val="auto"/>
        </w:rPr>
        <w:t xml:space="preserve">MSAC in the PSD </w:t>
      </w:r>
      <w:r w:rsidR="008822AD" w:rsidRPr="00230A11">
        <w:rPr>
          <w:color w:val="auto"/>
        </w:rPr>
        <w:t xml:space="preserve">considered </w:t>
      </w:r>
      <w:r w:rsidR="00DD1E1E" w:rsidRPr="00230A11">
        <w:rPr>
          <w:color w:val="auto"/>
        </w:rPr>
        <w:t>‘</w:t>
      </w:r>
      <w:r w:rsidR="008822AD" w:rsidRPr="00527717">
        <w:rPr>
          <w:color w:val="auto"/>
        </w:rPr>
        <w:t xml:space="preserve">insufficient attention was placed on potential alternatives as comparators including plasma exchange and other desensitisation protocols for </w:t>
      </w:r>
      <w:r w:rsidR="008822AD" w:rsidRPr="00527717">
        <w:rPr>
          <w:color w:val="auto"/>
        </w:rPr>
        <w:lastRenderedPageBreak/>
        <w:t>patients who are LD and DD kidney recipients and desensitisation enabling participation in paired exchange with Living Related Donors (LRDs)</w:t>
      </w:r>
      <w:r w:rsidR="00E621AE" w:rsidRPr="00527717">
        <w:rPr>
          <w:color w:val="auto"/>
        </w:rPr>
        <w:t>’</w:t>
      </w:r>
      <w:r w:rsidR="001E1302" w:rsidRPr="00527717">
        <w:rPr>
          <w:color w:val="auto"/>
        </w:rPr>
        <w:t>.</w:t>
      </w:r>
      <w:r w:rsidR="00CF779D" w:rsidRPr="00230A11">
        <w:rPr>
          <w:rStyle w:val="FootnoteReference"/>
          <w:color w:val="auto"/>
        </w:rPr>
        <w:footnoteReference w:id="6"/>
      </w:r>
      <w:r w:rsidR="00A4575B">
        <w:rPr>
          <w:color w:val="auto"/>
        </w:rPr>
        <w:t xml:space="preserve"> </w:t>
      </w:r>
      <w:r w:rsidR="00A4575B" w:rsidRPr="00A4575B">
        <w:rPr>
          <w:color w:val="auto"/>
        </w:rPr>
        <w:t xml:space="preserve">The </w:t>
      </w:r>
      <w:r w:rsidR="0025191A">
        <w:rPr>
          <w:color w:val="auto"/>
        </w:rPr>
        <w:t>a</w:t>
      </w:r>
      <w:r w:rsidR="00A4575B" w:rsidRPr="00A4575B">
        <w:rPr>
          <w:color w:val="auto"/>
        </w:rPr>
        <w:t>pplicant and PICO Advisory Subcommittee (PASC)</w:t>
      </w:r>
      <w:r w:rsidR="00EC467D">
        <w:rPr>
          <w:color w:val="auto"/>
        </w:rPr>
        <w:t>,</w:t>
      </w:r>
      <w:r w:rsidR="00A4575B" w:rsidRPr="00A4575B">
        <w:rPr>
          <w:color w:val="auto"/>
        </w:rPr>
        <w:t xml:space="preserve"> as outlined in the Ratified PICO Confirmation</w:t>
      </w:r>
      <w:r w:rsidR="00EC467D">
        <w:rPr>
          <w:color w:val="auto"/>
        </w:rPr>
        <w:t>,</w:t>
      </w:r>
      <w:r w:rsidR="00A4575B" w:rsidRPr="00A4575B">
        <w:rPr>
          <w:color w:val="auto"/>
        </w:rPr>
        <w:t xml:space="preserve"> agreed that off-label desensitisation regimens were not an appropriate comparator for imlifidase. The </w:t>
      </w:r>
      <w:r w:rsidR="00130421">
        <w:rPr>
          <w:color w:val="auto"/>
        </w:rPr>
        <w:t>a</w:t>
      </w:r>
      <w:r w:rsidR="00A4575B" w:rsidRPr="00A4575B">
        <w:rPr>
          <w:color w:val="auto"/>
        </w:rPr>
        <w:t xml:space="preserve">pplicant </w:t>
      </w:r>
      <w:r w:rsidR="00865B4C">
        <w:rPr>
          <w:color w:val="auto"/>
        </w:rPr>
        <w:t xml:space="preserve">reinforced </w:t>
      </w:r>
      <w:r w:rsidR="00A4575B" w:rsidRPr="00A4575B">
        <w:rPr>
          <w:color w:val="auto"/>
        </w:rPr>
        <w:t>that no desensiti</w:t>
      </w:r>
      <w:r w:rsidR="00130421">
        <w:rPr>
          <w:color w:val="auto"/>
        </w:rPr>
        <w:t>s</w:t>
      </w:r>
      <w:r w:rsidR="00A4575B" w:rsidRPr="00A4575B">
        <w:rPr>
          <w:color w:val="auto"/>
        </w:rPr>
        <w:t>ation regimens or agents are registered by the TGA for such use and are therefore considered experimental.</w:t>
      </w:r>
    </w:p>
    <w:p w14:paraId="757918EA" w14:textId="177A05F5" w:rsidR="00407C92" w:rsidRDefault="000A09ED" w:rsidP="000A09ED">
      <w:r w:rsidRPr="000A09ED">
        <w:t xml:space="preserve">The </w:t>
      </w:r>
      <w:r w:rsidR="001E1D3D">
        <w:t>a</w:t>
      </w:r>
      <w:r w:rsidRPr="000A09ED">
        <w:t xml:space="preserve">pplicant investigated the statement </w:t>
      </w:r>
      <w:r w:rsidR="00453CCC" w:rsidRPr="00453CCC">
        <w:t>‘</w:t>
      </w:r>
      <w:r w:rsidRPr="00527717">
        <w:t>there were several desensitisation protocols in clinical use for HS patients who are potential recipients of LD and DD kidneys</w:t>
      </w:r>
      <w:r w:rsidR="00453CCC" w:rsidRPr="00453CCC">
        <w:t>’</w:t>
      </w:r>
      <w:r w:rsidRPr="000A09ED">
        <w:t xml:space="preserve"> via a survey to all 15 adult renal transplant centres</w:t>
      </w:r>
      <w:r w:rsidR="00611944">
        <w:t>.</w:t>
      </w:r>
      <w:r w:rsidRPr="000A09ED">
        <w:t xml:space="preserve"> The survey</w:t>
      </w:r>
      <w:r w:rsidR="00C20BF7">
        <w:t xml:space="preserve"> (presented in Appendix F of the ADAR)</w:t>
      </w:r>
      <w:r w:rsidRPr="000A09ED">
        <w:t xml:space="preserve"> had 11 of the 15 adult kidney transplant centres responding</w:t>
      </w:r>
      <w:r w:rsidR="00E716DB">
        <w:t>.</w:t>
      </w:r>
      <w:r w:rsidRPr="000A09ED">
        <w:t xml:space="preserve"> </w:t>
      </w:r>
      <w:r w:rsidR="00447FE5">
        <w:t xml:space="preserve">These 11 centres </w:t>
      </w:r>
      <w:r w:rsidR="004A356D">
        <w:t xml:space="preserve">represent </w:t>
      </w:r>
      <w:r w:rsidR="006059F1">
        <w:t xml:space="preserve">and service </w:t>
      </w:r>
      <w:r w:rsidR="004A356D">
        <w:t xml:space="preserve">92% of the </w:t>
      </w:r>
      <w:r w:rsidR="006059F1">
        <w:t xml:space="preserve">total </w:t>
      </w:r>
      <w:r w:rsidR="00BD3BB7">
        <w:t xml:space="preserve">transplant patient </w:t>
      </w:r>
      <w:r w:rsidR="00F86195">
        <w:t xml:space="preserve">population </w:t>
      </w:r>
      <w:r w:rsidR="00BD3BB7">
        <w:t>within Australia</w:t>
      </w:r>
      <w:r w:rsidR="006059F1">
        <w:t>.</w:t>
      </w:r>
      <w:r w:rsidRPr="000A09ED">
        <w:t xml:space="preserve"> Forty-five per</w:t>
      </w:r>
      <w:r w:rsidR="00ED6C79">
        <w:t xml:space="preserve"> </w:t>
      </w:r>
      <w:r w:rsidRPr="000A09ED">
        <w:t xml:space="preserve">cent (45%) of the centres said they had not attempted desensitisation regimens in the past 12 months for a patient with a </w:t>
      </w:r>
      <w:r w:rsidR="00CF779D">
        <w:t xml:space="preserve">human leukocyte antigen (HLA) sensitisation with </w:t>
      </w:r>
      <w:r w:rsidRPr="000A09ED">
        <w:t xml:space="preserve">mean fluorescent intensity of &gt;4000. Of those centres that did attempt desensitisation regimens, it was only offered on average to </w:t>
      </w:r>
      <w:r w:rsidR="001E1D3D">
        <w:t>&lt;</w:t>
      </w:r>
      <w:r w:rsidRPr="000A09ED">
        <w:t xml:space="preserve">20% of </w:t>
      </w:r>
      <w:r w:rsidR="001E1D3D">
        <w:t>HS</w:t>
      </w:r>
      <w:r w:rsidRPr="000A09ED">
        <w:t xml:space="preserve"> patients</w:t>
      </w:r>
      <w:r w:rsidR="00CF779D">
        <w:t xml:space="preserve"> (note that HS was defined as </w:t>
      </w:r>
      <w:proofErr w:type="spellStart"/>
      <w:r w:rsidR="00CF779D">
        <w:t>cPRA</w:t>
      </w:r>
      <w:proofErr w:type="spellEnd"/>
      <w:r w:rsidR="00CF779D">
        <w:t xml:space="preserve"> of ≥95% in this survey)</w:t>
      </w:r>
      <w:r w:rsidRPr="000A09ED">
        <w:t>. Eighty-two per</w:t>
      </w:r>
      <w:r w:rsidR="00CC77C7">
        <w:t xml:space="preserve"> </w:t>
      </w:r>
      <w:r w:rsidRPr="000A09ED">
        <w:t>cent (82%) of respondents cited an anticipated inadequate response</w:t>
      </w:r>
      <w:r w:rsidR="00CF779D">
        <w:t xml:space="preserve"> (i.e. unlikely to result in a transplantation)</w:t>
      </w:r>
      <w:r w:rsidRPr="000A09ED">
        <w:t xml:space="preserve"> for not offering currently available desensitisation regimens. </w:t>
      </w:r>
    </w:p>
    <w:p w14:paraId="038CEA84" w14:textId="3F4355C8" w:rsidR="000A09ED" w:rsidRPr="000A09ED" w:rsidRDefault="000A09ED" w:rsidP="000A09ED">
      <w:r w:rsidRPr="000A09ED">
        <w:t xml:space="preserve">Considering these observations, the </w:t>
      </w:r>
      <w:r w:rsidR="00132F67">
        <w:t>a</w:t>
      </w:r>
      <w:r w:rsidRPr="000A09ED">
        <w:t xml:space="preserve">pplicant </w:t>
      </w:r>
      <w:r w:rsidR="00132F67">
        <w:t>retained</w:t>
      </w:r>
      <w:r w:rsidRPr="000A09ED">
        <w:t xml:space="preserve"> the PASC</w:t>
      </w:r>
      <w:r w:rsidR="00132F67">
        <w:t>-</w:t>
      </w:r>
      <w:r w:rsidRPr="000A09ED">
        <w:t>endorsed comparator</w:t>
      </w:r>
      <w:r w:rsidR="00341F1F">
        <w:t>—</w:t>
      </w:r>
      <w:r w:rsidRPr="000A09ED">
        <w:t>current care in the absence of imlifidase</w:t>
      </w:r>
      <w:r w:rsidR="00341F1F">
        <w:t xml:space="preserve">—in the resubmission. </w:t>
      </w:r>
      <w:r w:rsidRPr="000A09ED">
        <w:t xml:space="preserve">These patients (on the active </w:t>
      </w:r>
      <w:r w:rsidR="004A2E3F">
        <w:t>waitlist</w:t>
      </w:r>
      <w:r w:rsidRPr="000A09ED">
        <w:t>) will remain on the transplant waitlist and continue to receive dialysis (haemodialysis or peritoneal) until a transplant becomes available, which may or may not occur (transplants will occur but at a decreased rate compared to the intervention).</w:t>
      </w:r>
    </w:p>
    <w:p w14:paraId="59BC4686" w14:textId="3529C29B" w:rsidR="00AB7869" w:rsidRDefault="004D375A" w:rsidP="005957D3">
      <w:r w:rsidRPr="004D375A">
        <w:t xml:space="preserve">The applicant has not followed MSAC advice regarding the inclusion of current </w:t>
      </w:r>
      <w:r w:rsidR="00CF779D">
        <w:t>desensitisation</w:t>
      </w:r>
      <w:r w:rsidR="00CF779D" w:rsidRPr="004D375A">
        <w:t xml:space="preserve"> </w:t>
      </w:r>
      <w:r w:rsidRPr="004D375A">
        <w:t>regimes</w:t>
      </w:r>
      <w:r w:rsidR="00CF779D">
        <w:t xml:space="preserve"> (IVIG, rituximab, plasma exchange)</w:t>
      </w:r>
      <w:r w:rsidRPr="004D375A">
        <w:t xml:space="preserve"> as a comparator for </w:t>
      </w:r>
      <w:r w:rsidR="00D10DB1">
        <w:t>i</w:t>
      </w:r>
      <w:r w:rsidRPr="004D375A">
        <w:t>mlifidase, instead arguing that it is an inappropriate comparator. Whether or not a desensitisation regime</w:t>
      </w:r>
      <w:r w:rsidR="00B33197">
        <w:t>n</w:t>
      </w:r>
      <w:r w:rsidRPr="004D375A">
        <w:t xml:space="preserve"> is an appropriate comparator is one of the primary clinical concerns for the </w:t>
      </w:r>
      <w:r w:rsidR="00E47772">
        <w:t>commentary</w:t>
      </w:r>
      <w:r w:rsidRPr="004D375A">
        <w:t xml:space="preserve">. The </w:t>
      </w:r>
      <w:r w:rsidR="002E579E">
        <w:t>commentary</w:t>
      </w:r>
      <w:r w:rsidRPr="004D375A">
        <w:t xml:space="preserve"> consider</w:t>
      </w:r>
      <w:r w:rsidR="002E579E">
        <w:t>ed</w:t>
      </w:r>
      <w:r w:rsidRPr="004D375A">
        <w:t xml:space="preserve"> the survey to be appropriate and its findings valid</w:t>
      </w:r>
      <w:r w:rsidR="00095EA2">
        <w:t>;</w:t>
      </w:r>
      <w:r w:rsidRPr="004D375A">
        <w:t xml:space="preserve"> </w:t>
      </w:r>
      <w:r w:rsidR="00095EA2">
        <w:t>h</w:t>
      </w:r>
      <w:r w:rsidRPr="004D375A">
        <w:t xml:space="preserve">owever, a thorough search of pre-existing literature and guidelines was conducted to determine the utilisation and effectiveness of desensitisation in this population. </w:t>
      </w:r>
      <w:r w:rsidRPr="00D43954">
        <w:t xml:space="preserve">The findings show that the effectiveness and safety of desensitisation therapy are unclear as are the recommendations regarding its use in HS patients with </w:t>
      </w:r>
      <w:r w:rsidR="006E4C7B">
        <w:t>chronic kidney disease</w:t>
      </w:r>
      <w:r w:rsidR="000703D3">
        <w:t xml:space="preserve"> </w:t>
      </w:r>
      <w:r w:rsidR="004A35AF">
        <w:t xml:space="preserve">(CKD) </w:t>
      </w:r>
      <w:r w:rsidRPr="00D43954">
        <w:t>(</w:t>
      </w:r>
      <w:proofErr w:type="spellStart"/>
      <w:r w:rsidRPr="00D43954">
        <w:t>Mamode</w:t>
      </w:r>
      <w:proofErr w:type="spellEnd"/>
      <w:r w:rsidRPr="00D43954">
        <w:t xml:space="preserve"> et al. 2022</w:t>
      </w:r>
      <w:r w:rsidR="00913AC5" w:rsidRPr="00D43954">
        <w:t>)</w:t>
      </w:r>
      <w:r w:rsidR="00CC5796">
        <w:t>.</w:t>
      </w:r>
      <w:r w:rsidR="00E82ABB" w:rsidRPr="00D43954">
        <w:rPr>
          <w:rStyle w:val="FootnoteReference"/>
        </w:rPr>
        <w:footnoteReference w:id="7"/>
      </w:r>
      <w:r w:rsidRPr="00D43954">
        <w:t xml:space="preserve"> Studies indicate that desensitisation therapy is effective in some cases and in others show</w:t>
      </w:r>
      <w:r w:rsidR="00CC5796">
        <w:t>s</w:t>
      </w:r>
      <w:r w:rsidRPr="00D43954">
        <w:t xml:space="preserve"> little to no benefit (Clayton &amp; Coates 2017; </w:t>
      </w:r>
      <w:proofErr w:type="spellStart"/>
      <w:r w:rsidRPr="00D43954">
        <w:t>Kuppachi</w:t>
      </w:r>
      <w:proofErr w:type="spellEnd"/>
      <w:r w:rsidRPr="00D43954">
        <w:t xml:space="preserve"> &amp; Axelrod 2020)</w:t>
      </w:r>
      <w:r w:rsidR="00A44D31">
        <w:t>.</w:t>
      </w:r>
      <w:r w:rsidR="00913AC5" w:rsidRPr="00D43954">
        <w:rPr>
          <w:rStyle w:val="FootnoteReference"/>
        </w:rPr>
        <w:footnoteReference w:id="8"/>
      </w:r>
      <w:r w:rsidR="00D43954" w:rsidRPr="00D43954">
        <w:rPr>
          <w:vertAlign w:val="superscript"/>
        </w:rPr>
        <w:t>,</w:t>
      </w:r>
      <w:r w:rsidR="00D43954" w:rsidRPr="00D43954">
        <w:rPr>
          <w:rStyle w:val="FootnoteReference"/>
        </w:rPr>
        <w:footnoteReference w:id="9"/>
      </w:r>
      <w:r w:rsidRPr="00D43954">
        <w:t xml:space="preserve"> No specific desensitisation protocol has enough evidence to be suggested except on a case-by-case individual</w:t>
      </w:r>
      <w:r w:rsidR="006632C5">
        <w:t>-</w:t>
      </w:r>
      <w:r w:rsidRPr="00D43954">
        <w:t>patient basis</w:t>
      </w:r>
      <w:r w:rsidR="003F7222">
        <w:t>,</w:t>
      </w:r>
      <w:r w:rsidRPr="00D43954">
        <w:t xml:space="preserve"> depending on risk-benefit and patient history (</w:t>
      </w:r>
      <w:proofErr w:type="spellStart"/>
      <w:r w:rsidRPr="00D43954">
        <w:t>Mamode</w:t>
      </w:r>
      <w:proofErr w:type="spellEnd"/>
      <w:r w:rsidRPr="00D43954">
        <w:t xml:space="preserve"> et al. 2022). </w:t>
      </w:r>
    </w:p>
    <w:p w14:paraId="1276CD6F" w14:textId="52D0E41B" w:rsidR="006D2278" w:rsidRPr="00330A0A" w:rsidRDefault="004D375A" w:rsidP="005957D3">
      <w:r w:rsidRPr="00D43954">
        <w:t>Overall, the literature seems to suggest that the use of desensitisation therapy should be discussed on an individual case</w:t>
      </w:r>
      <w:r w:rsidR="00FC0F12">
        <w:t>-</w:t>
      </w:r>
      <w:r w:rsidRPr="00D43954">
        <w:t>by</w:t>
      </w:r>
      <w:r w:rsidR="00FC0F12">
        <w:t>-</w:t>
      </w:r>
      <w:r w:rsidRPr="00D43954">
        <w:t>case basis as opposed to a generali</w:t>
      </w:r>
      <w:r w:rsidR="003A5EE5">
        <w:t>s</w:t>
      </w:r>
      <w:r w:rsidRPr="00D43954">
        <w:t>ed recommendation</w:t>
      </w:r>
      <w:r w:rsidR="00AB7869">
        <w:t>.</w:t>
      </w:r>
      <w:r w:rsidRPr="00D43954">
        <w:t xml:space="preserve"> </w:t>
      </w:r>
      <w:r w:rsidR="00AB7869">
        <w:t>P</w:t>
      </w:r>
      <w:r w:rsidRPr="00D43954">
        <w:t>atients with very high sensitisation rates who have very little chance of getting a kidney should be offered a desensitisation treatment</w:t>
      </w:r>
      <w:r w:rsidRPr="004D375A">
        <w:t xml:space="preserve"> based on individual circumstances if the potential benefit </w:t>
      </w:r>
      <w:r w:rsidRPr="004D375A">
        <w:lastRenderedPageBreak/>
        <w:t>of receiving a kidney outweigh</w:t>
      </w:r>
      <w:r w:rsidR="00301700">
        <w:t>s</w:t>
      </w:r>
      <w:r w:rsidRPr="004D375A">
        <w:t xml:space="preserve"> the risks associated with desensitisation therapy</w:t>
      </w:r>
      <w:r w:rsidR="00CB2ACC">
        <w:t>,</w:t>
      </w:r>
      <w:r w:rsidRPr="004D375A">
        <w:t xml:space="preserve"> such as infection and rejection. </w:t>
      </w:r>
    </w:p>
    <w:p w14:paraId="1B625195" w14:textId="40214AEC" w:rsidR="0085071A" w:rsidRPr="00330A0A" w:rsidRDefault="0085071A" w:rsidP="0085071A">
      <w:r w:rsidRPr="00E1566E">
        <w:t xml:space="preserve">Independent clinical feedback sought by the assessment group suggests that imlifidase would typically be targeted at patients with antibody levels that would contraindicate them for use with existing desensitisation regimens (e.g. plasma exchange). </w:t>
      </w:r>
      <w:r w:rsidR="008243BD">
        <w:t>T</w:t>
      </w:r>
      <w:r w:rsidRPr="00E1566E">
        <w:t>o the best of our understanding, there is an absence of clinical practice guidelines or other published evidence informing the decision around which patients should receive which desensitisation regimens. As such, this issue appears to be predominantly informed by expert clinical opinion, which varies across centres and between patients (as is evident in the transplant centre survey presented in</w:t>
      </w:r>
      <w:r w:rsidR="00812170">
        <w:t xml:space="preserve"> the ADAR</w:t>
      </w:r>
      <w:r w:rsidRPr="00E1566E">
        <w:t>).</w:t>
      </w:r>
    </w:p>
    <w:p w14:paraId="770D5509" w14:textId="2235A8F0" w:rsidR="0085071A" w:rsidRDefault="007B38F4" w:rsidP="005957D3">
      <w:r>
        <w:t>There remains genuine uncertainty around</w:t>
      </w:r>
      <w:r w:rsidRPr="004D375A">
        <w:t xml:space="preserve"> whether current </w:t>
      </w:r>
      <w:r>
        <w:t>de</w:t>
      </w:r>
      <w:r w:rsidRPr="004D375A">
        <w:t xml:space="preserve">sensitisation therapies are an appropriate comparator alongside dialysis for </w:t>
      </w:r>
      <w:r>
        <w:t>i</w:t>
      </w:r>
      <w:r w:rsidRPr="004D375A">
        <w:t>mlifidase</w:t>
      </w:r>
      <w:r>
        <w:t>.</w:t>
      </w:r>
    </w:p>
    <w:p w14:paraId="4FF4C885" w14:textId="77777777" w:rsidR="00F84BA7" w:rsidRPr="00CE28E3" w:rsidRDefault="00F84BA7" w:rsidP="00F84BA7">
      <w:pPr>
        <w:pStyle w:val="Heading2"/>
        <w:numPr>
          <w:ilvl w:val="0"/>
          <w:numId w:val="0"/>
        </w:numPr>
      </w:pPr>
      <w:bookmarkStart w:id="16" w:name="_Toc69491421"/>
      <w:r>
        <w:t>9.</w:t>
      </w:r>
      <w:r>
        <w:tab/>
      </w:r>
      <w:r w:rsidRPr="00CE28E3">
        <w:t xml:space="preserve">Summary of public consultation </w:t>
      </w:r>
      <w:r>
        <w:t>input</w:t>
      </w:r>
      <w:bookmarkEnd w:id="16"/>
    </w:p>
    <w:p w14:paraId="46CBBF97" w14:textId="77777777" w:rsidR="00F84BA7" w:rsidRPr="00D9123D" w:rsidRDefault="00F84BA7" w:rsidP="00F84BA7">
      <w:pPr>
        <w:spacing w:after="120"/>
      </w:pPr>
      <w:r w:rsidRPr="00D9123D">
        <w:t>Consultation input was received from</w:t>
      </w:r>
      <w:r>
        <w:t xml:space="preserve"> two</w:t>
      </w:r>
      <w:r w:rsidRPr="00D9123D">
        <w:t xml:space="preserve"> </w:t>
      </w:r>
      <w:r>
        <w:t>(2)</w:t>
      </w:r>
      <w:r w:rsidRPr="00D9123D">
        <w:t xml:space="preserve"> professional organisation</w:t>
      </w:r>
      <w:r>
        <w:t>s, two (2) consumer organisations, and five individuals, five (5) of whom were medical specialists and one (</w:t>
      </w:r>
      <w:r w:rsidRPr="00D9123D">
        <w:t>1</w:t>
      </w:r>
      <w:r>
        <w:t>) a</w:t>
      </w:r>
      <w:r w:rsidRPr="00D9123D">
        <w:t xml:space="preserve"> consumer</w:t>
      </w:r>
      <w:r>
        <w:t xml:space="preserve"> (excluding the results of targeted consultation on specific questions)</w:t>
      </w:r>
      <w:r w:rsidRPr="00D9123D">
        <w:t>. The organisation</w:t>
      </w:r>
      <w:r>
        <w:t>s</w:t>
      </w:r>
      <w:r w:rsidRPr="00D9123D">
        <w:t xml:space="preserve"> that submitted input w</w:t>
      </w:r>
      <w:r>
        <w:t>ere</w:t>
      </w:r>
      <w:r w:rsidRPr="00D9123D">
        <w:t>:</w:t>
      </w:r>
    </w:p>
    <w:p w14:paraId="1181E484" w14:textId="77777777" w:rsidR="00F84BA7" w:rsidRDefault="00F84BA7" w:rsidP="00F84BA7">
      <w:pPr>
        <w:pStyle w:val="ListParagraph"/>
        <w:numPr>
          <w:ilvl w:val="0"/>
          <w:numId w:val="52"/>
        </w:numPr>
        <w:spacing w:before="0" w:after="120"/>
      </w:pPr>
      <w:r>
        <w:t xml:space="preserve">Monash Health Transplant Unit </w:t>
      </w:r>
    </w:p>
    <w:p w14:paraId="3F285B91" w14:textId="77777777" w:rsidR="00F84BA7" w:rsidRDefault="00F84BA7" w:rsidP="00F84BA7">
      <w:pPr>
        <w:pStyle w:val="ListParagraph"/>
        <w:numPr>
          <w:ilvl w:val="0"/>
          <w:numId w:val="52"/>
        </w:numPr>
        <w:spacing w:before="0" w:after="120"/>
      </w:pPr>
      <w:r w:rsidRPr="00893C3A">
        <w:t>Department of Renal Medicine and Kidney Transplantation, Sir Charles Gairdner Hospital</w:t>
      </w:r>
    </w:p>
    <w:p w14:paraId="0A4DABB0" w14:textId="77777777" w:rsidR="00F84BA7" w:rsidRDefault="00F84BA7" w:rsidP="00F84BA7">
      <w:pPr>
        <w:pStyle w:val="ListParagraph"/>
        <w:numPr>
          <w:ilvl w:val="0"/>
          <w:numId w:val="52"/>
        </w:numPr>
        <w:spacing w:before="0" w:after="120"/>
      </w:pPr>
      <w:r w:rsidRPr="00893C3A">
        <w:t>Transplant Australia</w:t>
      </w:r>
    </w:p>
    <w:p w14:paraId="60C02287" w14:textId="77777777" w:rsidR="00F84BA7" w:rsidRPr="00D9123D" w:rsidRDefault="00F84BA7" w:rsidP="00F84BA7">
      <w:pPr>
        <w:pStyle w:val="ListParagraph"/>
        <w:numPr>
          <w:ilvl w:val="0"/>
          <w:numId w:val="52"/>
        </w:numPr>
        <w:spacing w:before="0" w:after="120"/>
      </w:pPr>
      <w:r w:rsidRPr="00893C3A">
        <w:rPr>
          <w:rFonts w:ascii="Calibri" w:eastAsia="Times New Roman" w:hAnsi="Calibri" w:cs="Calibri"/>
          <w:color w:val="000000"/>
          <w:lang w:eastAsia="en-AU"/>
        </w:rPr>
        <w:t xml:space="preserve">Kidney Health Australia </w:t>
      </w:r>
    </w:p>
    <w:p w14:paraId="45F97999" w14:textId="77777777" w:rsidR="00F84BA7" w:rsidRDefault="00F84BA7" w:rsidP="00F84BA7">
      <w:pPr>
        <w:rPr>
          <w:color w:val="5B9BD5" w:themeColor="accent1"/>
        </w:rPr>
      </w:pPr>
      <w:r>
        <w:t xml:space="preserve">The consultation feedback received was overall supportive of Application 1732.1. </w:t>
      </w:r>
    </w:p>
    <w:p w14:paraId="0EBAB348" w14:textId="77777777" w:rsidR="00F84BA7" w:rsidRDefault="00F84BA7" w:rsidP="00F84BA7">
      <w:pPr>
        <w:rPr>
          <w:b/>
          <w:bCs/>
        </w:rPr>
      </w:pPr>
      <w:r>
        <w:rPr>
          <w:b/>
          <w:bCs/>
        </w:rPr>
        <w:t>Benefits</w:t>
      </w:r>
    </w:p>
    <w:p w14:paraId="2B7C9CB0" w14:textId="77777777" w:rsidR="00F84BA7" w:rsidRDefault="00F84BA7" w:rsidP="00F84BA7">
      <w:pPr>
        <w:pStyle w:val="ListParagraph"/>
        <w:numPr>
          <w:ilvl w:val="0"/>
          <w:numId w:val="53"/>
        </w:numPr>
        <w:spacing w:before="0"/>
      </w:pPr>
      <w:r>
        <w:t>The treatment o</w:t>
      </w:r>
      <w:r w:rsidRPr="003A0CB9">
        <w:t xml:space="preserve">ffers </w:t>
      </w:r>
      <w:r w:rsidRPr="000B394B">
        <w:t xml:space="preserve">sensitised </w:t>
      </w:r>
      <w:r w:rsidRPr="003A0CB9">
        <w:t>patients an improved chance of receiving a transplant, with the possibility of transplantation against a positive crossmatch</w:t>
      </w:r>
      <w:r>
        <w:t>.</w:t>
      </w:r>
    </w:p>
    <w:p w14:paraId="6693C302" w14:textId="77777777" w:rsidR="00F84BA7" w:rsidRPr="003A0CB9" w:rsidRDefault="00F84BA7" w:rsidP="00F84BA7">
      <w:pPr>
        <w:pStyle w:val="ListParagraph"/>
        <w:numPr>
          <w:ilvl w:val="0"/>
          <w:numId w:val="53"/>
        </w:numPr>
        <w:spacing w:before="0"/>
      </w:pPr>
      <w:r w:rsidRPr="000B394B">
        <w:t xml:space="preserve">The treatment assists with the substantial immunological barriers </w:t>
      </w:r>
      <w:r>
        <w:t>faced by h</w:t>
      </w:r>
      <w:r w:rsidRPr="000B394B">
        <w:t>ighly sensitised patients, due to its high efficacy and tolerability</w:t>
      </w:r>
      <w:r>
        <w:t>.</w:t>
      </w:r>
    </w:p>
    <w:p w14:paraId="4DAD10F9" w14:textId="77777777" w:rsidR="00F84BA7" w:rsidRPr="003A0CB9" w:rsidRDefault="00F84BA7" w:rsidP="00F84BA7">
      <w:pPr>
        <w:pStyle w:val="ListParagraph"/>
        <w:numPr>
          <w:ilvl w:val="0"/>
          <w:numId w:val="53"/>
        </w:numPr>
        <w:spacing w:before="0"/>
      </w:pPr>
      <w:r w:rsidRPr="003A0CB9">
        <w:t xml:space="preserve">Unmet clinical need, as currently the possibilities of transplantation without this option are limited, </w:t>
      </w:r>
      <w:r>
        <w:t>and patients require</w:t>
      </w:r>
      <w:r w:rsidRPr="003A0CB9">
        <w:t xml:space="preserve"> long term dialysis</w:t>
      </w:r>
      <w:r>
        <w:t>.</w:t>
      </w:r>
      <w:r w:rsidRPr="003A0CB9">
        <w:t xml:space="preserve"> </w:t>
      </w:r>
    </w:p>
    <w:p w14:paraId="0370F3DB" w14:textId="77777777" w:rsidR="00F84BA7" w:rsidRDefault="00F84BA7" w:rsidP="00F84BA7">
      <w:pPr>
        <w:pStyle w:val="ListParagraph"/>
        <w:numPr>
          <w:ilvl w:val="0"/>
          <w:numId w:val="53"/>
        </w:numPr>
        <w:spacing w:before="0"/>
      </w:pPr>
      <w:r>
        <w:t>P</w:t>
      </w:r>
      <w:r w:rsidRPr="003A0CB9">
        <w:t>atients have improved chances of survival and quality of life</w:t>
      </w:r>
      <w:r>
        <w:t xml:space="preserve"> with a transplant.</w:t>
      </w:r>
    </w:p>
    <w:p w14:paraId="1F47D268" w14:textId="77777777" w:rsidR="00F84BA7" w:rsidRDefault="00F84BA7" w:rsidP="00F84BA7">
      <w:pPr>
        <w:pStyle w:val="ListParagraph"/>
        <w:numPr>
          <w:ilvl w:val="0"/>
          <w:numId w:val="53"/>
        </w:numPr>
        <w:spacing w:before="0"/>
      </w:pPr>
      <w:r w:rsidRPr="00297374">
        <w:t xml:space="preserve">Cost effective as transplantation is associated with substantial savings compared to dialysis treatment. </w:t>
      </w:r>
    </w:p>
    <w:p w14:paraId="215F9BF3" w14:textId="77777777" w:rsidR="00F84BA7" w:rsidRDefault="00F84BA7" w:rsidP="00F84BA7">
      <w:pPr>
        <w:pStyle w:val="ListParagraph"/>
        <w:numPr>
          <w:ilvl w:val="0"/>
          <w:numId w:val="53"/>
        </w:numPr>
        <w:spacing w:before="0"/>
      </w:pPr>
      <w:r w:rsidRPr="006B63FA">
        <w:t>Increases the transplant potential of other highly sensitised patients in the Australia and New Zealand Kidney Paired Exchange program</w:t>
      </w:r>
      <w:r>
        <w:t>.</w:t>
      </w:r>
    </w:p>
    <w:p w14:paraId="6BEE8DA5" w14:textId="77777777" w:rsidR="00F84BA7" w:rsidRDefault="00F84BA7" w:rsidP="00F84BA7">
      <w:pPr>
        <w:pStyle w:val="ListParagraph"/>
        <w:numPr>
          <w:ilvl w:val="0"/>
          <w:numId w:val="53"/>
        </w:numPr>
        <w:spacing w:before="0"/>
      </w:pPr>
      <w:r w:rsidRPr="000B394B">
        <w:t>Where imlifidase permits use of a living donor, it effectively frees up an additional kidney for the deceased donor pool.</w:t>
      </w:r>
    </w:p>
    <w:p w14:paraId="39BCE103" w14:textId="77777777" w:rsidR="00F84BA7" w:rsidRPr="006B63FA" w:rsidRDefault="00F84BA7" w:rsidP="00F84BA7">
      <w:pPr>
        <w:pStyle w:val="ListParagraph"/>
        <w:numPr>
          <w:ilvl w:val="0"/>
          <w:numId w:val="53"/>
        </w:numPr>
        <w:spacing w:before="0"/>
      </w:pPr>
      <w:r>
        <w:t>U</w:t>
      </w:r>
      <w:r w:rsidRPr="00534337">
        <w:t>se of Imlifidase also has the potential to increase understanding and knowledge of managing this subset of patients with challenging immune profiles</w:t>
      </w:r>
      <w:r>
        <w:t>.</w:t>
      </w:r>
    </w:p>
    <w:p w14:paraId="1E11037D" w14:textId="77777777" w:rsidR="00F84BA7" w:rsidRPr="00297374" w:rsidRDefault="00F84BA7" w:rsidP="00EF5A0C">
      <w:pPr>
        <w:keepNext/>
        <w:keepLines/>
      </w:pPr>
      <w:r w:rsidRPr="006B63FA">
        <w:rPr>
          <w:b/>
          <w:bCs/>
        </w:rPr>
        <w:t xml:space="preserve">Disadvantages </w:t>
      </w:r>
    </w:p>
    <w:p w14:paraId="0DBF8C42" w14:textId="77777777" w:rsidR="00F84BA7" w:rsidRDefault="00F84BA7" w:rsidP="00EF5A0C">
      <w:pPr>
        <w:pStyle w:val="ListParagraph"/>
        <w:keepNext/>
        <w:keepLines/>
        <w:numPr>
          <w:ilvl w:val="0"/>
          <w:numId w:val="53"/>
        </w:numPr>
        <w:spacing w:before="0"/>
      </w:pPr>
      <w:r w:rsidRPr="003A0CB9">
        <w:t>Length of time in hospital</w:t>
      </w:r>
      <w:r>
        <w:t>.</w:t>
      </w:r>
    </w:p>
    <w:p w14:paraId="08747C26" w14:textId="77777777" w:rsidR="00F84BA7" w:rsidRPr="00297374" w:rsidRDefault="00F84BA7" w:rsidP="00EF5A0C">
      <w:pPr>
        <w:pStyle w:val="ListParagraph"/>
        <w:keepNext/>
        <w:keepLines/>
        <w:numPr>
          <w:ilvl w:val="0"/>
          <w:numId w:val="53"/>
        </w:numPr>
        <w:spacing w:before="0"/>
      </w:pPr>
      <w:r w:rsidRPr="00297374">
        <w:t>Risk of rebound antibody mediated rejection</w:t>
      </w:r>
      <w:r>
        <w:t>.</w:t>
      </w:r>
    </w:p>
    <w:p w14:paraId="11D67477" w14:textId="23D58EA1" w:rsidR="00F84BA7" w:rsidRPr="00F84BA7" w:rsidRDefault="00F84BA7" w:rsidP="00F84BA7">
      <w:pPr>
        <w:pStyle w:val="ListParagraph"/>
        <w:numPr>
          <w:ilvl w:val="0"/>
          <w:numId w:val="53"/>
        </w:numPr>
        <w:spacing w:before="0"/>
      </w:pPr>
      <w:r w:rsidRPr="00297374">
        <w:t>The drug can only be used once</w:t>
      </w:r>
      <w:r>
        <w:t>.</w:t>
      </w:r>
    </w:p>
    <w:p w14:paraId="6B3EB313" w14:textId="77777777" w:rsidR="00F84BA7" w:rsidRPr="00E76884" w:rsidRDefault="00F84BA7" w:rsidP="00872152">
      <w:pPr>
        <w:keepNext/>
        <w:keepLines/>
        <w:rPr>
          <w:color w:val="5B9BD5" w:themeColor="accent1"/>
        </w:rPr>
      </w:pPr>
      <w:r w:rsidRPr="00C50417">
        <w:rPr>
          <w:b/>
          <w:bCs/>
        </w:rPr>
        <w:lastRenderedPageBreak/>
        <w:t xml:space="preserve">Additional comments </w:t>
      </w:r>
    </w:p>
    <w:p w14:paraId="5F68C26E" w14:textId="77777777" w:rsidR="00F84BA7" w:rsidRDefault="00F84BA7" w:rsidP="00872152">
      <w:pPr>
        <w:pStyle w:val="ListParagraph"/>
        <w:keepNext/>
        <w:keepLines/>
        <w:numPr>
          <w:ilvl w:val="0"/>
          <w:numId w:val="53"/>
        </w:numPr>
        <w:spacing w:before="0"/>
      </w:pPr>
      <w:r w:rsidRPr="003A0CB9">
        <w:t xml:space="preserve">It is likely that the post-transplant care will be </w:t>
      </w:r>
      <w:proofErr w:type="gramStart"/>
      <w:r w:rsidRPr="003A0CB9">
        <w:t>similar to</w:t>
      </w:r>
      <w:proofErr w:type="gramEnd"/>
      <w:r w:rsidRPr="003A0CB9">
        <w:t xml:space="preserve"> other patients undergoing transplantation</w:t>
      </w:r>
      <w:r>
        <w:t>, noting t</w:t>
      </w:r>
      <w:r w:rsidRPr="003A0CB9">
        <w:t>his group of patients are at a higher risk of rejection than standard transplant recipients.</w:t>
      </w:r>
    </w:p>
    <w:p w14:paraId="50F7F0C5" w14:textId="77777777" w:rsidR="00F84BA7" w:rsidRDefault="00F84BA7" w:rsidP="00F84BA7">
      <w:pPr>
        <w:pStyle w:val="ListParagraph"/>
        <w:numPr>
          <w:ilvl w:val="0"/>
          <w:numId w:val="53"/>
        </w:numPr>
        <w:spacing w:before="0"/>
      </w:pPr>
      <w:r>
        <w:t xml:space="preserve">As the target population are patients who are deemed unsuitable for transplantation, transplantation is not </w:t>
      </w:r>
      <w:r w:rsidRPr="006B63FA">
        <w:t xml:space="preserve">a suitable comparator </w:t>
      </w:r>
      <w:r>
        <w:t xml:space="preserve">for the </w:t>
      </w:r>
      <w:r w:rsidRPr="006B63FA">
        <w:t>proposed intervention.</w:t>
      </w:r>
    </w:p>
    <w:p w14:paraId="52DC843E" w14:textId="77777777" w:rsidR="00F84BA7" w:rsidRDefault="00F84BA7" w:rsidP="00F84BA7">
      <w:pPr>
        <w:pStyle w:val="ListParagraph"/>
        <w:numPr>
          <w:ilvl w:val="0"/>
          <w:numId w:val="53"/>
        </w:numPr>
        <w:spacing w:before="0"/>
      </w:pPr>
      <w:r w:rsidRPr="000B394B">
        <w:t>This intervention will require some increased pathology testing around the time of transplant, in particular additional HLA antibody testing. It will also require additional medications such as rituximab.</w:t>
      </w:r>
    </w:p>
    <w:p w14:paraId="42A4B7C9" w14:textId="7C4C38A1" w:rsidR="00F84BA7" w:rsidRPr="00330A0A" w:rsidRDefault="00F84BA7" w:rsidP="005957D3">
      <w:pPr>
        <w:pStyle w:val="ListParagraph"/>
        <w:numPr>
          <w:ilvl w:val="0"/>
          <w:numId w:val="53"/>
        </w:numPr>
        <w:spacing w:before="0"/>
      </w:pPr>
      <w:r w:rsidRPr="000B394B">
        <w:t>Dialysis has profound negative impacts on employment, personal relationships, and engagement with the community. The freedom from dialysis offered by transplantation, particularly when performed before the accrual of substantial comorbidity, is transformative.</w:t>
      </w:r>
    </w:p>
    <w:p w14:paraId="66EC24E7" w14:textId="4B2A7419" w:rsidR="002711C8" w:rsidRDefault="00F84BA7" w:rsidP="00734115">
      <w:pPr>
        <w:pStyle w:val="Heading2"/>
        <w:numPr>
          <w:ilvl w:val="0"/>
          <w:numId w:val="0"/>
        </w:numPr>
      </w:pPr>
      <w:bookmarkStart w:id="17" w:name="_Toc69491422"/>
      <w:r>
        <w:t>10</w:t>
      </w:r>
      <w:r w:rsidR="00C36633">
        <w:t>.</w:t>
      </w:r>
      <w:r w:rsidR="00C36633">
        <w:tab/>
      </w:r>
      <w:r w:rsidR="00772829" w:rsidRPr="00CE28E3">
        <w:t>Characteristics of the evidence base</w:t>
      </w:r>
      <w:bookmarkEnd w:id="17"/>
    </w:p>
    <w:p w14:paraId="333426BE" w14:textId="307CD21C" w:rsidR="00A21B94" w:rsidRDefault="002711C8" w:rsidP="00527717">
      <w:r w:rsidRPr="00383C40">
        <w:t>The efficacy and safety of imlifidase is based on 4 single-arm phase II studies (13-HMedIdeS-02, 13-HMedIdeS-03, 14-HMedIdeS04, 15-HMedIdeS-06)</w:t>
      </w:r>
      <w:r w:rsidR="00583360">
        <w:t>, a retrospective study (1</w:t>
      </w:r>
      <w:r w:rsidR="00583360" w:rsidRPr="00527717">
        <w:t>7-HMedIdeS-13</w:t>
      </w:r>
      <w:r w:rsidR="00583360">
        <w:t>; based on</w:t>
      </w:r>
      <w:r w:rsidR="00E43C76">
        <w:t xml:space="preserve"> data from patients transplanted in</w:t>
      </w:r>
      <w:r w:rsidR="00583360">
        <w:t xml:space="preserve"> </w:t>
      </w:r>
      <w:r w:rsidR="00583360" w:rsidRPr="00383C40">
        <w:t>13-HMedIdeS-02</w:t>
      </w:r>
      <w:r w:rsidR="00E43C76">
        <w:t xml:space="preserve"> and </w:t>
      </w:r>
      <w:r w:rsidR="00583360" w:rsidRPr="00383C40">
        <w:t>13-HMedIdeS-03</w:t>
      </w:r>
      <w:r w:rsidR="00583360">
        <w:t>)</w:t>
      </w:r>
      <w:r w:rsidRPr="00383C40">
        <w:t xml:space="preserve"> and </w:t>
      </w:r>
      <w:r w:rsidR="00583360">
        <w:t xml:space="preserve">a </w:t>
      </w:r>
      <w:r w:rsidRPr="00383C40">
        <w:t>long-term follow-up stud</w:t>
      </w:r>
      <w:r w:rsidR="00583360">
        <w:t>y</w:t>
      </w:r>
      <w:r w:rsidRPr="00383C40">
        <w:t xml:space="preserve"> (17-HMedIdeS-14)</w:t>
      </w:r>
      <w:r w:rsidR="004D1048" w:rsidRPr="00383C40">
        <w:t>, summarised in</w:t>
      </w:r>
      <w:r w:rsidR="009404F5">
        <w:t xml:space="preserve"> Table 3</w:t>
      </w:r>
      <w:r w:rsidRPr="00383C40">
        <w:t>. These studies are at risk of bias due to</w:t>
      </w:r>
      <w:r w:rsidRPr="00794540">
        <w:t xml:space="preserve"> the limitations of using an open-label, uncontrolled study design. The patient population is small and heterogeneous, with limited information available regarding comorbidities. There are differences in patients’ immunological characteristics, where reported, and this information is not reported consistently. Similarly, donor kidneys are also </w:t>
      </w:r>
      <w:r w:rsidR="0049039A">
        <w:t>heterogen</w:t>
      </w:r>
      <w:r w:rsidR="00C6337E">
        <w:t>e</w:t>
      </w:r>
      <w:r w:rsidR="0049039A">
        <w:t>ous</w:t>
      </w:r>
      <w:r w:rsidRPr="00794540">
        <w:t xml:space="preserve"> due to differences in </w:t>
      </w:r>
      <w:r w:rsidR="00752A8D">
        <w:t>donor</w:t>
      </w:r>
      <w:r w:rsidR="00524631">
        <w:t>-</w:t>
      </w:r>
      <w:r w:rsidR="00752A8D">
        <w:t>specific antibody (</w:t>
      </w:r>
      <w:r w:rsidRPr="00794540">
        <w:t>DSA</w:t>
      </w:r>
      <w:r w:rsidR="00752A8D">
        <w:t>)</w:t>
      </w:r>
      <w:r w:rsidRPr="00794540">
        <w:t xml:space="preserve"> levels and the unknown comorbidity status of donors. The medication</w:t>
      </w:r>
      <w:r w:rsidR="00524631">
        <w:t>s</w:t>
      </w:r>
      <w:r w:rsidRPr="00794540">
        <w:t xml:space="preserve"> used in the trial</w:t>
      </w:r>
      <w:r w:rsidR="00475D45">
        <w:t>s are</w:t>
      </w:r>
      <w:r w:rsidRPr="00794540">
        <w:t xml:space="preserve"> likely to be heterogeneous as </w:t>
      </w:r>
      <w:r w:rsidR="00475D45">
        <w:t>they</w:t>
      </w:r>
      <w:r w:rsidR="00301BAF">
        <w:t xml:space="preserve"> are</w:t>
      </w:r>
      <w:r w:rsidRPr="00794540">
        <w:t xml:space="preserve"> provided at the discretion of the investigator. The generalisability of the study results to Australian practice </w:t>
      </w:r>
      <w:r w:rsidR="003B2D42">
        <w:t>is</w:t>
      </w:r>
      <w:r w:rsidR="003B2D42" w:rsidRPr="00794540">
        <w:t xml:space="preserve"> </w:t>
      </w:r>
      <w:r w:rsidRPr="00794540">
        <w:t>uncertain.</w:t>
      </w:r>
    </w:p>
    <w:p w14:paraId="3DA5EA26" w14:textId="40B36ED3" w:rsidR="00510C9D" w:rsidRDefault="00AB57BB" w:rsidP="00527717">
      <w:r w:rsidRPr="00733914">
        <w:t>MSAC requested updated clinical data consistent with the proposed new population restriction, including follow-up of initial trials, results of new and current phase III trials, and phase IV data from the UK and Europe</w:t>
      </w:r>
      <w:r>
        <w:t xml:space="preserve"> (1732 PSD). </w:t>
      </w:r>
      <w:r w:rsidR="00D6308D">
        <w:t xml:space="preserve">For the resubmission, </w:t>
      </w:r>
      <w:r w:rsidR="00077911">
        <w:t xml:space="preserve">a subset of the </w:t>
      </w:r>
      <w:r w:rsidR="00E03CD7">
        <w:t>a</w:t>
      </w:r>
      <w:r w:rsidR="00077911">
        <w:t xml:space="preserve">ll-transplanted population </w:t>
      </w:r>
      <w:r w:rsidR="00FA0E9D">
        <w:t>meeting MSAC</w:t>
      </w:r>
      <w:r w:rsidR="008D4D4D">
        <w:t>-</w:t>
      </w:r>
      <w:r w:rsidR="00FA0E9D">
        <w:t xml:space="preserve">recommended criteria of </w:t>
      </w:r>
      <w:proofErr w:type="spellStart"/>
      <w:r w:rsidR="00FA0E9D">
        <w:t>cPRA</w:t>
      </w:r>
      <w:proofErr w:type="spellEnd"/>
      <w:r w:rsidR="00FA0E9D">
        <w:t xml:space="preserve"> ≥99%</w:t>
      </w:r>
      <w:r w:rsidR="00A4593A">
        <w:t>,</w:t>
      </w:r>
      <w:r w:rsidR="0072726E">
        <w:t xml:space="preserve"> waitlisted for ≥2 years, and including both DD and LD transplants was </w:t>
      </w:r>
      <w:r w:rsidR="001B27AE">
        <w:t xml:space="preserve">created (referred to as the AUS-UTT-A population: Australia – </w:t>
      </w:r>
      <w:r w:rsidR="00E03CD7">
        <w:t>u</w:t>
      </w:r>
      <w:r w:rsidR="001B27AE">
        <w:t xml:space="preserve">nlikely to </w:t>
      </w:r>
      <w:r w:rsidR="00E03CD7">
        <w:t>t</w:t>
      </w:r>
      <w:r w:rsidR="001B27AE">
        <w:t xml:space="preserve">ransplant – </w:t>
      </w:r>
      <w:r w:rsidR="00E03CD7">
        <w:t>a</w:t>
      </w:r>
      <w:r w:rsidR="001B27AE">
        <w:t>gnostic)</w:t>
      </w:r>
      <w:r w:rsidR="00F939FF">
        <w:t>.</w:t>
      </w:r>
      <w:r w:rsidR="00510C9D">
        <w:t xml:space="preserve"> </w:t>
      </w:r>
      <w:r w:rsidR="00650CB5">
        <w:t xml:space="preserve">Longer follow-up data </w:t>
      </w:r>
      <w:r w:rsidR="002E65AC">
        <w:t xml:space="preserve">from the </w:t>
      </w:r>
      <w:r w:rsidR="002E65AC" w:rsidRPr="00383C40">
        <w:t>17-HMedIdeS-14</w:t>
      </w:r>
      <w:r w:rsidR="002E65AC">
        <w:t xml:space="preserve"> study</w:t>
      </w:r>
      <w:r w:rsidR="00650CB5">
        <w:t xml:space="preserve"> were also included</w:t>
      </w:r>
      <w:r w:rsidR="00FA6EE0">
        <w:t xml:space="preserve"> in the ADAR</w:t>
      </w:r>
      <w:r w:rsidR="00650CB5">
        <w:t>.</w:t>
      </w:r>
    </w:p>
    <w:p w14:paraId="28B2AC5C" w14:textId="7A09C0E6" w:rsidR="009F0272" w:rsidRDefault="009D0936" w:rsidP="00DA3064">
      <w:bookmarkStart w:id="18" w:name="_Hlk166071481"/>
      <w:r w:rsidRPr="00527717">
        <w:t>The</w:t>
      </w:r>
      <w:r w:rsidRPr="006B010D">
        <w:t xml:space="preserve"> ability to</w:t>
      </w:r>
      <w:r w:rsidR="00D90AD8" w:rsidRPr="009D0936">
        <w:t xml:space="preserve"> evaluate </w:t>
      </w:r>
      <w:r w:rsidRPr="00527717">
        <w:t xml:space="preserve">the </w:t>
      </w:r>
      <w:r w:rsidR="00D90AD8" w:rsidRPr="009D0936">
        <w:t xml:space="preserve">applicability </w:t>
      </w:r>
      <w:r w:rsidRPr="00527717">
        <w:t xml:space="preserve">of the AUS-UTT-A population to the proposed population, </w:t>
      </w:r>
      <w:proofErr w:type="gramStart"/>
      <w:r w:rsidR="00D90AD8" w:rsidRPr="009D0936">
        <w:t>in light of</w:t>
      </w:r>
      <w:proofErr w:type="gramEnd"/>
      <w:r w:rsidR="00D90AD8" w:rsidRPr="009D0936">
        <w:t xml:space="preserve"> new population criteria</w:t>
      </w:r>
      <w:r w:rsidRPr="00527717">
        <w:t>,</w:t>
      </w:r>
      <w:r w:rsidR="00D90AD8" w:rsidRPr="009D0936">
        <w:t xml:space="preserve"> is </w:t>
      </w:r>
      <w:r w:rsidRPr="00527717">
        <w:t>challenging.</w:t>
      </w:r>
      <w:r w:rsidR="00D90AD8" w:rsidRPr="009D0936">
        <w:t xml:space="preserve"> </w:t>
      </w:r>
      <w:r w:rsidRPr="00527717">
        <w:t>S</w:t>
      </w:r>
      <w:r w:rsidR="00D90AD8" w:rsidRPr="009D0936">
        <w:t xml:space="preserve">tudy populations are defined based on </w:t>
      </w:r>
      <w:proofErr w:type="spellStart"/>
      <w:r w:rsidR="00D90AD8" w:rsidRPr="009D0936">
        <w:t>cPRA</w:t>
      </w:r>
      <w:proofErr w:type="spellEnd"/>
      <w:r w:rsidR="00D90AD8" w:rsidRPr="009D0936">
        <w:t>, wait time and crossmatch positive</w:t>
      </w:r>
      <w:r w:rsidRPr="00527717">
        <w:t xml:space="preserve"> criteria</w:t>
      </w:r>
      <w:r w:rsidR="00D90AD8" w:rsidRPr="009D0936">
        <w:t xml:space="preserve">. Other factors relating to the need to have failed </w:t>
      </w:r>
      <w:r w:rsidRPr="00527717">
        <w:t xml:space="preserve">an existing </w:t>
      </w:r>
      <w:r w:rsidR="00D90AD8" w:rsidRPr="009D0936">
        <w:t xml:space="preserve">desensitisation regimen, contraindications </w:t>
      </w:r>
      <w:r w:rsidR="00574C3D">
        <w:t>to</w:t>
      </w:r>
      <w:r w:rsidR="00D90AD8" w:rsidRPr="009D0936">
        <w:t xml:space="preserve"> existing regime</w:t>
      </w:r>
      <w:r w:rsidR="00121D00">
        <w:t>n</w:t>
      </w:r>
      <w:r w:rsidR="00D90AD8" w:rsidRPr="009D0936">
        <w:t>s and logistical issues cannot be evaluated due to an absence of data on these factors in the AUS-UTT-A dataset</w:t>
      </w:r>
      <w:r w:rsidR="00901B05">
        <w:t xml:space="preserve"> specific to LD and DD patients</w:t>
      </w:r>
      <w:r w:rsidR="00D90AD8" w:rsidRPr="009D0936">
        <w:t>.</w:t>
      </w:r>
      <w:r>
        <w:t xml:space="preserve"> </w:t>
      </w:r>
    </w:p>
    <w:p w14:paraId="1F3505C5" w14:textId="36DCFB7B" w:rsidR="009F0272" w:rsidRDefault="00DA3064" w:rsidP="00595848">
      <w:r>
        <w:t>The AUS-UTT-A population only include</w:t>
      </w:r>
      <w:r w:rsidR="00897D59">
        <w:t>d</w:t>
      </w:r>
      <w:r>
        <w:t xml:space="preserve"> patients with a wait time ≥2 years while the proposed eligibility criteria for patients with an available LD </w:t>
      </w:r>
      <w:r w:rsidR="00B6405F">
        <w:t>do</w:t>
      </w:r>
      <w:r>
        <w:t xml:space="preserve"> not </w:t>
      </w:r>
      <w:r w:rsidR="00B6405F">
        <w:t>restrict eligibility based on wait time</w:t>
      </w:r>
      <w:r>
        <w:t xml:space="preserve">. While the revised population and the population for whom data have been provided (AUS-UTT-A) are different, the number of LD transplant recipients potentially excluded from the AUS-UTT-A population based on </w:t>
      </w:r>
      <w:r w:rsidR="009F3100">
        <w:t>wait</w:t>
      </w:r>
      <w:r w:rsidR="00470226">
        <w:t xml:space="preserve"> time</w:t>
      </w:r>
      <w:r>
        <w:t xml:space="preserve"> is small. Of patients in the original UTT-A population, only 2 were excluded from the AUS-UTT-A group due to having been on dialysis &lt;2 years</w:t>
      </w:r>
      <w:r w:rsidR="00B56DA6">
        <w:t>,</w:t>
      </w:r>
      <w:r>
        <w:t xml:space="preserve"> and it is unclear </w:t>
      </w:r>
      <w:r>
        <w:lastRenderedPageBreak/>
        <w:t xml:space="preserve">whether they were LD or DD recipients (Fig.ES.2. </w:t>
      </w:r>
      <w:r w:rsidRPr="00BA6E38">
        <w:t xml:space="preserve">pp </w:t>
      </w:r>
      <w:r>
        <w:t>20</w:t>
      </w:r>
      <w:r w:rsidRPr="00BA6E38">
        <w:t xml:space="preserve"> of the MSAC 1732.1 </w:t>
      </w:r>
      <w:proofErr w:type="spellStart"/>
      <w:r w:rsidRPr="00BA6E38">
        <w:t>ADAR+in-line</w:t>
      </w:r>
      <w:proofErr w:type="spellEnd"/>
      <w:r w:rsidRPr="00BA6E38">
        <w:t xml:space="preserve"> commentary</w:t>
      </w:r>
      <w:r>
        <w:t xml:space="preserve">). </w:t>
      </w:r>
    </w:p>
    <w:p w14:paraId="3CA70C01" w14:textId="4FF6F7F2" w:rsidR="00817185" w:rsidRDefault="00B35393" w:rsidP="00527717">
      <w:r>
        <w:t>R</w:t>
      </w:r>
      <w:r w:rsidR="009D0936">
        <w:t xml:space="preserve">egarding the implications of the 2-year wait time for patients on the LD list in the AUS-UTT-A population, it is unclear what impact wait time has on </w:t>
      </w:r>
      <w:proofErr w:type="spellStart"/>
      <w:r w:rsidR="009D0936">
        <w:t>cPRA</w:t>
      </w:r>
      <w:proofErr w:type="spellEnd"/>
      <w:r w:rsidR="009D0936">
        <w:t xml:space="preserve"> level (and thus likelihood of a crossmatch); however, general evidence relating to kidney transplantation </w:t>
      </w:r>
      <w:r w:rsidR="0075760C">
        <w:t xml:space="preserve">success rates </w:t>
      </w:r>
      <w:r w:rsidR="009D0936">
        <w:t>and wait times suggest a positive correlation between shorter wait times and better outcomes.</w:t>
      </w:r>
      <w:r w:rsidR="007B3AF2">
        <w:rPr>
          <w:rStyle w:val="FootnoteReference"/>
        </w:rPr>
        <w:footnoteReference w:id="10"/>
      </w:r>
      <w:r w:rsidR="009D0936">
        <w:t xml:space="preserve"> Therefore, the evidence from the AUS-UTT-A population may </w:t>
      </w:r>
      <w:r w:rsidR="00AA5372">
        <w:t>bias against imlifidase</w:t>
      </w:r>
      <w:r w:rsidR="00DC2108">
        <w:t xml:space="preserve"> compared to the eligible </w:t>
      </w:r>
      <w:r w:rsidR="000E26D2">
        <w:t xml:space="preserve">LD </w:t>
      </w:r>
      <w:r w:rsidR="00DC2108">
        <w:t>population</w:t>
      </w:r>
      <w:r w:rsidR="00E218A0">
        <w:t xml:space="preserve"> that may have comparatively shorter wait times</w:t>
      </w:r>
      <w:r w:rsidR="00DC2108">
        <w:t xml:space="preserve">. </w:t>
      </w:r>
      <w:bookmarkStart w:id="19" w:name="_Ref131587624"/>
      <w:bookmarkEnd w:id="18"/>
    </w:p>
    <w:p w14:paraId="33A35037" w14:textId="09BDA202" w:rsidR="00660F87" w:rsidRPr="00660F87" w:rsidDel="00660F87" w:rsidRDefault="00660F87" w:rsidP="00E76AE0">
      <w:pPr>
        <w:pStyle w:val="Instructionaltext"/>
        <w:rPr>
          <w:color w:val="auto"/>
        </w:rPr>
        <w:sectPr w:rsidR="00660F87" w:rsidRPr="00660F87" w:rsidDel="00660F87" w:rsidSect="00495DF8">
          <w:headerReference w:type="even" r:id="rId10"/>
          <w:headerReference w:type="default" r:id="rId11"/>
          <w:footerReference w:type="even" r:id="rId12"/>
          <w:footerReference w:type="default" r:id="rId13"/>
          <w:headerReference w:type="first" r:id="rId14"/>
          <w:footerReference w:type="first" r:id="rId15"/>
          <w:type w:val="oddPage"/>
          <w:pgSz w:w="11906" w:h="16838"/>
          <w:pgMar w:top="1440" w:right="1440" w:bottom="1440" w:left="1440" w:header="708" w:footer="708" w:gutter="0"/>
          <w:cols w:space="708"/>
          <w:docGrid w:linePitch="360"/>
        </w:sectPr>
      </w:pPr>
    </w:p>
    <w:p w14:paraId="62E1F4C3" w14:textId="3F955590" w:rsidR="006645AD" w:rsidRPr="0074475B" w:rsidRDefault="006645AD" w:rsidP="006645AD">
      <w:pPr>
        <w:pStyle w:val="Caption"/>
        <w:rPr>
          <w:sz w:val="18"/>
          <w:szCs w:val="18"/>
        </w:rPr>
      </w:pPr>
      <w:bookmarkStart w:id="20" w:name="_Ref163648926"/>
      <w:r w:rsidRPr="0074475B">
        <w:rPr>
          <w:sz w:val="18"/>
          <w:szCs w:val="18"/>
        </w:rPr>
        <w:lastRenderedPageBreak/>
        <w:t xml:space="preserve">Table </w:t>
      </w:r>
      <w:r w:rsidR="009404F5">
        <w:rPr>
          <w:sz w:val="18"/>
          <w:szCs w:val="18"/>
        </w:rPr>
        <w:t>3</w:t>
      </w:r>
      <w:bookmarkEnd w:id="20"/>
      <w:r w:rsidRPr="0074475B">
        <w:rPr>
          <w:sz w:val="18"/>
          <w:szCs w:val="18"/>
        </w:rPr>
        <w:t xml:space="preserve"> Key features of the included evidence comparing use of imlifidase with current care in the absence of </w:t>
      </w:r>
      <w:proofErr w:type="gramStart"/>
      <w:r w:rsidRPr="0074475B">
        <w:rPr>
          <w:sz w:val="18"/>
          <w:szCs w:val="18"/>
        </w:rPr>
        <w:t>imlifidase</w:t>
      </w:r>
      <w:proofErr w:type="gramEnd"/>
      <w:r w:rsidR="00FB155C">
        <w:rPr>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54"/>
        <w:gridCol w:w="664"/>
        <w:gridCol w:w="2689"/>
        <w:gridCol w:w="1802"/>
        <w:gridCol w:w="1155"/>
        <w:gridCol w:w="1400"/>
        <w:gridCol w:w="1389"/>
        <w:gridCol w:w="2795"/>
      </w:tblGrid>
      <w:tr w:rsidR="00D76079" w:rsidRPr="0074475B" w14:paraId="13EB3865" w14:textId="77777777" w:rsidTr="002C4FF3">
        <w:trPr>
          <w:trHeight w:val="20"/>
        </w:trPr>
        <w:tc>
          <w:tcPr>
            <w:tcW w:w="736" w:type="pct"/>
            <w:shd w:val="clear" w:color="auto" w:fill="auto"/>
            <w:hideMark/>
          </w:tcPr>
          <w:p w14:paraId="486ADAAA" w14:textId="5092D1B6" w:rsidR="00B4428B" w:rsidRPr="0074475B" w:rsidRDefault="00B4428B" w:rsidP="00D76079">
            <w:pPr>
              <w:pStyle w:val="TableText"/>
              <w:rPr>
                <w:b/>
                <w:sz w:val="18"/>
                <w:szCs w:val="20"/>
                <w:lang w:eastAsia="en-AU"/>
              </w:rPr>
            </w:pPr>
            <w:r w:rsidRPr="0074475B">
              <w:rPr>
                <w:b/>
                <w:sz w:val="18"/>
                <w:szCs w:val="20"/>
                <w:lang w:eastAsia="en-AU"/>
              </w:rPr>
              <w:t>Trial/</w:t>
            </w:r>
            <w:r w:rsidR="00486430">
              <w:rPr>
                <w:b/>
                <w:sz w:val="18"/>
                <w:szCs w:val="20"/>
                <w:lang w:eastAsia="en-AU"/>
              </w:rPr>
              <w:t>s</w:t>
            </w:r>
            <w:r w:rsidRPr="0074475B">
              <w:rPr>
                <w:b/>
                <w:sz w:val="18"/>
                <w:szCs w:val="20"/>
                <w:lang w:eastAsia="en-AU"/>
              </w:rPr>
              <w:t>tudy identifier</w:t>
            </w:r>
          </w:p>
        </w:tc>
        <w:tc>
          <w:tcPr>
            <w:tcW w:w="238" w:type="pct"/>
            <w:shd w:val="clear" w:color="auto" w:fill="auto"/>
            <w:hideMark/>
          </w:tcPr>
          <w:p w14:paraId="4653878B" w14:textId="77777777" w:rsidR="00B4428B" w:rsidRPr="0074475B" w:rsidRDefault="00B4428B" w:rsidP="00D76079">
            <w:pPr>
              <w:pStyle w:val="TableText"/>
              <w:rPr>
                <w:b/>
                <w:sz w:val="18"/>
                <w:szCs w:val="20"/>
                <w:lang w:eastAsia="en-AU"/>
              </w:rPr>
            </w:pPr>
            <w:r w:rsidRPr="0074475B">
              <w:rPr>
                <w:b/>
                <w:sz w:val="18"/>
                <w:szCs w:val="20"/>
                <w:lang w:eastAsia="en-AU"/>
              </w:rPr>
              <w:t>N</w:t>
            </w:r>
          </w:p>
        </w:tc>
        <w:tc>
          <w:tcPr>
            <w:tcW w:w="964" w:type="pct"/>
            <w:shd w:val="clear" w:color="auto" w:fill="auto"/>
            <w:hideMark/>
          </w:tcPr>
          <w:p w14:paraId="0D83CCE5" w14:textId="77777777" w:rsidR="00B4428B" w:rsidRPr="0074475B" w:rsidRDefault="00B4428B" w:rsidP="00D76079">
            <w:pPr>
              <w:pStyle w:val="TableText"/>
              <w:rPr>
                <w:b/>
                <w:sz w:val="18"/>
                <w:szCs w:val="20"/>
                <w:lang w:eastAsia="en-AU"/>
              </w:rPr>
            </w:pPr>
            <w:r w:rsidRPr="0074475B">
              <w:rPr>
                <w:b/>
                <w:sz w:val="18"/>
                <w:szCs w:val="20"/>
                <w:lang w:eastAsia="en-AU"/>
              </w:rPr>
              <w:t xml:space="preserve">Study </w:t>
            </w:r>
            <w:proofErr w:type="gramStart"/>
            <w:r w:rsidRPr="0074475B">
              <w:rPr>
                <w:b/>
                <w:sz w:val="18"/>
                <w:szCs w:val="20"/>
                <w:lang w:eastAsia="en-AU"/>
              </w:rPr>
              <w:t>design</w:t>
            </w:r>
            <w:proofErr w:type="gramEnd"/>
            <w:r w:rsidRPr="0074475B">
              <w:rPr>
                <w:b/>
                <w:sz w:val="18"/>
                <w:szCs w:val="20"/>
                <w:lang w:eastAsia="en-AU"/>
              </w:rPr>
              <w:t xml:space="preserve"> </w:t>
            </w:r>
          </w:p>
          <w:p w14:paraId="1458282A" w14:textId="58778C01" w:rsidR="00B4428B" w:rsidRPr="0074475B" w:rsidRDefault="00B4428B" w:rsidP="00D76079">
            <w:pPr>
              <w:pStyle w:val="TableText"/>
              <w:rPr>
                <w:b/>
                <w:sz w:val="18"/>
                <w:szCs w:val="20"/>
                <w:lang w:eastAsia="en-AU"/>
              </w:rPr>
            </w:pPr>
            <w:r w:rsidRPr="0074475B">
              <w:rPr>
                <w:b/>
                <w:sz w:val="18"/>
                <w:szCs w:val="20"/>
                <w:lang w:eastAsia="en-AU"/>
              </w:rPr>
              <w:t>Risk of bias</w:t>
            </w:r>
            <w:r w:rsidR="00A55DEA">
              <w:rPr>
                <w:b/>
                <w:sz w:val="18"/>
                <w:szCs w:val="20"/>
                <w:lang w:eastAsia="en-AU"/>
              </w:rPr>
              <w:t>*</w:t>
            </w:r>
          </w:p>
        </w:tc>
        <w:tc>
          <w:tcPr>
            <w:tcW w:w="646" w:type="pct"/>
            <w:shd w:val="clear" w:color="auto" w:fill="auto"/>
            <w:hideMark/>
          </w:tcPr>
          <w:p w14:paraId="150984DD" w14:textId="77777777" w:rsidR="00B4428B" w:rsidRPr="0074475B" w:rsidRDefault="00B4428B" w:rsidP="00D76079">
            <w:pPr>
              <w:pStyle w:val="TableText"/>
              <w:rPr>
                <w:b/>
                <w:sz w:val="18"/>
                <w:szCs w:val="20"/>
                <w:lang w:eastAsia="en-AU"/>
              </w:rPr>
            </w:pPr>
            <w:r w:rsidRPr="0074475B">
              <w:rPr>
                <w:b/>
                <w:sz w:val="18"/>
                <w:szCs w:val="20"/>
                <w:lang w:eastAsia="en-AU"/>
              </w:rPr>
              <w:t>Population</w:t>
            </w:r>
          </w:p>
        </w:tc>
        <w:tc>
          <w:tcPr>
            <w:tcW w:w="414" w:type="pct"/>
            <w:shd w:val="clear" w:color="auto" w:fill="auto"/>
            <w:hideMark/>
          </w:tcPr>
          <w:p w14:paraId="293ACF34" w14:textId="77777777" w:rsidR="00B4428B" w:rsidRPr="0074475B" w:rsidRDefault="00B4428B" w:rsidP="00D76079">
            <w:pPr>
              <w:pStyle w:val="TableText"/>
              <w:rPr>
                <w:b/>
                <w:sz w:val="18"/>
                <w:szCs w:val="20"/>
                <w:lang w:eastAsia="en-AU"/>
              </w:rPr>
            </w:pPr>
            <w:r w:rsidRPr="0074475B">
              <w:rPr>
                <w:b/>
                <w:sz w:val="18"/>
                <w:szCs w:val="20"/>
                <w:lang w:eastAsia="en-AU"/>
              </w:rPr>
              <w:t>Intervention</w:t>
            </w:r>
          </w:p>
        </w:tc>
        <w:tc>
          <w:tcPr>
            <w:tcW w:w="502" w:type="pct"/>
            <w:shd w:val="clear" w:color="auto" w:fill="auto"/>
            <w:hideMark/>
          </w:tcPr>
          <w:p w14:paraId="502BCB37" w14:textId="77777777" w:rsidR="00B4428B" w:rsidRPr="0074475B" w:rsidRDefault="00B4428B" w:rsidP="00D76079">
            <w:pPr>
              <w:pStyle w:val="TableText"/>
              <w:rPr>
                <w:b/>
                <w:sz w:val="18"/>
                <w:szCs w:val="20"/>
                <w:lang w:eastAsia="en-AU"/>
              </w:rPr>
            </w:pPr>
            <w:r w:rsidRPr="0074475B">
              <w:rPr>
                <w:b/>
                <w:sz w:val="18"/>
                <w:szCs w:val="20"/>
                <w:lang w:eastAsia="en-AU"/>
              </w:rPr>
              <w:t>Comparator</w:t>
            </w:r>
          </w:p>
        </w:tc>
        <w:tc>
          <w:tcPr>
            <w:tcW w:w="498" w:type="pct"/>
            <w:shd w:val="clear" w:color="auto" w:fill="auto"/>
            <w:hideMark/>
          </w:tcPr>
          <w:p w14:paraId="3B1FE834" w14:textId="77777777" w:rsidR="00B4428B" w:rsidRPr="0074475B" w:rsidRDefault="00B4428B" w:rsidP="00D76079">
            <w:pPr>
              <w:pStyle w:val="TableText"/>
              <w:rPr>
                <w:b/>
                <w:sz w:val="18"/>
                <w:szCs w:val="20"/>
                <w:lang w:eastAsia="en-AU"/>
              </w:rPr>
            </w:pPr>
            <w:r w:rsidRPr="0074475B">
              <w:rPr>
                <w:b/>
                <w:sz w:val="18"/>
                <w:szCs w:val="20"/>
                <w:lang w:eastAsia="en-AU"/>
              </w:rPr>
              <w:t>Key outcome(s)</w:t>
            </w:r>
          </w:p>
        </w:tc>
        <w:tc>
          <w:tcPr>
            <w:tcW w:w="1002" w:type="pct"/>
            <w:shd w:val="clear" w:color="auto" w:fill="auto"/>
            <w:hideMark/>
          </w:tcPr>
          <w:p w14:paraId="521BE9F5" w14:textId="77777777" w:rsidR="00B4428B" w:rsidRPr="0074475B" w:rsidRDefault="00B4428B" w:rsidP="00D76079">
            <w:pPr>
              <w:pStyle w:val="TableText"/>
              <w:rPr>
                <w:b/>
                <w:sz w:val="18"/>
                <w:szCs w:val="20"/>
                <w:lang w:eastAsia="en-AU"/>
              </w:rPr>
            </w:pPr>
            <w:r w:rsidRPr="0074475B">
              <w:rPr>
                <w:b/>
                <w:sz w:val="18"/>
                <w:szCs w:val="20"/>
                <w:lang w:eastAsia="en-AU"/>
              </w:rPr>
              <w:t>Result used in economic model </w:t>
            </w:r>
          </w:p>
        </w:tc>
      </w:tr>
      <w:tr w:rsidR="00B4428B" w:rsidRPr="0074475B" w14:paraId="29C45BC0" w14:textId="77777777" w:rsidTr="00D76079">
        <w:trPr>
          <w:trHeight w:val="231"/>
        </w:trPr>
        <w:tc>
          <w:tcPr>
            <w:tcW w:w="5000" w:type="pct"/>
            <w:gridSpan w:val="8"/>
            <w:shd w:val="clear" w:color="auto" w:fill="auto"/>
            <w:hideMark/>
          </w:tcPr>
          <w:p w14:paraId="41DF2CBE" w14:textId="2B8401F1" w:rsidR="00B4428B" w:rsidRPr="0074475B" w:rsidRDefault="00B4428B" w:rsidP="00D76079">
            <w:pPr>
              <w:pStyle w:val="TableText"/>
              <w:rPr>
                <w:b/>
                <w:sz w:val="18"/>
                <w:szCs w:val="20"/>
                <w:lang w:eastAsia="en-AU"/>
              </w:rPr>
            </w:pPr>
            <w:r w:rsidRPr="0074475B">
              <w:rPr>
                <w:b/>
                <w:sz w:val="18"/>
                <w:szCs w:val="20"/>
                <w:lang w:eastAsia="en-AU"/>
              </w:rPr>
              <w:t xml:space="preserve">Intervention </w:t>
            </w:r>
            <w:r w:rsidR="00754491">
              <w:rPr>
                <w:b/>
                <w:sz w:val="18"/>
                <w:szCs w:val="20"/>
                <w:lang w:eastAsia="en-AU"/>
              </w:rPr>
              <w:t>a</w:t>
            </w:r>
            <w:r w:rsidRPr="0074475B">
              <w:rPr>
                <w:b/>
                <w:sz w:val="18"/>
                <w:szCs w:val="20"/>
                <w:lang w:eastAsia="en-AU"/>
              </w:rPr>
              <w:t>rm</w:t>
            </w:r>
          </w:p>
        </w:tc>
      </w:tr>
      <w:tr w:rsidR="00741EFE" w:rsidRPr="0074475B" w14:paraId="2BF4373F" w14:textId="77777777" w:rsidTr="00A21B94">
        <w:trPr>
          <w:trHeight w:val="1328"/>
        </w:trPr>
        <w:tc>
          <w:tcPr>
            <w:tcW w:w="736" w:type="pct"/>
            <w:vMerge w:val="restart"/>
            <w:shd w:val="clear" w:color="auto" w:fill="auto"/>
            <w:hideMark/>
          </w:tcPr>
          <w:p w14:paraId="6D00AFB6" w14:textId="77777777" w:rsidR="00741EFE" w:rsidRPr="0074475B" w:rsidRDefault="00741EFE" w:rsidP="00D76079">
            <w:pPr>
              <w:pStyle w:val="TableText"/>
              <w:rPr>
                <w:sz w:val="18"/>
                <w:szCs w:val="20"/>
                <w:lang w:eastAsia="en-AU"/>
              </w:rPr>
            </w:pPr>
            <w:r w:rsidRPr="0074475B">
              <w:rPr>
                <w:sz w:val="18"/>
                <w:szCs w:val="20"/>
                <w:lang w:eastAsia="en-AU"/>
              </w:rPr>
              <w:t>Combined imlifidase trial data from:</w:t>
            </w:r>
          </w:p>
          <w:p w14:paraId="6EB7AD1F" w14:textId="77777777" w:rsidR="00A21B94" w:rsidRPr="0074475B" w:rsidRDefault="00741EFE" w:rsidP="00A21B94">
            <w:pPr>
              <w:pStyle w:val="TableText"/>
              <w:numPr>
                <w:ilvl w:val="0"/>
                <w:numId w:val="36"/>
              </w:numPr>
              <w:ind w:left="284" w:hanging="227"/>
              <w:rPr>
                <w:sz w:val="18"/>
                <w:szCs w:val="20"/>
                <w:lang w:eastAsia="en-AU"/>
              </w:rPr>
            </w:pPr>
            <w:r w:rsidRPr="0074475B">
              <w:rPr>
                <w:sz w:val="18"/>
                <w:szCs w:val="20"/>
              </w:rPr>
              <w:t>13-HMedIdeS-02</w:t>
            </w:r>
          </w:p>
          <w:p w14:paraId="4ECCEF12" w14:textId="77777777" w:rsidR="00A21B94" w:rsidRPr="0074475B" w:rsidRDefault="00741EFE" w:rsidP="00A21B94">
            <w:pPr>
              <w:pStyle w:val="TableText"/>
              <w:numPr>
                <w:ilvl w:val="0"/>
                <w:numId w:val="36"/>
              </w:numPr>
              <w:ind w:left="284" w:hanging="227"/>
              <w:rPr>
                <w:sz w:val="18"/>
                <w:szCs w:val="20"/>
                <w:lang w:eastAsia="en-AU"/>
              </w:rPr>
            </w:pPr>
            <w:r w:rsidRPr="0074475B">
              <w:rPr>
                <w:sz w:val="18"/>
                <w:szCs w:val="20"/>
              </w:rPr>
              <w:t>13-HMedIdeS-03</w:t>
            </w:r>
          </w:p>
          <w:p w14:paraId="7AC2007E" w14:textId="77777777" w:rsidR="00A21B94" w:rsidRPr="0074475B" w:rsidRDefault="00741EFE" w:rsidP="00A21B94">
            <w:pPr>
              <w:pStyle w:val="TableText"/>
              <w:numPr>
                <w:ilvl w:val="0"/>
                <w:numId w:val="36"/>
              </w:numPr>
              <w:ind w:left="284" w:hanging="227"/>
              <w:rPr>
                <w:sz w:val="18"/>
                <w:szCs w:val="20"/>
                <w:lang w:eastAsia="en-AU"/>
              </w:rPr>
            </w:pPr>
            <w:r w:rsidRPr="0074475B">
              <w:rPr>
                <w:sz w:val="18"/>
                <w:szCs w:val="20"/>
              </w:rPr>
              <w:t>14- HMedIdeS</w:t>
            </w:r>
            <w:r w:rsidRPr="0074475B">
              <w:rPr>
                <w:sz w:val="18"/>
                <w:szCs w:val="20"/>
              </w:rPr>
              <w:noBreakHyphen/>
              <w:t>04</w:t>
            </w:r>
          </w:p>
          <w:p w14:paraId="7C34A166" w14:textId="7EBEDA1A" w:rsidR="00741EFE" w:rsidRPr="0074475B" w:rsidRDefault="00741EFE" w:rsidP="00A21B94">
            <w:pPr>
              <w:pStyle w:val="TableText"/>
              <w:numPr>
                <w:ilvl w:val="0"/>
                <w:numId w:val="36"/>
              </w:numPr>
              <w:ind w:left="284" w:hanging="227"/>
              <w:rPr>
                <w:sz w:val="18"/>
                <w:szCs w:val="20"/>
                <w:lang w:eastAsia="en-AU"/>
              </w:rPr>
            </w:pPr>
            <w:r w:rsidRPr="0074475B">
              <w:rPr>
                <w:sz w:val="18"/>
                <w:szCs w:val="20"/>
              </w:rPr>
              <w:t>15- HMedIdeS</w:t>
            </w:r>
            <w:r w:rsidRPr="0074475B">
              <w:rPr>
                <w:sz w:val="18"/>
                <w:szCs w:val="20"/>
              </w:rPr>
              <w:noBreakHyphen/>
              <w:t>06</w:t>
            </w:r>
          </w:p>
          <w:p w14:paraId="0A20B69A" w14:textId="62FB7A2D" w:rsidR="00741EFE" w:rsidRPr="0074475B" w:rsidRDefault="00741EFE" w:rsidP="00D76079">
            <w:pPr>
              <w:pStyle w:val="TableText"/>
              <w:rPr>
                <w:sz w:val="18"/>
                <w:szCs w:val="20"/>
              </w:rPr>
            </w:pPr>
            <w:r w:rsidRPr="0074475B">
              <w:rPr>
                <w:sz w:val="18"/>
                <w:szCs w:val="20"/>
              </w:rPr>
              <w:t>Additional retrospective data collection on 13-HMedIdeS-02 and 13-MedIdeS-03 in:</w:t>
            </w:r>
          </w:p>
          <w:p w14:paraId="591903D8" w14:textId="5F004389" w:rsidR="00583360" w:rsidRDefault="00741EFE" w:rsidP="00A21B94">
            <w:pPr>
              <w:pStyle w:val="TableText"/>
              <w:numPr>
                <w:ilvl w:val="0"/>
                <w:numId w:val="35"/>
              </w:numPr>
              <w:ind w:left="284" w:hanging="227"/>
              <w:rPr>
                <w:sz w:val="18"/>
                <w:szCs w:val="20"/>
              </w:rPr>
            </w:pPr>
            <w:r w:rsidRPr="0074475B">
              <w:rPr>
                <w:sz w:val="18"/>
                <w:szCs w:val="20"/>
              </w:rPr>
              <w:t xml:space="preserve">17-HMedIdeS-13 </w:t>
            </w:r>
          </w:p>
          <w:p w14:paraId="06EA3248" w14:textId="25A308E9" w:rsidR="00A21B94" w:rsidRPr="0074475B" w:rsidRDefault="00741EFE" w:rsidP="00CE24FE">
            <w:pPr>
              <w:pStyle w:val="TableText"/>
              <w:rPr>
                <w:sz w:val="18"/>
                <w:szCs w:val="20"/>
              </w:rPr>
            </w:pPr>
            <w:r w:rsidRPr="05E7FBDA">
              <w:rPr>
                <w:sz w:val="18"/>
                <w:szCs w:val="18"/>
              </w:rPr>
              <w:t>Long-term follow-up study of imlifidase trials</w:t>
            </w:r>
            <w:r w:rsidR="00583360" w:rsidRPr="05E7FBDA">
              <w:rPr>
                <w:sz w:val="18"/>
                <w:szCs w:val="18"/>
              </w:rPr>
              <w:t>:</w:t>
            </w:r>
          </w:p>
          <w:p w14:paraId="29B63D4A" w14:textId="1EFDD695" w:rsidR="00741EFE" w:rsidRPr="0074475B" w:rsidRDefault="00741EFE" w:rsidP="00A21B94">
            <w:pPr>
              <w:pStyle w:val="TableText"/>
              <w:numPr>
                <w:ilvl w:val="0"/>
                <w:numId w:val="35"/>
              </w:numPr>
              <w:ind w:left="284" w:hanging="227"/>
              <w:rPr>
                <w:sz w:val="18"/>
                <w:szCs w:val="20"/>
              </w:rPr>
            </w:pPr>
            <w:r w:rsidRPr="0074475B">
              <w:rPr>
                <w:sz w:val="18"/>
                <w:szCs w:val="18"/>
              </w:rPr>
              <w:t>17-HMedIdeS-14</w:t>
            </w:r>
            <w:r w:rsidR="00A21B94" w:rsidRPr="0074475B">
              <w:rPr>
                <w:sz w:val="18"/>
                <w:szCs w:val="18"/>
              </w:rPr>
              <w:t xml:space="preserve"> </w:t>
            </w:r>
            <w:r w:rsidRPr="0074475B">
              <w:rPr>
                <w:sz w:val="18"/>
                <w:szCs w:val="18"/>
              </w:rPr>
              <w:t>(5</w:t>
            </w:r>
            <w:r w:rsidR="00DA70A1">
              <w:rPr>
                <w:sz w:val="18"/>
                <w:szCs w:val="20"/>
              </w:rPr>
              <w:noBreakHyphen/>
            </w:r>
            <w:r w:rsidRPr="0074475B">
              <w:rPr>
                <w:sz w:val="18"/>
                <w:szCs w:val="18"/>
              </w:rPr>
              <w:t>year follow-up)</w:t>
            </w:r>
          </w:p>
        </w:tc>
        <w:tc>
          <w:tcPr>
            <w:tcW w:w="238" w:type="pct"/>
            <w:vMerge w:val="restart"/>
            <w:shd w:val="clear" w:color="auto" w:fill="auto"/>
            <w:hideMark/>
          </w:tcPr>
          <w:p w14:paraId="4F5A044B" w14:textId="3B54B5DB" w:rsidR="00741EFE" w:rsidRPr="0074475B" w:rsidRDefault="00741EFE" w:rsidP="00D76079">
            <w:pPr>
              <w:pStyle w:val="TableText"/>
              <w:rPr>
                <w:sz w:val="18"/>
                <w:szCs w:val="20"/>
                <w:lang w:eastAsia="en-AU"/>
              </w:rPr>
            </w:pPr>
            <w:r w:rsidRPr="0074475B">
              <w:rPr>
                <w:sz w:val="18"/>
                <w:szCs w:val="20"/>
              </w:rPr>
              <w:t>24</w:t>
            </w:r>
          </w:p>
        </w:tc>
        <w:tc>
          <w:tcPr>
            <w:tcW w:w="964" w:type="pct"/>
            <w:tcBorders>
              <w:bottom w:val="nil"/>
            </w:tcBorders>
            <w:shd w:val="clear" w:color="auto" w:fill="auto"/>
            <w:hideMark/>
          </w:tcPr>
          <w:p w14:paraId="4B6384DE" w14:textId="145FECE0" w:rsidR="00741EFE" w:rsidRPr="0074475B" w:rsidRDefault="00741EFE" w:rsidP="00D76079">
            <w:pPr>
              <w:pStyle w:val="TableText"/>
              <w:rPr>
                <w:sz w:val="18"/>
                <w:szCs w:val="20"/>
                <w:lang w:eastAsia="en-AU"/>
              </w:rPr>
            </w:pPr>
            <w:r w:rsidRPr="0074475B">
              <w:rPr>
                <w:sz w:val="18"/>
                <w:szCs w:val="20"/>
                <w:lang w:eastAsia="en-AU"/>
              </w:rPr>
              <w:t>Single</w:t>
            </w:r>
            <w:r w:rsidR="00DA353A">
              <w:rPr>
                <w:sz w:val="18"/>
                <w:szCs w:val="20"/>
                <w:lang w:eastAsia="en-AU"/>
              </w:rPr>
              <w:t>-</w:t>
            </w:r>
            <w:r w:rsidRPr="0074475B">
              <w:rPr>
                <w:sz w:val="18"/>
                <w:szCs w:val="20"/>
                <w:lang w:eastAsia="en-AU"/>
              </w:rPr>
              <w:t xml:space="preserve">arm, prospective </w:t>
            </w:r>
            <w:r w:rsidR="00A21B94" w:rsidRPr="0074475B">
              <w:rPr>
                <w:sz w:val="18"/>
                <w:szCs w:val="20"/>
                <w:lang w:eastAsia="en-AU"/>
              </w:rPr>
              <w:t>p</w:t>
            </w:r>
            <w:r w:rsidRPr="0074475B">
              <w:rPr>
                <w:sz w:val="18"/>
                <w:szCs w:val="20"/>
                <w:lang w:eastAsia="en-AU"/>
              </w:rPr>
              <w:t xml:space="preserve">hase </w:t>
            </w:r>
            <w:r w:rsidR="00A21B94" w:rsidRPr="0074475B">
              <w:rPr>
                <w:sz w:val="18"/>
                <w:szCs w:val="20"/>
                <w:lang w:eastAsia="en-AU"/>
              </w:rPr>
              <w:t>II</w:t>
            </w:r>
            <w:r w:rsidRPr="0074475B">
              <w:rPr>
                <w:sz w:val="18"/>
                <w:szCs w:val="20"/>
                <w:lang w:eastAsia="en-AU"/>
              </w:rPr>
              <w:t xml:space="preserve"> trials</w:t>
            </w:r>
          </w:p>
          <w:p w14:paraId="43ED0766" w14:textId="3F0F01E6" w:rsidR="00741EFE" w:rsidRPr="0074475B" w:rsidRDefault="00741EFE" w:rsidP="00D76079">
            <w:pPr>
              <w:pStyle w:val="TableText"/>
              <w:rPr>
                <w:sz w:val="18"/>
                <w:szCs w:val="20"/>
                <w:lang w:eastAsia="en-AU"/>
              </w:rPr>
            </w:pPr>
            <w:r w:rsidRPr="0074475B">
              <w:rPr>
                <w:sz w:val="18"/>
                <w:szCs w:val="20"/>
              </w:rPr>
              <w:t xml:space="preserve">Data </w:t>
            </w:r>
            <w:r w:rsidR="0092038D">
              <w:rPr>
                <w:sz w:val="18"/>
                <w:szCs w:val="20"/>
              </w:rPr>
              <w:t>from all studies</w:t>
            </w:r>
            <w:r w:rsidRPr="0074475B">
              <w:rPr>
                <w:sz w:val="18"/>
                <w:szCs w:val="20"/>
              </w:rPr>
              <w:t xml:space="preserve"> combined to include all patients in the </w:t>
            </w:r>
            <w:proofErr w:type="gramStart"/>
            <w:r w:rsidRPr="0074475B">
              <w:rPr>
                <w:sz w:val="18"/>
                <w:szCs w:val="20"/>
              </w:rPr>
              <w:t>population</w:t>
            </w:r>
            <w:proofErr w:type="gramEnd"/>
          </w:p>
          <w:p w14:paraId="7741AA38" w14:textId="3DC8BB0F" w:rsidR="00741EFE" w:rsidRPr="0074475B" w:rsidRDefault="00741EFE" w:rsidP="00D76079">
            <w:pPr>
              <w:pStyle w:val="TableText"/>
              <w:rPr>
                <w:sz w:val="18"/>
                <w:szCs w:val="20"/>
                <w:lang w:eastAsia="en-AU"/>
              </w:rPr>
            </w:pPr>
            <w:r w:rsidRPr="0074475B">
              <w:rPr>
                <w:sz w:val="18"/>
                <w:szCs w:val="20"/>
              </w:rPr>
              <w:t>Moderate risk of bias (single</w:t>
            </w:r>
            <w:r w:rsidR="00541CBB">
              <w:rPr>
                <w:sz w:val="18"/>
                <w:szCs w:val="20"/>
              </w:rPr>
              <w:t>-</w:t>
            </w:r>
            <w:r w:rsidRPr="0074475B">
              <w:rPr>
                <w:sz w:val="18"/>
                <w:szCs w:val="20"/>
              </w:rPr>
              <w:t>arm studies)</w:t>
            </w:r>
          </w:p>
          <w:p w14:paraId="2D2C2234" w14:textId="77777777" w:rsidR="00741EFE" w:rsidRPr="0074475B" w:rsidRDefault="00741EFE" w:rsidP="00D76079">
            <w:pPr>
              <w:pStyle w:val="TableText"/>
              <w:rPr>
                <w:sz w:val="18"/>
                <w:szCs w:val="20"/>
                <w:lang w:eastAsia="en-AU"/>
              </w:rPr>
            </w:pPr>
          </w:p>
        </w:tc>
        <w:tc>
          <w:tcPr>
            <w:tcW w:w="646" w:type="pct"/>
            <w:vMerge w:val="restart"/>
            <w:shd w:val="clear" w:color="auto" w:fill="auto"/>
            <w:hideMark/>
          </w:tcPr>
          <w:p w14:paraId="620E641C" w14:textId="77777777" w:rsidR="00741EFE" w:rsidRPr="0074475B" w:rsidRDefault="00741EFE" w:rsidP="00D76079">
            <w:pPr>
              <w:pStyle w:val="TableText"/>
              <w:rPr>
                <w:sz w:val="18"/>
                <w:szCs w:val="20"/>
              </w:rPr>
            </w:pPr>
            <w:r w:rsidRPr="0074475B">
              <w:rPr>
                <w:sz w:val="18"/>
                <w:szCs w:val="20"/>
              </w:rPr>
              <w:t>AUS-UTT-A</w:t>
            </w:r>
          </w:p>
          <w:p w14:paraId="5D23718B" w14:textId="58BCF482" w:rsidR="00741EFE" w:rsidRPr="0074475B" w:rsidRDefault="00741EFE" w:rsidP="00D76079">
            <w:pPr>
              <w:pStyle w:val="TableText"/>
              <w:rPr>
                <w:sz w:val="18"/>
                <w:szCs w:val="20"/>
                <w:lang w:eastAsia="en-AU"/>
              </w:rPr>
            </w:pPr>
            <w:r w:rsidRPr="0074475B">
              <w:rPr>
                <w:sz w:val="18"/>
                <w:szCs w:val="20"/>
              </w:rPr>
              <w:t xml:space="preserve">HS patients with </w:t>
            </w:r>
            <w:proofErr w:type="spellStart"/>
            <w:r w:rsidRPr="0074475B">
              <w:rPr>
                <w:sz w:val="18"/>
                <w:szCs w:val="20"/>
              </w:rPr>
              <w:t>cPRA</w:t>
            </w:r>
            <w:proofErr w:type="spellEnd"/>
            <w:r w:rsidRPr="0074475B">
              <w:rPr>
                <w:sz w:val="18"/>
                <w:szCs w:val="20"/>
              </w:rPr>
              <w:t xml:space="preserve"> ≥99%, positive crossmatch, </w:t>
            </w:r>
            <w:proofErr w:type="gramStart"/>
            <w:r w:rsidRPr="0074475B">
              <w:rPr>
                <w:sz w:val="18"/>
                <w:szCs w:val="20"/>
              </w:rPr>
              <w:t>DD</w:t>
            </w:r>
            <w:proofErr w:type="gramEnd"/>
            <w:r w:rsidRPr="0074475B">
              <w:rPr>
                <w:sz w:val="18"/>
                <w:szCs w:val="20"/>
              </w:rPr>
              <w:t xml:space="preserve"> or LD transplant on the wait list for at least </w:t>
            </w:r>
            <w:r w:rsidR="00541CBB">
              <w:rPr>
                <w:sz w:val="18"/>
                <w:szCs w:val="20"/>
              </w:rPr>
              <w:t>2</w:t>
            </w:r>
            <w:r w:rsidR="00541CBB" w:rsidRPr="0074475B">
              <w:rPr>
                <w:sz w:val="18"/>
                <w:szCs w:val="20"/>
              </w:rPr>
              <w:t xml:space="preserve"> </w:t>
            </w:r>
            <w:r w:rsidRPr="0074475B">
              <w:rPr>
                <w:sz w:val="18"/>
                <w:szCs w:val="20"/>
              </w:rPr>
              <w:t>years</w:t>
            </w:r>
          </w:p>
          <w:p w14:paraId="3A879A77" w14:textId="2D1B26AF" w:rsidR="00741EFE" w:rsidRPr="0074475B" w:rsidRDefault="00741EFE" w:rsidP="00D76079">
            <w:pPr>
              <w:pStyle w:val="TableText"/>
              <w:rPr>
                <w:sz w:val="18"/>
                <w:szCs w:val="20"/>
                <w:lang w:eastAsia="en-AU"/>
              </w:rPr>
            </w:pPr>
          </w:p>
        </w:tc>
        <w:tc>
          <w:tcPr>
            <w:tcW w:w="414" w:type="pct"/>
            <w:vMerge w:val="restart"/>
            <w:shd w:val="clear" w:color="auto" w:fill="auto"/>
            <w:hideMark/>
          </w:tcPr>
          <w:p w14:paraId="7F3D9FCB" w14:textId="63FCF2B2" w:rsidR="00741EFE" w:rsidRPr="0074475B" w:rsidRDefault="00741EFE" w:rsidP="00D76079">
            <w:pPr>
              <w:pStyle w:val="TableText"/>
              <w:rPr>
                <w:sz w:val="18"/>
                <w:szCs w:val="20"/>
                <w:lang w:eastAsia="en-AU"/>
              </w:rPr>
            </w:pPr>
            <w:proofErr w:type="spellStart"/>
            <w:r w:rsidRPr="0074475B">
              <w:rPr>
                <w:sz w:val="18"/>
                <w:szCs w:val="20"/>
                <w:lang w:eastAsia="en-AU"/>
              </w:rPr>
              <w:t>HLAi</w:t>
            </w:r>
            <w:proofErr w:type="spellEnd"/>
            <w:r w:rsidRPr="0074475B">
              <w:rPr>
                <w:sz w:val="18"/>
                <w:szCs w:val="20"/>
                <w:lang w:eastAsia="en-AU"/>
              </w:rPr>
              <w:t xml:space="preserve"> transplant with </w:t>
            </w:r>
            <w:r w:rsidR="00A348E2">
              <w:rPr>
                <w:sz w:val="18"/>
                <w:szCs w:val="20"/>
                <w:lang w:eastAsia="en-AU"/>
              </w:rPr>
              <w:t>i</w:t>
            </w:r>
            <w:r w:rsidRPr="0074475B">
              <w:rPr>
                <w:sz w:val="18"/>
                <w:szCs w:val="20"/>
                <w:lang w:eastAsia="en-AU"/>
              </w:rPr>
              <w:t>mlifidase</w:t>
            </w:r>
          </w:p>
        </w:tc>
        <w:tc>
          <w:tcPr>
            <w:tcW w:w="502" w:type="pct"/>
            <w:vMerge w:val="restart"/>
            <w:shd w:val="clear" w:color="auto" w:fill="auto"/>
            <w:hideMark/>
          </w:tcPr>
          <w:p w14:paraId="7A282368" w14:textId="1AADABE3" w:rsidR="00741EFE" w:rsidRPr="0074475B" w:rsidRDefault="00741EFE" w:rsidP="00D76079">
            <w:pPr>
              <w:pStyle w:val="TableText"/>
              <w:rPr>
                <w:sz w:val="18"/>
                <w:szCs w:val="20"/>
              </w:rPr>
            </w:pPr>
            <w:r w:rsidRPr="0074475B">
              <w:rPr>
                <w:sz w:val="18"/>
                <w:szCs w:val="20"/>
                <w:lang w:eastAsia="en-AU"/>
              </w:rPr>
              <w:t xml:space="preserve"> </w:t>
            </w:r>
            <w:r w:rsidR="00E74FE7">
              <w:rPr>
                <w:sz w:val="18"/>
                <w:szCs w:val="20"/>
                <w:lang w:eastAsia="en-AU"/>
              </w:rPr>
              <w:t>-</w:t>
            </w:r>
          </w:p>
          <w:p w14:paraId="70E345F0" w14:textId="77777777" w:rsidR="00741EFE" w:rsidRPr="0074475B" w:rsidRDefault="00741EFE" w:rsidP="00D76079">
            <w:pPr>
              <w:pStyle w:val="TableText"/>
              <w:rPr>
                <w:sz w:val="18"/>
                <w:szCs w:val="20"/>
                <w:lang w:eastAsia="en-AU"/>
              </w:rPr>
            </w:pPr>
          </w:p>
        </w:tc>
        <w:tc>
          <w:tcPr>
            <w:tcW w:w="498" w:type="pct"/>
            <w:vMerge w:val="restart"/>
            <w:shd w:val="clear" w:color="auto" w:fill="auto"/>
            <w:hideMark/>
          </w:tcPr>
          <w:p w14:paraId="59FEFD73" w14:textId="79F77DD6" w:rsidR="00741EFE" w:rsidRPr="0074475B" w:rsidRDefault="00B92702" w:rsidP="00D76079">
            <w:pPr>
              <w:pStyle w:val="TableText"/>
              <w:rPr>
                <w:sz w:val="18"/>
                <w:szCs w:val="20"/>
                <w:lang w:eastAsia="en-AU"/>
              </w:rPr>
            </w:pPr>
            <w:r w:rsidRPr="0074475B">
              <w:rPr>
                <w:sz w:val="18"/>
                <w:szCs w:val="20"/>
                <w:lang w:eastAsia="en-AU"/>
              </w:rPr>
              <w:t>Crossmatch</w:t>
            </w:r>
            <w:r w:rsidRPr="0074475B" w:rsidDel="00B92702">
              <w:rPr>
                <w:sz w:val="18"/>
                <w:szCs w:val="20"/>
                <w:lang w:eastAsia="en-AU"/>
              </w:rPr>
              <w:t xml:space="preserve"> </w:t>
            </w:r>
            <w:r w:rsidR="00741EFE" w:rsidRPr="0074475B">
              <w:rPr>
                <w:sz w:val="18"/>
                <w:szCs w:val="20"/>
                <w:lang w:eastAsia="en-AU"/>
              </w:rPr>
              <w:t>conversion</w:t>
            </w:r>
          </w:p>
          <w:p w14:paraId="264E08F5" w14:textId="26A37F84" w:rsidR="00741EFE" w:rsidRPr="0074475B" w:rsidRDefault="00741EFE" w:rsidP="00D76079">
            <w:pPr>
              <w:pStyle w:val="TableText"/>
              <w:rPr>
                <w:sz w:val="18"/>
                <w:szCs w:val="20"/>
                <w:lang w:eastAsia="en-AU"/>
              </w:rPr>
            </w:pPr>
            <w:r w:rsidRPr="0074475B">
              <w:rPr>
                <w:sz w:val="18"/>
                <w:szCs w:val="20"/>
              </w:rPr>
              <w:t>% Patients receiving a transplant</w:t>
            </w:r>
          </w:p>
          <w:p w14:paraId="1ABA733A" w14:textId="77777777" w:rsidR="00741EFE" w:rsidRPr="0074475B" w:rsidRDefault="00741EFE" w:rsidP="00D76079">
            <w:pPr>
              <w:pStyle w:val="TableText"/>
              <w:rPr>
                <w:sz w:val="18"/>
                <w:szCs w:val="20"/>
                <w:lang w:eastAsia="en-AU"/>
              </w:rPr>
            </w:pPr>
            <w:r w:rsidRPr="0074475B">
              <w:rPr>
                <w:sz w:val="18"/>
                <w:szCs w:val="20"/>
              </w:rPr>
              <w:t>Patient survival</w:t>
            </w:r>
          </w:p>
          <w:p w14:paraId="7DE331D6" w14:textId="77777777" w:rsidR="00741EFE" w:rsidRPr="0074475B" w:rsidRDefault="00741EFE" w:rsidP="00D76079">
            <w:pPr>
              <w:pStyle w:val="TableText"/>
              <w:rPr>
                <w:sz w:val="18"/>
                <w:szCs w:val="20"/>
                <w:lang w:eastAsia="en-AU"/>
              </w:rPr>
            </w:pPr>
            <w:r w:rsidRPr="0074475B">
              <w:rPr>
                <w:sz w:val="18"/>
                <w:szCs w:val="20"/>
              </w:rPr>
              <w:t>Graft survival</w:t>
            </w:r>
          </w:p>
          <w:p w14:paraId="0FFBE0AC" w14:textId="695FBFB2" w:rsidR="00741EFE" w:rsidRPr="0074475B" w:rsidRDefault="00741EFE" w:rsidP="00D76079">
            <w:pPr>
              <w:pStyle w:val="TableText"/>
              <w:rPr>
                <w:sz w:val="18"/>
                <w:szCs w:val="20"/>
              </w:rPr>
            </w:pPr>
            <w:r w:rsidRPr="0074475B">
              <w:rPr>
                <w:sz w:val="18"/>
                <w:szCs w:val="20"/>
              </w:rPr>
              <w:t>Graft rejection over time due to AMR</w:t>
            </w:r>
          </w:p>
          <w:p w14:paraId="4CE6D8C3" w14:textId="77777777" w:rsidR="00741EFE" w:rsidRPr="0074475B" w:rsidRDefault="00741EFE" w:rsidP="00D76079">
            <w:pPr>
              <w:pStyle w:val="TableText"/>
              <w:rPr>
                <w:sz w:val="18"/>
                <w:szCs w:val="20"/>
              </w:rPr>
            </w:pPr>
            <w:r w:rsidRPr="0074475B">
              <w:rPr>
                <w:sz w:val="18"/>
                <w:szCs w:val="20"/>
              </w:rPr>
              <w:t>Kidney function (GFR)</w:t>
            </w:r>
          </w:p>
          <w:p w14:paraId="4F16861C" w14:textId="77777777" w:rsidR="00741EFE" w:rsidRPr="0074475B" w:rsidRDefault="00741EFE" w:rsidP="00D76079">
            <w:pPr>
              <w:pStyle w:val="TableText"/>
              <w:rPr>
                <w:sz w:val="18"/>
                <w:szCs w:val="20"/>
                <w:lang w:eastAsia="en-AU"/>
              </w:rPr>
            </w:pPr>
            <w:r w:rsidRPr="0074475B">
              <w:rPr>
                <w:sz w:val="18"/>
                <w:szCs w:val="20"/>
              </w:rPr>
              <w:t>TEAEs, related TEAEs</w:t>
            </w:r>
          </w:p>
        </w:tc>
        <w:tc>
          <w:tcPr>
            <w:tcW w:w="1002" w:type="pct"/>
            <w:vMerge w:val="restart"/>
            <w:shd w:val="clear" w:color="auto" w:fill="auto"/>
            <w:hideMark/>
          </w:tcPr>
          <w:p w14:paraId="2E23AEC6" w14:textId="1A64D114" w:rsidR="00741EFE" w:rsidRPr="0074475B" w:rsidRDefault="00741EFE" w:rsidP="00D76079">
            <w:pPr>
              <w:pStyle w:val="TableText"/>
              <w:rPr>
                <w:sz w:val="18"/>
                <w:szCs w:val="20"/>
                <w:lang w:eastAsia="en-AU"/>
              </w:rPr>
            </w:pPr>
            <w:r w:rsidRPr="0074475B">
              <w:rPr>
                <w:sz w:val="18"/>
                <w:szCs w:val="20"/>
              </w:rPr>
              <w:t>AUS-UTT-A</w:t>
            </w:r>
            <w:r w:rsidRPr="0074475B">
              <w:rPr>
                <w:sz w:val="18"/>
                <w:szCs w:val="20"/>
                <w:lang w:eastAsia="en-AU"/>
              </w:rPr>
              <w:t xml:space="preserve"> patients (</w:t>
            </w:r>
            <w:r w:rsidR="007E0EB4" w:rsidRPr="0074475B">
              <w:rPr>
                <w:sz w:val="18"/>
                <w:szCs w:val="20"/>
              </w:rPr>
              <w:t>N=24</w:t>
            </w:r>
            <w:r w:rsidRPr="0074475B">
              <w:rPr>
                <w:sz w:val="18"/>
                <w:szCs w:val="20"/>
                <w:lang w:eastAsia="en-AU"/>
              </w:rPr>
              <w:t>): graft survival, patient survival, AMR, delayed graft function</w:t>
            </w:r>
          </w:p>
          <w:p w14:paraId="29F4AA2A" w14:textId="4610CEB2" w:rsidR="00741EFE" w:rsidRPr="0074475B" w:rsidRDefault="00741EFE" w:rsidP="00D76079">
            <w:pPr>
              <w:pStyle w:val="TableText"/>
              <w:rPr>
                <w:sz w:val="18"/>
                <w:szCs w:val="20"/>
                <w:lang w:eastAsia="en-AU"/>
              </w:rPr>
            </w:pPr>
            <w:r w:rsidRPr="0074475B">
              <w:rPr>
                <w:sz w:val="18"/>
                <w:szCs w:val="20"/>
              </w:rPr>
              <w:t xml:space="preserve">AEs (N=54: </w:t>
            </w:r>
            <w:r w:rsidR="00F8612F">
              <w:rPr>
                <w:sz w:val="18"/>
                <w:szCs w:val="20"/>
              </w:rPr>
              <w:t>a</w:t>
            </w:r>
            <w:r w:rsidRPr="0074475B">
              <w:rPr>
                <w:sz w:val="18"/>
                <w:szCs w:val="20"/>
              </w:rPr>
              <w:t xml:space="preserve">ll </w:t>
            </w:r>
            <w:r w:rsidR="0092038D">
              <w:rPr>
                <w:sz w:val="18"/>
                <w:szCs w:val="20"/>
              </w:rPr>
              <w:t>patients who received</w:t>
            </w:r>
            <w:r w:rsidRPr="0074475B">
              <w:rPr>
                <w:sz w:val="18"/>
                <w:szCs w:val="20"/>
              </w:rPr>
              <w:t xml:space="preserve"> imlifidase)</w:t>
            </w:r>
          </w:p>
          <w:p w14:paraId="2A30C4A2" w14:textId="64C3999F" w:rsidR="00741EFE" w:rsidRPr="0074475B" w:rsidRDefault="00741EFE" w:rsidP="00D76079">
            <w:pPr>
              <w:pStyle w:val="TableText"/>
              <w:rPr>
                <w:sz w:val="18"/>
                <w:szCs w:val="20"/>
                <w:lang w:eastAsia="en-AU"/>
              </w:rPr>
            </w:pPr>
            <w:r w:rsidRPr="0074475B">
              <w:rPr>
                <w:sz w:val="18"/>
                <w:szCs w:val="20"/>
              </w:rPr>
              <w:t xml:space="preserve">Scenario analyses using </w:t>
            </w:r>
            <w:r w:rsidR="004E409A">
              <w:rPr>
                <w:sz w:val="18"/>
                <w:szCs w:val="20"/>
              </w:rPr>
              <w:t>all</w:t>
            </w:r>
            <w:r w:rsidR="008324BE">
              <w:rPr>
                <w:sz w:val="18"/>
                <w:szCs w:val="20"/>
              </w:rPr>
              <w:t>-</w:t>
            </w:r>
            <w:r w:rsidR="00FB3A41">
              <w:rPr>
                <w:sz w:val="18"/>
                <w:szCs w:val="20"/>
              </w:rPr>
              <w:t>i</w:t>
            </w:r>
            <w:r w:rsidR="004E409A">
              <w:rPr>
                <w:sz w:val="18"/>
                <w:szCs w:val="20"/>
              </w:rPr>
              <w:t xml:space="preserve">mlifidase treated patients who underwent a </w:t>
            </w:r>
            <w:r w:rsidRPr="0074475B">
              <w:rPr>
                <w:sz w:val="18"/>
                <w:szCs w:val="20"/>
              </w:rPr>
              <w:t>transplant (N=46)</w:t>
            </w:r>
          </w:p>
        </w:tc>
      </w:tr>
      <w:tr w:rsidR="00741EFE" w:rsidRPr="0074475B" w14:paraId="72826705" w14:textId="77777777" w:rsidTr="05E7FBDA">
        <w:trPr>
          <w:trHeight w:val="20"/>
        </w:trPr>
        <w:tc>
          <w:tcPr>
            <w:tcW w:w="736" w:type="pct"/>
            <w:vMerge/>
          </w:tcPr>
          <w:p w14:paraId="52F82ECC" w14:textId="77777777" w:rsidR="00741EFE" w:rsidRPr="0074475B" w:rsidRDefault="00741EFE" w:rsidP="00D76079">
            <w:pPr>
              <w:pStyle w:val="TableText"/>
              <w:rPr>
                <w:sz w:val="18"/>
                <w:szCs w:val="20"/>
              </w:rPr>
            </w:pPr>
          </w:p>
        </w:tc>
        <w:tc>
          <w:tcPr>
            <w:tcW w:w="238" w:type="pct"/>
            <w:vMerge/>
          </w:tcPr>
          <w:p w14:paraId="162829D2" w14:textId="23DF4CC7" w:rsidR="00741EFE" w:rsidRPr="0074475B" w:rsidRDefault="00741EFE" w:rsidP="00D76079">
            <w:pPr>
              <w:pStyle w:val="TableText"/>
              <w:rPr>
                <w:sz w:val="18"/>
                <w:szCs w:val="20"/>
              </w:rPr>
            </w:pPr>
          </w:p>
        </w:tc>
        <w:tc>
          <w:tcPr>
            <w:tcW w:w="964" w:type="pct"/>
            <w:tcBorders>
              <w:top w:val="nil"/>
              <w:bottom w:val="nil"/>
            </w:tcBorders>
            <w:shd w:val="clear" w:color="auto" w:fill="auto"/>
          </w:tcPr>
          <w:p w14:paraId="1DD90B5F" w14:textId="77777777" w:rsidR="00741EFE" w:rsidRPr="0074475B" w:rsidRDefault="00741EFE" w:rsidP="00D76079">
            <w:pPr>
              <w:pStyle w:val="TableText"/>
              <w:rPr>
                <w:sz w:val="18"/>
                <w:szCs w:val="20"/>
              </w:rPr>
            </w:pPr>
          </w:p>
        </w:tc>
        <w:tc>
          <w:tcPr>
            <w:tcW w:w="646" w:type="pct"/>
            <w:vMerge/>
          </w:tcPr>
          <w:p w14:paraId="5911A2A3" w14:textId="2A6C9513" w:rsidR="00741EFE" w:rsidRPr="0074475B" w:rsidRDefault="00741EFE" w:rsidP="00D76079">
            <w:pPr>
              <w:pStyle w:val="TableText"/>
              <w:rPr>
                <w:strike/>
                <w:sz w:val="18"/>
                <w:szCs w:val="20"/>
              </w:rPr>
            </w:pPr>
          </w:p>
        </w:tc>
        <w:tc>
          <w:tcPr>
            <w:tcW w:w="414" w:type="pct"/>
            <w:vMerge/>
          </w:tcPr>
          <w:p w14:paraId="149920D5" w14:textId="77777777" w:rsidR="00741EFE" w:rsidRPr="0074475B" w:rsidRDefault="00741EFE" w:rsidP="00D76079">
            <w:pPr>
              <w:pStyle w:val="TableText"/>
              <w:rPr>
                <w:sz w:val="18"/>
                <w:szCs w:val="20"/>
              </w:rPr>
            </w:pPr>
          </w:p>
        </w:tc>
        <w:tc>
          <w:tcPr>
            <w:tcW w:w="502" w:type="pct"/>
            <w:vMerge/>
          </w:tcPr>
          <w:p w14:paraId="518D4825" w14:textId="77777777" w:rsidR="00741EFE" w:rsidRPr="0074475B" w:rsidRDefault="00741EFE" w:rsidP="00D76079">
            <w:pPr>
              <w:pStyle w:val="TableText"/>
              <w:rPr>
                <w:sz w:val="18"/>
                <w:szCs w:val="20"/>
              </w:rPr>
            </w:pPr>
          </w:p>
        </w:tc>
        <w:tc>
          <w:tcPr>
            <w:tcW w:w="498" w:type="pct"/>
            <w:vMerge/>
          </w:tcPr>
          <w:p w14:paraId="34159932" w14:textId="77777777" w:rsidR="00741EFE" w:rsidRPr="0074475B" w:rsidRDefault="00741EFE" w:rsidP="00D76079">
            <w:pPr>
              <w:pStyle w:val="TableText"/>
              <w:rPr>
                <w:sz w:val="18"/>
                <w:szCs w:val="20"/>
              </w:rPr>
            </w:pPr>
          </w:p>
        </w:tc>
        <w:tc>
          <w:tcPr>
            <w:tcW w:w="1002" w:type="pct"/>
            <w:vMerge/>
          </w:tcPr>
          <w:p w14:paraId="3BA2E044" w14:textId="77777777" w:rsidR="00741EFE" w:rsidRPr="0074475B" w:rsidRDefault="00741EFE" w:rsidP="00D76079">
            <w:pPr>
              <w:pStyle w:val="TableText"/>
              <w:rPr>
                <w:sz w:val="18"/>
                <w:szCs w:val="20"/>
              </w:rPr>
            </w:pPr>
          </w:p>
        </w:tc>
      </w:tr>
      <w:tr w:rsidR="00B4428B" w:rsidRPr="0074475B" w14:paraId="7FC0F5DA" w14:textId="77777777" w:rsidTr="05E7FBDA">
        <w:trPr>
          <w:trHeight w:val="20"/>
        </w:trPr>
        <w:tc>
          <w:tcPr>
            <w:tcW w:w="736" w:type="pct"/>
            <w:vMerge/>
          </w:tcPr>
          <w:p w14:paraId="53ABC527" w14:textId="77777777" w:rsidR="00B4428B" w:rsidRPr="0074475B" w:rsidRDefault="00B4428B" w:rsidP="00D76079">
            <w:pPr>
              <w:pStyle w:val="TableText"/>
              <w:rPr>
                <w:sz w:val="18"/>
                <w:szCs w:val="20"/>
              </w:rPr>
            </w:pPr>
          </w:p>
        </w:tc>
        <w:tc>
          <w:tcPr>
            <w:tcW w:w="238" w:type="pct"/>
            <w:shd w:val="clear" w:color="auto" w:fill="auto"/>
          </w:tcPr>
          <w:p w14:paraId="7FB7495F" w14:textId="77777777" w:rsidR="00B4428B" w:rsidRPr="0074475B" w:rsidRDefault="00B4428B" w:rsidP="00D76079">
            <w:pPr>
              <w:pStyle w:val="TableText"/>
              <w:rPr>
                <w:sz w:val="18"/>
                <w:szCs w:val="20"/>
              </w:rPr>
            </w:pPr>
            <w:r w:rsidRPr="0074475B">
              <w:rPr>
                <w:sz w:val="18"/>
                <w:szCs w:val="20"/>
              </w:rPr>
              <w:t>46</w:t>
            </w:r>
          </w:p>
        </w:tc>
        <w:tc>
          <w:tcPr>
            <w:tcW w:w="964" w:type="pct"/>
            <w:tcBorders>
              <w:top w:val="nil"/>
            </w:tcBorders>
            <w:shd w:val="clear" w:color="auto" w:fill="auto"/>
          </w:tcPr>
          <w:p w14:paraId="3586CA68" w14:textId="77777777" w:rsidR="00B4428B" w:rsidRPr="0074475B" w:rsidRDefault="00B4428B" w:rsidP="00D76079">
            <w:pPr>
              <w:pStyle w:val="TableText"/>
              <w:rPr>
                <w:sz w:val="18"/>
                <w:szCs w:val="20"/>
              </w:rPr>
            </w:pPr>
          </w:p>
        </w:tc>
        <w:tc>
          <w:tcPr>
            <w:tcW w:w="646" w:type="pct"/>
            <w:shd w:val="clear" w:color="auto" w:fill="auto"/>
          </w:tcPr>
          <w:p w14:paraId="0F0FCC3B" w14:textId="3EE943E0" w:rsidR="00B4428B" w:rsidRPr="0074475B" w:rsidRDefault="00B4428B" w:rsidP="00D76079">
            <w:pPr>
              <w:pStyle w:val="TableText"/>
              <w:rPr>
                <w:sz w:val="18"/>
                <w:szCs w:val="20"/>
              </w:rPr>
            </w:pPr>
            <w:r w:rsidRPr="0074475B">
              <w:rPr>
                <w:sz w:val="18"/>
                <w:szCs w:val="20"/>
              </w:rPr>
              <w:t xml:space="preserve">All </w:t>
            </w:r>
            <w:r w:rsidR="00A348E2">
              <w:rPr>
                <w:sz w:val="18"/>
                <w:szCs w:val="20"/>
              </w:rPr>
              <w:t>i</w:t>
            </w:r>
            <w:r w:rsidRPr="0074475B">
              <w:rPr>
                <w:sz w:val="18"/>
                <w:szCs w:val="20"/>
              </w:rPr>
              <w:t>mlifidase</w:t>
            </w:r>
            <w:r w:rsidR="0092038D">
              <w:rPr>
                <w:sz w:val="18"/>
                <w:szCs w:val="20"/>
              </w:rPr>
              <w:t xml:space="preserve"> treated patients who underwent a </w:t>
            </w:r>
            <w:proofErr w:type="gramStart"/>
            <w:r w:rsidR="0092038D">
              <w:rPr>
                <w:sz w:val="18"/>
                <w:szCs w:val="20"/>
              </w:rPr>
              <w:t>transplant</w:t>
            </w:r>
            <w:proofErr w:type="gramEnd"/>
          </w:p>
          <w:p w14:paraId="6C1A9BBE" w14:textId="15DDBD6C" w:rsidR="00B4428B" w:rsidRPr="0074475B" w:rsidRDefault="00B4428B" w:rsidP="00D76079">
            <w:pPr>
              <w:pStyle w:val="TableText"/>
              <w:rPr>
                <w:sz w:val="18"/>
                <w:szCs w:val="20"/>
              </w:rPr>
            </w:pPr>
          </w:p>
        </w:tc>
        <w:tc>
          <w:tcPr>
            <w:tcW w:w="414" w:type="pct"/>
            <w:vMerge/>
          </w:tcPr>
          <w:p w14:paraId="53D5BD96" w14:textId="77777777" w:rsidR="00B4428B" w:rsidRPr="0074475B" w:rsidRDefault="00B4428B" w:rsidP="00D76079">
            <w:pPr>
              <w:pStyle w:val="TableText"/>
              <w:rPr>
                <w:sz w:val="18"/>
                <w:szCs w:val="20"/>
              </w:rPr>
            </w:pPr>
          </w:p>
        </w:tc>
        <w:tc>
          <w:tcPr>
            <w:tcW w:w="502" w:type="pct"/>
            <w:vMerge/>
          </w:tcPr>
          <w:p w14:paraId="49D6FD2E" w14:textId="77777777" w:rsidR="00B4428B" w:rsidRPr="0074475B" w:rsidRDefault="00B4428B" w:rsidP="00D76079">
            <w:pPr>
              <w:pStyle w:val="TableText"/>
              <w:rPr>
                <w:sz w:val="18"/>
                <w:szCs w:val="20"/>
              </w:rPr>
            </w:pPr>
          </w:p>
        </w:tc>
        <w:tc>
          <w:tcPr>
            <w:tcW w:w="498" w:type="pct"/>
            <w:vMerge/>
          </w:tcPr>
          <w:p w14:paraId="57BBB7CF" w14:textId="77777777" w:rsidR="00B4428B" w:rsidRPr="0074475B" w:rsidRDefault="00B4428B" w:rsidP="00D76079">
            <w:pPr>
              <w:pStyle w:val="TableText"/>
              <w:rPr>
                <w:sz w:val="18"/>
                <w:szCs w:val="20"/>
              </w:rPr>
            </w:pPr>
          </w:p>
        </w:tc>
        <w:tc>
          <w:tcPr>
            <w:tcW w:w="1002" w:type="pct"/>
            <w:vMerge/>
          </w:tcPr>
          <w:p w14:paraId="578761D4" w14:textId="77777777" w:rsidR="00B4428B" w:rsidRPr="0074475B" w:rsidRDefault="00B4428B" w:rsidP="00D76079">
            <w:pPr>
              <w:pStyle w:val="TableText"/>
              <w:rPr>
                <w:sz w:val="18"/>
                <w:szCs w:val="20"/>
              </w:rPr>
            </w:pPr>
          </w:p>
        </w:tc>
      </w:tr>
      <w:tr w:rsidR="00B4428B" w:rsidRPr="0074475B" w14:paraId="4F6862F5" w14:textId="77777777" w:rsidTr="00D76079">
        <w:trPr>
          <w:trHeight w:val="20"/>
        </w:trPr>
        <w:tc>
          <w:tcPr>
            <w:tcW w:w="5000" w:type="pct"/>
            <w:gridSpan w:val="8"/>
            <w:shd w:val="clear" w:color="auto" w:fill="auto"/>
          </w:tcPr>
          <w:p w14:paraId="28A4A55B" w14:textId="76B891ED" w:rsidR="00B4428B" w:rsidRPr="0074475B" w:rsidRDefault="00B4428B" w:rsidP="00D76079">
            <w:pPr>
              <w:pStyle w:val="TableText"/>
              <w:rPr>
                <w:b/>
                <w:sz w:val="18"/>
                <w:szCs w:val="20"/>
              </w:rPr>
            </w:pPr>
            <w:r w:rsidRPr="0074475B">
              <w:rPr>
                <w:b/>
                <w:sz w:val="18"/>
                <w:szCs w:val="20"/>
              </w:rPr>
              <w:t xml:space="preserve">Comparator </w:t>
            </w:r>
            <w:r w:rsidR="00B039F8">
              <w:rPr>
                <w:b/>
                <w:sz w:val="18"/>
                <w:szCs w:val="20"/>
              </w:rPr>
              <w:t>a</w:t>
            </w:r>
            <w:r w:rsidRPr="0074475B">
              <w:rPr>
                <w:b/>
                <w:sz w:val="18"/>
                <w:szCs w:val="20"/>
              </w:rPr>
              <w:t>rm</w:t>
            </w:r>
          </w:p>
        </w:tc>
      </w:tr>
      <w:tr w:rsidR="00B4428B" w:rsidRPr="0074475B" w14:paraId="04CDE276" w14:textId="77777777" w:rsidTr="002C4FF3">
        <w:trPr>
          <w:trHeight w:val="20"/>
        </w:trPr>
        <w:tc>
          <w:tcPr>
            <w:tcW w:w="736" w:type="pct"/>
            <w:shd w:val="clear" w:color="auto" w:fill="auto"/>
          </w:tcPr>
          <w:p w14:paraId="72A9351B" w14:textId="21C32C0F" w:rsidR="00B4428B" w:rsidRPr="0074475B" w:rsidRDefault="00B4428B" w:rsidP="00D76079">
            <w:pPr>
              <w:pStyle w:val="TableText"/>
              <w:rPr>
                <w:sz w:val="18"/>
                <w:szCs w:val="20"/>
              </w:rPr>
            </w:pPr>
            <w:r w:rsidRPr="0074475B">
              <w:rPr>
                <w:sz w:val="18"/>
                <w:szCs w:val="20"/>
              </w:rPr>
              <w:t xml:space="preserve">Current </w:t>
            </w:r>
            <w:r w:rsidR="00822646">
              <w:rPr>
                <w:sz w:val="18"/>
                <w:szCs w:val="20"/>
              </w:rPr>
              <w:t>c</w:t>
            </w:r>
            <w:r w:rsidRPr="0074475B">
              <w:rPr>
                <w:sz w:val="18"/>
                <w:szCs w:val="20"/>
              </w:rPr>
              <w:t>are</w:t>
            </w:r>
          </w:p>
          <w:p w14:paraId="1A8A0901" w14:textId="77777777" w:rsidR="00DA7BEC" w:rsidRPr="0074475B" w:rsidRDefault="00DA7BEC" w:rsidP="00D76079">
            <w:pPr>
              <w:pStyle w:val="TableText"/>
              <w:rPr>
                <w:sz w:val="18"/>
                <w:szCs w:val="20"/>
              </w:rPr>
            </w:pPr>
          </w:p>
          <w:p w14:paraId="6EE5710E" w14:textId="77777777" w:rsidR="00ED164F" w:rsidRPr="0074475B" w:rsidRDefault="00ED164F" w:rsidP="00D76079">
            <w:pPr>
              <w:pStyle w:val="TableText"/>
              <w:rPr>
                <w:sz w:val="18"/>
                <w:szCs w:val="20"/>
              </w:rPr>
            </w:pPr>
          </w:p>
          <w:p w14:paraId="741F538F" w14:textId="19973D69" w:rsidR="00B4428B" w:rsidRPr="0074475B" w:rsidRDefault="00B4428B" w:rsidP="00D76079">
            <w:pPr>
              <w:pStyle w:val="TableText"/>
              <w:rPr>
                <w:sz w:val="18"/>
                <w:szCs w:val="20"/>
              </w:rPr>
            </w:pPr>
            <w:r w:rsidRPr="0074475B">
              <w:rPr>
                <w:sz w:val="18"/>
                <w:szCs w:val="20"/>
              </w:rPr>
              <w:t>For the small percent</w:t>
            </w:r>
            <w:r w:rsidR="005F0154">
              <w:rPr>
                <w:sz w:val="18"/>
                <w:szCs w:val="20"/>
              </w:rPr>
              <w:t>age</w:t>
            </w:r>
            <w:r w:rsidRPr="0074475B">
              <w:rPr>
                <w:sz w:val="18"/>
                <w:szCs w:val="20"/>
              </w:rPr>
              <w:t xml:space="preserve"> of patients receiving a delayed transplant, imlifidase transplant-enabled outcomes are utilised.</w:t>
            </w:r>
          </w:p>
        </w:tc>
        <w:tc>
          <w:tcPr>
            <w:tcW w:w="238" w:type="pct"/>
            <w:shd w:val="clear" w:color="auto" w:fill="auto"/>
          </w:tcPr>
          <w:p w14:paraId="70D59D77" w14:textId="77777777" w:rsidR="00B4428B" w:rsidRPr="0074475B" w:rsidRDefault="00B4428B" w:rsidP="00D76079">
            <w:pPr>
              <w:pStyle w:val="TableText"/>
              <w:rPr>
                <w:sz w:val="18"/>
                <w:szCs w:val="20"/>
              </w:rPr>
            </w:pPr>
            <w:r w:rsidRPr="0074475B">
              <w:rPr>
                <w:sz w:val="18"/>
                <w:szCs w:val="20"/>
              </w:rPr>
              <w:t>135</w:t>
            </w:r>
          </w:p>
          <w:p w14:paraId="4E06DCA2" w14:textId="77777777" w:rsidR="00B4428B" w:rsidRPr="0074475B" w:rsidRDefault="00B4428B" w:rsidP="00D76079">
            <w:pPr>
              <w:pStyle w:val="TableText"/>
              <w:rPr>
                <w:strike/>
                <w:sz w:val="18"/>
                <w:szCs w:val="20"/>
              </w:rPr>
            </w:pPr>
          </w:p>
          <w:p w14:paraId="33AD847D" w14:textId="77777777" w:rsidR="00ED164F" w:rsidRPr="0074475B" w:rsidRDefault="00ED164F" w:rsidP="00D76079">
            <w:pPr>
              <w:pStyle w:val="TableText"/>
              <w:rPr>
                <w:strike/>
                <w:sz w:val="18"/>
                <w:szCs w:val="20"/>
              </w:rPr>
            </w:pPr>
          </w:p>
          <w:p w14:paraId="784B1D2C" w14:textId="0D352163" w:rsidR="00B4428B" w:rsidRPr="0074475B" w:rsidRDefault="00B4428B" w:rsidP="00D76079">
            <w:pPr>
              <w:pStyle w:val="TableText"/>
              <w:rPr>
                <w:sz w:val="18"/>
                <w:szCs w:val="20"/>
              </w:rPr>
            </w:pPr>
            <w:r w:rsidRPr="0074475B">
              <w:rPr>
                <w:sz w:val="18"/>
                <w:szCs w:val="20"/>
              </w:rPr>
              <w:t>24</w:t>
            </w:r>
          </w:p>
          <w:p w14:paraId="74AB1785" w14:textId="77777777" w:rsidR="00B4428B" w:rsidRPr="0074475B" w:rsidRDefault="00B4428B" w:rsidP="00D76079">
            <w:pPr>
              <w:pStyle w:val="TableText"/>
              <w:rPr>
                <w:sz w:val="18"/>
                <w:szCs w:val="20"/>
              </w:rPr>
            </w:pPr>
          </w:p>
        </w:tc>
        <w:tc>
          <w:tcPr>
            <w:tcW w:w="964" w:type="pct"/>
            <w:shd w:val="clear" w:color="auto" w:fill="auto"/>
          </w:tcPr>
          <w:p w14:paraId="62B230F1" w14:textId="577DF1C5" w:rsidR="00B4428B" w:rsidRPr="0074475B" w:rsidRDefault="00B4428B" w:rsidP="00D76079">
            <w:pPr>
              <w:pStyle w:val="TableText"/>
              <w:rPr>
                <w:sz w:val="18"/>
                <w:szCs w:val="20"/>
              </w:rPr>
            </w:pPr>
            <w:r w:rsidRPr="0074475B">
              <w:rPr>
                <w:sz w:val="18"/>
                <w:szCs w:val="20"/>
              </w:rPr>
              <w:t>TSANZ database</w:t>
            </w:r>
          </w:p>
          <w:p w14:paraId="690C6F7B" w14:textId="15B106DC" w:rsidR="00B4428B" w:rsidRPr="0074475B" w:rsidRDefault="00B4428B" w:rsidP="00D76079">
            <w:pPr>
              <w:pStyle w:val="TableText"/>
              <w:rPr>
                <w:sz w:val="18"/>
                <w:szCs w:val="20"/>
              </w:rPr>
            </w:pPr>
            <w:r w:rsidRPr="0074475B">
              <w:rPr>
                <w:sz w:val="18"/>
                <w:szCs w:val="20"/>
              </w:rPr>
              <w:t>Low risk of bias (single arms)</w:t>
            </w:r>
          </w:p>
          <w:p w14:paraId="76F42422" w14:textId="77777777" w:rsidR="00ED164F" w:rsidRPr="0074475B" w:rsidRDefault="00ED164F" w:rsidP="00D76079">
            <w:pPr>
              <w:pStyle w:val="TableText"/>
              <w:rPr>
                <w:sz w:val="18"/>
                <w:szCs w:val="20"/>
              </w:rPr>
            </w:pPr>
          </w:p>
          <w:p w14:paraId="1D1DAB09" w14:textId="4145B135" w:rsidR="00B4428B" w:rsidRPr="0074475B" w:rsidRDefault="00B4428B" w:rsidP="00D76079">
            <w:pPr>
              <w:pStyle w:val="TableText"/>
              <w:rPr>
                <w:sz w:val="18"/>
                <w:szCs w:val="20"/>
              </w:rPr>
            </w:pPr>
            <w:r w:rsidRPr="0074475B">
              <w:rPr>
                <w:sz w:val="18"/>
                <w:szCs w:val="20"/>
              </w:rPr>
              <w:t>Single</w:t>
            </w:r>
            <w:r w:rsidR="009F2882">
              <w:rPr>
                <w:sz w:val="18"/>
                <w:szCs w:val="20"/>
              </w:rPr>
              <w:t>-</w:t>
            </w:r>
            <w:r w:rsidRPr="0074475B">
              <w:rPr>
                <w:sz w:val="18"/>
                <w:szCs w:val="20"/>
              </w:rPr>
              <w:t xml:space="preserve">arm, prospective </w:t>
            </w:r>
            <w:r w:rsidR="004F423D">
              <w:rPr>
                <w:sz w:val="18"/>
                <w:szCs w:val="20"/>
              </w:rPr>
              <w:t>p</w:t>
            </w:r>
            <w:r w:rsidRPr="0074475B">
              <w:rPr>
                <w:sz w:val="18"/>
                <w:szCs w:val="20"/>
              </w:rPr>
              <w:t xml:space="preserve">hase </w:t>
            </w:r>
            <w:r w:rsidR="00DA7BEC" w:rsidRPr="0074475B">
              <w:rPr>
                <w:sz w:val="18"/>
                <w:szCs w:val="20"/>
              </w:rPr>
              <w:t>II</w:t>
            </w:r>
            <w:r w:rsidRPr="0074475B">
              <w:rPr>
                <w:sz w:val="18"/>
                <w:szCs w:val="20"/>
              </w:rPr>
              <w:t xml:space="preserve"> trials</w:t>
            </w:r>
          </w:p>
          <w:p w14:paraId="16373A95" w14:textId="29AC20F0" w:rsidR="00B4428B" w:rsidRPr="0074475B" w:rsidRDefault="00B4428B" w:rsidP="00D76079">
            <w:pPr>
              <w:pStyle w:val="TableText"/>
              <w:rPr>
                <w:sz w:val="18"/>
                <w:szCs w:val="20"/>
              </w:rPr>
            </w:pPr>
            <w:r w:rsidRPr="0074475B">
              <w:rPr>
                <w:sz w:val="18"/>
                <w:szCs w:val="20"/>
              </w:rPr>
              <w:t xml:space="preserve">Data combined to include all patients in the </w:t>
            </w:r>
            <w:proofErr w:type="gramStart"/>
            <w:r w:rsidRPr="0074475B">
              <w:rPr>
                <w:sz w:val="18"/>
                <w:szCs w:val="20"/>
              </w:rPr>
              <w:t>population</w:t>
            </w:r>
            <w:proofErr w:type="gramEnd"/>
          </w:p>
          <w:p w14:paraId="5FCF3673" w14:textId="1726CAFF" w:rsidR="00B4428B" w:rsidRPr="0074475B" w:rsidRDefault="00B4428B" w:rsidP="00D76079">
            <w:pPr>
              <w:pStyle w:val="TableText"/>
              <w:rPr>
                <w:sz w:val="18"/>
                <w:szCs w:val="20"/>
              </w:rPr>
            </w:pPr>
            <w:r w:rsidRPr="0074475B">
              <w:rPr>
                <w:sz w:val="18"/>
                <w:szCs w:val="20"/>
              </w:rPr>
              <w:t>Low-moderate risk of bias (single arms)</w:t>
            </w:r>
          </w:p>
        </w:tc>
        <w:tc>
          <w:tcPr>
            <w:tcW w:w="646" w:type="pct"/>
            <w:shd w:val="clear" w:color="auto" w:fill="auto"/>
          </w:tcPr>
          <w:p w14:paraId="2B68CF31" w14:textId="4B785321" w:rsidR="00B4428B" w:rsidRPr="0074475B" w:rsidRDefault="00B4428B" w:rsidP="00D76079">
            <w:pPr>
              <w:pStyle w:val="TableText"/>
              <w:rPr>
                <w:sz w:val="18"/>
                <w:szCs w:val="20"/>
              </w:rPr>
            </w:pPr>
            <w:r w:rsidRPr="0074475B">
              <w:rPr>
                <w:sz w:val="18"/>
                <w:szCs w:val="20"/>
              </w:rPr>
              <w:t xml:space="preserve">Australian HS patients on DD </w:t>
            </w:r>
            <w:r w:rsidR="004A2E3F">
              <w:rPr>
                <w:sz w:val="18"/>
                <w:szCs w:val="20"/>
              </w:rPr>
              <w:t>waitlist</w:t>
            </w:r>
            <w:r w:rsidRPr="0074475B">
              <w:rPr>
                <w:sz w:val="18"/>
                <w:szCs w:val="20"/>
              </w:rPr>
              <w:t xml:space="preserve"> </w:t>
            </w:r>
            <w:proofErr w:type="spellStart"/>
            <w:r w:rsidRPr="0074475B">
              <w:rPr>
                <w:sz w:val="18"/>
                <w:szCs w:val="20"/>
              </w:rPr>
              <w:t>cPRA</w:t>
            </w:r>
            <w:proofErr w:type="spellEnd"/>
            <w:r w:rsidRPr="0074475B">
              <w:rPr>
                <w:sz w:val="18"/>
                <w:szCs w:val="20"/>
              </w:rPr>
              <w:t xml:space="preserve"> ≥99% and patients on dialysis (± delayed transplant)</w:t>
            </w:r>
          </w:p>
          <w:p w14:paraId="6EE1567A" w14:textId="77777777" w:rsidR="00B4428B" w:rsidRPr="0074475B" w:rsidRDefault="00B4428B" w:rsidP="00D76079">
            <w:pPr>
              <w:pStyle w:val="TableText"/>
              <w:rPr>
                <w:sz w:val="18"/>
                <w:szCs w:val="20"/>
              </w:rPr>
            </w:pPr>
            <w:r w:rsidRPr="0074475B">
              <w:rPr>
                <w:sz w:val="18"/>
                <w:szCs w:val="20"/>
              </w:rPr>
              <w:t> </w:t>
            </w:r>
          </w:p>
        </w:tc>
        <w:tc>
          <w:tcPr>
            <w:tcW w:w="414" w:type="pct"/>
            <w:shd w:val="clear" w:color="auto" w:fill="auto"/>
          </w:tcPr>
          <w:p w14:paraId="4B0BFC5A" w14:textId="08171EBA" w:rsidR="00B4428B" w:rsidRPr="0074475B" w:rsidRDefault="003E2F12" w:rsidP="00D76079">
            <w:pPr>
              <w:pStyle w:val="TableText"/>
              <w:rPr>
                <w:sz w:val="18"/>
                <w:szCs w:val="20"/>
              </w:rPr>
            </w:pPr>
            <w:r>
              <w:rPr>
                <w:sz w:val="18"/>
                <w:szCs w:val="20"/>
                <w:lang w:eastAsia="en-AU"/>
              </w:rPr>
              <w:t>-</w:t>
            </w:r>
          </w:p>
        </w:tc>
        <w:tc>
          <w:tcPr>
            <w:tcW w:w="502" w:type="pct"/>
            <w:shd w:val="clear" w:color="auto" w:fill="auto"/>
          </w:tcPr>
          <w:p w14:paraId="25DCDDBE" w14:textId="40A8E7D5" w:rsidR="00B4428B" w:rsidRPr="0074475B" w:rsidRDefault="00B4428B" w:rsidP="00D76079">
            <w:pPr>
              <w:pStyle w:val="TableText"/>
              <w:rPr>
                <w:sz w:val="18"/>
                <w:szCs w:val="20"/>
              </w:rPr>
            </w:pPr>
            <w:r w:rsidRPr="0074475B">
              <w:rPr>
                <w:sz w:val="18"/>
                <w:szCs w:val="20"/>
              </w:rPr>
              <w:t xml:space="preserve">Remain on </w:t>
            </w:r>
            <w:proofErr w:type="gramStart"/>
            <w:r w:rsidRPr="0074475B">
              <w:rPr>
                <w:sz w:val="18"/>
                <w:szCs w:val="20"/>
              </w:rPr>
              <w:t>dialysis</w:t>
            </w:r>
            <w:proofErr w:type="gramEnd"/>
          </w:p>
          <w:p w14:paraId="49BD9AD9" w14:textId="5100B0A8" w:rsidR="00ED164F" w:rsidRPr="0074475B" w:rsidRDefault="00B4428B" w:rsidP="00D76079">
            <w:pPr>
              <w:pStyle w:val="TableText"/>
              <w:rPr>
                <w:sz w:val="18"/>
                <w:szCs w:val="20"/>
              </w:rPr>
            </w:pPr>
            <w:r w:rsidRPr="0074475B">
              <w:rPr>
                <w:sz w:val="18"/>
                <w:szCs w:val="20"/>
              </w:rPr>
              <w:t>OR</w:t>
            </w:r>
          </w:p>
          <w:p w14:paraId="431E1670" w14:textId="2AD2BA2F" w:rsidR="00B4428B" w:rsidRPr="0074475B" w:rsidRDefault="00B4428B" w:rsidP="00D76079">
            <w:pPr>
              <w:pStyle w:val="TableText"/>
              <w:rPr>
                <w:sz w:val="18"/>
                <w:szCs w:val="20"/>
              </w:rPr>
            </w:pPr>
            <w:r w:rsidRPr="0074475B">
              <w:rPr>
                <w:sz w:val="18"/>
                <w:szCs w:val="20"/>
              </w:rPr>
              <w:t>Remain on dialysis with a delayed transplant</w:t>
            </w:r>
          </w:p>
        </w:tc>
        <w:tc>
          <w:tcPr>
            <w:tcW w:w="498" w:type="pct"/>
            <w:shd w:val="clear" w:color="auto" w:fill="auto"/>
          </w:tcPr>
          <w:p w14:paraId="744FA34C" w14:textId="77777777" w:rsidR="00B4428B" w:rsidRPr="0074475B" w:rsidRDefault="00B4428B" w:rsidP="00D76079">
            <w:pPr>
              <w:pStyle w:val="TableText"/>
              <w:rPr>
                <w:sz w:val="18"/>
                <w:szCs w:val="20"/>
              </w:rPr>
            </w:pPr>
            <w:r w:rsidRPr="0074475B">
              <w:rPr>
                <w:sz w:val="18"/>
                <w:szCs w:val="20"/>
              </w:rPr>
              <w:t>Patient survival</w:t>
            </w:r>
          </w:p>
          <w:p w14:paraId="2E3887EE" w14:textId="77777777" w:rsidR="00B4428B" w:rsidRPr="0074475B" w:rsidRDefault="00B4428B" w:rsidP="00D76079">
            <w:pPr>
              <w:pStyle w:val="TableText"/>
              <w:rPr>
                <w:sz w:val="18"/>
                <w:szCs w:val="20"/>
              </w:rPr>
            </w:pPr>
            <w:r w:rsidRPr="0074475B">
              <w:rPr>
                <w:sz w:val="18"/>
                <w:szCs w:val="20"/>
              </w:rPr>
              <w:t>Graft survival</w:t>
            </w:r>
          </w:p>
          <w:p w14:paraId="49C38FE6" w14:textId="77777777" w:rsidR="00B4428B" w:rsidRPr="0074475B" w:rsidRDefault="00B4428B" w:rsidP="00D76079">
            <w:pPr>
              <w:pStyle w:val="TableText"/>
              <w:rPr>
                <w:sz w:val="18"/>
                <w:szCs w:val="20"/>
              </w:rPr>
            </w:pPr>
            <w:r w:rsidRPr="0074475B">
              <w:rPr>
                <w:sz w:val="18"/>
                <w:szCs w:val="20"/>
              </w:rPr>
              <w:t>AEs </w:t>
            </w:r>
          </w:p>
        </w:tc>
        <w:tc>
          <w:tcPr>
            <w:tcW w:w="1002" w:type="pct"/>
            <w:shd w:val="clear" w:color="auto" w:fill="auto"/>
          </w:tcPr>
          <w:p w14:paraId="6E744D9B" w14:textId="713D74D0" w:rsidR="00B4428B" w:rsidRPr="0074475B" w:rsidRDefault="00B4428B" w:rsidP="00D76079">
            <w:pPr>
              <w:pStyle w:val="TableText"/>
              <w:rPr>
                <w:sz w:val="18"/>
                <w:szCs w:val="20"/>
              </w:rPr>
            </w:pPr>
            <w:r w:rsidRPr="0074475B">
              <w:rPr>
                <w:sz w:val="18"/>
                <w:szCs w:val="20"/>
              </w:rPr>
              <w:t>TSANZ data 46</w:t>
            </w:r>
            <w:r w:rsidRPr="00527717">
              <w:rPr>
                <w:sz w:val="18"/>
                <w:szCs w:val="20"/>
              </w:rPr>
              <w:t>th</w:t>
            </w:r>
            <w:r w:rsidRPr="0074475B">
              <w:rPr>
                <w:sz w:val="18"/>
                <w:szCs w:val="20"/>
              </w:rPr>
              <w:t xml:space="preserve"> </w:t>
            </w:r>
            <w:r w:rsidR="00302DE0" w:rsidRPr="0074475B">
              <w:rPr>
                <w:sz w:val="18"/>
                <w:szCs w:val="20"/>
              </w:rPr>
              <w:t>Annual Report</w:t>
            </w:r>
            <w:r w:rsidRPr="0074475B">
              <w:rPr>
                <w:sz w:val="18"/>
                <w:szCs w:val="20"/>
              </w:rPr>
              <w:t xml:space="preserve"> (dialysis mortality 2022</w:t>
            </w:r>
            <w:r w:rsidR="00804027">
              <w:rPr>
                <w:sz w:val="18"/>
                <w:szCs w:val="20"/>
              </w:rPr>
              <w:t>–</w:t>
            </w:r>
            <w:r w:rsidR="00A277A4">
              <w:rPr>
                <w:sz w:val="18"/>
                <w:szCs w:val="20"/>
              </w:rPr>
              <w:t>20</w:t>
            </w:r>
            <w:r w:rsidRPr="0074475B">
              <w:rPr>
                <w:sz w:val="18"/>
                <w:szCs w:val="20"/>
              </w:rPr>
              <w:t>23)</w:t>
            </w:r>
          </w:p>
          <w:p w14:paraId="7ED23874" w14:textId="5DB7444D" w:rsidR="00B4428B" w:rsidRPr="0074475B" w:rsidRDefault="00B4428B" w:rsidP="00D76079">
            <w:pPr>
              <w:pStyle w:val="TableText"/>
              <w:rPr>
                <w:sz w:val="18"/>
                <w:szCs w:val="20"/>
              </w:rPr>
            </w:pPr>
            <w:r w:rsidRPr="0074475B">
              <w:rPr>
                <w:sz w:val="18"/>
                <w:szCs w:val="20"/>
              </w:rPr>
              <w:t>Patient survival by age.</w:t>
            </w:r>
          </w:p>
          <w:p w14:paraId="61CCB1CD" w14:textId="5AC417CF" w:rsidR="00B4428B" w:rsidRPr="0074475B" w:rsidRDefault="00B4428B" w:rsidP="00D76079">
            <w:pPr>
              <w:pStyle w:val="TableText"/>
              <w:rPr>
                <w:sz w:val="18"/>
                <w:szCs w:val="20"/>
              </w:rPr>
            </w:pPr>
            <w:r w:rsidRPr="0074475B">
              <w:rPr>
                <w:sz w:val="18"/>
                <w:szCs w:val="20"/>
              </w:rPr>
              <w:t>Combined imlifidase study data</w:t>
            </w:r>
          </w:p>
        </w:tc>
      </w:tr>
    </w:tbl>
    <w:p w14:paraId="7F02C0B9" w14:textId="20211ABD" w:rsidR="00A55DEA" w:rsidRPr="00044A9F" w:rsidRDefault="00A55DEA" w:rsidP="00044A9F">
      <w:pPr>
        <w:pStyle w:val="Tablenotes"/>
        <w:numPr>
          <w:ilvl w:val="0"/>
          <w:numId w:val="35"/>
        </w:numPr>
        <w:rPr>
          <w:bCs/>
          <w:sz w:val="16"/>
          <w:szCs w:val="18"/>
          <w:u w:val="single"/>
        </w:rPr>
      </w:pPr>
      <w:r w:rsidRPr="00044A9F">
        <w:rPr>
          <w:bCs/>
          <w:lang w:eastAsia="en-AU"/>
        </w:rPr>
        <w:t xml:space="preserve">Note that the risk of bias as assessed in the table is risk of bias assessed in the ADAR. The Commentary’s assessment is provided </w:t>
      </w:r>
      <w:r w:rsidR="00444A6A" w:rsidRPr="00044A9F">
        <w:rPr>
          <w:bCs/>
          <w:lang w:eastAsia="en-AU"/>
        </w:rPr>
        <w:t>under the Clinical Claim subheading in Section 9</w:t>
      </w:r>
    </w:p>
    <w:p w14:paraId="7875DC2A" w14:textId="43A729FE" w:rsidR="00494B12" w:rsidRPr="00527717" w:rsidRDefault="00494B12" w:rsidP="001F6DA8">
      <w:pPr>
        <w:pStyle w:val="Tablenotes"/>
        <w:rPr>
          <w:b/>
          <w:bCs/>
          <w:sz w:val="16"/>
          <w:szCs w:val="18"/>
          <w:u w:val="single"/>
        </w:rPr>
      </w:pPr>
      <w:r w:rsidRPr="00527717">
        <w:rPr>
          <w:b/>
          <w:bCs/>
          <w:sz w:val="16"/>
          <w:szCs w:val="18"/>
          <w:u w:val="single"/>
        </w:rPr>
        <w:t>Abbreviations</w:t>
      </w:r>
    </w:p>
    <w:p w14:paraId="0EF2DE64" w14:textId="3E2D5B59" w:rsidR="009E314E" w:rsidRPr="0074475B" w:rsidRDefault="00701256" w:rsidP="001F6DA8">
      <w:pPr>
        <w:pStyle w:val="Tablenotes"/>
        <w:rPr>
          <w:sz w:val="16"/>
          <w:szCs w:val="18"/>
        </w:rPr>
      </w:pPr>
      <w:r>
        <w:rPr>
          <w:sz w:val="16"/>
          <w:szCs w:val="18"/>
        </w:rPr>
        <w:t>AEs = adverse events</w:t>
      </w:r>
      <w:r w:rsidR="00787987">
        <w:rPr>
          <w:sz w:val="16"/>
          <w:szCs w:val="18"/>
        </w:rPr>
        <w:t>,</w:t>
      </w:r>
      <w:r>
        <w:rPr>
          <w:sz w:val="16"/>
          <w:szCs w:val="18"/>
        </w:rPr>
        <w:t xml:space="preserve"> </w:t>
      </w:r>
      <w:r w:rsidR="00B4428B" w:rsidRPr="0074475B">
        <w:rPr>
          <w:sz w:val="16"/>
          <w:szCs w:val="18"/>
        </w:rPr>
        <w:t>AMR</w:t>
      </w:r>
      <w:r w:rsidR="00A21B94" w:rsidRPr="0074475B">
        <w:rPr>
          <w:sz w:val="16"/>
          <w:szCs w:val="18"/>
        </w:rPr>
        <w:t xml:space="preserve"> = </w:t>
      </w:r>
      <w:r w:rsidR="00B4428B" w:rsidRPr="0074475B">
        <w:rPr>
          <w:sz w:val="16"/>
          <w:szCs w:val="18"/>
        </w:rPr>
        <w:t>antibody</w:t>
      </w:r>
      <w:r w:rsidR="00494B12">
        <w:rPr>
          <w:sz w:val="16"/>
          <w:szCs w:val="18"/>
        </w:rPr>
        <w:t>-</w:t>
      </w:r>
      <w:r w:rsidR="00B4428B" w:rsidRPr="0074475B">
        <w:rPr>
          <w:sz w:val="16"/>
          <w:szCs w:val="18"/>
        </w:rPr>
        <w:t>mediated rejection</w:t>
      </w:r>
      <w:r w:rsidR="00787987">
        <w:rPr>
          <w:sz w:val="16"/>
          <w:szCs w:val="18"/>
        </w:rPr>
        <w:t>,</w:t>
      </w:r>
      <w:r w:rsidR="00B4428B" w:rsidRPr="0074475B">
        <w:rPr>
          <w:sz w:val="16"/>
          <w:szCs w:val="18"/>
        </w:rPr>
        <w:t xml:space="preserve"> </w:t>
      </w:r>
      <w:r w:rsidR="00A21B94" w:rsidRPr="0074475B">
        <w:rPr>
          <w:sz w:val="16"/>
          <w:szCs w:val="18"/>
        </w:rPr>
        <w:t xml:space="preserve">AUS-UTT-A = Australia – </w:t>
      </w:r>
      <w:r w:rsidR="00494B12">
        <w:rPr>
          <w:sz w:val="16"/>
          <w:szCs w:val="18"/>
        </w:rPr>
        <w:t>u</w:t>
      </w:r>
      <w:r w:rsidR="00A21B94" w:rsidRPr="0074475B">
        <w:rPr>
          <w:sz w:val="16"/>
          <w:szCs w:val="18"/>
        </w:rPr>
        <w:t xml:space="preserve">nlikely to </w:t>
      </w:r>
      <w:r w:rsidR="00494B12">
        <w:rPr>
          <w:sz w:val="16"/>
          <w:szCs w:val="18"/>
        </w:rPr>
        <w:t>t</w:t>
      </w:r>
      <w:r w:rsidR="00A21B94" w:rsidRPr="0074475B">
        <w:rPr>
          <w:sz w:val="16"/>
          <w:szCs w:val="18"/>
        </w:rPr>
        <w:t xml:space="preserve">ransplant – </w:t>
      </w:r>
      <w:r w:rsidR="00494B12">
        <w:rPr>
          <w:sz w:val="16"/>
          <w:szCs w:val="18"/>
        </w:rPr>
        <w:t>a</w:t>
      </w:r>
      <w:r w:rsidR="00A21B94" w:rsidRPr="0074475B">
        <w:rPr>
          <w:sz w:val="16"/>
          <w:szCs w:val="18"/>
        </w:rPr>
        <w:t xml:space="preserve">gnostic (includes deceased and living donor transplants), </w:t>
      </w:r>
      <w:r w:rsidR="0092038D">
        <w:rPr>
          <w:sz w:val="16"/>
          <w:szCs w:val="18"/>
        </w:rPr>
        <w:t>CKD = chronic kidney disease</w:t>
      </w:r>
      <w:r w:rsidR="00787987">
        <w:rPr>
          <w:sz w:val="16"/>
          <w:szCs w:val="18"/>
        </w:rPr>
        <w:t>,</w:t>
      </w:r>
      <w:r w:rsidR="00A21B94" w:rsidRPr="0074475B">
        <w:rPr>
          <w:sz w:val="16"/>
          <w:szCs w:val="18"/>
        </w:rPr>
        <w:t xml:space="preserve"> </w:t>
      </w:r>
      <w:proofErr w:type="spellStart"/>
      <w:r w:rsidR="00302DE0" w:rsidRPr="0074475B">
        <w:rPr>
          <w:sz w:val="16"/>
          <w:szCs w:val="18"/>
        </w:rPr>
        <w:t>cPRA</w:t>
      </w:r>
      <w:proofErr w:type="spellEnd"/>
      <w:r w:rsidR="00302DE0" w:rsidRPr="0074475B">
        <w:rPr>
          <w:sz w:val="16"/>
          <w:szCs w:val="18"/>
        </w:rPr>
        <w:t xml:space="preserve"> = calculated </w:t>
      </w:r>
      <w:r w:rsidR="008F11C9">
        <w:rPr>
          <w:sz w:val="16"/>
          <w:szCs w:val="18"/>
        </w:rPr>
        <w:t>p</w:t>
      </w:r>
      <w:r w:rsidR="00302DE0" w:rsidRPr="0074475B">
        <w:rPr>
          <w:sz w:val="16"/>
          <w:szCs w:val="18"/>
        </w:rPr>
        <w:t xml:space="preserve">anel </w:t>
      </w:r>
      <w:r w:rsidR="008F11C9">
        <w:rPr>
          <w:sz w:val="16"/>
          <w:szCs w:val="18"/>
        </w:rPr>
        <w:t>r</w:t>
      </w:r>
      <w:r w:rsidR="00302DE0" w:rsidRPr="0074475B">
        <w:rPr>
          <w:sz w:val="16"/>
          <w:szCs w:val="18"/>
        </w:rPr>
        <w:t xml:space="preserve">eactive </w:t>
      </w:r>
      <w:r w:rsidR="008F11C9">
        <w:rPr>
          <w:sz w:val="16"/>
          <w:szCs w:val="18"/>
        </w:rPr>
        <w:t>a</w:t>
      </w:r>
      <w:r w:rsidR="00302DE0" w:rsidRPr="0074475B">
        <w:rPr>
          <w:sz w:val="16"/>
          <w:szCs w:val="18"/>
        </w:rPr>
        <w:t xml:space="preserve">ntibody, </w:t>
      </w:r>
      <w:r w:rsidR="00B4428B" w:rsidRPr="0074475B">
        <w:rPr>
          <w:sz w:val="16"/>
          <w:szCs w:val="18"/>
        </w:rPr>
        <w:t>DD</w:t>
      </w:r>
      <w:r w:rsidR="00A21B94" w:rsidRPr="0074475B">
        <w:rPr>
          <w:sz w:val="16"/>
          <w:szCs w:val="18"/>
        </w:rPr>
        <w:t xml:space="preserve"> =</w:t>
      </w:r>
      <w:r w:rsidR="00B4428B" w:rsidRPr="0074475B">
        <w:rPr>
          <w:sz w:val="16"/>
          <w:szCs w:val="18"/>
        </w:rPr>
        <w:t xml:space="preserve"> deceased donor</w:t>
      </w:r>
      <w:r w:rsidR="00787987">
        <w:rPr>
          <w:sz w:val="16"/>
          <w:szCs w:val="18"/>
        </w:rPr>
        <w:t>,</w:t>
      </w:r>
      <w:r w:rsidR="00B4428B" w:rsidRPr="0074475B">
        <w:rPr>
          <w:sz w:val="16"/>
          <w:szCs w:val="18"/>
        </w:rPr>
        <w:t xml:space="preserve"> GFR</w:t>
      </w:r>
      <w:r w:rsidR="00A21B94" w:rsidRPr="0074475B">
        <w:rPr>
          <w:sz w:val="16"/>
          <w:szCs w:val="18"/>
        </w:rPr>
        <w:t xml:space="preserve"> =</w:t>
      </w:r>
      <w:r w:rsidR="00B4428B" w:rsidRPr="0074475B">
        <w:rPr>
          <w:sz w:val="16"/>
          <w:szCs w:val="18"/>
        </w:rPr>
        <w:t xml:space="preserve"> glomerular filtration rate</w:t>
      </w:r>
      <w:r w:rsidR="00787987">
        <w:rPr>
          <w:sz w:val="16"/>
          <w:szCs w:val="18"/>
        </w:rPr>
        <w:t>,</w:t>
      </w:r>
      <w:r w:rsidR="00B4428B" w:rsidRPr="0074475B">
        <w:rPr>
          <w:sz w:val="16"/>
          <w:szCs w:val="18"/>
        </w:rPr>
        <w:t xml:space="preserve"> </w:t>
      </w:r>
      <w:proofErr w:type="spellStart"/>
      <w:r w:rsidR="00B4428B" w:rsidRPr="0074475B">
        <w:rPr>
          <w:sz w:val="16"/>
          <w:szCs w:val="18"/>
        </w:rPr>
        <w:t>HLAi</w:t>
      </w:r>
      <w:proofErr w:type="spellEnd"/>
      <w:r w:rsidR="00A21B94" w:rsidRPr="0074475B">
        <w:rPr>
          <w:sz w:val="16"/>
          <w:szCs w:val="18"/>
        </w:rPr>
        <w:t xml:space="preserve"> =</w:t>
      </w:r>
      <w:r w:rsidR="00B4428B" w:rsidRPr="0074475B">
        <w:rPr>
          <w:sz w:val="16"/>
          <w:szCs w:val="18"/>
        </w:rPr>
        <w:t xml:space="preserve"> human leucocyte antigen incompatible</w:t>
      </w:r>
      <w:r w:rsidR="00787987">
        <w:rPr>
          <w:sz w:val="16"/>
          <w:szCs w:val="18"/>
        </w:rPr>
        <w:t>,</w:t>
      </w:r>
      <w:r w:rsidR="00B4428B" w:rsidRPr="0074475B">
        <w:rPr>
          <w:sz w:val="16"/>
          <w:szCs w:val="18"/>
        </w:rPr>
        <w:t xml:space="preserve"> HS</w:t>
      </w:r>
      <w:r w:rsidR="00A21B94" w:rsidRPr="0074475B">
        <w:rPr>
          <w:sz w:val="16"/>
          <w:szCs w:val="18"/>
        </w:rPr>
        <w:t xml:space="preserve"> =</w:t>
      </w:r>
      <w:r w:rsidR="00B4428B" w:rsidRPr="0074475B">
        <w:rPr>
          <w:sz w:val="16"/>
          <w:szCs w:val="18"/>
        </w:rPr>
        <w:t xml:space="preserve"> highly sensitised</w:t>
      </w:r>
      <w:r w:rsidR="00787987">
        <w:rPr>
          <w:sz w:val="16"/>
          <w:szCs w:val="18"/>
        </w:rPr>
        <w:t>,</w:t>
      </w:r>
      <w:r w:rsidR="00B4428B" w:rsidRPr="0074475B">
        <w:rPr>
          <w:sz w:val="16"/>
          <w:szCs w:val="18"/>
        </w:rPr>
        <w:t xml:space="preserve"> LD</w:t>
      </w:r>
      <w:r w:rsidR="00A21B94" w:rsidRPr="0074475B">
        <w:rPr>
          <w:sz w:val="16"/>
          <w:szCs w:val="18"/>
        </w:rPr>
        <w:t xml:space="preserve"> =</w:t>
      </w:r>
      <w:r w:rsidR="00B4428B" w:rsidRPr="0074475B">
        <w:rPr>
          <w:sz w:val="16"/>
          <w:szCs w:val="18"/>
        </w:rPr>
        <w:t xml:space="preserve"> liv</w:t>
      </w:r>
      <w:r w:rsidR="00A21B94" w:rsidRPr="0074475B">
        <w:rPr>
          <w:sz w:val="16"/>
          <w:szCs w:val="18"/>
        </w:rPr>
        <w:t>ing</w:t>
      </w:r>
      <w:r w:rsidR="00B4428B" w:rsidRPr="0074475B">
        <w:rPr>
          <w:sz w:val="16"/>
          <w:szCs w:val="18"/>
        </w:rPr>
        <w:t xml:space="preserve"> donor</w:t>
      </w:r>
      <w:r w:rsidR="00787987">
        <w:rPr>
          <w:sz w:val="16"/>
          <w:szCs w:val="18"/>
        </w:rPr>
        <w:t>,</w:t>
      </w:r>
      <w:r w:rsidR="00B4428B" w:rsidRPr="0074475B">
        <w:rPr>
          <w:sz w:val="16"/>
          <w:szCs w:val="18"/>
        </w:rPr>
        <w:t xml:space="preserve"> TEAE</w:t>
      </w:r>
      <w:r w:rsidR="00A21B94" w:rsidRPr="0074475B">
        <w:rPr>
          <w:sz w:val="16"/>
          <w:szCs w:val="18"/>
        </w:rPr>
        <w:t xml:space="preserve"> =</w:t>
      </w:r>
      <w:r w:rsidR="00B4428B" w:rsidRPr="0074475B">
        <w:rPr>
          <w:sz w:val="16"/>
          <w:szCs w:val="18"/>
        </w:rPr>
        <w:t xml:space="preserve"> treatment-emergent adverse event</w:t>
      </w:r>
      <w:r w:rsidR="00DA7BEC" w:rsidRPr="0074475B">
        <w:rPr>
          <w:sz w:val="16"/>
          <w:szCs w:val="18"/>
        </w:rPr>
        <w:t xml:space="preserve">, TSANZ = Transplantation Society of Australia </w:t>
      </w:r>
      <w:r w:rsidR="00787987">
        <w:rPr>
          <w:sz w:val="16"/>
          <w:szCs w:val="18"/>
        </w:rPr>
        <w:t>and</w:t>
      </w:r>
      <w:r w:rsidR="00DA7BEC" w:rsidRPr="0074475B">
        <w:rPr>
          <w:sz w:val="16"/>
          <w:szCs w:val="18"/>
        </w:rPr>
        <w:t xml:space="preserve"> New Zealand</w:t>
      </w:r>
    </w:p>
    <w:p w14:paraId="1924E1DE" w14:textId="6D163833" w:rsidR="00494B12" w:rsidRPr="00527717" w:rsidRDefault="001F6DA8" w:rsidP="00F823C6">
      <w:pPr>
        <w:pStyle w:val="Tablenotes"/>
        <w:rPr>
          <w:b/>
          <w:bCs/>
          <w:sz w:val="16"/>
          <w:szCs w:val="18"/>
          <w:u w:val="single"/>
        </w:rPr>
      </w:pPr>
      <w:r w:rsidRPr="00527717">
        <w:rPr>
          <w:b/>
          <w:bCs/>
          <w:sz w:val="16"/>
          <w:szCs w:val="18"/>
          <w:u w:val="single"/>
        </w:rPr>
        <w:t xml:space="preserve">Source </w:t>
      </w:r>
    </w:p>
    <w:p w14:paraId="7651F3D2" w14:textId="47849479" w:rsidR="00B4428B" w:rsidRPr="0074475B" w:rsidRDefault="00494B12" w:rsidP="00F823C6">
      <w:pPr>
        <w:pStyle w:val="Tablenotes"/>
        <w:rPr>
          <w:sz w:val="16"/>
          <w:szCs w:val="18"/>
        </w:rPr>
      </w:pPr>
      <w:r>
        <w:rPr>
          <w:sz w:val="16"/>
          <w:szCs w:val="18"/>
        </w:rPr>
        <w:t>A</w:t>
      </w:r>
      <w:r w:rsidR="001F6DA8" w:rsidRPr="0074475B">
        <w:rPr>
          <w:sz w:val="16"/>
          <w:szCs w:val="18"/>
        </w:rPr>
        <w:t xml:space="preserve">dapted from </w:t>
      </w:r>
      <w:r w:rsidR="001C097B">
        <w:rPr>
          <w:sz w:val="16"/>
          <w:szCs w:val="18"/>
        </w:rPr>
        <w:t>Table</w:t>
      </w:r>
      <w:r w:rsidR="0068550F">
        <w:rPr>
          <w:sz w:val="16"/>
          <w:szCs w:val="18"/>
        </w:rPr>
        <w:t xml:space="preserve"> 14</w:t>
      </w:r>
      <w:r w:rsidR="00780004">
        <w:rPr>
          <w:sz w:val="16"/>
          <w:szCs w:val="18"/>
        </w:rPr>
        <w:t>, p</w:t>
      </w:r>
      <w:r w:rsidR="00991AD9">
        <w:rPr>
          <w:sz w:val="16"/>
          <w:szCs w:val="18"/>
        </w:rPr>
        <w:t>.</w:t>
      </w:r>
      <w:r w:rsidR="00EC27CB">
        <w:rPr>
          <w:sz w:val="16"/>
          <w:szCs w:val="18"/>
        </w:rPr>
        <w:t xml:space="preserve"> 97 of the MSAC </w:t>
      </w:r>
      <w:r w:rsidR="00EC27CB" w:rsidRPr="00EC27CB">
        <w:rPr>
          <w:sz w:val="16"/>
          <w:szCs w:val="18"/>
        </w:rPr>
        <w:t xml:space="preserve">1732.1 </w:t>
      </w:r>
      <w:proofErr w:type="spellStart"/>
      <w:r w:rsidR="00EC27CB" w:rsidRPr="00EC27CB">
        <w:rPr>
          <w:sz w:val="16"/>
          <w:szCs w:val="18"/>
        </w:rPr>
        <w:t>ADAR+in-line</w:t>
      </w:r>
      <w:proofErr w:type="spellEnd"/>
      <w:r w:rsidR="00EC27CB" w:rsidRPr="00EC27CB">
        <w:rPr>
          <w:sz w:val="16"/>
          <w:szCs w:val="18"/>
        </w:rPr>
        <w:t xml:space="preserve"> </w:t>
      </w:r>
      <w:proofErr w:type="gramStart"/>
      <w:r w:rsidR="00EC27CB" w:rsidRPr="00EC27CB">
        <w:rPr>
          <w:sz w:val="16"/>
          <w:szCs w:val="18"/>
        </w:rPr>
        <w:t>commentary</w:t>
      </w:r>
      <w:proofErr w:type="gramEnd"/>
      <w:r w:rsidR="00EC27CB">
        <w:rPr>
          <w:sz w:val="16"/>
          <w:szCs w:val="18"/>
        </w:rPr>
        <w:t xml:space="preserve"> </w:t>
      </w:r>
    </w:p>
    <w:p w14:paraId="68EA21E1" w14:textId="31C7B387" w:rsidR="001F6DA8" w:rsidRPr="001F6DA8" w:rsidRDefault="001F6DA8" w:rsidP="001F6DA8">
      <w:pPr>
        <w:sectPr w:rsidR="001F6DA8" w:rsidRPr="001F6DA8" w:rsidSect="00495DF8">
          <w:pgSz w:w="16838" w:h="11906" w:orient="landscape"/>
          <w:pgMar w:top="1440" w:right="1440" w:bottom="1440" w:left="1440" w:header="709" w:footer="709" w:gutter="0"/>
          <w:cols w:space="708"/>
          <w:docGrid w:linePitch="360"/>
        </w:sectPr>
      </w:pPr>
    </w:p>
    <w:p w14:paraId="24BB12C5" w14:textId="0D18A7DF" w:rsidR="001932C4" w:rsidRPr="00CE28E3" w:rsidRDefault="00F84BA7" w:rsidP="001932C4">
      <w:pPr>
        <w:pStyle w:val="Heading2"/>
        <w:numPr>
          <w:ilvl w:val="0"/>
          <w:numId w:val="0"/>
        </w:numPr>
      </w:pPr>
      <w:bookmarkStart w:id="21" w:name="_Toc69491423"/>
      <w:r>
        <w:lastRenderedPageBreak/>
        <w:t>11</w:t>
      </w:r>
      <w:r w:rsidR="001932C4">
        <w:t>.</w:t>
      </w:r>
      <w:r w:rsidR="001932C4">
        <w:tab/>
      </w:r>
      <w:r w:rsidR="001932C4" w:rsidRPr="00CE28E3">
        <w:t>Comparative safety</w:t>
      </w:r>
      <w:bookmarkEnd w:id="21"/>
    </w:p>
    <w:p w14:paraId="2240EA4F" w14:textId="3AB416B4" w:rsidR="00BF2C54" w:rsidRPr="006E6436" w:rsidRDefault="00BF2C54" w:rsidP="00527717">
      <w:r w:rsidRPr="0067503E">
        <w:t xml:space="preserve">The clinical evidence presented in the submission was primarily based on </w:t>
      </w:r>
      <w:r>
        <w:t>4 p</w:t>
      </w:r>
      <w:r w:rsidRPr="00031F21">
        <w:t>hase</w:t>
      </w:r>
      <w:r w:rsidR="00EB4EE9">
        <w:t xml:space="preserve"> </w:t>
      </w:r>
      <w:r>
        <w:t>II</w:t>
      </w:r>
      <w:r w:rsidRPr="00031F21">
        <w:t xml:space="preserve"> clinical</w:t>
      </w:r>
      <w:r w:rsidRPr="0067503E">
        <w:t xml:space="preserve"> studies</w:t>
      </w:r>
      <w:r w:rsidRPr="00031F21">
        <w:t xml:space="preserve"> of imlifidase reported (13-HMedIdeS-02, 13</w:t>
      </w:r>
      <w:r>
        <w:t>-</w:t>
      </w:r>
      <w:r w:rsidRPr="00031F21">
        <w:t>HMedIdeS-03, 14-HMedIdeS-04, 15-HMedIdeS-06)</w:t>
      </w:r>
      <w:r>
        <w:t>.</w:t>
      </w:r>
      <w:r w:rsidR="00D3424C">
        <w:t xml:space="preserve"> </w:t>
      </w:r>
      <w:r w:rsidR="003B3D01">
        <w:t>Additionally</w:t>
      </w:r>
      <w:r w:rsidR="00CE52A3">
        <w:t xml:space="preserve">, </w:t>
      </w:r>
      <w:r w:rsidR="004B3102">
        <w:t xml:space="preserve">follow-up data from </w:t>
      </w:r>
      <w:r w:rsidR="003C273C" w:rsidRPr="00527717">
        <w:t xml:space="preserve">17-HMedIdeS-13 </w:t>
      </w:r>
      <w:r w:rsidR="0038793F" w:rsidRPr="00527717">
        <w:t>and</w:t>
      </w:r>
      <w:r w:rsidR="0038793F">
        <w:rPr>
          <w:rStyle w:val="cf01"/>
        </w:rPr>
        <w:t xml:space="preserve"> </w:t>
      </w:r>
      <w:r w:rsidR="00A62DC6">
        <w:t xml:space="preserve">the </w:t>
      </w:r>
      <w:r w:rsidR="0006188D">
        <w:t>newest 5</w:t>
      </w:r>
      <w:r w:rsidR="00254B9C">
        <w:t>-</w:t>
      </w:r>
      <w:r w:rsidR="0006188D">
        <w:t xml:space="preserve">year </w:t>
      </w:r>
      <w:r w:rsidR="00C763BC">
        <w:t>follow</w:t>
      </w:r>
      <w:r w:rsidR="00D9670F">
        <w:t>-</w:t>
      </w:r>
      <w:r w:rsidR="00C763BC">
        <w:t>up</w:t>
      </w:r>
      <w:r w:rsidR="0006188D">
        <w:t xml:space="preserve"> study </w:t>
      </w:r>
      <w:r w:rsidR="00C763BC">
        <w:t>(</w:t>
      </w:r>
      <w:r w:rsidR="00C763BC" w:rsidRPr="00C763BC">
        <w:t>17-HMedIdeS-14</w:t>
      </w:r>
      <w:r w:rsidR="00C763BC">
        <w:t xml:space="preserve">) </w:t>
      </w:r>
      <w:r w:rsidR="0038793F">
        <w:t xml:space="preserve">have </w:t>
      </w:r>
      <w:r w:rsidR="0006188D">
        <w:t xml:space="preserve">been completed and data provided </w:t>
      </w:r>
      <w:r w:rsidR="00EF4798">
        <w:t xml:space="preserve">in </w:t>
      </w:r>
      <w:r w:rsidR="002042A4">
        <w:t>the ADAR</w:t>
      </w:r>
      <w:r w:rsidR="00C763BC">
        <w:t xml:space="preserve">. </w:t>
      </w:r>
      <w:r w:rsidR="0075799D">
        <w:t>The commentary noted that this 5</w:t>
      </w:r>
      <w:r w:rsidR="00C5254D">
        <w:t>-</w:t>
      </w:r>
      <w:r w:rsidR="0075799D">
        <w:t xml:space="preserve">year follow up data was the only additional safety data </w:t>
      </w:r>
      <w:r w:rsidR="007C21AF">
        <w:t xml:space="preserve">provided </w:t>
      </w:r>
      <w:r w:rsidR="00E80897">
        <w:t xml:space="preserve">in the ADAR relative to what </w:t>
      </w:r>
      <w:r w:rsidR="007C21AF">
        <w:t>was available in the previous ADAR</w:t>
      </w:r>
      <w:r w:rsidR="00AA0B2A">
        <w:t xml:space="preserve">. </w:t>
      </w:r>
    </w:p>
    <w:p w14:paraId="6BECA5B1" w14:textId="33F96071" w:rsidR="00BF2C54" w:rsidRPr="003B5565" w:rsidRDefault="00BF2C54" w:rsidP="00B42E01">
      <w:pPr>
        <w:rPr>
          <w:lang w:val="en-GB"/>
        </w:rPr>
      </w:pPr>
      <w:r w:rsidRPr="002E5F9A">
        <w:t xml:space="preserve">The </w:t>
      </w:r>
      <w:r>
        <w:t>ADAR</w:t>
      </w:r>
      <w:r w:rsidRPr="002E5F9A">
        <w:t xml:space="preserve"> </w:t>
      </w:r>
      <w:r>
        <w:t>included</w:t>
      </w:r>
      <w:r w:rsidRPr="002E5F9A">
        <w:t xml:space="preserve"> </w:t>
      </w:r>
      <w:r>
        <w:t>a</w:t>
      </w:r>
      <w:r w:rsidRPr="002E5F9A">
        <w:t xml:space="preserve"> safety dataset consisting of a broader group of patients </w:t>
      </w:r>
      <w:r>
        <w:t xml:space="preserve">in the safety analyses. </w:t>
      </w:r>
      <w:r w:rsidRPr="001B2A24">
        <w:t xml:space="preserve">This group encompasses all patients in the study </w:t>
      </w:r>
      <w:r w:rsidRPr="004A35AF">
        <w:t>program who received at least one dose of imlifidase (N</w:t>
      </w:r>
      <w:r w:rsidR="00FC38A5">
        <w:t> </w:t>
      </w:r>
      <w:r w:rsidR="00FC38A5" w:rsidRPr="004A35AF">
        <w:t>=</w:t>
      </w:r>
      <w:r w:rsidR="00FC38A5">
        <w:t> </w:t>
      </w:r>
      <w:r w:rsidR="00FC38A5" w:rsidRPr="004A35AF">
        <w:t>54</w:t>
      </w:r>
      <w:r w:rsidRPr="004A35AF">
        <w:t xml:space="preserve">), constituting the complete safety </w:t>
      </w:r>
      <w:r w:rsidRPr="00B42E01">
        <w:t>set in the combined analyses. A summary of patients in the all-imlifidase safety dataset is provided in</w:t>
      </w:r>
      <w:r w:rsidR="009404F5">
        <w:t xml:space="preserve"> Table 4</w:t>
      </w:r>
      <w:r w:rsidR="0074475B" w:rsidRPr="00B42E01">
        <w:t>.</w:t>
      </w:r>
      <w:r w:rsidR="004C088B">
        <w:t xml:space="preserve"> </w:t>
      </w:r>
      <w:r w:rsidR="004C088B">
        <w:rPr>
          <w:lang w:val="en-GB"/>
        </w:rPr>
        <w:t>The ADAR did not present safety data specifically for the AUS-UTT-A population</w:t>
      </w:r>
      <w:r w:rsidR="00564E48">
        <w:rPr>
          <w:lang w:val="en-GB"/>
        </w:rPr>
        <w:t xml:space="preserve"> (although note that this sub-population was derived from the UTT-A population).</w:t>
      </w:r>
    </w:p>
    <w:p w14:paraId="3CC799B0" w14:textId="4180966E" w:rsidR="00490C4D" w:rsidRPr="00490C4D" w:rsidRDefault="004A35AF" w:rsidP="00527717">
      <w:pPr>
        <w:rPr>
          <w:lang w:val="en-GB"/>
        </w:rPr>
      </w:pPr>
      <w:r w:rsidRPr="00490C4D">
        <w:rPr>
          <w:lang w:val="en-GB"/>
        </w:rPr>
        <w:t xml:space="preserve">In the UTT-A </w:t>
      </w:r>
      <w:r w:rsidR="00E24218" w:rsidRPr="00E24218">
        <w:rPr>
          <w:lang w:val="en-GB"/>
        </w:rPr>
        <w:t>(unlikely to transplant – agnostic</w:t>
      </w:r>
      <w:r w:rsidR="00D62865">
        <w:rPr>
          <w:lang w:val="en-GB"/>
        </w:rPr>
        <w:t>:</w:t>
      </w:r>
      <w:r w:rsidR="00E24218" w:rsidRPr="00E24218">
        <w:rPr>
          <w:lang w:val="en-GB"/>
        </w:rPr>
        <w:t xml:space="preserve"> includes both LD and DD transplants in patients with a </w:t>
      </w:r>
      <w:proofErr w:type="spellStart"/>
      <w:r w:rsidR="00E24218" w:rsidRPr="00E24218">
        <w:rPr>
          <w:lang w:val="en-GB"/>
        </w:rPr>
        <w:t>cPRA</w:t>
      </w:r>
      <w:proofErr w:type="spellEnd"/>
      <w:r w:rsidR="00E24218" w:rsidRPr="00E24218">
        <w:rPr>
          <w:lang w:val="en-GB"/>
        </w:rPr>
        <w:t xml:space="preserve"> ≥95%)</w:t>
      </w:r>
      <w:r w:rsidRPr="00490C4D">
        <w:rPr>
          <w:lang w:val="en-GB"/>
        </w:rPr>
        <w:t xml:space="preserve">and UTT </w:t>
      </w:r>
      <w:r w:rsidR="00D62865">
        <w:rPr>
          <w:lang w:val="en-GB"/>
        </w:rPr>
        <w:t xml:space="preserve">(UTT: unlikely to transplant: includes DD transplants only in patients with a </w:t>
      </w:r>
      <w:proofErr w:type="spellStart"/>
      <w:r w:rsidR="00D62865">
        <w:rPr>
          <w:lang w:val="en-GB"/>
        </w:rPr>
        <w:t>cPRA</w:t>
      </w:r>
      <w:proofErr w:type="spellEnd"/>
      <w:r w:rsidR="00D62865">
        <w:rPr>
          <w:lang w:val="en-GB"/>
        </w:rPr>
        <w:t xml:space="preserve"> ≥95%)</w:t>
      </w:r>
      <w:r w:rsidRPr="00490C4D">
        <w:rPr>
          <w:lang w:val="en-GB"/>
        </w:rPr>
        <w:t xml:space="preserve"> subpopulations</w:t>
      </w:r>
      <w:r w:rsidR="00D7322E">
        <w:rPr>
          <w:lang w:val="en-GB"/>
        </w:rPr>
        <w:t>,</w:t>
      </w:r>
      <w:r w:rsidRPr="00490C4D">
        <w:rPr>
          <w:lang w:val="en-GB"/>
        </w:rPr>
        <w:t xml:space="preserve"> 2 patients withdrew and discontinued the study</w:t>
      </w:r>
      <w:r w:rsidR="00787FE7" w:rsidRPr="00490C4D">
        <w:rPr>
          <w:lang w:val="en-GB"/>
        </w:rPr>
        <w:t xml:space="preserve"> (</w:t>
      </w:r>
      <w:r w:rsidR="004D1048" w:rsidRPr="00490C4D">
        <w:rPr>
          <w:bCs/>
        </w:rPr>
        <w:fldChar w:fldCharType="begin"/>
      </w:r>
      <w:r w:rsidR="004D1048" w:rsidRPr="049A1893">
        <w:rPr>
          <w:lang w:val="en-GB"/>
        </w:rPr>
        <w:instrText xml:space="preserve"> REF _Ref163648974 \h </w:instrText>
      </w:r>
      <w:r w:rsidR="00490C4D" w:rsidRPr="00490C4D">
        <w:rPr>
          <w:bCs/>
        </w:rPr>
        <w:instrText xml:space="preserve"> \* MERGEFORMAT </w:instrText>
      </w:r>
      <w:r w:rsidR="004D1048" w:rsidRPr="00490C4D">
        <w:rPr>
          <w:bCs/>
        </w:rPr>
      </w:r>
      <w:r w:rsidR="004D1048" w:rsidRPr="00490C4D">
        <w:rPr>
          <w:bCs/>
        </w:rPr>
        <w:fldChar w:fldCharType="separate"/>
      </w:r>
      <w:r w:rsidR="0073355E" w:rsidRPr="049A1893">
        <w:t>Table 4</w:t>
      </w:r>
      <w:r w:rsidR="004D1048" w:rsidRPr="00490C4D">
        <w:rPr>
          <w:bCs/>
        </w:rPr>
        <w:fldChar w:fldCharType="end"/>
      </w:r>
      <w:r w:rsidR="00787FE7" w:rsidRPr="00490C4D">
        <w:rPr>
          <w:lang w:val="en-GB"/>
        </w:rPr>
        <w:t>)</w:t>
      </w:r>
      <w:r w:rsidRPr="00490C4D">
        <w:rPr>
          <w:lang w:val="en-GB"/>
        </w:rPr>
        <w:t>; according to the ADAR</w:t>
      </w:r>
      <w:r w:rsidR="00CD6A26">
        <w:rPr>
          <w:lang w:val="en-GB"/>
        </w:rPr>
        <w:t>,</w:t>
      </w:r>
      <w:r w:rsidRPr="00490C4D">
        <w:rPr>
          <w:lang w:val="en-GB"/>
        </w:rPr>
        <w:t xml:space="preserve"> these patients were also included in the AUS-UTT-A population.</w:t>
      </w:r>
      <w:bookmarkStart w:id="22" w:name="_Ref163648956"/>
      <w:bookmarkEnd w:id="19"/>
      <w:r w:rsidR="004C088B">
        <w:rPr>
          <w:lang w:val="en-GB"/>
        </w:rPr>
        <w:t xml:space="preserve"> </w:t>
      </w:r>
    </w:p>
    <w:p w14:paraId="55AFF377" w14:textId="613F809E" w:rsidR="006645AD" w:rsidRDefault="006645AD" w:rsidP="006645AD">
      <w:pPr>
        <w:pStyle w:val="Caption"/>
      </w:pPr>
      <w:r>
        <w:t xml:space="preserve">Table </w:t>
      </w:r>
      <w:bookmarkEnd w:id="22"/>
      <w:r w:rsidR="009404F5">
        <w:t xml:space="preserve">4 </w:t>
      </w:r>
      <w:r w:rsidRPr="004D4D3E">
        <w:t>Summary of patients in safety dataset</w:t>
      </w:r>
      <w:r w:rsidR="00CA7E95" w:rsidRPr="00CA7E95">
        <w:t xml:space="preserve"> </w:t>
      </w:r>
    </w:p>
    <w:tbl>
      <w:tblPr>
        <w:tblStyle w:val="TableGridLight"/>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816"/>
        <w:gridCol w:w="816"/>
        <w:gridCol w:w="817"/>
        <w:gridCol w:w="816"/>
        <w:gridCol w:w="816"/>
        <w:gridCol w:w="817"/>
        <w:gridCol w:w="816"/>
        <w:gridCol w:w="817"/>
        <w:gridCol w:w="817"/>
      </w:tblGrid>
      <w:tr w:rsidR="008E5C3C" w:rsidRPr="00857473" w14:paraId="5CEDC05D" w14:textId="10D39D59" w:rsidTr="3CD450B9">
        <w:trPr>
          <w:trHeight w:val="300"/>
        </w:trPr>
        <w:tc>
          <w:tcPr>
            <w:tcW w:w="1671" w:type="dxa"/>
          </w:tcPr>
          <w:p w14:paraId="136EC205" w14:textId="77777777" w:rsidR="008E5C3C" w:rsidRPr="00857473" w:rsidRDefault="008E5C3C">
            <w:pPr>
              <w:pStyle w:val="TableHeading0"/>
              <w:spacing w:before="40" w:after="40"/>
              <w:rPr>
                <w:sz w:val="16"/>
                <w:szCs w:val="16"/>
              </w:rPr>
            </w:pPr>
          </w:p>
        </w:tc>
        <w:tc>
          <w:tcPr>
            <w:tcW w:w="816" w:type="dxa"/>
          </w:tcPr>
          <w:p w14:paraId="1B1606C5" w14:textId="77777777" w:rsidR="008E5C3C" w:rsidRPr="00857473" w:rsidRDefault="008E5C3C">
            <w:pPr>
              <w:pStyle w:val="TableHeading0"/>
              <w:spacing w:before="40" w:after="40"/>
              <w:rPr>
                <w:sz w:val="16"/>
                <w:szCs w:val="16"/>
              </w:rPr>
            </w:pPr>
            <w:r w:rsidRPr="00857473">
              <w:rPr>
                <w:sz w:val="16"/>
                <w:szCs w:val="16"/>
              </w:rPr>
              <w:t>13-HMedIdeS-02</w:t>
            </w:r>
          </w:p>
        </w:tc>
        <w:tc>
          <w:tcPr>
            <w:tcW w:w="816" w:type="dxa"/>
          </w:tcPr>
          <w:p w14:paraId="370E7BF3" w14:textId="77777777" w:rsidR="008E5C3C" w:rsidRPr="00857473" w:rsidRDefault="008E5C3C">
            <w:pPr>
              <w:pStyle w:val="TableHeading0"/>
              <w:spacing w:before="40" w:after="40"/>
              <w:rPr>
                <w:sz w:val="16"/>
                <w:szCs w:val="16"/>
              </w:rPr>
            </w:pPr>
            <w:r w:rsidRPr="00857473">
              <w:rPr>
                <w:sz w:val="16"/>
                <w:szCs w:val="16"/>
              </w:rPr>
              <w:t>13-HMedIdeS-03</w:t>
            </w:r>
          </w:p>
        </w:tc>
        <w:tc>
          <w:tcPr>
            <w:tcW w:w="817" w:type="dxa"/>
          </w:tcPr>
          <w:p w14:paraId="41B5DE96" w14:textId="77777777" w:rsidR="008E5C3C" w:rsidRPr="00857473" w:rsidRDefault="008E5C3C">
            <w:pPr>
              <w:pStyle w:val="TableHeading0"/>
              <w:spacing w:before="40" w:after="40"/>
              <w:rPr>
                <w:sz w:val="16"/>
                <w:szCs w:val="16"/>
              </w:rPr>
            </w:pPr>
            <w:r w:rsidRPr="00857473">
              <w:rPr>
                <w:sz w:val="16"/>
                <w:szCs w:val="16"/>
              </w:rPr>
              <w:t>14 HMedIdeS-04</w:t>
            </w:r>
          </w:p>
        </w:tc>
        <w:tc>
          <w:tcPr>
            <w:tcW w:w="816" w:type="dxa"/>
          </w:tcPr>
          <w:p w14:paraId="7928FB01" w14:textId="77777777" w:rsidR="008E5C3C" w:rsidRPr="00857473" w:rsidRDefault="008E5C3C">
            <w:pPr>
              <w:pStyle w:val="TableHeading0"/>
              <w:spacing w:before="40" w:after="40"/>
              <w:rPr>
                <w:sz w:val="16"/>
                <w:szCs w:val="16"/>
              </w:rPr>
            </w:pPr>
            <w:r w:rsidRPr="00857473">
              <w:rPr>
                <w:sz w:val="16"/>
                <w:szCs w:val="16"/>
              </w:rPr>
              <w:t>15-HMedIdeS-06</w:t>
            </w:r>
          </w:p>
        </w:tc>
        <w:tc>
          <w:tcPr>
            <w:tcW w:w="816" w:type="dxa"/>
          </w:tcPr>
          <w:p w14:paraId="34323F63" w14:textId="77777777" w:rsidR="008E5C3C" w:rsidRPr="00112A75" w:rsidRDefault="008E5C3C">
            <w:pPr>
              <w:pStyle w:val="TableHeading0"/>
              <w:spacing w:before="40" w:after="40"/>
              <w:ind w:left="-32"/>
              <w:rPr>
                <w:color w:val="000000" w:themeColor="text1"/>
                <w:sz w:val="16"/>
                <w:szCs w:val="16"/>
              </w:rPr>
            </w:pPr>
            <w:r w:rsidRPr="00112A75">
              <w:rPr>
                <w:color w:val="000000" w:themeColor="text1"/>
                <w:sz w:val="16"/>
                <w:szCs w:val="16"/>
              </w:rPr>
              <w:t>All-Imlifidase</w:t>
            </w:r>
          </w:p>
          <w:p w14:paraId="06B693B5" w14:textId="77777777" w:rsidR="008E5C3C" w:rsidRPr="00112A75" w:rsidRDefault="008E5C3C">
            <w:pPr>
              <w:pStyle w:val="TableHeading0"/>
              <w:spacing w:before="40" w:after="40"/>
              <w:ind w:left="-32"/>
              <w:rPr>
                <w:color w:val="000000" w:themeColor="text1"/>
                <w:sz w:val="16"/>
                <w:szCs w:val="16"/>
              </w:rPr>
            </w:pPr>
            <w:r w:rsidRPr="00112A75">
              <w:rPr>
                <w:color w:val="000000" w:themeColor="text1"/>
                <w:sz w:val="16"/>
                <w:szCs w:val="16"/>
              </w:rPr>
              <w:t>Total safety set (N=54)</w:t>
            </w:r>
          </w:p>
        </w:tc>
        <w:tc>
          <w:tcPr>
            <w:tcW w:w="817" w:type="dxa"/>
          </w:tcPr>
          <w:p w14:paraId="254D38F5" w14:textId="77777777" w:rsidR="008E5C3C" w:rsidRPr="00112A75" w:rsidRDefault="008E5C3C">
            <w:pPr>
              <w:pStyle w:val="TableHeading0"/>
              <w:spacing w:before="40" w:after="40"/>
              <w:rPr>
                <w:color w:val="000000" w:themeColor="text1"/>
                <w:sz w:val="16"/>
                <w:szCs w:val="16"/>
              </w:rPr>
            </w:pPr>
            <w:r w:rsidRPr="00112A75">
              <w:rPr>
                <w:color w:val="000000" w:themeColor="text1"/>
                <w:sz w:val="16"/>
                <w:szCs w:val="16"/>
              </w:rPr>
              <w:t>All-Transplanted</w:t>
            </w:r>
          </w:p>
          <w:p w14:paraId="1E8EDD4E" w14:textId="580B551C" w:rsidR="008E5C3C" w:rsidRPr="00112A75" w:rsidRDefault="008E5C3C">
            <w:pPr>
              <w:pStyle w:val="TableHeading0"/>
              <w:spacing w:before="40" w:after="40"/>
              <w:rPr>
                <w:color w:val="000000" w:themeColor="text1"/>
                <w:sz w:val="16"/>
                <w:szCs w:val="16"/>
              </w:rPr>
            </w:pPr>
            <w:r w:rsidRPr="00112A75">
              <w:rPr>
                <w:color w:val="000000" w:themeColor="text1"/>
                <w:sz w:val="16"/>
                <w:szCs w:val="16"/>
              </w:rPr>
              <w:t>(N=46)</w:t>
            </w:r>
          </w:p>
        </w:tc>
        <w:tc>
          <w:tcPr>
            <w:tcW w:w="816" w:type="dxa"/>
          </w:tcPr>
          <w:p w14:paraId="69CCCC0E" w14:textId="77777777" w:rsidR="008E5C3C" w:rsidRPr="00112A75" w:rsidRDefault="008E5C3C">
            <w:pPr>
              <w:pStyle w:val="TableHeading0"/>
              <w:spacing w:before="40" w:after="40"/>
              <w:rPr>
                <w:color w:val="000000" w:themeColor="text1"/>
                <w:sz w:val="16"/>
                <w:szCs w:val="16"/>
              </w:rPr>
            </w:pPr>
            <w:r w:rsidRPr="00112A75">
              <w:rPr>
                <w:color w:val="000000" w:themeColor="text1"/>
                <w:sz w:val="16"/>
                <w:szCs w:val="16"/>
              </w:rPr>
              <w:t xml:space="preserve">UTT-A </w:t>
            </w:r>
            <w:r w:rsidRPr="00112A75">
              <w:rPr>
                <w:color w:val="000000" w:themeColor="text1"/>
                <w:sz w:val="16"/>
                <w:szCs w:val="16"/>
              </w:rPr>
              <w:br/>
              <w:t>(N=30)</w:t>
            </w:r>
          </w:p>
        </w:tc>
        <w:tc>
          <w:tcPr>
            <w:tcW w:w="817" w:type="dxa"/>
          </w:tcPr>
          <w:p w14:paraId="70BD234E" w14:textId="77777777" w:rsidR="008E5C3C" w:rsidRPr="00112A75" w:rsidRDefault="008E5C3C">
            <w:pPr>
              <w:pStyle w:val="TableHeading0"/>
              <w:spacing w:before="40" w:after="40"/>
              <w:rPr>
                <w:color w:val="000000" w:themeColor="text1"/>
                <w:sz w:val="16"/>
                <w:szCs w:val="16"/>
              </w:rPr>
            </w:pPr>
            <w:r w:rsidRPr="00112A75">
              <w:rPr>
                <w:color w:val="000000" w:themeColor="text1"/>
                <w:sz w:val="16"/>
                <w:szCs w:val="16"/>
              </w:rPr>
              <w:t>UTT</w:t>
            </w:r>
          </w:p>
          <w:p w14:paraId="23004898" w14:textId="32C6C8D8" w:rsidR="008E5C3C" w:rsidRPr="00112A75" w:rsidRDefault="008E5C3C">
            <w:pPr>
              <w:pStyle w:val="TableHeading0"/>
              <w:spacing w:before="40" w:after="40"/>
              <w:rPr>
                <w:color w:val="000000" w:themeColor="text1"/>
                <w:sz w:val="16"/>
                <w:szCs w:val="16"/>
              </w:rPr>
            </w:pPr>
            <w:r w:rsidRPr="00112A75">
              <w:rPr>
                <w:color w:val="000000" w:themeColor="text1"/>
                <w:sz w:val="16"/>
                <w:szCs w:val="16"/>
              </w:rPr>
              <w:t>(N=25)</w:t>
            </w:r>
          </w:p>
        </w:tc>
        <w:tc>
          <w:tcPr>
            <w:tcW w:w="817" w:type="dxa"/>
          </w:tcPr>
          <w:p w14:paraId="07BA5CB4" w14:textId="22EE2658" w:rsidR="3CD450B9" w:rsidRDefault="3CD450B9" w:rsidP="3CD450B9">
            <w:pPr>
              <w:pStyle w:val="TableHeading0"/>
              <w:rPr>
                <w:color w:val="000000" w:themeColor="text1"/>
                <w:sz w:val="16"/>
                <w:szCs w:val="16"/>
              </w:rPr>
            </w:pPr>
          </w:p>
        </w:tc>
      </w:tr>
      <w:tr w:rsidR="008E5C3C" w:rsidRPr="00857473" w14:paraId="06A7AA48" w14:textId="071369D6" w:rsidTr="3CD450B9">
        <w:trPr>
          <w:trHeight w:val="300"/>
        </w:trPr>
        <w:tc>
          <w:tcPr>
            <w:tcW w:w="1671" w:type="dxa"/>
          </w:tcPr>
          <w:p w14:paraId="27F9A520" w14:textId="77777777" w:rsidR="008E5C3C" w:rsidRPr="00857473" w:rsidRDefault="008E5C3C">
            <w:pPr>
              <w:pStyle w:val="TableText"/>
              <w:rPr>
                <w:sz w:val="16"/>
                <w:szCs w:val="16"/>
              </w:rPr>
            </w:pPr>
            <w:r w:rsidRPr="00857473">
              <w:rPr>
                <w:sz w:val="16"/>
                <w:szCs w:val="16"/>
              </w:rPr>
              <w:t>Received at least one dose of imlifidase, n (%)</w:t>
            </w:r>
          </w:p>
        </w:tc>
        <w:tc>
          <w:tcPr>
            <w:tcW w:w="816" w:type="dxa"/>
          </w:tcPr>
          <w:p w14:paraId="2F408156" w14:textId="77777777" w:rsidR="008E5C3C" w:rsidRPr="00857473" w:rsidRDefault="008E5C3C">
            <w:pPr>
              <w:pStyle w:val="TableText"/>
              <w:rPr>
                <w:sz w:val="16"/>
                <w:szCs w:val="16"/>
              </w:rPr>
            </w:pPr>
            <w:r w:rsidRPr="00857473">
              <w:rPr>
                <w:sz w:val="16"/>
                <w:szCs w:val="16"/>
              </w:rPr>
              <w:t>8</w:t>
            </w:r>
          </w:p>
        </w:tc>
        <w:tc>
          <w:tcPr>
            <w:tcW w:w="816" w:type="dxa"/>
          </w:tcPr>
          <w:p w14:paraId="58AE895F" w14:textId="77777777" w:rsidR="008E5C3C" w:rsidRPr="00857473" w:rsidRDefault="008E5C3C">
            <w:pPr>
              <w:pStyle w:val="TableText"/>
              <w:rPr>
                <w:sz w:val="16"/>
                <w:szCs w:val="16"/>
              </w:rPr>
            </w:pPr>
            <w:r w:rsidRPr="00857473">
              <w:rPr>
                <w:sz w:val="16"/>
                <w:szCs w:val="16"/>
              </w:rPr>
              <w:t>10</w:t>
            </w:r>
          </w:p>
        </w:tc>
        <w:tc>
          <w:tcPr>
            <w:tcW w:w="817" w:type="dxa"/>
          </w:tcPr>
          <w:p w14:paraId="3AD8E624" w14:textId="77777777" w:rsidR="008E5C3C" w:rsidRPr="00857473" w:rsidRDefault="008E5C3C">
            <w:pPr>
              <w:pStyle w:val="TableText"/>
              <w:rPr>
                <w:sz w:val="16"/>
                <w:szCs w:val="16"/>
              </w:rPr>
            </w:pPr>
            <w:r w:rsidRPr="00857473">
              <w:rPr>
                <w:sz w:val="16"/>
                <w:szCs w:val="16"/>
              </w:rPr>
              <w:t>17</w:t>
            </w:r>
          </w:p>
        </w:tc>
        <w:tc>
          <w:tcPr>
            <w:tcW w:w="816" w:type="dxa"/>
          </w:tcPr>
          <w:p w14:paraId="2E01CABF" w14:textId="77777777" w:rsidR="008E5C3C" w:rsidRPr="00857473" w:rsidRDefault="008E5C3C">
            <w:pPr>
              <w:pStyle w:val="TableText"/>
              <w:rPr>
                <w:sz w:val="16"/>
                <w:szCs w:val="16"/>
              </w:rPr>
            </w:pPr>
            <w:r w:rsidRPr="00857473">
              <w:rPr>
                <w:sz w:val="16"/>
                <w:szCs w:val="16"/>
              </w:rPr>
              <w:t>19</w:t>
            </w:r>
          </w:p>
        </w:tc>
        <w:tc>
          <w:tcPr>
            <w:tcW w:w="816" w:type="dxa"/>
          </w:tcPr>
          <w:p w14:paraId="15CBC8CC" w14:textId="77777777" w:rsidR="008E5C3C" w:rsidRPr="00857473" w:rsidRDefault="008E5C3C">
            <w:pPr>
              <w:pStyle w:val="TableText"/>
              <w:rPr>
                <w:sz w:val="16"/>
                <w:szCs w:val="16"/>
              </w:rPr>
            </w:pPr>
            <w:r w:rsidRPr="00857473">
              <w:rPr>
                <w:sz w:val="16"/>
                <w:szCs w:val="16"/>
              </w:rPr>
              <w:t>54</w:t>
            </w:r>
          </w:p>
        </w:tc>
        <w:tc>
          <w:tcPr>
            <w:tcW w:w="817" w:type="dxa"/>
          </w:tcPr>
          <w:p w14:paraId="45E2F18E" w14:textId="77777777" w:rsidR="008E5C3C" w:rsidRPr="00857473" w:rsidRDefault="008E5C3C">
            <w:pPr>
              <w:pStyle w:val="TableText"/>
              <w:rPr>
                <w:sz w:val="16"/>
                <w:szCs w:val="16"/>
              </w:rPr>
            </w:pPr>
            <w:r w:rsidRPr="00857473">
              <w:rPr>
                <w:sz w:val="16"/>
                <w:szCs w:val="16"/>
              </w:rPr>
              <w:t>46</w:t>
            </w:r>
          </w:p>
        </w:tc>
        <w:tc>
          <w:tcPr>
            <w:tcW w:w="816" w:type="dxa"/>
          </w:tcPr>
          <w:p w14:paraId="2E59BE50" w14:textId="77777777" w:rsidR="008E5C3C" w:rsidRPr="00961DFE" w:rsidRDefault="008E5C3C">
            <w:pPr>
              <w:pStyle w:val="TableText"/>
              <w:rPr>
                <w:sz w:val="16"/>
                <w:szCs w:val="16"/>
              </w:rPr>
            </w:pPr>
            <w:r w:rsidRPr="00961DFE">
              <w:rPr>
                <w:sz w:val="16"/>
                <w:szCs w:val="16"/>
              </w:rPr>
              <w:t>30</w:t>
            </w:r>
          </w:p>
        </w:tc>
        <w:tc>
          <w:tcPr>
            <w:tcW w:w="817" w:type="dxa"/>
          </w:tcPr>
          <w:p w14:paraId="43E6C1DA" w14:textId="77777777" w:rsidR="008E5C3C" w:rsidRPr="00961DFE" w:rsidRDefault="008E5C3C">
            <w:pPr>
              <w:pStyle w:val="TableText"/>
              <w:rPr>
                <w:sz w:val="16"/>
                <w:szCs w:val="16"/>
              </w:rPr>
            </w:pPr>
            <w:r w:rsidRPr="00961DFE">
              <w:rPr>
                <w:sz w:val="16"/>
                <w:szCs w:val="16"/>
              </w:rPr>
              <w:t>25</w:t>
            </w:r>
          </w:p>
        </w:tc>
        <w:tc>
          <w:tcPr>
            <w:tcW w:w="817" w:type="dxa"/>
          </w:tcPr>
          <w:p w14:paraId="6ABF72AD" w14:textId="2958FFBA" w:rsidR="3CD450B9" w:rsidRDefault="3CD450B9" w:rsidP="3CD450B9">
            <w:pPr>
              <w:pStyle w:val="TableText"/>
              <w:rPr>
                <w:sz w:val="16"/>
                <w:szCs w:val="16"/>
              </w:rPr>
            </w:pPr>
          </w:p>
        </w:tc>
      </w:tr>
      <w:tr w:rsidR="008E5C3C" w:rsidRPr="00857473" w14:paraId="329B8A34" w14:textId="17D0CD43" w:rsidTr="3CD450B9">
        <w:trPr>
          <w:trHeight w:val="300"/>
        </w:trPr>
        <w:tc>
          <w:tcPr>
            <w:tcW w:w="1671" w:type="dxa"/>
          </w:tcPr>
          <w:p w14:paraId="693C36B7" w14:textId="77777777" w:rsidR="008E5C3C" w:rsidRPr="00857473" w:rsidRDefault="008E5C3C">
            <w:pPr>
              <w:pStyle w:val="TableText"/>
              <w:rPr>
                <w:sz w:val="16"/>
                <w:szCs w:val="16"/>
              </w:rPr>
            </w:pPr>
            <w:r w:rsidRPr="00857473">
              <w:rPr>
                <w:sz w:val="16"/>
                <w:szCs w:val="16"/>
              </w:rPr>
              <w:t>Received transplantation, n (%)</w:t>
            </w:r>
          </w:p>
        </w:tc>
        <w:tc>
          <w:tcPr>
            <w:tcW w:w="816" w:type="dxa"/>
          </w:tcPr>
          <w:p w14:paraId="460BEAEA" w14:textId="77777777" w:rsidR="008E5C3C" w:rsidRPr="00857473" w:rsidRDefault="008E5C3C">
            <w:pPr>
              <w:pStyle w:val="TableText"/>
              <w:rPr>
                <w:sz w:val="16"/>
                <w:szCs w:val="16"/>
              </w:rPr>
            </w:pPr>
            <w:r w:rsidRPr="00857473">
              <w:rPr>
                <w:sz w:val="16"/>
                <w:szCs w:val="16"/>
              </w:rPr>
              <w:t>1 (12.5%)</w:t>
            </w:r>
          </w:p>
        </w:tc>
        <w:tc>
          <w:tcPr>
            <w:tcW w:w="816" w:type="dxa"/>
          </w:tcPr>
          <w:p w14:paraId="523FE414" w14:textId="77777777" w:rsidR="008E5C3C" w:rsidRPr="00857473" w:rsidRDefault="008E5C3C">
            <w:pPr>
              <w:pStyle w:val="TableText"/>
              <w:rPr>
                <w:sz w:val="16"/>
                <w:szCs w:val="16"/>
              </w:rPr>
            </w:pPr>
            <w:r w:rsidRPr="00857473">
              <w:rPr>
                <w:sz w:val="16"/>
                <w:szCs w:val="16"/>
              </w:rPr>
              <w:t>10 (100.0%)</w:t>
            </w:r>
          </w:p>
        </w:tc>
        <w:tc>
          <w:tcPr>
            <w:tcW w:w="817" w:type="dxa"/>
          </w:tcPr>
          <w:p w14:paraId="781DC1A2" w14:textId="77777777" w:rsidR="008E5C3C" w:rsidRPr="00857473" w:rsidRDefault="008E5C3C">
            <w:pPr>
              <w:pStyle w:val="TableText"/>
              <w:rPr>
                <w:sz w:val="16"/>
                <w:szCs w:val="16"/>
              </w:rPr>
            </w:pPr>
            <w:r w:rsidRPr="00857473">
              <w:rPr>
                <w:sz w:val="16"/>
                <w:szCs w:val="16"/>
              </w:rPr>
              <w:t>17 (100.0%)</w:t>
            </w:r>
          </w:p>
        </w:tc>
        <w:tc>
          <w:tcPr>
            <w:tcW w:w="816" w:type="dxa"/>
          </w:tcPr>
          <w:p w14:paraId="289A530C" w14:textId="77777777" w:rsidR="008E5C3C" w:rsidRPr="00857473" w:rsidRDefault="008E5C3C">
            <w:pPr>
              <w:pStyle w:val="TableText"/>
              <w:rPr>
                <w:sz w:val="16"/>
                <w:szCs w:val="16"/>
              </w:rPr>
            </w:pPr>
            <w:r w:rsidRPr="00857473">
              <w:rPr>
                <w:sz w:val="16"/>
                <w:szCs w:val="16"/>
              </w:rPr>
              <w:t>18 (94.7%)</w:t>
            </w:r>
          </w:p>
        </w:tc>
        <w:tc>
          <w:tcPr>
            <w:tcW w:w="816" w:type="dxa"/>
          </w:tcPr>
          <w:p w14:paraId="4370BC1D" w14:textId="77777777" w:rsidR="008E5C3C" w:rsidRPr="00857473" w:rsidRDefault="008E5C3C">
            <w:pPr>
              <w:pStyle w:val="TableText"/>
              <w:rPr>
                <w:sz w:val="16"/>
                <w:szCs w:val="16"/>
              </w:rPr>
            </w:pPr>
            <w:r w:rsidRPr="00857473">
              <w:rPr>
                <w:sz w:val="16"/>
                <w:szCs w:val="16"/>
              </w:rPr>
              <w:t>46 (85.2%)</w:t>
            </w:r>
          </w:p>
        </w:tc>
        <w:tc>
          <w:tcPr>
            <w:tcW w:w="817" w:type="dxa"/>
          </w:tcPr>
          <w:p w14:paraId="56ED8CAF" w14:textId="77777777" w:rsidR="008E5C3C" w:rsidRPr="00857473" w:rsidRDefault="008E5C3C">
            <w:pPr>
              <w:pStyle w:val="TableText"/>
              <w:rPr>
                <w:sz w:val="16"/>
                <w:szCs w:val="16"/>
              </w:rPr>
            </w:pPr>
            <w:r w:rsidRPr="00857473">
              <w:rPr>
                <w:sz w:val="16"/>
                <w:szCs w:val="16"/>
              </w:rPr>
              <w:t>46 (100</w:t>
            </w:r>
            <w:r>
              <w:rPr>
                <w:sz w:val="16"/>
                <w:szCs w:val="16"/>
              </w:rPr>
              <w:t>.0</w:t>
            </w:r>
            <w:r w:rsidRPr="00857473">
              <w:rPr>
                <w:sz w:val="16"/>
                <w:szCs w:val="16"/>
              </w:rPr>
              <w:t>%)</w:t>
            </w:r>
          </w:p>
        </w:tc>
        <w:tc>
          <w:tcPr>
            <w:tcW w:w="816" w:type="dxa"/>
          </w:tcPr>
          <w:p w14:paraId="723B01D8" w14:textId="77777777" w:rsidR="008E5C3C" w:rsidRPr="009E2F9F" w:rsidRDefault="008E5C3C">
            <w:pPr>
              <w:pStyle w:val="TableText"/>
              <w:rPr>
                <w:sz w:val="16"/>
                <w:szCs w:val="16"/>
              </w:rPr>
            </w:pPr>
            <w:r w:rsidRPr="009E2F9F">
              <w:rPr>
                <w:sz w:val="16"/>
                <w:szCs w:val="16"/>
              </w:rPr>
              <w:t>30 (10.0%)</w:t>
            </w:r>
          </w:p>
        </w:tc>
        <w:tc>
          <w:tcPr>
            <w:tcW w:w="817" w:type="dxa"/>
          </w:tcPr>
          <w:p w14:paraId="5CC2A75D" w14:textId="77777777" w:rsidR="008E5C3C" w:rsidRPr="009E2F9F" w:rsidRDefault="008E5C3C">
            <w:pPr>
              <w:pStyle w:val="TableText"/>
              <w:rPr>
                <w:sz w:val="16"/>
                <w:szCs w:val="16"/>
              </w:rPr>
            </w:pPr>
            <w:r w:rsidRPr="009E2F9F">
              <w:rPr>
                <w:sz w:val="16"/>
                <w:szCs w:val="16"/>
              </w:rPr>
              <w:t>25 (100.0%)</w:t>
            </w:r>
          </w:p>
        </w:tc>
        <w:tc>
          <w:tcPr>
            <w:tcW w:w="817" w:type="dxa"/>
          </w:tcPr>
          <w:p w14:paraId="37BF5AC1" w14:textId="678BCB5D" w:rsidR="3CD450B9" w:rsidRDefault="3CD450B9" w:rsidP="3CD450B9">
            <w:pPr>
              <w:pStyle w:val="TableText"/>
              <w:rPr>
                <w:sz w:val="16"/>
                <w:szCs w:val="16"/>
                <w:highlight w:val="green"/>
              </w:rPr>
            </w:pPr>
          </w:p>
        </w:tc>
      </w:tr>
      <w:tr w:rsidR="008E5C3C" w:rsidRPr="00857473" w14:paraId="66DE223A" w14:textId="42605CA7" w:rsidTr="3CD450B9">
        <w:trPr>
          <w:trHeight w:val="300"/>
        </w:trPr>
        <w:tc>
          <w:tcPr>
            <w:tcW w:w="1671" w:type="dxa"/>
          </w:tcPr>
          <w:p w14:paraId="1411CA8E" w14:textId="77777777" w:rsidR="008E5C3C" w:rsidRPr="00857473" w:rsidRDefault="008E5C3C">
            <w:pPr>
              <w:pStyle w:val="TableText"/>
              <w:rPr>
                <w:sz w:val="16"/>
                <w:szCs w:val="16"/>
              </w:rPr>
            </w:pPr>
            <w:r w:rsidRPr="00857473">
              <w:rPr>
                <w:sz w:val="16"/>
                <w:szCs w:val="16"/>
              </w:rPr>
              <w:t>Did not receive transplantation, n (%)</w:t>
            </w:r>
          </w:p>
        </w:tc>
        <w:tc>
          <w:tcPr>
            <w:tcW w:w="816" w:type="dxa"/>
          </w:tcPr>
          <w:p w14:paraId="09945F03" w14:textId="77777777" w:rsidR="008E5C3C" w:rsidRPr="00857473" w:rsidRDefault="008E5C3C">
            <w:pPr>
              <w:pStyle w:val="TableText"/>
              <w:rPr>
                <w:sz w:val="16"/>
                <w:szCs w:val="16"/>
              </w:rPr>
            </w:pPr>
            <w:r w:rsidRPr="00857473">
              <w:rPr>
                <w:sz w:val="16"/>
                <w:szCs w:val="16"/>
              </w:rPr>
              <w:t>7</w:t>
            </w:r>
            <w:r w:rsidRPr="00527717">
              <w:rPr>
                <w:sz w:val="16"/>
                <w:szCs w:val="16"/>
                <w:vertAlign w:val="superscript"/>
              </w:rPr>
              <w:t>a</w:t>
            </w:r>
            <w:r w:rsidRPr="00857473">
              <w:rPr>
                <w:sz w:val="16"/>
                <w:szCs w:val="16"/>
              </w:rPr>
              <w:t xml:space="preserve"> (87.5%)</w:t>
            </w:r>
          </w:p>
        </w:tc>
        <w:tc>
          <w:tcPr>
            <w:tcW w:w="816" w:type="dxa"/>
          </w:tcPr>
          <w:p w14:paraId="1C0DBD20" w14:textId="77777777" w:rsidR="008E5C3C" w:rsidRPr="00857473" w:rsidRDefault="008E5C3C">
            <w:pPr>
              <w:pStyle w:val="TableText"/>
              <w:rPr>
                <w:sz w:val="16"/>
                <w:szCs w:val="16"/>
              </w:rPr>
            </w:pPr>
            <w:r w:rsidRPr="00857473">
              <w:rPr>
                <w:sz w:val="16"/>
                <w:szCs w:val="16"/>
              </w:rPr>
              <w:t>0</w:t>
            </w:r>
          </w:p>
        </w:tc>
        <w:tc>
          <w:tcPr>
            <w:tcW w:w="817" w:type="dxa"/>
          </w:tcPr>
          <w:p w14:paraId="561D2F98" w14:textId="77777777" w:rsidR="008E5C3C" w:rsidRPr="00857473" w:rsidRDefault="008E5C3C">
            <w:pPr>
              <w:pStyle w:val="TableText"/>
              <w:rPr>
                <w:sz w:val="16"/>
                <w:szCs w:val="16"/>
              </w:rPr>
            </w:pPr>
            <w:r w:rsidRPr="00857473">
              <w:rPr>
                <w:sz w:val="16"/>
                <w:szCs w:val="16"/>
              </w:rPr>
              <w:t>0</w:t>
            </w:r>
          </w:p>
        </w:tc>
        <w:tc>
          <w:tcPr>
            <w:tcW w:w="816" w:type="dxa"/>
          </w:tcPr>
          <w:p w14:paraId="38B7B22F" w14:textId="77777777" w:rsidR="008E5C3C" w:rsidRPr="00857473" w:rsidRDefault="008E5C3C">
            <w:pPr>
              <w:pStyle w:val="TableText"/>
              <w:rPr>
                <w:sz w:val="16"/>
                <w:szCs w:val="16"/>
              </w:rPr>
            </w:pPr>
            <w:r w:rsidRPr="00857473">
              <w:rPr>
                <w:sz w:val="16"/>
                <w:szCs w:val="16"/>
              </w:rPr>
              <w:t>1</w:t>
            </w:r>
            <w:r w:rsidRPr="00527717">
              <w:rPr>
                <w:sz w:val="16"/>
                <w:szCs w:val="16"/>
                <w:vertAlign w:val="superscript"/>
              </w:rPr>
              <w:t>b</w:t>
            </w:r>
            <w:r w:rsidRPr="00857473">
              <w:rPr>
                <w:sz w:val="16"/>
                <w:szCs w:val="16"/>
              </w:rPr>
              <w:t xml:space="preserve"> (5.3%)</w:t>
            </w:r>
          </w:p>
        </w:tc>
        <w:tc>
          <w:tcPr>
            <w:tcW w:w="816" w:type="dxa"/>
          </w:tcPr>
          <w:p w14:paraId="7A3B985A" w14:textId="77777777" w:rsidR="008E5C3C" w:rsidRPr="00857473" w:rsidRDefault="008E5C3C">
            <w:pPr>
              <w:pStyle w:val="TableText"/>
              <w:rPr>
                <w:sz w:val="16"/>
                <w:szCs w:val="16"/>
              </w:rPr>
            </w:pPr>
            <w:r w:rsidRPr="00857473">
              <w:rPr>
                <w:sz w:val="16"/>
                <w:szCs w:val="16"/>
              </w:rPr>
              <w:t>8 (14.8%)</w:t>
            </w:r>
          </w:p>
        </w:tc>
        <w:tc>
          <w:tcPr>
            <w:tcW w:w="817" w:type="dxa"/>
          </w:tcPr>
          <w:p w14:paraId="5B50A862" w14:textId="77777777" w:rsidR="008E5C3C" w:rsidRPr="00857473" w:rsidRDefault="008E5C3C">
            <w:pPr>
              <w:pStyle w:val="TableText"/>
              <w:rPr>
                <w:sz w:val="16"/>
                <w:szCs w:val="16"/>
              </w:rPr>
            </w:pPr>
            <w:r w:rsidRPr="00857473">
              <w:rPr>
                <w:sz w:val="16"/>
                <w:szCs w:val="16"/>
              </w:rPr>
              <w:t>0</w:t>
            </w:r>
          </w:p>
        </w:tc>
        <w:tc>
          <w:tcPr>
            <w:tcW w:w="816" w:type="dxa"/>
          </w:tcPr>
          <w:p w14:paraId="4058A2D3" w14:textId="77777777" w:rsidR="008E5C3C" w:rsidRPr="009E2F9F" w:rsidRDefault="008E5C3C">
            <w:pPr>
              <w:pStyle w:val="TableText"/>
              <w:rPr>
                <w:sz w:val="16"/>
                <w:szCs w:val="16"/>
              </w:rPr>
            </w:pPr>
            <w:r w:rsidRPr="009E2F9F">
              <w:rPr>
                <w:sz w:val="16"/>
                <w:szCs w:val="16"/>
              </w:rPr>
              <w:t>0</w:t>
            </w:r>
          </w:p>
        </w:tc>
        <w:tc>
          <w:tcPr>
            <w:tcW w:w="817" w:type="dxa"/>
          </w:tcPr>
          <w:p w14:paraId="236B4FB9" w14:textId="77777777" w:rsidR="008E5C3C" w:rsidRPr="009E2F9F" w:rsidRDefault="008E5C3C">
            <w:pPr>
              <w:pStyle w:val="TableText"/>
              <w:rPr>
                <w:sz w:val="16"/>
                <w:szCs w:val="16"/>
              </w:rPr>
            </w:pPr>
            <w:r w:rsidRPr="009E2F9F">
              <w:rPr>
                <w:sz w:val="16"/>
                <w:szCs w:val="16"/>
              </w:rPr>
              <w:t>0</w:t>
            </w:r>
          </w:p>
        </w:tc>
        <w:tc>
          <w:tcPr>
            <w:tcW w:w="817" w:type="dxa"/>
          </w:tcPr>
          <w:p w14:paraId="76E3FE77" w14:textId="2F7596E7" w:rsidR="3CD450B9" w:rsidRDefault="3CD450B9" w:rsidP="3CD450B9">
            <w:pPr>
              <w:pStyle w:val="TableText"/>
              <w:rPr>
                <w:sz w:val="16"/>
                <w:szCs w:val="16"/>
                <w:highlight w:val="green"/>
              </w:rPr>
            </w:pPr>
          </w:p>
        </w:tc>
      </w:tr>
      <w:tr w:rsidR="008E5C3C" w:rsidRPr="00857473" w14:paraId="3CE14FA3" w14:textId="4BBCFAAE" w:rsidTr="3CD450B9">
        <w:trPr>
          <w:trHeight w:val="300"/>
        </w:trPr>
        <w:tc>
          <w:tcPr>
            <w:tcW w:w="1671" w:type="dxa"/>
          </w:tcPr>
          <w:p w14:paraId="72D409D9" w14:textId="77777777" w:rsidR="008E5C3C" w:rsidRPr="00857473" w:rsidRDefault="008E5C3C">
            <w:pPr>
              <w:pStyle w:val="TableText"/>
              <w:rPr>
                <w:sz w:val="16"/>
                <w:szCs w:val="16"/>
              </w:rPr>
            </w:pPr>
            <w:r w:rsidRPr="00857473">
              <w:rPr>
                <w:sz w:val="16"/>
                <w:szCs w:val="16"/>
              </w:rPr>
              <w:t>Completed core study, n (%)</w:t>
            </w:r>
          </w:p>
        </w:tc>
        <w:tc>
          <w:tcPr>
            <w:tcW w:w="816" w:type="dxa"/>
          </w:tcPr>
          <w:p w14:paraId="4B8AB08F" w14:textId="77777777" w:rsidR="008E5C3C" w:rsidRPr="00857473" w:rsidRDefault="008E5C3C">
            <w:pPr>
              <w:pStyle w:val="TableText"/>
              <w:rPr>
                <w:sz w:val="16"/>
                <w:szCs w:val="16"/>
              </w:rPr>
            </w:pPr>
            <w:r w:rsidRPr="00857473">
              <w:rPr>
                <w:sz w:val="16"/>
                <w:szCs w:val="16"/>
              </w:rPr>
              <w:t>8 (100.0%)</w:t>
            </w:r>
          </w:p>
        </w:tc>
        <w:tc>
          <w:tcPr>
            <w:tcW w:w="816" w:type="dxa"/>
          </w:tcPr>
          <w:p w14:paraId="22A438FD" w14:textId="77777777" w:rsidR="008E5C3C" w:rsidRPr="00857473" w:rsidRDefault="008E5C3C">
            <w:pPr>
              <w:pStyle w:val="TableText"/>
              <w:rPr>
                <w:sz w:val="16"/>
                <w:szCs w:val="16"/>
              </w:rPr>
            </w:pPr>
            <w:r w:rsidRPr="00857473">
              <w:rPr>
                <w:sz w:val="16"/>
                <w:szCs w:val="16"/>
              </w:rPr>
              <w:t>10 (100.0%)</w:t>
            </w:r>
          </w:p>
        </w:tc>
        <w:tc>
          <w:tcPr>
            <w:tcW w:w="817" w:type="dxa"/>
          </w:tcPr>
          <w:p w14:paraId="112B0FFD" w14:textId="77777777" w:rsidR="008E5C3C" w:rsidRPr="00857473" w:rsidRDefault="008E5C3C">
            <w:pPr>
              <w:pStyle w:val="TableText"/>
              <w:rPr>
                <w:sz w:val="16"/>
                <w:szCs w:val="16"/>
              </w:rPr>
            </w:pPr>
            <w:r w:rsidRPr="00857473">
              <w:rPr>
                <w:sz w:val="16"/>
                <w:szCs w:val="16"/>
              </w:rPr>
              <w:t>15 (88.2%)</w:t>
            </w:r>
          </w:p>
        </w:tc>
        <w:tc>
          <w:tcPr>
            <w:tcW w:w="816" w:type="dxa"/>
          </w:tcPr>
          <w:p w14:paraId="3C111ABA" w14:textId="77777777" w:rsidR="008E5C3C" w:rsidRPr="00857473" w:rsidRDefault="008E5C3C">
            <w:pPr>
              <w:pStyle w:val="TableText"/>
              <w:rPr>
                <w:sz w:val="16"/>
                <w:szCs w:val="16"/>
              </w:rPr>
            </w:pPr>
            <w:r w:rsidRPr="00857473">
              <w:rPr>
                <w:sz w:val="16"/>
                <w:szCs w:val="16"/>
              </w:rPr>
              <w:t>16 (84.2%)</w:t>
            </w:r>
          </w:p>
        </w:tc>
        <w:tc>
          <w:tcPr>
            <w:tcW w:w="816" w:type="dxa"/>
          </w:tcPr>
          <w:p w14:paraId="773B25C9" w14:textId="77777777" w:rsidR="008E5C3C" w:rsidRPr="00857473" w:rsidRDefault="008E5C3C">
            <w:pPr>
              <w:pStyle w:val="TableText"/>
              <w:rPr>
                <w:sz w:val="16"/>
                <w:szCs w:val="16"/>
              </w:rPr>
            </w:pPr>
            <w:r w:rsidRPr="00857473">
              <w:rPr>
                <w:sz w:val="16"/>
                <w:szCs w:val="16"/>
              </w:rPr>
              <w:t>49 (90.7%)</w:t>
            </w:r>
          </w:p>
        </w:tc>
        <w:tc>
          <w:tcPr>
            <w:tcW w:w="817" w:type="dxa"/>
          </w:tcPr>
          <w:p w14:paraId="33259684" w14:textId="77777777" w:rsidR="008E5C3C" w:rsidRPr="00857473" w:rsidRDefault="008E5C3C">
            <w:pPr>
              <w:pStyle w:val="TableText"/>
              <w:rPr>
                <w:sz w:val="16"/>
                <w:szCs w:val="16"/>
              </w:rPr>
            </w:pPr>
            <w:r w:rsidRPr="00857473">
              <w:rPr>
                <w:sz w:val="16"/>
                <w:szCs w:val="16"/>
              </w:rPr>
              <w:t>42 (91</w:t>
            </w:r>
            <w:r>
              <w:rPr>
                <w:sz w:val="16"/>
                <w:szCs w:val="16"/>
              </w:rPr>
              <w:t>.0</w:t>
            </w:r>
            <w:r w:rsidRPr="00857473">
              <w:rPr>
                <w:sz w:val="16"/>
                <w:szCs w:val="16"/>
              </w:rPr>
              <w:t>%)</w:t>
            </w:r>
          </w:p>
        </w:tc>
        <w:tc>
          <w:tcPr>
            <w:tcW w:w="816" w:type="dxa"/>
          </w:tcPr>
          <w:p w14:paraId="440C2197" w14:textId="77777777" w:rsidR="008E5C3C" w:rsidRPr="009E2F9F" w:rsidRDefault="008E5C3C">
            <w:pPr>
              <w:pStyle w:val="TableText"/>
              <w:rPr>
                <w:sz w:val="16"/>
                <w:szCs w:val="16"/>
              </w:rPr>
            </w:pPr>
            <w:r w:rsidRPr="009E2F9F">
              <w:rPr>
                <w:sz w:val="16"/>
                <w:szCs w:val="16"/>
              </w:rPr>
              <w:t>23 (92.0%)</w:t>
            </w:r>
          </w:p>
        </w:tc>
        <w:tc>
          <w:tcPr>
            <w:tcW w:w="817" w:type="dxa"/>
          </w:tcPr>
          <w:p w14:paraId="20717D51" w14:textId="65E06D64" w:rsidR="008E5C3C" w:rsidRPr="009E2F9F" w:rsidRDefault="00D04C84">
            <w:pPr>
              <w:pStyle w:val="TableText"/>
              <w:rPr>
                <w:sz w:val="16"/>
                <w:szCs w:val="16"/>
              </w:rPr>
            </w:pPr>
            <w:r w:rsidRPr="009E2F9F">
              <w:rPr>
                <w:sz w:val="16"/>
                <w:szCs w:val="16"/>
              </w:rPr>
              <w:t xml:space="preserve">23 </w:t>
            </w:r>
            <w:r w:rsidR="008E5C3C" w:rsidRPr="009E2F9F">
              <w:rPr>
                <w:sz w:val="16"/>
                <w:szCs w:val="16"/>
              </w:rPr>
              <w:t>(93.0%)</w:t>
            </w:r>
          </w:p>
        </w:tc>
        <w:tc>
          <w:tcPr>
            <w:tcW w:w="817" w:type="dxa"/>
          </w:tcPr>
          <w:p w14:paraId="0FA33328" w14:textId="3949D90C" w:rsidR="3CD450B9" w:rsidRDefault="3CD450B9" w:rsidP="3CD450B9">
            <w:pPr>
              <w:pStyle w:val="TableText"/>
              <w:rPr>
                <w:sz w:val="16"/>
                <w:szCs w:val="16"/>
                <w:highlight w:val="green"/>
              </w:rPr>
            </w:pPr>
          </w:p>
        </w:tc>
      </w:tr>
      <w:tr w:rsidR="008E5C3C" w:rsidRPr="00857473" w14:paraId="5EF5C8DF" w14:textId="5F4E463D" w:rsidTr="3CD450B9">
        <w:trPr>
          <w:trHeight w:val="300"/>
        </w:trPr>
        <w:tc>
          <w:tcPr>
            <w:tcW w:w="1671" w:type="dxa"/>
          </w:tcPr>
          <w:p w14:paraId="2AB8F76F" w14:textId="77777777" w:rsidR="008E5C3C" w:rsidRPr="00857473" w:rsidRDefault="008E5C3C">
            <w:pPr>
              <w:pStyle w:val="TableText"/>
              <w:rPr>
                <w:sz w:val="16"/>
                <w:szCs w:val="16"/>
              </w:rPr>
            </w:pPr>
            <w:r w:rsidRPr="00857473">
              <w:rPr>
                <w:sz w:val="16"/>
                <w:szCs w:val="16"/>
              </w:rPr>
              <w:t>Drug withdrawal/dose interruption, n (%)</w:t>
            </w:r>
          </w:p>
        </w:tc>
        <w:tc>
          <w:tcPr>
            <w:tcW w:w="816" w:type="dxa"/>
          </w:tcPr>
          <w:p w14:paraId="14F9214A" w14:textId="77777777" w:rsidR="008E5C3C" w:rsidRPr="00857473" w:rsidRDefault="008E5C3C">
            <w:pPr>
              <w:pStyle w:val="TableText"/>
              <w:rPr>
                <w:sz w:val="16"/>
                <w:szCs w:val="16"/>
              </w:rPr>
            </w:pPr>
            <w:r w:rsidRPr="00857473">
              <w:rPr>
                <w:sz w:val="16"/>
                <w:szCs w:val="16"/>
              </w:rPr>
              <w:t>1 (12.5%)</w:t>
            </w:r>
          </w:p>
        </w:tc>
        <w:tc>
          <w:tcPr>
            <w:tcW w:w="816" w:type="dxa"/>
          </w:tcPr>
          <w:p w14:paraId="347EBDB2" w14:textId="77777777" w:rsidR="008E5C3C" w:rsidRPr="00857473" w:rsidRDefault="008E5C3C">
            <w:pPr>
              <w:pStyle w:val="TableText"/>
              <w:rPr>
                <w:sz w:val="16"/>
                <w:szCs w:val="16"/>
              </w:rPr>
            </w:pPr>
            <w:r w:rsidRPr="00857473">
              <w:rPr>
                <w:sz w:val="16"/>
                <w:szCs w:val="16"/>
              </w:rPr>
              <w:t>0</w:t>
            </w:r>
          </w:p>
        </w:tc>
        <w:tc>
          <w:tcPr>
            <w:tcW w:w="817" w:type="dxa"/>
          </w:tcPr>
          <w:p w14:paraId="7D4016C6" w14:textId="77777777" w:rsidR="008E5C3C" w:rsidRPr="00857473" w:rsidRDefault="008E5C3C">
            <w:pPr>
              <w:pStyle w:val="TableText"/>
              <w:rPr>
                <w:sz w:val="16"/>
                <w:szCs w:val="16"/>
              </w:rPr>
            </w:pPr>
            <w:r w:rsidRPr="00857473">
              <w:rPr>
                <w:sz w:val="16"/>
                <w:szCs w:val="16"/>
              </w:rPr>
              <w:t>0</w:t>
            </w:r>
          </w:p>
        </w:tc>
        <w:tc>
          <w:tcPr>
            <w:tcW w:w="816" w:type="dxa"/>
          </w:tcPr>
          <w:p w14:paraId="1EB6A437" w14:textId="77777777" w:rsidR="008E5C3C" w:rsidRPr="00857473" w:rsidRDefault="008E5C3C">
            <w:pPr>
              <w:pStyle w:val="TableText"/>
              <w:rPr>
                <w:sz w:val="16"/>
                <w:szCs w:val="16"/>
              </w:rPr>
            </w:pPr>
            <w:r w:rsidRPr="00857473">
              <w:rPr>
                <w:sz w:val="16"/>
                <w:szCs w:val="16"/>
              </w:rPr>
              <w:t>3 (15.8%)</w:t>
            </w:r>
          </w:p>
        </w:tc>
        <w:tc>
          <w:tcPr>
            <w:tcW w:w="816" w:type="dxa"/>
          </w:tcPr>
          <w:p w14:paraId="5FC6963D" w14:textId="77777777" w:rsidR="008E5C3C" w:rsidRPr="00857473" w:rsidRDefault="008E5C3C">
            <w:pPr>
              <w:pStyle w:val="TableText"/>
              <w:rPr>
                <w:sz w:val="16"/>
                <w:szCs w:val="16"/>
              </w:rPr>
            </w:pPr>
            <w:r w:rsidRPr="00857473">
              <w:rPr>
                <w:sz w:val="16"/>
                <w:szCs w:val="16"/>
              </w:rPr>
              <w:t>4 (7.4%)</w:t>
            </w:r>
          </w:p>
        </w:tc>
        <w:tc>
          <w:tcPr>
            <w:tcW w:w="817" w:type="dxa"/>
          </w:tcPr>
          <w:p w14:paraId="607E8E35" w14:textId="77777777" w:rsidR="008E5C3C" w:rsidRPr="00857473" w:rsidRDefault="008E5C3C">
            <w:pPr>
              <w:pStyle w:val="TableText"/>
              <w:rPr>
                <w:sz w:val="16"/>
                <w:szCs w:val="16"/>
              </w:rPr>
            </w:pPr>
            <w:r w:rsidRPr="00857473">
              <w:rPr>
                <w:sz w:val="16"/>
                <w:szCs w:val="16"/>
              </w:rPr>
              <w:t>2 (4</w:t>
            </w:r>
            <w:r>
              <w:rPr>
                <w:sz w:val="16"/>
                <w:szCs w:val="16"/>
              </w:rPr>
              <w:t>.0</w:t>
            </w:r>
            <w:r w:rsidRPr="00857473">
              <w:rPr>
                <w:sz w:val="16"/>
                <w:szCs w:val="16"/>
              </w:rPr>
              <w:t>%)</w:t>
            </w:r>
          </w:p>
        </w:tc>
        <w:tc>
          <w:tcPr>
            <w:tcW w:w="816" w:type="dxa"/>
          </w:tcPr>
          <w:p w14:paraId="72225E3E" w14:textId="77777777" w:rsidR="008E5C3C" w:rsidRPr="009E2F9F" w:rsidRDefault="008E5C3C">
            <w:pPr>
              <w:pStyle w:val="TableText"/>
              <w:rPr>
                <w:sz w:val="16"/>
                <w:szCs w:val="16"/>
              </w:rPr>
            </w:pPr>
            <w:r w:rsidRPr="009E2F9F">
              <w:rPr>
                <w:sz w:val="16"/>
                <w:szCs w:val="16"/>
              </w:rPr>
              <w:t>2 (8.0%)</w:t>
            </w:r>
          </w:p>
        </w:tc>
        <w:tc>
          <w:tcPr>
            <w:tcW w:w="817" w:type="dxa"/>
          </w:tcPr>
          <w:p w14:paraId="2B866C4E" w14:textId="77777777" w:rsidR="008E5C3C" w:rsidRPr="009E2F9F" w:rsidRDefault="008E5C3C">
            <w:pPr>
              <w:pStyle w:val="TableText"/>
              <w:rPr>
                <w:sz w:val="16"/>
                <w:szCs w:val="16"/>
              </w:rPr>
            </w:pPr>
            <w:r w:rsidRPr="009E2F9F">
              <w:rPr>
                <w:sz w:val="16"/>
                <w:szCs w:val="16"/>
              </w:rPr>
              <w:t>2 (7.0%)</w:t>
            </w:r>
          </w:p>
        </w:tc>
        <w:tc>
          <w:tcPr>
            <w:tcW w:w="817" w:type="dxa"/>
          </w:tcPr>
          <w:p w14:paraId="2C1E316C" w14:textId="44AEBC98" w:rsidR="3CD450B9" w:rsidRDefault="3CD450B9" w:rsidP="3CD450B9">
            <w:pPr>
              <w:pStyle w:val="TableText"/>
              <w:rPr>
                <w:sz w:val="16"/>
                <w:szCs w:val="16"/>
                <w:highlight w:val="green"/>
              </w:rPr>
            </w:pPr>
          </w:p>
        </w:tc>
      </w:tr>
      <w:tr w:rsidR="008E5C3C" w:rsidRPr="00857473" w14:paraId="0D7CBE83" w14:textId="1FDE3722" w:rsidTr="3CD450B9">
        <w:trPr>
          <w:trHeight w:val="300"/>
        </w:trPr>
        <w:tc>
          <w:tcPr>
            <w:tcW w:w="1671" w:type="dxa"/>
          </w:tcPr>
          <w:p w14:paraId="1627F95E" w14:textId="77777777" w:rsidR="008E5C3C" w:rsidRPr="00857473" w:rsidRDefault="008E5C3C">
            <w:pPr>
              <w:pStyle w:val="TableText"/>
              <w:rPr>
                <w:sz w:val="16"/>
                <w:szCs w:val="16"/>
              </w:rPr>
            </w:pPr>
            <w:r w:rsidRPr="00857473">
              <w:rPr>
                <w:sz w:val="16"/>
                <w:szCs w:val="16"/>
              </w:rPr>
              <w:t>Discontinued study, n (%)</w:t>
            </w:r>
          </w:p>
          <w:p w14:paraId="16964346" w14:textId="77777777" w:rsidR="008E5C3C" w:rsidRPr="00857473" w:rsidRDefault="008E5C3C">
            <w:pPr>
              <w:pStyle w:val="TableText"/>
              <w:ind w:left="458"/>
              <w:rPr>
                <w:sz w:val="16"/>
                <w:szCs w:val="16"/>
              </w:rPr>
            </w:pPr>
            <w:r w:rsidRPr="00857473">
              <w:rPr>
                <w:sz w:val="16"/>
                <w:szCs w:val="16"/>
              </w:rPr>
              <w:t>AE</w:t>
            </w:r>
          </w:p>
          <w:p w14:paraId="1D9F89C8" w14:textId="77777777" w:rsidR="008E5C3C" w:rsidRPr="00857473" w:rsidRDefault="008E5C3C">
            <w:pPr>
              <w:pStyle w:val="TableText"/>
              <w:ind w:left="458"/>
              <w:rPr>
                <w:sz w:val="16"/>
                <w:szCs w:val="16"/>
              </w:rPr>
            </w:pPr>
            <w:r w:rsidRPr="00857473">
              <w:rPr>
                <w:sz w:val="16"/>
                <w:szCs w:val="16"/>
              </w:rPr>
              <w:t xml:space="preserve">Lost to </w:t>
            </w:r>
            <w:proofErr w:type="gramStart"/>
            <w:r w:rsidRPr="00857473">
              <w:rPr>
                <w:sz w:val="16"/>
                <w:szCs w:val="16"/>
              </w:rPr>
              <w:t>follow-up</w:t>
            </w:r>
            <w:proofErr w:type="gramEnd"/>
          </w:p>
          <w:p w14:paraId="0C757DB9" w14:textId="77777777" w:rsidR="008E5C3C" w:rsidRPr="00857473" w:rsidRDefault="008E5C3C">
            <w:pPr>
              <w:pStyle w:val="TableText"/>
              <w:ind w:left="458"/>
              <w:rPr>
                <w:sz w:val="16"/>
                <w:szCs w:val="16"/>
              </w:rPr>
            </w:pPr>
            <w:proofErr w:type="spellStart"/>
            <w:r w:rsidRPr="00857473">
              <w:rPr>
                <w:sz w:val="16"/>
                <w:szCs w:val="16"/>
              </w:rPr>
              <w:t>Other</w:t>
            </w:r>
            <w:r w:rsidRPr="00527717">
              <w:rPr>
                <w:sz w:val="16"/>
                <w:szCs w:val="16"/>
                <w:vertAlign w:val="superscript"/>
              </w:rPr>
              <w:t>c</w:t>
            </w:r>
            <w:proofErr w:type="spellEnd"/>
          </w:p>
          <w:p w14:paraId="1264E14D" w14:textId="77777777" w:rsidR="008E5C3C" w:rsidRPr="00857473" w:rsidRDefault="008E5C3C">
            <w:pPr>
              <w:pStyle w:val="TableText"/>
              <w:ind w:left="458"/>
              <w:rPr>
                <w:sz w:val="16"/>
                <w:szCs w:val="16"/>
              </w:rPr>
            </w:pPr>
            <w:r w:rsidRPr="00857473">
              <w:rPr>
                <w:sz w:val="16"/>
                <w:szCs w:val="16"/>
              </w:rPr>
              <w:t>Patient withdrew</w:t>
            </w:r>
          </w:p>
        </w:tc>
        <w:tc>
          <w:tcPr>
            <w:tcW w:w="816" w:type="dxa"/>
          </w:tcPr>
          <w:p w14:paraId="4323F833" w14:textId="77777777" w:rsidR="008E5C3C" w:rsidRPr="00857473" w:rsidRDefault="008E5C3C">
            <w:pPr>
              <w:pStyle w:val="TableText"/>
              <w:rPr>
                <w:sz w:val="16"/>
                <w:szCs w:val="16"/>
              </w:rPr>
            </w:pPr>
            <w:r w:rsidRPr="00857473">
              <w:rPr>
                <w:sz w:val="16"/>
                <w:szCs w:val="16"/>
              </w:rPr>
              <w:t>0</w:t>
            </w:r>
          </w:p>
        </w:tc>
        <w:tc>
          <w:tcPr>
            <w:tcW w:w="816" w:type="dxa"/>
          </w:tcPr>
          <w:p w14:paraId="55F5A354" w14:textId="77777777" w:rsidR="008E5C3C" w:rsidRPr="00857473" w:rsidRDefault="008E5C3C">
            <w:pPr>
              <w:pStyle w:val="TableText"/>
              <w:rPr>
                <w:sz w:val="16"/>
                <w:szCs w:val="16"/>
              </w:rPr>
            </w:pPr>
            <w:r w:rsidRPr="00857473">
              <w:rPr>
                <w:sz w:val="16"/>
                <w:szCs w:val="16"/>
              </w:rPr>
              <w:t>0</w:t>
            </w:r>
          </w:p>
        </w:tc>
        <w:tc>
          <w:tcPr>
            <w:tcW w:w="817" w:type="dxa"/>
          </w:tcPr>
          <w:p w14:paraId="4B87AF72" w14:textId="77777777" w:rsidR="008E5C3C" w:rsidRPr="00857473" w:rsidRDefault="008E5C3C">
            <w:pPr>
              <w:pStyle w:val="TableText"/>
              <w:rPr>
                <w:sz w:val="16"/>
                <w:szCs w:val="16"/>
              </w:rPr>
            </w:pPr>
            <w:r w:rsidRPr="00857473">
              <w:rPr>
                <w:sz w:val="16"/>
                <w:szCs w:val="16"/>
              </w:rPr>
              <w:t>2 (11.8%)</w:t>
            </w:r>
          </w:p>
          <w:p w14:paraId="2F6291C4" w14:textId="77777777" w:rsidR="008E5C3C" w:rsidRPr="00857473" w:rsidRDefault="008E5C3C">
            <w:pPr>
              <w:pStyle w:val="TableText"/>
              <w:rPr>
                <w:sz w:val="16"/>
                <w:szCs w:val="16"/>
              </w:rPr>
            </w:pPr>
            <w:r w:rsidRPr="00857473">
              <w:rPr>
                <w:sz w:val="16"/>
                <w:szCs w:val="16"/>
              </w:rPr>
              <w:t>0</w:t>
            </w:r>
          </w:p>
          <w:p w14:paraId="737ECE83" w14:textId="77777777" w:rsidR="008E5C3C" w:rsidRPr="00857473" w:rsidRDefault="008E5C3C">
            <w:pPr>
              <w:pStyle w:val="TableText"/>
              <w:rPr>
                <w:sz w:val="16"/>
                <w:szCs w:val="16"/>
              </w:rPr>
            </w:pPr>
            <w:r w:rsidRPr="00857473">
              <w:rPr>
                <w:sz w:val="16"/>
                <w:szCs w:val="16"/>
              </w:rPr>
              <w:t>1 (5.9%)</w:t>
            </w:r>
          </w:p>
          <w:p w14:paraId="62C56E46" w14:textId="77777777" w:rsidR="008E5C3C" w:rsidRPr="00857473" w:rsidRDefault="008E5C3C">
            <w:pPr>
              <w:pStyle w:val="TableText"/>
              <w:rPr>
                <w:sz w:val="16"/>
                <w:szCs w:val="16"/>
              </w:rPr>
            </w:pPr>
            <w:r w:rsidRPr="00857473">
              <w:rPr>
                <w:sz w:val="16"/>
                <w:szCs w:val="16"/>
              </w:rPr>
              <w:t>0</w:t>
            </w:r>
          </w:p>
          <w:p w14:paraId="4B2468D8" w14:textId="77777777" w:rsidR="008E5C3C" w:rsidRPr="00857473" w:rsidRDefault="008E5C3C">
            <w:pPr>
              <w:pStyle w:val="TableText"/>
              <w:rPr>
                <w:sz w:val="16"/>
                <w:szCs w:val="16"/>
              </w:rPr>
            </w:pPr>
            <w:r w:rsidRPr="00857473">
              <w:rPr>
                <w:sz w:val="16"/>
                <w:szCs w:val="16"/>
              </w:rPr>
              <w:t>1 (5.9%)</w:t>
            </w:r>
          </w:p>
        </w:tc>
        <w:tc>
          <w:tcPr>
            <w:tcW w:w="816" w:type="dxa"/>
          </w:tcPr>
          <w:p w14:paraId="4ED6F225" w14:textId="77777777" w:rsidR="008E5C3C" w:rsidRPr="00857473" w:rsidRDefault="008E5C3C">
            <w:pPr>
              <w:pStyle w:val="TableText"/>
              <w:rPr>
                <w:sz w:val="16"/>
                <w:szCs w:val="16"/>
              </w:rPr>
            </w:pPr>
            <w:r w:rsidRPr="00857473">
              <w:rPr>
                <w:sz w:val="16"/>
                <w:szCs w:val="16"/>
              </w:rPr>
              <w:t>3 (15.8%)</w:t>
            </w:r>
          </w:p>
          <w:p w14:paraId="271460D1" w14:textId="77777777" w:rsidR="008E5C3C" w:rsidRPr="00857473" w:rsidRDefault="008E5C3C">
            <w:pPr>
              <w:pStyle w:val="TableText"/>
              <w:rPr>
                <w:sz w:val="16"/>
                <w:szCs w:val="16"/>
              </w:rPr>
            </w:pPr>
            <w:r w:rsidRPr="00857473">
              <w:rPr>
                <w:sz w:val="16"/>
                <w:szCs w:val="16"/>
              </w:rPr>
              <w:t>1 (5.3%)</w:t>
            </w:r>
          </w:p>
          <w:p w14:paraId="53D2F091" w14:textId="77777777" w:rsidR="008E5C3C" w:rsidRPr="00857473" w:rsidRDefault="008E5C3C">
            <w:pPr>
              <w:pStyle w:val="TableText"/>
              <w:rPr>
                <w:sz w:val="16"/>
                <w:szCs w:val="16"/>
              </w:rPr>
            </w:pPr>
            <w:r w:rsidRPr="00857473">
              <w:rPr>
                <w:sz w:val="16"/>
                <w:szCs w:val="16"/>
              </w:rPr>
              <w:t>0</w:t>
            </w:r>
          </w:p>
          <w:p w14:paraId="5E63BED2" w14:textId="77777777" w:rsidR="008E5C3C" w:rsidRPr="00857473" w:rsidRDefault="008E5C3C">
            <w:pPr>
              <w:pStyle w:val="TableText"/>
              <w:rPr>
                <w:sz w:val="16"/>
                <w:szCs w:val="16"/>
              </w:rPr>
            </w:pPr>
            <w:r w:rsidRPr="00857473">
              <w:rPr>
                <w:sz w:val="16"/>
                <w:szCs w:val="16"/>
              </w:rPr>
              <w:t>1 (5.3%)</w:t>
            </w:r>
          </w:p>
          <w:p w14:paraId="339C5774" w14:textId="77777777" w:rsidR="008E5C3C" w:rsidRPr="00857473" w:rsidRDefault="008E5C3C">
            <w:pPr>
              <w:pStyle w:val="TableText"/>
              <w:rPr>
                <w:sz w:val="16"/>
                <w:szCs w:val="16"/>
              </w:rPr>
            </w:pPr>
            <w:r w:rsidRPr="00857473">
              <w:rPr>
                <w:sz w:val="16"/>
                <w:szCs w:val="16"/>
              </w:rPr>
              <w:t>1 (5.3%)</w:t>
            </w:r>
          </w:p>
        </w:tc>
        <w:tc>
          <w:tcPr>
            <w:tcW w:w="816" w:type="dxa"/>
          </w:tcPr>
          <w:p w14:paraId="0FD3DCD4" w14:textId="77777777" w:rsidR="008E5C3C" w:rsidRPr="00857473" w:rsidRDefault="008E5C3C">
            <w:pPr>
              <w:pStyle w:val="TableText"/>
              <w:rPr>
                <w:sz w:val="16"/>
                <w:szCs w:val="16"/>
              </w:rPr>
            </w:pPr>
            <w:r w:rsidRPr="00857473">
              <w:rPr>
                <w:sz w:val="16"/>
                <w:szCs w:val="16"/>
              </w:rPr>
              <w:t>5 (9.3%)</w:t>
            </w:r>
          </w:p>
          <w:p w14:paraId="4DCB62C4" w14:textId="77777777" w:rsidR="008E5C3C" w:rsidRPr="00857473" w:rsidRDefault="008E5C3C">
            <w:pPr>
              <w:pStyle w:val="TableText"/>
              <w:rPr>
                <w:sz w:val="16"/>
                <w:szCs w:val="16"/>
              </w:rPr>
            </w:pPr>
            <w:r w:rsidRPr="00857473">
              <w:rPr>
                <w:sz w:val="16"/>
                <w:szCs w:val="16"/>
              </w:rPr>
              <w:t>1 (1.9%)</w:t>
            </w:r>
          </w:p>
          <w:p w14:paraId="0E98EA6C" w14:textId="77777777" w:rsidR="008E5C3C" w:rsidRPr="00857473" w:rsidRDefault="008E5C3C">
            <w:pPr>
              <w:pStyle w:val="TableText"/>
              <w:rPr>
                <w:sz w:val="16"/>
                <w:szCs w:val="16"/>
              </w:rPr>
            </w:pPr>
            <w:r w:rsidRPr="00857473">
              <w:rPr>
                <w:sz w:val="16"/>
                <w:szCs w:val="16"/>
              </w:rPr>
              <w:t>1 (1.9%)</w:t>
            </w:r>
          </w:p>
          <w:p w14:paraId="1B65F652" w14:textId="77777777" w:rsidR="008E5C3C" w:rsidRPr="00857473" w:rsidRDefault="008E5C3C">
            <w:pPr>
              <w:pStyle w:val="TableText"/>
              <w:rPr>
                <w:sz w:val="16"/>
                <w:szCs w:val="16"/>
              </w:rPr>
            </w:pPr>
            <w:r w:rsidRPr="00857473">
              <w:rPr>
                <w:sz w:val="16"/>
                <w:szCs w:val="16"/>
              </w:rPr>
              <w:t>1 (1.9%)</w:t>
            </w:r>
          </w:p>
          <w:p w14:paraId="31A76D66" w14:textId="77777777" w:rsidR="008E5C3C" w:rsidRPr="00857473" w:rsidRDefault="008E5C3C">
            <w:pPr>
              <w:pStyle w:val="TableText"/>
              <w:rPr>
                <w:sz w:val="16"/>
                <w:szCs w:val="16"/>
              </w:rPr>
            </w:pPr>
            <w:r w:rsidRPr="00857473">
              <w:rPr>
                <w:sz w:val="16"/>
                <w:szCs w:val="16"/>
              </w:rPr>
              <w:t>2 (3.7%)</w:t>
            </w:r>
          </w:p>
        </w:tc>
        <w:tc>
          <w:tcPr>
            <w:tcW w:w="817" w:type="dxa"/>
          </w:tcPr>
          <w:p w14:paraId="7F1CB213" w14:textId="77777777" w:rsidR="008E5C3C" w:rsidRPr="00857473" w:rsidRDefault="008E5C3C">
            <w:pPr>
              <w:pStyle w:val="TableText"/>
              <w:rPr>
                <w:sz w:val="16"/>
                <w:szCs w:val="16"/>
              </w:rPr>
            </w:pPr>
            <w:r w:rsidRPr="00857473">
              <w:rPr>
                <w:sz w:val="16"/>
                <w:szCs w:val="16"/>
              </w:rPr>
              <w:t>4 (9</w:t>
            </w:r>
            <w:r>
              <w:rPr>
                <w:sz w:val="16"/>
                <w:szCs w:val="16"/>
              </w:rPr>
              <w:t>.0</w:t>
            </w:r>
            <w:r w:rsidRPr="00857473">
              <w:rPr>
                <w:sz w:val="16"/>
                <w:szCs w:val="16"/>
              </w:rPr>
              <w:t>%)</w:t>
            </w:r>
          </w:p>
          <w:p w14:paraId="0AE882CF" w14:textId="77777777" w:rsidR="008E5C3C" w:rsidRPr="00857473" w:rsidRDefault="008E5C3C">
            <w:pPr>
              <w:pStyle w:val="TableText"/>
              <w:rPr>
                <w:sz w:val="16"/>
                <w:szCs w:val="16"/>
              </w:rPr>
            </w:pPr>
            <w:r w:rsidRPr="00857473">
              <w:rPr>
                <w:sz w:val="16"/>
                <w:szCs w:val="16"/>
              </w:rPr>
              <w:t>0</w:t>
            </w:r>
          </w:p>
          <w:p w14:paraId="14EEF513" w14:textId="77777777" w:rsidR="008E5C3C" w:rsidRPr="00857473" w:rsidRDefault="008E5C3C">
            <w:pPr>
              <w:pStyle w:val="TableText"/>
              <w:rPr>
                <w:sz w:val="16"/>
                <w:szCs w:val="16"/>
              </w:rPr>
            </w:pPr>
            <w:r w:rsidRPr="00857473">
              <w:rPr>
                <w:sz w:val="16"/>
                <w:szCs w:val="16"/>
              </w:rPr>
              <w:t>1 (2</w:t>
            </w:r>
            <w:r>
              <w:rPr>
                <w:sz w:val="16"/>
                <w:szCs w:val="16"/>
              </w:rPr>
              <w:t>.0</w:t>
            </w:r>
            <w:r w:rsidRPr="00857473">
              <w:rPr>
                <w:sz w:val="16"/>
                <w:szCs w:val="16"/>
              </w:rPr>
              <w:t>%)</w:t>
            </w:r>
          </w:p>
          <w:p w14:paraId="2E3CA462" w14:textId="77777777" w:rsidR="008E5C3C" w:rsidRPr="00857473" w:rsidRDefault="008E5C3C">
            <w:pPr>
              <w:pStyle w:val="TableText"/>
              <w:rPr>
                <w:sz w:val="16"/>
                <w:szCs w:val="16"/>
              </w:rPr>
            </w:pPr>
            <w:r w:rsidRPr="00857473">
              <w:rPr>
                <w:sz w:val="16"/>
                <w:szCs w:val="16"/>
              </w:rPr>
              <w:t>1 (2</w:t>
            </w:r>
            <w:r>
              <w:rPr>
                <w:sz w:val="16"/>
                <w:szCs w:val="16"/>
              </w:rPr>
              <w:t>.0</w:t>
            </w:r>
            <w:r w:rsidRPr="00857473">
              <w:rPr>
                <w:sz w:val="16"/>
                <w:szCs w:val="16"/>
              </w:rPr>
              <w:t>%)</w:t>
            </w:r>
          </w:p>
          <w:p w14:paraId="677B0C34" w14:textId="77777777" w:rsidR="008E5C3C" w:rsidRPr="00857473" w:rsidRDefault="008E5C3C">
            <w:pPr>
              <w:pStyle w:val="TableText"/>
              <w:rPr>
                <w:sz w:val="16"/>
                <w:szCs w:val="16"/>
              </w:rPr>
            </w:pPr>
            <w:r w:rsidRPr="00857473">
              <w:rPr>
                <w:sz w:val="16"/>
                <w:szCs w:val="16"/>
              </w:rPr>
              <w:t>2 (4</w:t>
            </w:r>
            <w:r>
              <w:rPr>
                <w:sz w:val="16"/>
                <w:szCs w:val="16"/>
              </w:rPr>
              <w:t>.0</w:t>
            </w:r>
            <w:r w:rsidRPr="00857473">
              <w:rPr>
                <w:sz w:val="16"/>
                <w:szCs w:val="16"/>
              </w:rPr>
              <w:t>%)</w:t>
            </w:r>
          </w:p>
        </w:tc>
        <w:tc>
          <w:tcPr>
            <w:tcW w:w="816" w:type="dxa"/>
          </w:tcPr>
          <w:p w14:paraId="76902777" w14:textId="77777777" w:rsidR="008E5C3C" w:rsidRPr="009E2F9F" w:rsidRDefault="008E5C3C">
            <w:pPr>
              <w:pStyle w:val="TableText"/>
              <w:rPr>
                <w:sz w:val="16"/>
                <w:szCs w:val="16"/>
              </w:rPr>
            </w:pPr>
            <w:r w:rsidRPr="009E2F9F">
              <w:rPr>
                <w:sz w:val="16"/>
                <w:szCs w:val="16"/>
              </w:rPr>
              <w:t>2 (8.0%)</w:t>
            </w:r>
          </w:p>
          <w:p w14:paraId="1346F4BF" w14:textId="77777777" w:rsidR="008E5C3C" w:rsidRPr="009E2F9F" w:rsidRDefault="008E5C3C">
            <w:pPr>
              <w:pStyle w:val="TableText"/>
              <w:rPr>
                <w:sz w:val="16"/>
                <w:szCs w:val="16"/>
              </w:rPr>
            </w:pPr>
            <w:r w:rsidRPr="009E2F9F">
              <w:rPr>
                <w:sz w:val="16"/>
                <w:szCs w:val="16"/>
              </w:rPr>
              <w:t>0</w:t>
            </w:r>
          </w:p>
          <w:p w14:paraId="2428083F" w14:textId="77777777" w:rsidR="008E5C3C" w:rsidRPr="009E2F9F" w:rsidRDefault="008E5C3C">
            <w:pPr>
              <w:pStyle w:val="TableText"/>
              <w:rPr>
                <w:sz w:val="16"/>
                <w:szCs w:val="16"/>
              </w:rPr>
            </w:pPr>
            <w:r w:rsidRPr="009E2F9F">
              <w:rPr>
                <w:sz w:val="16"/>
                <w:szCs w:val="16"/>
              </w:rPr>
              <w:t>0</w:t>
            </w:r>
          </w:p>
          <w:p w14:paraId="2ED12FF4" w14:textId="77777777" w:rsidR="008E5C3C" w:rsidRPr="009E2F9F" w:rsidRDefault="008E5C3C">
            <w:pPr>
              <w:pStyle w:val="TableText"/>
              <w:rPr>
                <w:sz w:val="16"/>
                <w:szCs w:val="16"/>
              </w:rPr>
            </w:pPr>
            <w:r w:rsidRPr="009E2F9F">
              <w:rPr>
                <w:sz w:val="16"/>
                <w:szCs w:val="16"/>
              </w:rPr>
              <w:t>0</w:t>
            </w:r>
          </w:p>
          <w:p w14:paraId="2A298007" w14:textId="77777777" w:rsidR="008E5C3C" w:rsidRPr="009E2F9F" w:rsidRDefault="008E5C3C">
            <w:pPr>
              <w:pStyle w:val="TableText"/>
              <w:rPr>
                <w:sz w:val="16"/>
                <w:szCs w:val="16"/>
              </w:rPr>
            </w:pPr>
            <w:r w:rsidRPr="009E2F9F">
              <w:rPr>
                <w:sz w:val="16"/>
                <w:szCs w:val="16"/>
              </w:rPr>
              <w:t>2 (8.0%)</w:t>
            </w:r>
          </w:p>
        </w:tc>
        <w:tc>
          <w:tcPr>
            <w:tcW w:w="817" w:type="dxa"/>
          </w:tcPr>
          <w:p w14:paraId="152164F6" w14:textId="77777777" w:rsidR="008E5C3C" w:rsidRPr="009E2F9F" w:rsidRDefault="008E5C3C">
            <w:pPr>
              <w:pStyle w:val="TableText"/>
              <w:rPr>
                <w:sz w:val="16"/>
                <w:szCs w:val="16"/>
              </w:rPr>
            </w:pPr>
            <w:r w:rsidRPr="009E2F9F">
              <w:rPr>
                <w:sz w:val="16"/>
                <w:szCs w:val="16"/>
              </w:rPr>
              <w:t>2 (7.0%)</w:t>
            </w:r>
          </w:p>
          <w:p w14:paraId="3D2AF1BB" w14:textId="77777777" w:rsidR="008E5C3C" w:rsidRPr="009E2F9F" w:rsidRDefault="008E5C3C">
            <w:pPr>
              <w:pStyle w:val="TableText"/>
              <w:rPr>
                <w:sz w:val="16"/>
                <w:szCs w:val="16"/>
              </w:rPr>
            </w:pPr>
            <w:r w:rsidRPr="009E2F9F">
              <w:rPr>
                <w:sz w:val="16"/>
                <w:szCs w:val="16"/>
              </w:rPr>
              <w:t>0</w:t>
            </w:r>
          </w:p>
          <w:p w14:paraId="33886DE6" w14:textId="77777777" w:rsidR="008E5C3C" w:rsidRPr="009E2F9F" w:rsidRDefault="008E5C3C">
            <w:pPr>
              <w:pStyle w:val="TableText"/>
              <w:rPr>
                <w:sz w:val="16"/>
                <w:szCs w:val="16"/>
              </w:rPr>
            </w:pPr>
            <w:r w:rsidRPr="009E2F9F">
              <w:rPr>
                <w:sz w:val="16"/>
                <w:szCs w:val="16"/>
              </w:rPr>
              <w:t>0</w:t>
            </w:r>
          </w:p>
          <w:p w14:paraId="13ECD7AA" w14:textId="77777777" w:rsidR="008E5C3C" w:rsidRPr="009E2F9F" w:rsidRDefault="008E5C3C">
            <w:pPr>
              <w:pStyle w:val="TableText"/>
              <w:rPr>
                <w:sz w:val="16"/>
                <w:szCs w:val="16"/>
              </w:rPr>
            </w:pPr>
            <w:r w:rsidRPr="009E2F9F">
              <w:rPr>
                <w:sz w:val="16"/>
                <w:szCs w:val="16"/>
              </w:rPr>
              <w:t>0</w:t>
            </w:r>
          </w:p>
          <w:p w14:paraId="001A56B3" w14:textId="77777777" w:rsidR="008E5C3C" w:rsidRPr="009E2F9F" w:rsidRDefault="008E5C3C">
            <w:pPr>
              <w:pStyle w:val="TableText"/>
              <w:rPr>
                <w:sz w:val="16"/>
                <w:szCs w:val="16"/>
              </w:rPr>
            </w:pPr>
            <w:r w:rsidRPr="009E2F9F">
              <w:rPr>
                <w:sz w:val="16"/>
                <w:szCs w:val="16"/>
              </w:rPr>
              <w:t>2 (7.0%)</w:t>
            </w:r>
          </w:p>
        </w:tc>
        <w:tc>
          <w:tcPr>
            <w:tcW w:w="817" w:type="dxa"/>
          </w:tcPr>
          <w:p w14:paraId="281038B2" w14:textId="278D8C74" w:rsidR="3CD450B9" w:rsidRDefault="3CD450B9" w:rsidP="3CD450B9">
            <w:pPr>
              <w:pStyle w:val="TableText"/>
              <w:rPr>
                <w:sz w:val="16"/>
                <w:szCs w:val="16"/>
                <w:highlight w:val="green"/>
              </w:rPr>
            </w:pPr>
          </w:p>
        </w:tc>
      </w:tr>
    </w:tbl>
    <w:p w14:paraId="59A12A1B" w14:textId="1A21942B" w:rsidR="00263A76" w:rsidRPr="00527717" w:rsidRDefault="00263A76" w:rsidP="00F823C6">
      <w:pPr>
        <w:pStyle w:val="Tablenotes"/>
        <w:rPr>
          <w:b/>
          <w:bCs/>
          <w:u w:val="single"/>
        </w:rPr>
      </w:pPr>
      <w:r w:rsidRPr="00527717">
        <w:rPr>
          <w:b/>
          <w:bCs/>
          <w:u w:val="single"/>
        </w:rPr>
        <w:t>Abbreviations</w:t>
      </w:r>
    </w:p>
    <w:p w14:paraId="351C0A46" w14:textId="0E8EF4DD" w:rsidR="008E5C3C" w:rsidRPr="00F823C6" w:rsidRDefault="008E5C3C" w:rsidP="00F823C6">
      <w:pPr>
        <w:pStyle w:val="Tablenotes"/>
      </w:pPr>
      <w:r w:rsidRPr="00F823C6">
        <w:t>AE = adverse event</w:t>
      </w:r>
      <w:r w:rsidR="00F823C6">
        <w:t>,</w:t>
      </w:r>
      <w:r w:rsidRPr="00F823C6">
        <w:t xml:space="preserve"> UTT = unlikely to be transplanted</w:t>
      </w:r>
      <w:r w:rsidR="00F823C6">
        <w:t>,</w:t>
      </w:r>
      <w:r w:rsidRPr="00F823C6">
        <w:t xml:space="preserve"> UTT-A = unlikely to be transplanted</w:t>
      </w:r>
      <w:r w:rsidR="0028223C">
        <w:t xml:space="preserve"> </w:t>
      </w:r>
      <w:r w:rsidRPr="00F823C6">
        <w:t>–</w:t>
      </w:r>
      <w:r w:rsidR="0028223C">
        <w:t xml:space="preserve"> </w:t>
      </w:r>
      <w:r w:rsidRPr="00F823C6">
        <w:t xml:space="preserve">agnostic </w:t>
      </w:r>
    </w:p>
    <w:p w14:paraId="0FC2F91A" w14:textId="6DD18E56" w:rsidR="008E5C3C" w:rsidRPr="00527717" w:rsidRDefault="008E5C3C" w:rsidP="00F823C6">
      <w:pPr>
        <w:pStyle w:val="Tablenotes"/>
        <w:rPr>
          <w:b/>
          <w:bCs/>
          <w:u w:val="single"/>
        </w:rPr>
      </w:pPr>
      <w:r w:rsidRPr="00527717">
        <w:rPr>
          <w:b/>
          <w:bCs/>
          <w:u w:val="single"/>
        </w:rPr>
        <w:t xml:space="preserve">Notes </w:t>
      </w:r>
    </w:p>
    <w:p w14:paraId="45DB260C" w14:textId="77777777" w:rsidR="008E5C3C" w:rsidRPr="00F823C6" w:rsidRDefault="008E5C3C" w:rsidP="00F823C6">
      <w:pPr>
        <w:pStyle w:val="Tablenotes"/>
      </w:pPr>
      <w:r w:rsidRPr="00F823C6">
        <w:t xml:space="preserve">a) Transplantation was NOT a prespecified part of the trial protocol and only occurred at the investigators’ discretion if the possibility became available. </w:t>
      </w:r>
    </w:p>
    <w:p w14:paraId="034F7EC4" w14:textId="77777777" w:rsidR="008E5C3C" w:rsidRPr="00F823C6" w:rsidRDefault="008E5C3C" w:rsidP="00F823C6">
      <w:pPr>
        <w:pStyle w:val="Tablenotes"/>
      </w:pPr>
      <w:r w:rsidRPr="00F823C6">
        <w:t xml:space="preserve">b) One patient did not receive a transplant following an infusion-related reaction (serious adverse event) with imlifidase that resulted in treatment and study discontinuation. </w:t>
      </w:r>
    </w:p>
    <w:p w14:paraId="1BBEE7F7" w14:textId="77777777" w:rsidR="0051244D" w:rsidRDefault="008E5C3C" w:rsidP="00F823C6">
      <w:pPr>
        <w:pStyle w:val="Tablenotes"/>
      </w:pPr>
      <w:r w:rsidRPr="00F823C6">
        <w:t xml:space="preserve">c) One subject experienced graft failure and decided not to complete the study. One patient treated (0.25 mg/kg) but not transplanted in Study 13-HMedIdeS-02, was included in 13-HMedIdeS-03 1.5 years later and was treated (0.50 mg/kg) and transplanted. </w:t>
      </w:r>
    </w:p>
    <w:p w14:paraId="2E545078" w14:textId="1B4E607F" w:rsidR="005438A2" w:rsidRPr="00527717" w:rsidRDefault="00030994" w:rsidP="00F823C6">
      <w:pPr>
        <w:pStyle w:val="Tablenotes"/>
        <w:rPr>
          <w:b/>
          <w:bCs/>
          <w:u w:val="single"/>
        </w:rPr>
      </w:pPr>
      <w:r w:rsidRPr="00527717">
        <w:rPr>
          <w:b/>
          <w:u w:val="single"/>
        </w:rPr>
        <w:t xml:space="preserve">Source </w:t>
      </w:r>
    </w:p>
    <w:p w14:paraId="28F8E2F4" w14:textId="1A971389" w:rsidR="0051244D" w:rsidRPr="00F823C6" w:rsidRDefault="00334722" w:rsidP="00F823C6">
      <w:pPr>
        <w:pStyle w:val="Tablenotes"/>
      </w:pPr>
      <w:r w:rsidRPr="00334722">
        <w:t xml:space="preserve">Table </w:t>
      </w:r>
      <w:r>
        <w:t>31</w:t>
      </w:r>
      <w:r w:rsidRPr="00334722">
        <w:t>, p</w:t>
      </w:r>
      <w:r w:rsidR="005438A2">
        <w:t>.</w:t>
      </w:r>
      <w:r w:rsidRPr="00334722">
        <w:t xml:space="preserve"> </w:t>
      </w:r>
      <w:r w:rsidR="006B2167">
        <w:t>150</w:t>
      </w:r>
      <w:r w:rsidRPr="00334722">
        <w:t xml:space="preserve"> of the MSAC 1732.1 </w:t>
      </w:r>
      <w:proofErr w:type="spellStart"/>
      <w:r w:rsidRPr="00334722">
        <w:t>ADAR+in-line</w:t>
      </w:r>
      <w:proofErr w:type="spellEnd"/>
      <w:r w:rsidRPr="00334722">
        <w:t xml:space="preserve"> commentary</w:t>
      </w:r>
    </w:p>
    <w:p w14:paraId="231AACD4" w14:textId="59585C95" w:rsidR="005957D3" w:rsidRDefault="00187F6A" w:rsidP="00F84BA7">
      <w:pPr>
        <w:spacing w:before="240"/>
        <w:rPr>
          <w:lang w:val="en-GB"/>
        </w:rPr>
      </w:pPr>
      <w:bookmarkStart w:id="23" w:name="_Ref131597449"/>
      <w:bookmarkStart w:id="24" w:name="_Toc126746529"/>
      <w:r w:rsidRPr="00187F6A">
        <w:rPr>
          <w:lang w:val="en-GB"/>
        </w:rPr>
        <w:lastRenderedPageBreak/>
        <w:t xml:space="preserve">Imlifidase is administered in a clinical environment where numerous factors, including underlying disease, immunosuppressive treatments, </w:t>
      </w:r>
      <w:proofErr w:type="gramStart"/>
      <w:r w:rsidRPr="00187F6A">
        <w:rPr>
          <w:lang w:val="en-GB"/>
        </w:rPr>
        <w:t>hospitalisation</w:t>
      </w:r>
      <w:proofErr w:type="gramEnd"/>
      <w:r w:rsidRPr="00187F6A">
        <w:rPr>
          <w:lang w:val="en-GB"/>
        </w:rPr>
        <w:t xml:space="preserve"> and transplantation, can contribute to a broad range of adverse events (AEs) and safety concerns. The AEs observed in imlifidase trials were manageable and no life-threatening severe AEs occurred during the clinical program.</w:t>
      </w:r>
      <w:r w:rsidR="00CD4B1B">
        <w:rPr>
          <w:lang w:val="en-GB"/>
        </w:rPr>
        <w:t xml:space="preserve"> </w:t>
      </w:r>
    </w:p>
    <w:p w14:paraId="1267A875" w14:textId="7CE2CD4B" w:rsidR="00187F6A" w:rsidRDefault="00CD4B1B" w:rsidP="00575E36">
      <w:pPr>
        <w:rPr>
          <w:b/>
          <w:bCs/>
          <w:lang w:val="en-GB"/>
        </w:rPr>
      </w:pPr>
      <w:proofErr w:type="gramStart"/>
      <w:r w:rsidRPr="00CD4B1B">
        <w:rPr>
          <w:lang w:val="en-GB"/>
        </w:rPr>
        <w:t>Similar to</w:t>
      </w:r>
      <w:proofErr w:type="gramEnd"/>
      <w:r w:rsidRPr="00CD4B1B">
        <w:rPr>
          <w:lang w:val="en-GB"/>
        </w:rPr>
        <w:t xml:space="preserve"> other intravenously administered antibody-based agents, infusion-related reactions may occur during imlifidase infusion. To minimise this risk, glucocorticoids and antihistamines are given before dosing. AEs of particular interest included severe or serious infections (15.2%) and infusion-related reactions (2.2%), as reported for the all-transplanted population. The outlined toxicities are deemed </w:t>
      </w:r>
      <w:r w:rsidRPr="00F45C39">
        <w:rPr>
          <w:lang w:val="en-GB"/>
        </w:rPr>
        <w:t>manageable (E</w:t>
      </w:r>
      <w:r w:rsidR="00031379" w:rsidRPr="00F45C39">
        <w:rPr>
          <w:lang w:val="en-GB"/>
        </w:rPr>
        <w:t>uropean Medicines A</w:t>
      </w:r>
      <w:r w:rsidR="00C715C0" w:rsidRPr="00F45C39">
        <w:rPr>
          <w:lang w:val="en-GB"/>
        </w:rPr>
        <w:t>gency</w:t>
      </w:r>
      <w:r w:rsidRPr="00F45C39">
        <w:rPr>
          <w:lang w:val="en-GB"/>
        </w:rPr>
        <w:t xml:space="preserve"> 2020)</w:t>
      </w:r>
      <w:r w:rsidR="00BE5F11">
        <w:rPr>
          <w:lang w:val="en-GB"/>
        </w:rPr>
        <w:t>.</w:t>
      </w:r>
      <w:r w:rsidR="00C715C0" w:rsidRPr="00F45C39">
        <w:rPr>
          <w:rStyle w:val="FootnoteReference"/>
          <w:lang w:val="en-GB"/>
        </w:rPr>
        <w:footnoteReference w:id="11"/>
      </w:r>
      <w:r w:rsidRPr="00F45C39">
        <w:rPr>
          <w:lang w:val="en-GB"/>
        </w:rPr>
        <w:t xml:space="preserve"> </w:t>
      </w:r>
      <w:r w:rsidR="00D32B0B" w:rsidRPr="00F45C39">
        <w:rPr>
          <w:lang w:val="en-GB"/>
        </w:rPr>
        <w:t>Transplantation-related events, such as delayed graft function and graft rejection, are anticipated following kidney transplantation, particularly in recipients of DD organs and those undergoing their second or subsequent transplant. The risks of these events may</w:t>
      </w:r>
      <w:r w:rsidR="00D32B0B" w:rsidRPr="00D32B0B">
        <w:rPr>
          <w:lang w:val="en-GB"/>
        </w:rPr>
        <w:t xml:space="preserve"> be increased in patients receiving imlifidase due to increased cold ischaemia </w:t>
      </w:r>
      <w:proofErr w:type="gramStart"/>
      <w:r w:rsidR="00D32B0B" w:rsidRPr="00D32B0B">
        <w:rPr>
          <w:lang w:val="en-GB"/>
        </w:rPr>
        <w:t>as a result of</w:t>
      </w:r>
      <w:proofErr w:type="gramEnd"/>
      <w:r w:rsidR="00D32B0B" w:rsidRPr="00D32B0B">
        <w:rPr>
          <w:lang w:val="en-GB"/>
        </w:rPr>
        <w:t xml:space="preserve"> delays in transplantation due to imlifidase administration and additional testing required, in comparison with current practice.</w:t>
      </w:r>
      <w:r w:rsidR="00A80145">
        <w:rPr>
          <w:lang w:val="en-GB"/>
        </w:rPr>
        <w:t xml:space="preserve"> </w:t>
      </w:r>
    </w:p>
    <w:p w14:paraId="732935C7" w14:textId="21500EDC" w:rsidR="00C16658" w:rsidRPr="005621BA" w:rsidRDefault="00A80145" w:rsidP="001A30BC">
      <w:pPr>
        <w:rPr>
          <w:lang w:val="en-GB"/>
        </w:rPr>
      </w:pPr>
      <w:r w:rsidRPr="00A80145">
        <w:rPr>
          <w:lang w:val="en-GB"/>
        </w:rPr>
        <w:t>The ADAR also include</w:t>
      </w:r>
      <w:r w:rsidR="00701256">
        <w:rPr>
          <w:lang w:val="en-GB"/>
        </w:rPr>
        <w:t>d</w:t>
      </w:r>
      <w:r w:rsidRPr="00A80145">
        <w:rPr>
          <w:lang w:val="en-GB"/>
        </w:rPr>
        <w:t xml:space="preserve"> data from the 17-HMedIdeS-14 study, an observational follow-up investigation designed to collect long-term data (up to 5 years) from all transplanted patients involved in the imlifidase studies</w:t>
      </w:r>
      <w:bookmarkEnd w:id="23"/>
      <w:bookmarkEnd w:id="24"/>
      <w:r w:rsidR="00225CFD">
        <w:rPr>
          <w:lang w:val="en-GB"/>
        </w:rPr>
        <w:t xml:space="preserve"> (see</w:t>
      </w:r>
      <w:r w:rsidR="009404F5">
        <w:rPr>
          <w:lang w:val="en-GB"/>
        </w:rPr>
        <w:t xml:space="preserve"> Table 5</w:t>
      </w:r>
      <w:r w:rsidR="00225CFD">
        <w:rPr>
          <w:lang w:val="en-GB"/>
        </w:rPr>
        <w:t>)</w:t>
      </w:r>
      <w:r w:rsidRPr="00A80145">
        <w:rPr>
          <w:lang w:val="en-GB"/>
        </w:rPr>
        <w:t>.</w:t>
      </w:r>
    </w:p>
    <w:p w14:paraId="7CCF8AD0" w14:textId="45F79556" w:rsidR="006645AD" w:rsidRDefault="006645AD" w:rsidP="006645AD">
      <w:pPr>
        <w:pStyle w:val="Caption"/>
      </w:pPr>
      <w:bookmarkStart w:id="25" w:name="_Ref163648974"/>
      <w:r>
        <w:t xml:space="preserve">Table </w:t>
      </w:r>
      <w:bookmarkEnd w:id="25"/>
      <w:r w:rsidR="009404F5">
        <w:t xml:space="preserve">5 </w:t>
      </w:r>
      <w:r w:rsidRPr="00D61817">
        <w:t>Summary of patients in safety dataset in patients followed up, study 17-HMedIdeS-1</w:t>
      </w:r>
      <w:r w:rsidR="00701256">
        <w:t>4</w:t>
      </w:r>
    </w:p>
    <w:tbl>
      <w:tblPr>
        <w:tblStyle w:val="TableGridLight"/>
        <w:tblpPr w:leftFromText="181" w:rightFromText="181" w:vertAnchor="text" w:horzAnchor="margin" w:tblpY="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591"/>
        <w:gridCol w:w="1715"/>
        <w:gridCol w:w="1708"/>
        <w:gridCol w:w="1715"/>
        <w:gridCol w:w="1057"/>
      </w:tblGrid>
      <w:tr w:rsidR="00405B28" w:rsidRPr="005621BA" w14:paraId="58565AE5" w14:textId="77777777" w:rsidTr="0FD0CF2A">
        <w:trPr>
          <w:tblHeader/>
        </w:trPr>
        <w:tc>
          <w:tcPr>
            <w:tcW w:w="1230" w:type="dxa"/>
            <w:vMerge w:val="restart"/>
          </w:tcPr>
          <w:p w14:paraId="0F0105C9" w14:textId="77777777" w:rsidR="00405B28" w:rsidRPr="005621BA" w:rsidRDefault="00405B28" w:rsidP="00B77FAC">
            <w:pPr>
              <w:pStyle w:val="TableText"/>
            </w:pPr>
          </w:p>
        </w:tc>
        <w:tc>
          <w:tcPr>
            <w:tcW w:w="1591" w:type="dxa"/>
          </w:tcPr>
          <w:p w14:paraId="3547B87A" w14:textId="77777777" w:rsidR="00405B28" w:rsidRPr="00603C30" w:rsidRDefault="00405B28" w:rsidP="00B77FAC">
            <w:pPr>
              <w:pStyle w:val="TableText"/>
              <w:rPr>
                <w:b/>
                <w:bCs/>
              </w:rPr>
            </w:pPr>
            <w:r w:rsidRPr="00603C30">
              <w:rPr>
                <w:b/>
                <w:bCs/>
              </w:rPr>
              <w:t>13-HMedIdeS-02 (N=1)</w:t>
            </w:r>
          </w:p>
        </w:tc>
        <w:tc>
          <w:tcPr>
            <w:tcW w:w="1715" w:type="dxa"/>
          </w:tcPr>
          <w:p w14:paraId="1B7CEC9A" w14:textId="77777777" w:rsidR="00405B28" w:rsidRPr="00603C30" w:rsidRDefault="00405B28" w:rsidP="00B77FAC">
            <w:pPr>
              <w:pStyle w:val="TableText"/>
              <w:rPr>
                <w:b/>
                <w:bCs/>
              </w:rPr>
            </w:pPr>
            <w:r w:rsidRPr="00603C30">
              <w:rPr>
                <w:b/>
                <w:bCs/>
              </w:rPr>
              <w:t>13-HMedIdeS-03 (N=10)</w:t>
            </w:r>
          </w:p>
        </w:tc>
        <w:tc>
          <w:tcPr>
            <w:tcW w:w="1708" w:type="dxa"/>
          </w:tcPr>
          <w:p w14:paraId="228D7FFA" w14:textId="77777777" w:rsidR="00405B28" w:rsidRPr="00603C30" w:rsidRDefault="00405B28" w:rsidP="00B77FAC">
            <w:pPr>
              <w:pStyle w:val="TableText"/>
              <w:rPr>
                <w:b/>
                <w:bCs/>
              </w:rPr>
            </w:pPr>
            <w:r w:rsidRPr="00603C30">
              <w:rPr>
                <w:b/>
                <w:bCs/>
              </w:rPr>
              <w:t>14</w:t>
            </w:r>
            <w:r>
              <w:rPr>
                <w:b/>
                <w:bCs/>
              </w:rPr>
              <w:t>-</w:t>
            </w:r>
            <w:r w:rsidRPr="00603C30">
              <w:rPr>
                <w:b/>
                <w:bCs/>
              </w:rPr>
              <w:t>HMedIdeS-04 (N=11)</w:t>
            </w:r>
          </w:p>
        </w:tc>
        <w:tc>
          <w:tcPr>
            <w:tcW w:w="1715" w:type="dxa"/>
          </w:tcPr>
          <w:p w14:paraId="29735DDB" w14:textId="77777777" w:rsidR="00405B28" w:rsidRPr="00603C30" w:rsidRDefault="00405B28" w:rsidP="00B77FAC">
            <w:pPr>
              <w:pStyle w:val="TableText"/>
              <w:rPr>
                <w:b/>
                <w:bCs/>
              </w:rPr>
            </w:pPr>
            <w:r w:rsidRPr="00603C30">
              <w:rPr>
                <w:b/>
                <w:bCs/>
              </w:rPr>
              <w:t>15-HMedIdeS-06 (N=13)</w:t>
            </w:r>
          </w:p>
        </w:tc>
        <w:tc>
          <w:tcPr>
            <w:tcW w:w="1057" w:type="dxa"/>
          </w:tcPr>
          <w:p w14:paraId="49E471B3" w14:textId="77777777" w:rsidR="00405B28" w:rsidRPr="00603C30" w:rsidRDefault="00405B28" w:rsidP="00B77FAC">
            <w:pPr>
              <w:pStyle w:val="TableText"/>
              <w:rPr>
                <w:b/>
                <w:bCs/>
              </w:rPr>
            </w:pPr>
            <w:r w:rsidRPr="00603C30">
              <w:rPr>
                <w:b/>
                <w:bCs/>
              </w:rPr>
              <w:t xml:space="preserve">Total </w:t>
            </w:r>
          </w:p>
          <w:p w14:paraId="5BEAC362" w14:textId="11699411" w:rsidR="00405B28" w:rsidRPr="00603C30" w:rsidRDefault="00405B28" w:rsidP="00B77FAC">
            <w:pPr>
              <w:pStyle w:val="TableText"/>
              <w:rPr>
                <w:b/>
                <w:bCs/>
              </w:rPr>
            </w:pPr>
            <w:r w:rsidRPr="00603C30">
              <w:rPr>
                <w:b/>
                <w:bCs/>
              </w:rPr>
              <w:t>(N=</w:t>
            </w:r>
            <w:proofErr w:type="gramStart"/>
            <w:r w:rsidRPr="00603C30">
              <w:rPr>
                <w:b/>
                <w:bCs/>
              </w:rPr>
              <w:t>35)</w:t>
            </w:r>
            <w:r w:rsidR="001A3415">
              <w:rPr>
                <w:b/>
                <w:bCs/>
                <w:vertAlign w:val="superscript"/>
              </w:rPr>
              <w:t>*</w:t>
            </w:r>
            <w:proofErr w:type="gramEnd"/>
          </w:p>
        </w:tc>
      </w:tr>
      <w:tr w:rsidR="00405B28" w:rsidRPr="005621BA" w14:paraId="5FC0F95D" w14:textId="77777777" w:rsidTr="0FD0CF2A">
        <w:trPr>
          <w:tblHeader/>
        </w:trPr>
        <w:tc>
          <w:tcPr>
            <w:tcW w:w="1230" w:type="dxa"/>
            <w:vMerge/>
          </w:tcPr>
          <w:p w14:paraId="03E9EA4C" w14:textId="77777777" w:rsidR="00405B28" w:rsidRPr="005621BA" w:rsidRDefault="00405B28" w:rsidP="00B77FAC">
            <w:pPr>
              <w:pStyle w:val="TableText"/>
            </w:pPr>
          </w:p>
        </w:tc>
        <w:tc>
          <w:tcPr>
            <w:tcW w:w="1591" w:type="dxa"/>
          </w:tcPr>
          <w:p w14:paraId="3FCE16B0" w14:textId="77777777" w:rsidR="00405B28" w:rsidRPr="00603C30" w:rsidRDefault="00405B28" w:rsidP="00B77FAC">
            <w:pPr>
              <w:pStyle w:val="TableText"/>
              <w:rPr>
                <w:b/>
                <w:bCs/>
              </w:rPr>
            </w:pPr>
            <w:r w:rsidRPr="00603C30">
              <w:rPr>
                <w:b/>
                <w:bCs/>
              </w:rPr>
              <w:t>n (%)</w:t>
            </w:r>
          </w:p>
        </w:tc>
        <w:tc>
          <w:tcPr>
            <w:tcW w:w="1715" w:type="dxa"/>
          </w:tcPr>
          <w:p w14:paraId="604936CD" w14:textId="77777777" w:rsidR="00405B28" w:rsidRPr="00603C30" w:rsidRDefault="00405B28" w:rsidP="00B77FAC">
            <w:pPr>
              <w:pStyle w:val="TableText"/>
              <w:rPr>
                <w:b/>
                <w:bCs/>
              </w:rPr>
            </w:pPr>
            <w:r w:rsidRPr="00603C30">
              <w:rPr>
                <w:b/>
                <w:bCs/>
              </w:rPr>
              <w:t>n (%)</w:t>
            </w:r>
          </w:p>
        </w:tc>
        <w:tc>
          <w:tcPr>
            <w:tcW w:w="1708" w:type="dxa"/>
          </w:tcPr>
          <w:p w14:paraId="73C840A5" w14:textId="77777777" w:rsidR="00405B28" w:rsidRPr="00603C30" w:rsidRDefault="00405B28" w:rsidP="00B77FAC">
            <w:pPr>
              <w:pStyle w:val="TableText"/>
              <w:rPr>
                <w:b/>
                <w:bCs/>
              </w:rPr>
            </w:pPr>
            <w:r w:rsidRPr="00603C30">
              <w:rPr>
                <w:b/>
                <w:bCs/>
              </w:rPr>
              <w:t>n (%)</w:t>
            </w:r>
          </w:p>
        </w:tc>
        <w:tc>
          <w:tcPr>
            <w:tcW w:w="1715" w:type="dxa"/>
          </w:tcPr>
          <w:p w14:paraId="6464E28A" w14:textId="77777777" w:rsidR="00405B28" w:rsidRPr="00603C30" w:rsidRDefault="00405B28" w:rsidP="00B77FAC">
            <w:pPr>
              <w:pStyle w:val="TableText"/>
              <w:rPr>
                <w:b/>
                <w:bCs/>
              </w:rPr>
            </w:pPr>
            <w:r w:rsidRPr="00603C30">
              <w:rPr>
                <w:b/>
                <w:bCs/>
              </w:rPr>
              <w:t>n (%)</w:t>
            </w:r>
          </w:p>
        </w:tc>
        <w:tc>
          <w:tcPr>
            <w:tcW w:w="1057" w:type="dxa"/>
          </w:tcPr>
          <w:p w14:paraId="0D53B7DB" w14:textId="77777777" w:rsidR="00405B28" w:rsidRPr="00603C30" w:rsidRDefault="00405B28" w:rsidP="00B77FAC">
            <w:pPr>
              <w:pStyle w:val="TableText"/>
              <w:rPr>
                <w:b/>
                <w:bCs/>
              </w:rPr>
            </w:pPr>
            <w:r w:rsidRPr="00603C30">
              <w:rPr>
                <w:b/>
                <w:bCs/>
              </w:rPr>
              <w:t>n (%)</w:t>
            </w:r>
          </w:p>
        </w:tc>
      </w:tr>
      <w:tr w:rsidR="00405B28" w:rsidRPr="005621BA" w14:paraId="20D4D6FD" w14:textId="77777777" w:rsidTr="0FD0CF2A">
        <w:tc>
          <w:tcPr>
            <w:tcW w:w="1230" w:type="dxa"/>
          </w:tcPr>
          <w:p w14:paraId="092B5674" w14:textId="77777777" w:rsidR="00405B28" w:rsidRPr="005621BA" w:rsidRDefault="00405B28" w:rsidP="00B77FAC">
            <w:pPr>
              <w:pStyle w:val="TableText"/>
            </w:pPr>
            <w:r w:rsidRPr="005621BA">
              <w:t>Full analysis set</w:t>
            </w:r>
          </w:p>
        </w:tc>
        <w:tc>
          <w:tcPr>
            <w:tcW w:w="1591" w:type="dxa"/>
          </w:tcPr>
          <w:p w14:paraId="5EA068AB" w14:textId="77777777" w:rsidR="00405B28" w:rsidRPr="005621BA" w:rsidRDefault="00405B28" w:rsidP="00B77FAC">
            <w:pPr>
              <w:pStyle w:val="TableText"/>
            </w:pPr>
            <w:r w:rsidRPr="005621BA">
              <w:t>1 (100%)</w:t>
            </w:r>
          </w:p>
        </w:tc>
        <w:tc>
          <w:tcPr>
            <w:tcW w:w="1715" w:type="dxa"/>
          </w:tcPr>
          <w:p w14:paraId="4ADC61BB" w14:textId="77777777" w:rsidR="00405B28" w:rsidRPr="005621BA" w:rsidRDefault="00405B28" w:rsidP="00B77FAC">
            <w:pPr>
              <w:pStyle w:val="TableText"/>
            </w:pPr>
            <w:r w:rsidRPr="005621BA">
              <w:t>10 (100%)</w:t>
            </w:r>
          </w:p>
        </w:tc>
        <w:tc>
          <w:tcPr>
            <w:tcW w:w="1708" w:type="dxa"/>
          </w:tcPr>
          <w:p w14:paraId="039E1535" w14:textId="77777777" w:rsidR="00405B28" w:rsidRPr="005621BA" w:rsidRDefault="00405B28" w:rsidP="00B77FAC">
            <w:pPr>
              <w:pStyle w:val="TableText"/>
            </w:pPr>
            <w:r w:rsidRPr="005621BA">
              <w:t>11 (100%)</w:t>
            </w:r>
          </w:p>
        </w:tc>
        <w:tc>
          <w:tcPr>
            <w:tcW w:w="1715" w:type="dxa"/>
          </w:tcPr>
          <w:p w14:paraId="62A056A9" w14:textId="77777777" w:rsidR="00405B28" w:rsidRPr="005621BA" w:rsidRDefault="00405B28" w:rsidP="00B77FAC">
            <w:pPr>
              <w:pStyle w:val="TableText"/>
            </w:pPr>
            <w:r w:rsidRPr="005621BA">
              <w:t>13 (100%)</w:t>
            </w:r>
          </w:p>
        </w:tc>
        <w:tc>
          <w:tcPr>
            <w:tcW w:w="1057" w:type="dxa"/>
          </w:tcPr>
          <w:p w14:paraId="3C298B61" w14:textId="77777777" w:rsidR="00405B28" w:rsidRPr="005621BA" w:rsidRDefault="00405B28" w:rsidP="00B77FAC">
            <w:pPr>
              <w:pStyle w:val="TableText"/>
            </w:pPr>
            <w:r w:rsidRPr="005621BA">
              <w:t>35 (100%)</w:t>
            </w:r>
          </w:p>
        </w:tc>
      </w:tr>
      <w:tr w:rsidR="00405B28" w:rsidRPr="005621BA" w14:paraId="1620AC3F" w14:textId="77777777" w:rsidTr="0FD0CF2A">
        <w:tc>
          <w:tcPr>
            <w:tcW w:w="1230" w:type="dxa"/>
          </w:tcPr>
          <w:p w14:paraId="20487E14" w14:textId="77777777" w:rsidR="00405B28" w:rsidRPr="005621BA" w:rsidRDefault="00405B28" w:rsidP="00B77FAC">
            <w:pPr>
              <w:pStyle w:val="TableText"/>
            </w:pPr>
            <w:r w:rsidRPr="005621BA">
              <w:t>Completed</w:t>
            </w:r>
          </w:p>
        </w:tc>
        <w:tc>
          <w:tcPr>
            <w:tcW w:w="1591" w:type="dxa"/>
          </w:tcPr>
          <w:p w14:paraId="18199AC3" w14:textId="77777777" w:rsidR="00405B28" w:rsidRPr="005621BA" w:rsidRDefault="00405B28" w:rsidP="00B77FAC">
            <w:pPr>
              <w:pStyle w:val="TableText"/>
            </w:pPr>
            <w:r w:rsidRPr="005621BA">
              <w:t>1 (100%)</w:t>
            </w:r>
          </w:p>
        </w:tc>
        <w:tc>
          <w:tcPr>
            <w:tcW w:w="1715" w:type="dxa"/>
          </w:tcPr>
          <w:p w14:paraId="2952E7FC" w14:textId="77777777" w:rsidR="00405B28" w:rsidRPr="005621BA" w:rsidRDefault="00405B28" w:rsidP="00B77FAC">
            <w:pPr>
              <w:pStyle w:val="TableText"/>
            </w:pPr>
            <w:r w:rsidRPr="005621BA">
              <w:t>0</w:t>
            </w:r>
          </w:p>
        </w:tc>
        <w:tc>
          <w:tcPr>
            <w:tcW w:w="1708" w:type="dxa"/>
          </w:tcPr>
          <w:p w14:paraId="6C9A6A6A" w14:textId="77777777" w:rsidR="00405B28" w:rsidRPr="005621BA" w:rsidRDefault="00405B28" w:rsidP="00B77FAC">
            <w:pPr>
              <w:pStyle w:val="TableText"/>
            </w:pPr>
            <w:r w:rsidRPr="005621BA">
              <w:t>0</w:t>
            </w:r>
          </w:p>
        </w:tc>
        <w:tc>
          <w:tcPr>
            <w:tcW w:w="1715" w:type="dxa"/>
          </w:tcPr>
          <w:p w14:paraId="7AF1435D" w14:textId="77777777" w:rsidR="00405B28" w:rsidRPr="005621BA" w:rsidRDefault="00405B28" w:rsidP="00B77FAC">
            <w:pPr>
              <w:pStyle w:val="TableText"/>
            </w:pPr>
            <w:r w:rsidRPr="005621BA">
              <w:t>0</w:t>
            </w:r>
          </w:p>
        </w:tc>
        <w:tc>
          <w:tcPr>
            <w:tcW w:w="1057" w:type="dxa"/>
          </w:tcPr>
          <w:p w14:paraId="14B2457E" w14:textId="77777777" w:rsidR="00405B28" w:rsidRPr="005621BA" w:rsidRDefault="00405B28" w:rsidP="00B77FAC">
            <w:pPr>
              <w:pStyle w:val="TableText"/>
            </w:pPr>
            <w:r w:rsidRPr="005621BA">
              <w:t>1 (3%)</w:t>
            </w:r>
          </w:p>
        </w:tc>
      </w:tr>
      <w:tr w:rsidR="00405B28" w:rsidRPr="005621BA" w14:paraId="197271E0" w14:textId="77777777" w:rsidTr="0FD0CF2A">
        <w:tc>
          <w:tcPr>
            <w:tcW w:w="1230" w:type="dxa"/>
          </w:tcPr>
          <w:p w14:paraId="7E7CAC93" w14:textId="77777777" w:rsidR="00405B28" w:rsidRPr="005621BA" w:rsidRDefault="00405B28" w:rsidP="00B77FAC">
            <w:pPr>
              <w:pStyle w:val="TableText"/>
            </w:pPr>
            <w:r w:rsidRPr="005621BA">
              <w:t>Ongoing</w:t>
            </w:r>
          </w:p>
        </w:tc>
        <w:tc>
          <w:tcPr>
            <w:tcW w:w="1591" w:type="dxa"/>
          </w:tcPr>
          <w:p w14:paraId="0FF56C61" w14:textId="77777777" w:rsidR="00405B28" w:rsidRPr="005621BA" w:rsidRDefault="00405B28" w:rsidP="00B77FAC">
            <w:pPr>
              <w:pStyle w:val="TableText"/>
            </w:pPr>
            <w:r w:rsidRPr="005621BA">
              <w:t>0</w:t>
            </w:r>
          </w:p>
        </w:tc>
        <w:tc>
          <w:tcPr>
            <w:tcW w:w="1715" w:type="dxa"/>
          </w:tcPr>
          <w:p w14:paraId="554B8B25" w14:textId="77777777" w:rsidR="00405B28" w:rsidRPr="005621BA" w:rsidRDefault="00405B28" w:rsidP="00B77FAC">
            <w:pPr>
              <w:pStyle w:val="TableText"/>
            </w:pPr>
            <w:r w:rsidRPr="005621BA">
              <w:t>9 (90%)</w:t>
            </w:r>
          </w:p>
        </w:tc>
        <w:tc>
          <w:tcPr>
            <w:tcW w:w="1708" w:type="dxa"/>
          </w:tcPr>
          <w:p w14:paraId="4E25F656" w14:textId="77777777" w:rsidR="00405B28" w:rsidRPr="005621BA" w:rsidRDefault="00405B28" w:rsidP="00B77FAC">
            <w:pPr>
              <w:pStyle w:val="TableText"/>
            </w:pPr>
            <w:r w:rsidRPr="005621BA">
              <w:t>7 (64%)</w:t>
            </w:r>
          </w:p>
        </w:tc>
        <w:tc>
          <w:tcPr>
            <w:tcW w:w="1715" w:type="dxa"/>
          </w:tcPr>
          <w:p w14:paraId="216830AA" w14:textId="77777777" w:rsidR="00405B28" w:rsidRPr="005621BA" w:rsidRDefault="00405B28" w:rsidP="00B77FAC">
            <w:pPr>
              <w:pStyle w:val="TableText"/>
            </w:pPr>
            <w:r w:rsidRPr="005621BA">
              <w:t>12 (92%)</w:t>
            </w:r>
          </w:p>
        </w:tc>
        <w:tc>
          <w:tcPr>
            <w:tcW w:w="1057" w:type="dxa"/>
          </w:tcPr>
          <w:p w14:paraId="351FA10E" w14:textId="77777777" w:rsidR="00405B28" w:rsidRPr="005621BA" w:rsidRDefault="00405B28" w:rsidP="00B77FAC">
            <w:pPr>
              <w:pStyle w:val="TableText"/>
            </w:pPr>
            <w:r w:rsidRPr="005621BA">
              <w:t>28 (80%)</w:t>
            </w:r>
          </w:p>
        </w:tc>
      </w:tr>
      <w:tr w:rsidR="00405B28" w:rsidRPr="005621BA" w14:paraId="3A3B78BD" w14:textId="77777777" w:rsidTr="0FD0CF2A">
        <w:tc>
          <w:tcPr>
            <w:tcW w:w="1230" w:type="dxa"/>
          </w:tcPr>
          <w:p w14:paraId="56876568" w14:textId="77777777" w:rsidR="00405B28" w:rsidRPr="005621BA" w:rsidRDefault="00405B28" w:rsidP="00B77FAC">
            <w:pPr>
              <w:pStyle w:val="TableText"/>
            </w:pPr>
            <w:r w:rsidRPr="005621BA">
              <w:t>Discontinued</w:t>
            </w:r>
          </w:p>
        </w:tc>
        <w:tc>
          <w:tcPr>
            <w:tcW w:w="1591" w:type="dxa"/>
          </w:tcPr>
          <w:p w14:paraId="234A281D" w14:textId="77777777" w:rsidR="00405B28" w:rsidRPr="005621BA" w:rsidRDefault="00405B28" w:rsidP="00B77FAC">
            <w:pPr>
              <w:pStyle w:val="TableText"/>
            </w:pPr>
            <w:r w:rsidRPr="005621BA">
              <w:t>0</w:t>
            </w:r>
          </w:p>
        </w:tc>
        <w:tc>
          <w:tcPr>
            <w:tcW w:w="1715" w:type="dxa"/>
          </w:tcPr>
          <w:p w14:paraId="6EF1B880" w14:textId="77777777" w:rsidR="00405B28" w:rsidRPr="005621BA" w:rsidRDefault="00405B28" w:rsidP="00B77FAC">
            <w:pPr>
              <w:pStyle w:val="TableText"/>
            </w:pPr>
            <w:r w:rsidRPr="005621BA">
              <w:t>1 (10%)</w:t>
            </w:r>
          </w:p>
        </w:tc>
        <w:tc>
          <w:tcPr>
            <w:tcW w:w="1708" w:type="dxa"/>
          </w:tcPr>
          <w:p w14:paraId="4A3FE9C8" w14:textId="77777777" w:rsidR="00405B28" w:rsidRPr="005621BA" w:rsidRDefault="00405B28" w:rsidP="00B77FAC">
            <w:pPr>
              <w:pStyle w:val="TableText"/>
            </w:pPr>
            <w:r w:rsidRPr="005621BA">
              <w:t>4 (36%)</w:t>
            </w:r>
          </w:p>
        </w:tc>
        <w:tc>
          <w:tcPr>
            <w:tcW w:w="1715" w:type="dxa"/>
          </w:tcPr>
          <w:p w14:paraId="10F86B0F" w14:textId="77777777" w:rsidR="00405B28" w:rsidRPr="005621BA" w:rsidRDefault="00405B28" w:rsidP="00B77FAC">
            <w:pPr>
              <w:pStyle w:val="TableText"/>
            </w:pPr>
            <w:r w:rsidRPr="005621BA">
              <w:t>1 (8%)</w:t>
            </w:r>
          </w:p>
        </w:tc>
        <w:tc>
          <w:tcPr>
            <w:tcW w:w="1057" w:type="dxa"/>
          </w:tcPr>
          <w:p w14:paraId="252FEA47" w14:textId="77777777" w:rsidR="00405B28" w:rsidRPr="005621BA" w:rsidRDefault="00405B28" w:rsidP="00B77FAC">
            <w:pPr>
              <w:pStyle w:val="TableText"/>
            </w:pPr>
            <w:r w:rsidRPr="005621BA">
              <w:t>6 (17%)</w:t>
            </w:r>
          </w:p>
        </w:tc>
      </w:tr>
      <w:tr w:rsidR="00405B28" w:rsidRPr="005621BA" w14:paraId="46927EC5" w14:textId="77777777" w:rsidTr="0FD0CF2A">
        <w:tc>
          <w:tcPr>
            <w:tcW w:w="1230" w:type="dxa"/>
          </w:tcPr>
          <w:p w14:paraId="1693C76D" w14:textId="0D039A2B" w:rsidR="00405B28" w:rsidRPr="005621BA" w:rsidRDefault="00701256" w:rsidP="00B77FAC">
            <w:pPr>
              <w:pStyle w:val="TableText"/>
            </w:pPr>
            <w:r>
              <w:t xml:space="preserve">     </w:t>
            </w:r>
            <w:r w:rsidR="00405B28" w:rsidRPr="005621BA">
              <w:t>Graft loss</w:t>
            </w:r>
          </w:p>
        </w:tc>
        <w:tc>
          <w:tcPr>
            <w:tcW w:w="1591" w:type="dxa"/>
          </w:tcPr>
          <w:p w14:paraId="3E564F21" w14:textId="77777777" w:rsidR="00405B28" w:rsidRPr="005621BA" w:rsidRDefault="00405B28" w:rsidP="00B77FAC">
            <w:pPr>
              <w:pStyle w:val="TableText"/>
            </w:pPr>
          </w:p>
        </w:tc>
        <w:tc>
          <w:tcPr>
            <w:tcW w:w="1715" w:type="dxa"/>
          </w:tcPr>
          <w:p w14:paraId="1026771D" w14:textId="77777777" w:rsidR="00405B28" w:rsidRPr="005621BA" w:rsidRDefault="00405B28" w:rsidP="00B77FAC">
            <w:pPr>
              <w:pStyle w:val="TableText"/>
            </w:pPr>
            <w:r w:rsidRPr="005621BA">
              <w:t>0</w:t>
            </w:r>
          </w:p>
        </w:tc>
        <w:tc>
          <w:tcPr>
            <w:tcW w:w="1708" w:type="dxa"/>
          </w:tcPr>
          <w:p w14:paraId="2EB44A02" w14:textId="77777777" w:rsidR="00405B28" w:rsidRPr="005621BA" w:rsidRDefault="00405B28" w:rsidP="00B77FAC">
            <w:pPr>
              <w:pStyle w:val="TableText"/>
            </w:pPr>
            <w:r w:rsidRPr="005621BA">
              <w:t>3 (27%)</w:t>
            </w:r>
          </w:p>
        </w:tc>
        <w:tc>
          <w:tcPr>
            <w:tcW w:w="1715" w:type="dxa"/>
          </w:tcPr>
          <w:p w14:paraId="55880A96" w14:textId="77777777" w:rsidR="00405B28" w:rsidRPr="005621BA" w:rsidRDefault="00405B28" w:rsidP="00B77FAC">
            <w:pPr>
              <w:pStyle w:val="TableText"/>
            </w:pPr>
            <w:r w:rsidRPr="005621BA">
              <w:t>0</w:t>
            </w:r>
          </w:p>
        </w:tc>
        <w:tc>
          <w:tcPr>
            <w:tcW w:w="1057" w:type="dxa"/>
          </w:tcPr>
          <w:p w14:paraId="5F0B10DB" w14:textId="77777777" w:rsidR="00405B28" w:rsidRPr="005621BA" w:rsidRDefault="00405B28" w:rsidP="00B77FAC">
            <w:pPr>
              <w:pStyle w:val="TableText"/>
            </w:pPr>
            <w:r w:rsidRPr="005621BA">
              <w:t>3 (9%)</w:t>
            </w:r>
          </w:p>
        </w:tc>
      </w:tr>
      <w:tr w:rsidR="00405B28" w:rsidRPr="005621BA" w14:paraId="200BDB0E" w14:textId="77777777" w:rsidTr="0FD0CF2A">
        <w:tc>
          <w:tcPr>
            <w:tcW w:w="1230" w:type="dxa"/>
          </w:tcPr>
          <w:p w14:paraId="7D1623E7" w14:textId="6459339D" w:rsidR="00405B28" w:rsidRPr="005621BA" w:rsidRDefault="00701256" w:rsidP="00B77FAC">
            <w:pPr>
              <w:pStyle w:val="TableText"/>
            </w:pPr>
            <w:r>
              <w:t xml:space="preserve">     </w:t>
            </w:r>
            <w:r w:rsidR="00405B28" w:rsidRPr="005621BA">
              <w:t>Death</w:t>
            </w:r>
          </w:p>
        </w:tc>
        <w:tc>
          <w:tcPr>
            <w:tcW w:w="1591" w:type="dxa"/>
          </w:tcPr>
          <w:p w14:paraId="556C5B0A" w14:textId="77777777" w:rsidR="00405B28" w:rsidRPr="005621BA" w:rsidRDefault="00405B28" w:rsidP="00B77FAC">
            <w:pPr>
              <w:pStyle w:val="TableText"/>
            </w:pPr>
          </w:p>
        </w:tc>
        <w:tc>
          <w:tcPr>
            <w:tcW w:w="1715" w:type="dxa"/>
          </w:tcPr>
          <w:p w14:paraId="38ED6DDE" w14:textId="77777777" w:rsidR="00405B28" w:rsidRPr="005621BA" w:rsidRDefault="00405B28" w:rsidP="00B77FAC">
            <w:pPr>
              <w:pStyle w:val="TableText"/>
            </w:pPr>
            <w:r w:rsidRPr="005621BA">
              <w:t>1 (10%)</w:t>
            </w:r>
          </w:p>
        </w:tc>
        <w:tc>
          <w:tcPr>
            <w:tcW w:w="1708" w:type="dxa"/>
          </w:tcPr>
          <w:p w14:paraId="079CB252" w14:textId="77777777" w:rsidR="00405B28" w:rsidRPr="005621BA" w:rsidRDefault="00405B28" w:rsidP="00B77FAC">
            <w:pPr>
              <w:pStyle w:val="TableText"/>
            </w:pPr>
            <w:r w:rsidRPr="005621BA">
              <w:t>1 (9%)</w:t>
            </w:r>
          </w:p>
        </w:tc>
        <w:tc>
          <w:tcPr>
            <w:tcW w:w="1715" w:type="dxa"/>
          </w:tcPr>
          <w:p w14:paraId="2171B102" w14:textId="77777777" w:rsidR="00405B28" w:rsidRPr="005621BA" w:rsidRDefault="00405B28" w:rsidP="00B77FAC">
            <w:pPr>
              <w:pStyle w:val="TableText"/>
            </w:pPr>
            <w:r w:rsidRPr="005621BA">
              <w:t>1 (8%)</w:t>
            </w:r>
          </w:p>
        </w:tc>
        <w:tc>
          <w:tcPr>
            <w:tcW w:w="1057" w:type="dxa"/>
          </w:tcPr>
          <w:p w14:paraId="21A05C91" w14:textId="77777777" w:rsidR="00405B28" w:rsidRPr="005621BA" w:rsidRDefault="00405B28" w:rsidP="00B77FAC">
            <w:pPr>
              <w:pStyle w:val="TableText"/>
            </w:pPr>
            <w:r w:rsidRPr="005621BA">
              <w:t>3 (9%)</w:t>
            </w:r>
          </w:p>
        </w:tc>
      </w:tr>
    </w:tbl>
    <w:p w14:paraId="796CBE62" w14:textId="5CDE02AD" w:rsidR="00BE5F11" w:rsidRPr="00527717" w:rsidRDefault="00BE5F11" w:rsidP="00B73CDB">
      <w:pPr>
        <w:pStyle w:val="Tablenotes"/>
        <w:rPr>
          <w:b/>
          <w:bCs/>
          <w:u w:val="single"/>
        </w:rPr>
      </w:pPr>
      <w:r w:rsidRPr="00527717">
        <w:rPr>
          <w:b/>
          <w:bCs/>
          <w:u w:val="single"/>
        </w:rPr>
        <w:t>Abbreviations</w:t>
      </w:r>
    </w:p>
    <w:p w14:paraId="1A77E64F" w14:textId="6CD7DFFC" w:rsidR="00AB6516" w:rsidRDefault="00AB6516" w:rsidP="00B73CDB">
      <w:pPr>
        <w:pStyle w:val="Tablenotes"/>
      </w:pPr>
      <w:r w:rsidRPr="005621BA">
        <w:t xml:space="preserve">N=all subjects; n=subjects with data; %=n/N </w:t>
      </w:r>
    </w:p>
    <w:p w14:paraId="4565B8BB" w14:textId="0A43DDE1" w:rsidR="00BE5F11" w:rsidRPr="00527717" w:rsidRDefault="00BE5F11" w:rsidP="00B73CDB">
      <w:pPr>
        <w:pStyle w:val="Tablenotes"/>
        <w:rPr>
          <w:b/>
          <w:bCs/>
          <w:u w:val="single"/>
        </w:rPr>
      </w:pPr>
      <w:r>
        <w:rPr>
          <w:b/>
          <w:bCs/>
          <w:u w:val="single"/>
        </w:rPr>
        <w:t>Note</w:t>
      </w:r>
    </w:p>
    <w:p w14:paraId="04CB1AE0" w14:textId="7693D5C9" w:rsidR="00AB6516" w:rsidRPr="005621BA" w:rsidRDefault="001A3415" w:rsidP="00B73CDB">
      <w:pPr>
        <w:pStyle w:val="Tablenotes"/>
      </w:pPr>
      <w:r>
        <w:rPr>
          <w:vertAlign w:val="superscript"/>
        </w:rPr>
        <w:t>*</w:t>
      </w:r>
      <w:r w:rsidR="00AB6516" w:rsidRPr="005621BA">
        <w:t xml:space="preserve"> </w:t>
      </w:r>
      <w:r>
        <w:t>R</w:t>
      </w:r>
      <w:r w:rsidR="00AB6516" w:rsidRPr="005621BA">
        <w:t xml:space="preserve">epresents 35 of the 46 patients in the </w:t>
      </w:r>
      <w:r w:rsidR="00AB6516">
        <w:t>a</w:t>
      </w:r>
      <w:r w:rsidR="00AB6516" w:rsidRPr="005621BA">
        <w:t>ll-</w:t>
      </w:r>
      <w:r w:rsidR="00AB6516">
        <w:t>t</w:t>
      </w:r>
      <w:r w:rsidR="00AB6516" w:rsidRPr="005621BA">
        <w:t>ransplanted group that were followed up at year 2.</w:t>
      </w:r>
    </w:p>
    <w:p w14:paraId="6FBB5798" w14:textId="30B8A615" w:rsidR="00584EDE" w:rsidRPr="00527717" w:rsidRDefault="00863983" w:rsidP="00B73CDB">
      <w:pPr>
        <w:pStyle w:val="Tablenotes"/>
        <w:rPr>
          <w:b/>
          <w:u w:val="single"/>
        </w:rPr>
      </w:pPr>
      <w:r w:rsidRPr="00527717">
        <w:rPr>
          <w:b/>
          <w:u w:val="single"/>
        </w:rPr>
        <w:t xml:space="preserve">Source </w:t>
      </w:r>
    </w:p>
    <w:p w14:paraId="31D5B630" w14:textId="1F8A1052" w:rsidR="00A80145" w:rsidRDefault="00EE0F97" w:rsidP="00B73CDB">
      <w:pPr>
        <w:pStyle w:val="Tablenotes"/>
      </w:pPr>
      <w:r>
        <w:t xml:space="preserve">Adapted from </w:t>
      </w:r>
      <w:r w:rsidRPr="00EE0F97">
        <w:t xml:space="preserve">Table </w:t>
      </w:r>
      <w:r>
        <w:t>32</w:t>
      </w:r>
      <w:r w:rsidRPr="00EE0F97">
        <w:t>, p</w:t>
      </w:r>
      <w:r w:rsidR="00F63336">
        <w:t>.</w:t>
      </w:r>
      <w:r w:rsidRPr="00EE0F97">
        <w:t xml:space="preserve"> </w:t>
      </w:r>
      <w:r>
        <w:t>151</w:t>
      </w:r>
      <w:r w:rsidRPr="00EE0F97">
        <w:t xml:space="preserve"> of the MSAC 1732.1 </w:t>
      </w:r>
      <w:proofErr w:type="spellStart"/>
      <w:r w:rsidRPr="00EE0F97">
        <w:t>ADAR+in-line</w:t>
      </w:r>
      <w:proofErr w:type="spellEnd"/>
      <w:r w:rsidRPr="00EE0F97">
        <w:t xml:space="preserve"> </w:t>
      </w:r>
      <w:proofErr w:type="gramStart"/>
      <w:r w:rsidRPr="00EE0F97">
        <w:t>commentary</w:t>
      </w:r>
      <w:proofErr w:type="gramEnd"/>
      <w:r w:rsidRPr="00EE0F97">
        <w:t xml:space="preserve"> </w:t>
      </w:r>
    </w:p>
    <w:p w14:paraId="2FAF7DD9" w14:textId="34C637AA" w:rsidR="00D0281B" w:rsidRPr="008D2C38" w:rsidRDefault="00F02465" w:rsidP="00F84BA7">
      <w:pPr>
        <w:spacing w:before="240"/>
        <w:rPr>
          <w:lang w:val="en-GB"/>
        </w:rPr>
      </w:pPr>
      <w:r>
        <w:rPr>
          <w:lang w:val="en-GB"/>
        </w:rPr>
        <w:t>The ADAR reported the following key findings regarding the safety of the comparator (dialysis): d</w:t>
      </w:r>
      <w:r w:rsidR="00917EAB" w:rsidRPr="007850D2">
        <w:rPr>
          <w:lang w:val="en-GB"/>
        </w:rPr>
        <w:t>ialysis is associated with significant AEs</w:t>
      </w:r>
      <w:r w:rsidR="00584EDE">
        <w:rPr>
          <w:lang w:val="en-GB"/>
        </w:rPr>
        <w:t>,</w:t>
      </w:r>
      <w:r w:rsidR="00917EAB" w:rsidRPr="007850D2">
        <w:rPr>
          <w:lang w:val="en-GB"/>
        </w:rPr>
        <w:t xml:space="preserve"> including peritonitis with </w:t>
      </w:r>
      <w:r>
        <w:rPr>
          <w:lang w:val="en-GB"/>
        </w:rPr>
        <w:t>peritoneal dialysis</w:t>
      </w:r>
      <w:r w:rsidR="00917EAB" w:rsidRPr="007850D2">
        <w:rPr>
          <w:lang w:val="en-GB"/>
        </w:rPr>
        <w:t xml:space="preserve"> (mean 0.28 episodes per year reported in Australia) and </w:t>
      </w:r>
      <w:r w:rsidR="00260D78">
        <w:rPr>
          <w:lang w:val="en-GB"/>
        </w:rPr>
        <w:t>haemodialysis</w:t>
      </w:r>
      <w:r w:rsidR="00917EAB" w:rsidRPr="007850D2">
        <w:rPr>
          <w:lang w:val="en-GB"/>
        </w:rPr>
        <w:t xml:space="preserve"> with high rates of arteriovenous fistula stenosis and cardiovascular disease that can reduce survival, plus fatigue and reduced quality of life that adversely impacts patient daily functioning</w:t>
      </w:r>
      <w:r w:rsidR="00027B6F">
        <w:rPr>
          <w:lang w:val="en-GB"/>
        </w:rPr>
        <w:t>.</w:t>
      </w:r>
      <w:r w:rsidR="004529A4">
        <w:rPr>
          <w:lang w:val="en-GB"/>
        </w:rPr>
        <w:t xml:space="preserve"> </w:t>
      </w:r>
      <w:r w:rsidR="00D0281B" w:rsidRPr="00D0281B">
        <w:rPr>
          <w:lang w:val="en-GB"/>
        </w:rPr>
        <w:t>A formal indirect comparison of key AEs for imlifidase vs the comparator</w:t>
      </w:r>
      <w:r w:rsidR="00D0281B">
        <w:rPr>
          <w:lang w:val="en-GB"/>
        </w:rPr>
        <w:t xml:space="preserve"> </w:t>
      </w:r>
      <w:r w:rsidR="00D0281B" w:rsidRPr="00D0281B">
        <w:rPr>
          <w:lang w:val="en-GB"/>
        </w:rPr>
        <w:t>dialysis</w:t>
      </w:r>
      <w:r w:rsidR="00D0281B">
        <w:rPr>
          <w:lang w:val="en-GB"/>
        </w:rPr>
        <w:t xml:space="preserve"> </w:t>
      </w:r>
      <w:r w:rsidR="00260D78">
        <w:rPr>
          <w:lang w:val="en-GB"/>
        </w:rPr>
        <w:t>was</w:t>
      </w:r>
      <w:r w:rsidR="00D0281B">
        <w:rPr>
          <w:lang w:val="en-GB"/>
        </w:rPr>
        <w:t xml:space="preserve"> not included</w:t>
      </w:r>
      <w:r w:rsidR="00763782">
        <w:rPr>
          <w:lang w:val="en-GB"/>
        </w:rPr>
        <w:t xml:space="preserve"> in the ADAR</w:t>
      </w:r>
      <w:r w:rsidR="00920926">
        <w:rPr>
          <w:lang w:val="en-GB"/>
        </w:rPr>
        <w:t xml:space="preserve">. </w:t>
      </w:r>
    </w:p>
    <w:p w14:paraId="70FC5B46" w14:textId="06C60156" w:rsidR="00A80145" w:rsidRPr="00260D78" w:rsidRDefault="00CC1A37" w:rsidP="00405B28">
      <w:pPr>
        <w:pStyle w:val="Notes-TableFigure"/>
        <w:rPr>
          <w:rFonts w:ascii="Franklin Gothic Book" w:hAnsi="Franklin Gothic Book"/>
          <w:b/>
          <w:bCs/>
          <w:sz w:val="22"/>
          <w:szCs w:val="28"/>
          <w:u w:val="single"/>
        </w:rPr>
      </w:pPr>
      <w:r w:rsidRPr="00E217E2">
        <w:rPr>
          <w:rFonts w:ascii="Franklin Gothic Book" w:hAnsi="Franklin Gothic Book"/>
          <w:sz w:val="22"/>
          <w:szCs w:val="28"/>
        </w:rPr>
        <w:t xml:space="preserve">The </w:t>
      </w:r>
      <w:r w:rsidR="00EA27C3">
        <w:rPr>
          <w:rFonts w:ascii="Franklin Gothic Book" w:hAnsi="Franklin Gothic Book"/>
          <w:sz w:val="22"/>
          <w:szCs w:val="28"/>
        </w:rPr>
        <w:t>commentary of the previous submission (MSAC 1732)</w:t>
      </w:r>
      <w:r w:rsidRPr="00E217E2">
        <w:rPr>
          <w:rFonts w:ascii="Franklin Gothic Book" w:hAnsi="Franklin Gothic Book"/>
          <w:sz w:val="22"/>
          <w:szCs w:val="28"/>
        </w:rPr>
        <w:t xml:space="preserve"> consider</w:t>
      </w:r>
      <w:r w:rsidR="00701256">
        <w:rPr>
          <w:rFonts w:ascii="Franklin Gothic Book" w:hAnsi="Franklin Gothic Book"/>
          <w:sz w:val="22"/>
          <w:szCs w:val="28"/>
        </w:rPr>
        <w:t>ed</w:t>
      </w:r>
      <w:r w:rsidRPr="00E217E2">
        <w:rPr>
          <w:rFonts w:ascii="Franklin Gothic Book" w:hAnsi="Franklin Gothic Book"/>
          <w:sz w:val="22"/>
          <w:szCs w:val="28"/>
        </w:rPr>
        <w:t xml:space="preserve"> that using imlifidase leads to safety outcomes that are at least non-inferior</w:t>
      </w:r>
      <w:r w:rsidR="00584EDE">
        <w:rPr>
          <w:rFonts w:ascii="Franklin Gothic Book" w:hAnsi="Franklin Gothic Book"/>
          <w:sz w:val="22"/>
          <w:szCs w:val="28"/>
        </w:rPr>
        <w:t>; h</w:t>
      </w:r>
      <w:r w:rsidRPr="00E217E2">
        <w:rPr>
          <w:rFonts w:ascii="Franklin Gothic Book" w:hAnsi="Franklin Gothic Book"/>
          <w:sz w:val="22"/>
          <w:szCs w:val="28"/>
        </w:rPr>
        <w:t xml:space="preserve">owever, the lack of longer-term data raises </w:t>
      </w:r>
      <w:r w:rsidRPr="00E217E2">
        <w:rPr>
          <w:rFonts w:ascii="Franklin Gothic Book" w:hAnsi="Franklin Gothic Book"/>
          <w:sz w:val="22"/>
          <w:szCs w:val="28"/>
        </w:rPr>
        <w:lastRenderedPageBreak/>
        <w:t>concerns about the potential long-term safety issues associated with imlifidase therapy. While the existing evidence provides a foundation for understanding the treatment's safety, further research with larger sample sizes and extended follow-up periods would be valuable to substantiate the findings and to better evaluate the long-term safety profile of imlifidase in the context of kidney transplantation.</w:t>
      </w:r>
    </w:p>
    <w:p w14:paraId="3717AA01" w14:textId="71E58B41" w:rsidR="00772829" w:rsidRPr="00CE28E3" w:rsidRDefault="00F84BA7" w:rsidP="002A18BE">
      <w:pPr>
        <w:pStyle w:val="Heading2"/>
        <w:numPr>
          <w:ilvl w:val="1"/>
          <w:numId w:val="0"/>
        </w:numPr>
      </w:pPr>
      <w:bookmarkStart w:id="26" w:name="_Toc69491424"/>
      <w:r>
        <w:t>12</w:t>
      </w:r>
      <w:r w:rsidR="00C36633">
        <w:t>.</w:t>
      </w:r>
      <w:r w:rsidR="00C36633">
        <w:tab/>
      </w:r>
      <w:r w:rsidR="00772829" w:rsidRPr="00CE28E3">
        <w:t>Comparative effectiveness</w:t>
      </w:r>
      <w:bookmarkEnd w:id="26"/>
    </w:p>
    <w:p w14:paraId="34A0501C" w14:textId="21923659" w:rsidR="00AF5F99" w:rsidRPr="006D1797" w:rsidRDefault="00AF5F99" w:rsidP="00F9637E">
      <w:pPr>
        <w:pStyle w:val="Heading3"/>
      </w:pPr>
      <w:r w:rsidRPr="006D1797">
        <w:t xml:space="preserve">Crossmatch conversion with </w:t>
      </w:r>
      <w:r w:rsidR="00E36F69" w:rsidRPr="006D1797">
        <w:t>imlifidase</w:t>
      </w:r>
    </w:p>
    <w:p w14:paraId="1599BE61" w14:textId="09233979" w:rsidR="006D1797" w:rsidRPr="006D1797" w:rsidRDefault="009842AA" w:rsidP="00AF5F99">
      <w:pPr>
        <w:pStyle w:val="Instructionaltext"/>
        <w:rPr>
          <w:color w:val="auto"/>
        </w:rPr>
      </w:pPr>
      <w:r w:rsidRPr="006D1797">
        <w:rPr>
          <w:color w:val="auto"/>
        </w:rPr>
        <w:t xml:space="preserve">The </w:t>
      </w:r>
      <w:r w:rsidR="001A0A09" w:rsidRPr="006D1797">
        <w:rPr>
          <w:color w:val="auto"/>
        </w:rPr>
        <w:t>pooled</w:t>
      </w:r>
      <w:r w:rsidRPr="006D1797">
        <w:rPr>
          <w:color w:val="auto"/>
        </w:rPr>
        <w:t xml:space="preserve"> </w:t>
      </w:r>
      <w:r w:rsidR="00AC2AE4" w:rsidRPr="006D1797">
        <w:rPr>
          <w:color w:val="auto"/>
        </w:rPr>
        <w:t xml:space="preserve">studies </w:t>
      </w:r>
      <w:r w:rsidR="00860154" w:rsidRPr="006D1797">
        <w:rPr>
          <w:color w:val="auto"/>
        </w:rPr>
        <w:t>reported no non-responders to imlifidase</w:t>
      </w:r>
      <w:r w:rsidR="007B600A" w:rsidRPr="006D1797">
        <w:rPr>
          <w:color w:val="auto"/>
        </w:rPr>
        <w:t>, with the use of imlifidase</w:t>
      </w:r>
      <w:r w:rsidR="00912796" w:rsidRPr="006D1797">
        <w:rPr>
          <w:color w:val="auto"/>
        </w:rPr>
        <w:t xml:space="preserve"> allowing </w:t>
      </w:r>
      <w:r w:rsidR="00214498" w:rsidRPr="006D1797">
        <w:rPr>
          <w:color w:val="auto"/>
        </w:rPr>
        <w:t xml:space="preserve">crossmatch conversion and DSA elimination in all </w:t>
      </w:r>
      <w:r w:rsidR="00AB2008">
        <w:rPr>
          <w:color w:val="auto"/>
        </w:rPr>
        <w:t>UTT</w:t>
      </w:r>
      <w:r w:rsidR="00A14896">
        <w:rPr>
          <w:color w:val="auto"/>
        </w:rPr>
        <w:t xml:space="preserve"> (</w:t>
      </w:r>
      <w:r w:rsidR="005E3925">
        <w:rPr>
          <w:color w:val="auto"/>
        </w:rPr>
        <w:t>u</w:t>
      </w:r>
      <w:r w:rsidR="00A14896">
        <w:rPr>
          <w:color w:val="auto"/>
        </w:rPr>
        <w:t xml:space="preserve">nlikely to </w:t>
      </w:r>
      <w:r w:rsidR="005E3925">
        <w:rPr>
          <w:color w:val="auto"/>
        </w:rPr>
        <w:t>t</w:t>
      </w:r>
      <w:r w:rsidR="00A14896">
        <w:rPr>
          <w:color w:val="auto"/>
        </w:rPr>
        <w:t>ransplant)</w:t>
      </w:r>
      <w:r w:rsidR="00AB2008">
        <w:rPr>
          <w:color w:val="auto"/>
        </w:rPr>
        <w:t xml:space="preserve"> and UTT-A </w:t>
      </w:r>
      <w:r w:rsidR="00A14896">
        <w:rPr>
          <w:color w:val="auto"/>
        </w:rPr>
        <w:t>(</w:t>
      </w:r>
      <w:r w:rsidR="005E3925">
        <w:rPr>
          <w:color w:val="auto"/>
        </w:rPr>
        <w:t>u</w:t>
      </w:r>
      <w:r w:rsidR="00A14896">
        <w:rPr>
          <w:color w:val="auto"/>
        </w:rPr>
        <w:t xml:space="preserve">nlikely to </w:t>
      </w:r>
      <w:r w:rsidR="005E3925">
        <w:rPr>
          <w:color w:val="auto"/>
        </w:rPr>
        <w:t>t</w:t>
      </w:r>
      <w:r w:rsidR="00A14896">
        <w:rPr>
          <w:color w:val="auto"/>
        </w:rPr>
        <w:t xml:space="preserve">ransplant – </w:t>
      </w:r>
      <w:r w:rsidR="005E3925">
        <w:rPr>
          <w:color w:val="auto"/>
        </w:rPr>
        <w:t>a</w:t>
      </w:r>
      <w:r w:rsidR="00A14896">
        <w:rPr>
          <w:color w:val="auto"/>
        </w:rPr>
        <w:t xml:space="preserve">gnostic) </w:t>
      </w:r>
      <w:r w:rsidR="00214498" w:rsidRPr="006D1797">
        <w:rPr>
          <w:color w:val="auto"/>
        </w:rPr>
        <w:t>participants</w:t>
      </w:r>
      <w:r w:rsidR="008C12F7" w:rsidRPr="006D1797">
        <w:rPr>
          <w:color w:val="auto"/>
        </w:rPr>
        <w:t xml:space="preserve">. </w:t>
      </w:r>
      <w:r w:rsidR="001F03F9" w:rsidRPr="006D1797">
        <w:rPr>
          <w:color w:val="auto"/>
        </w:rPr>
        <w:t>All crossmatch</w:t>
      </w:r>
      <w:r w:rsidR="0059672E">
        <w:rPr>
          <w:color w:val="auto"/>
        </w:rPr>
        <w:t>-</w:t>
      </w:r>
      <w:r w:rsidR="001F03F9" w:rsidRPr="006D1797">
        <w:rPr>
          <w:color w:val="auto"/>
        </w:rPr>
        <w:t>positive patients were converted to negative within 24 hours</w:t>
      </w:r>
      <w:r w:rsidR="00C05029" w:rsidRPr="006D1797">
        <w:rPr>
          <w:color w:val="auto"/>
        </w:rPr>
        <w:t xml:space="preserve"> and subsequently underwent transplant</w:t>
      </w:r>
      <w:r w:rsidR="001F03F9" w:rsidRPr="006D1797">
        <w:rPr>
          <w:color w:val="auto"/>
        </w:rPr>
        <w:t xml:space="preserve">. </w:t>
      </w:r>
      <w:r w:rsidR="00AE07BA">
        <w:rPr>
          <w:color w:val="auto"/>
        </w:rPr>
        <w:t xml:space="preserve">The </w:t>
      </w:r>
      <w:r w:rsidR="00D456C0">
        <w:rPr>
          <w:color w:val="auto"/>
        </w:rPr>
        <w:t xml:space="preserve">additional </w:t>
      </w:r>
      <w:r w:rsidR="009A75CE">
        <w:rPr>
          <w:color w:val="auto"/>
        </w:rPr>
        <w:t xml:space="preserve">data </w:t>
      </w:r>
      <w:r w:rsidR="00CF3B0D">
        <w:rPr>
          <w:color w:val="auto"/>
        </w:rPr>
        <w:t xml:space="preserve">supplied </w:t>
      </w:r>
      <w:r w:rsidR="007B4526">
        <w:rPr>
          <w:color w:val="auto"/>
        </w:rPr>
        <w:t>for a</w:t>
      </w:r>
      <w:r w:rsidR="00D86406" w:rsidRPr="00D86406">
        <w:rPr>
          <w:color w:val="auto"/>
        </w:rPr>
        <w:t>ll AUS-UTT-A patients (</w:t>
      </w:r>
      <w:r w:rsidR="00351401">
        <w:rPr>
          <w:color w:val="auto"/>
        </w:rPr>
        <w:t>N</w:t>
      </w:r>
      <w:r w:rsidR="00857017">
        <w:rPr>
          <w:color w:val="auto"/>
        </w:rPr>
        <w:t> </w:t>
      </w:r>
      <w:r w:rsidR="00857017" w:rsidRPr="00D86406">
        <w:rPr>
          <w:color w:val="auto"/>
        </w:rPr>
        <w:t>=</w:t>
      </w:r>
      <w:r w:rsidR="00857017">
        <w:rPr>
          <w:color w:val="auto"/>
        </w:rPr>
        <w:t> </w:t>
      </w:r>
      <w:r w:rsidR="00D86406" w:rsidRPr="00D86406">
        <w:rPr>
          <w:color w:val="auto"/>
        </w:rPr>
        <w:t xml:space="preserve">24) were crossmatch positive pre-dose. All patients converted from crossmatch positive to negative, </w:t>
      </w:r>
      <w:proofErr w:type="gramStart"/>
      <w:r w:rsidR="00B70A8D">
        <w:rPr>
          <w:color w:val="auto"/>
        </w:rPr>
        <w:t>with the exception of</w:t>
      </w:r>
      <w:proofErr w:type="gramEnd"/>
      <w:r w:rsidR="00B70A8D">
        <w:rPr>
          <w:color w:val="auto"/>
        </w:rPr>
        <w:t xml:space="preserve"> </w:t>
      </w:r>
      <w:r w:rsidR="00D86406" w:rsidRPr="00D86406">
        <w:rPr>
          <w:color w:val="auto"/>
        </w:rPr>
        <w:t>one case (</w:t>
      </w:r>
      <w:r w:rsidR="008B58D7">
        <w:rPr>
          <w:color w:val="auto"/>
        </w:rPr>
        <w:t>also included in the</w:t>
      </w:r>
      <w:r w:rsidR="00D86406" w:rsidRPr="00D86406">
        <w:rPr>
          <w:color w:val="auto"/>
        </w:rPr>
        <w:t xml:space="preserve"> UTT and UTT-A population</w:t>
      </w:r>
      <w:r w:rsidR="008B58D7">
        <w:rPr>
          <w:color w:val="auto"/>
        </w:rPr>
        <w:t>s</w:t>
      </w:r>
      <w:r w:rsidR="00D86406" w:rsidRPr="00D86406">
        <w:rPr>
          <w:color w:val="auto"/>
        </w:rPr>
        <w:t xml:space="preserve">), which was shown to be borderline positive from flow </w:t>
      </w:r>
      <w:r w:rsidR="00701256">
        <w:rPr>
          <w:color w:val="auto"/>
        </w:rPr>
        <w:t xml:space="preserve">cytometry </w:t>
      </w:r>
      <w:r w:rsidR="00D86406" w:rsidRPr="00D86406">
        <w:rPr>
          <w:color w:val="auto"/>
        </w:rPr>
        <w:t xml:space="preserve">crossmatch at 24 hours </w:t>
      </w:r>
      <w:r w:rsidR="00B70A8D">
        <w:rPr>
          <w:color w:val="auto"/>
        </w:rPr>
        <w:t xml:space="preserve">although it then </w:t>
      </w:r>
      <w:r w:rsidR="00D86406" w:rsidRPr="00D86406">
        <w:rPr>
          <w:color w:val="auto"/>
        </w:rPr>
        <w:t>had a negative virtual crossmatch at 2 hours. The flow</w:t>
      </w:r>
      <w:r w:rsidR="00701256">
        <w:rPr>
          <w:color w:val="auto"/>
        </w:rPr>
        <w:t xml:space="preserve"> cytometry </w:t>
      </w:r>
      <w:r w:rsidR="00B92702" w:rsidRPr="00B92702">
        <w:rPr>
          <w:color w:val="auto"/>
        </w:rPr>
        <w:t>crossmatch</w:t>
      </w:r>
      <w:r w:rsidR="00B92702" w:rsidRPr="00B92702" w:rsidDel="00B92702">
        <w:rPr>
          <w:color w:val="auto"/>
        </w:rPr>
        <w:t xml:space="preserve"> </w:t>
      </w:r>
      <w:r w:rsidR="00D86406" w:rsidRPr="00D86406">
        <w:rPr>
          <w:color w:val="auto"/>
        </w:rPr>
        <w:t>did not correlate to DSAs and was interpreted as not clinically significant. The patient proceeded to transplantation.</w:t>
      </w:r>
      <w:r w:rsidR="00D86406">
        <w:rPr>
          <w:color w:val="auto"/>
        </w:rPr>
        <w:t xml:space="preserve"> </w:t>
      </w:r>
      <w:r w:rsidR="001F03F9" w:rsidRPr="006D1797">
        <w:rPr>
          <w:color w:val="auto"/>
        </w:rPr>
        <w:t>The levels of anti-</w:t>
      </w:r>
      <w:r w:rsidR="00701256" w:rsidRPr="008911F7" w:rsidDel="00701256">
        <w:rPr>
          <w:color w:val="auto"/>
        </w:rPr>
        <w:t xml:space="preserve"> </w:t>
      </w:r>
      <w:r w:rsidR="001F03F9" w:rsidRPr="006D1797">
        <w:rPr>
          <w:color w:val="auto"/>
        </w:rPr>
        <w:t>HLA antibodies and DSA were substantially and significantly reduced in all patients, between 6 and 24 hours after treatment.</w:t>
      </w:r>
    </w:p>
    <w:p w14:paraId="28FB1563" w14:textId="01249710" w:rsidR="008B485D" w:rsidRPr="006D1797" w:rsidRDefault="004B4F60" w:rsidP="00F9637E">
      <w:pPr>
        <w:pStyle w:val="Heading3"/>
      </w:pPr>
      <w:r w:rsidRPr="006D1797">
        <w:t>Patient survival</w:t>
      </w:r>
    </w:p>
    <w:p w14:paraId="1D90888C" w14:textId="2B57F7B9" w:rsidR="00076D10" w:rsidRPr="004B7C87" w:rsidRDefault="00076D10" w:rsidP="00DB26C3">
      <w:r w:rsidRPr="004B7C87">
        <w:t>Patient survival and graft survival outcomes are summarised in</w:t>
      </w:r>
      <w:r w:rsidR="009404F5">
        <w:t xml:space="preserve"> Table 6</w:t>
      </w:r>
      <w:r w:rsidR="009256D6" w:rsidRPr="00DB26C3">
        <w:t>.</w:t>
      </w:r>
    </w:p>
    <w:p w14:paraId="1A25C881" w14:textId="74ADA1FF" w:rsidR="00036AC7" w:rsidRPr="00E4282D" w:rsidRDefault="00036AC7" w:rsidP="00036AC7">
      <w:pPr>
        <w:pStyle w:val="Instructionaltext"/>
        <w:rPr>
          <w:color w:val="auto"/>
        </w:rPr>
      </w:pPr>
      <w:r w:rsidRPr="006D1797">
        <w:rPr>
          <w:color w:val="auto"/>
        </w:rPr>
        <w:t xml:space="preserve">All patients in the </w:t>
      </w:r>
      <w:r w:rsidR="003A2BB2">
        <w:rPr>
          <w:color w:val="auto"/>
        </w:rPr>
        <w:t>AUS-UTT-A</w:t>
      </w:r>
      <w:r w:rsidRPr="006D1797">
        <w:rPr>
          <w:color w:val="auto"/>
        </w:rPr>
        <w:t xml:space="preserve"> population were alive at the end of the clinical trial period (6 months); however, 3 patients died after this time. The ADAR did not present any reason to </w:t>
      </w:r>
      <w:r w:rsidRPr="00E4282D">
        <w:rPr>
          <w:color w:val="auto"/>
        </w:rPr>
        <w:t>assume that any death was related to the administration of imlifidase or due to kidney malfunction.</w:t>
      </w:r>
    </w:p>
    <w:p w14:paraId="3689CA44" w14:textId="6D77F2AF" w:rsidR="00036AC7" w:rsidRPr="006D1797" w:rsidRDefault="00036AC7" w:rsidP="00036AC7">
      <w:pPr>
        <w:pStyle w:val="Instructionaltext"/>
        <w:rPr>
          <w:color w:val="auto"/>
        </w:rPr>
      </w:pPr>
      <w:r w:rsidRPr="00E4282D">
        <w:rPr>
          <w:color w:val="auto"/>
        </w:rPr>
        <w:t xml:space="preserve">The </w:t>
      </w:r>
      <w:r w:rsidR="000054A8" w:rsidRPr="00E4282D">
        <w:rPr>
          <w:color w:val="auto"/>
        </w:rPr>
        <w:t>5</w:t>
      </w:r>
      <w:r w:rsidRPr="00E4282D">
        <w:rPr>
          <w:color w:val="auto"/>
        </w:rPr>
        <w:t xml:space="preserve">-year long-term imlifidase study </w:t>
      </w:r>
      <w:r w:rsidR="00D860F8" w:rsidRPr="00F117CF">
        <w:rPr>
          <w:color w:val="auto"/>
        </w:rPr>
        <w:t>(</w:t>
      </w:r>
      <w:r w:rsidR="00D860F8" w:rsidRPr="00527717">
        <w:rPr>
          <w:color w:val="auto"/>
        </w:rPr>
        <w:t>17-HMedIdeS-14</w:t>
      </w:r>
      <w:r w:rsidR="00D860F8" w:rsidRPr="00F117CF">
        <w:rPr>
          <w:color w:val="auto"/>
        </w:rPr>
        <w:t>)</w:t>
      </w:r>
      <w:r w:rsidR="00D860F8">
        <w:rPr>
          <w:color w:val="auto"/>
        </w:rPr>
        <w:t xml:space="preserve"> </w:t>
      </w:r>
      <w:r w:rsidRPr="00E4282D">
        <w:rPr>
          <w:color w:val="auto"/>
        </w:rPr>
        <w:t xml:space="preserve">follow-up data showed an overall patient survival rate of </w:t>
      </w:r>
      <w:r w:rsidR="000054A8" w:rsidRPr="00E4282D">
        <w:rPr>
          <w:color w:val="auto"/>
        </w:rPr>
        <w:t>83% for the AUS-UTT-A population</w:t>
      </w:r>
      <w:r w:rsidRPr="00E4282D">
        <w:rPr>
          <w:color w:val="auto"/>
        </w:rPr>
        <w:t xml:space="preserve">. In the larger all-transplanted imlifidase population, survival was 92% at year 3, being </w:t>
      </w:r>
      <w:proofErr w:type="gramStart"/>
      <w:r w:rsidRPr="00E4282D">
        <w:rPr>
          <w:color w:val="auto"/>
        </w:rPr>
        <w:t>similar to</w:t>
      </w:r>
      <w:proofErr w:type="gramEnd"/>
      <w:r w:rsidRPr="00E4282D">
        <w:rPr>
          <w:color w:val="auto"/>
        </w:rPr>
        <w:t xml:space="preserve"> survival seen in the Canadian </w:t>
      </w:r>
      <w:r w:rsidR="00701256">
        <w:rPr>
          <w:color w:val="auto"/>
        </w:rPr>
        <w:t>highly sensitised</w:t>
      </w:r>
      <w:r w:rsidR="00701256" w:rsidRPr="00E4282D">
        <w:rPr>
          <w:color w:val="auto"/>
        </w:rPr>
        <w:t xml:space="preserve"> </w:t>
      </w:r>
      <w:r w:rsidR="003A2BB2" w:rsidRPr="00E4282D">
        <w:rPr>
          <w:color w:val="auto"/>
        </w:rPr>
        <w:t>program</w:t>
      </w:r>
      <w:r w:rsidR="00701256">
        <w:rPr>
          <w:color w:val="auto"/>
        </w:rPr>
        <w:t xml:space="preserve"> (HSP)</w:t>
      </w:r>
      <w:r w:rsidR="003A2BB2" w:rsidRPr="00E4282D">
        <w:rPr>
          <w:color w:val="auto"/>
        </w:rPr>
        <w:t xml:space="preserve"> and remained at 92% in year 5.</w:t>
      </w:r>
      <w:r w:rsidR="00A1695C" w:rsidRPr="006D1797">
        <w:rPr>
          <w:color w:val="auto"/>
        </w:rPr>
        <w:t xml:space="preserve"> </w:t>
      </w:r>
    </w:p>
    <w:p w14:paraId="1E345A5B" w14:textId="4C75C65E" w:rsidR="00036AC7" w:rsidRPr="006D1797" w:rsidRDefault="00036AC7" w:rsidP="00036AC7">
      <w:pPr>
        <w:pStyle w:val="Instructionaltext"/>
        <w:rPr>
          <w:color w:val="auto"/>
        </w:rPr>
      </w:pPr>
      <w:r w:rsidRPr="006D1797">
        <w:rPr>
          <w:color w:val="auto"/>
        </w:rPr>
        <w:t xml:space="preserve">The </w:t>
      </w:r>
      <w:r w:rsidR="009C3DDC">
        <w:rPr>
          <w:color w:val="auto"/>
        </w:rPr>
        <w:t>commentary</w:t>
      </w:r>
      <w:r w:rsidR="005E221B">
        <w:rPr>
          <w:color w:val="auto"/>
        </w:rPr>
        <w:t xml:space="preserve"> </w:t>
      </w:r>
      <w:r w:rsidR="0085422B">
        <w:rPr>
          <w:color w:val="auto"/>
        </w:rPr>
        <w:t>of the previous submission</w:t>
      </w:r>
      <w:r w:rsidR="005E221B">
        <w:rPr>
          <w:color w:val="auto"/>
        </w:rPr>
        <w:t xml:space="preserve"> (MSAC 1732)</w:t>
      </w:r>
      <w:r w:rsidRPr="006D1797">
        <w:rPr>
          <w:color w:val="auto"/>
        </w:rPr>
        <w:t xml:space="preserve"> noted that the ADAR’s speculation of higher survival outcomes if the trial was conducted in Australia is unfounded and is not supported by a reference.</w:t>
      </w:r>
    </w:p>
    <w:p w14:paraId="597B0B75" w14:textId="5810CDF9" w:rsidR="00036AC7" w:rsidRPr="006D1797" w:rsidRDefault="00036AC7" w:rsidP="00036AC7">
      <w:pPr>
        <w:pStyle w:val="Instructionaltext"/>
        <w:rPr>
          <w:color w:val="auto"/>
        </w:rPr>
      </w:pPr>
      <w:r w:rsidRPr="006D1797">
        <w:rPr>
          <w:color w:val="auto"/>
        </w:rPr>
        <w:t xml:space="preserve">The overall similar graft survival rates seen in Australia and Canada for all transplants suggests that Canadian HSP survival data may be reasonably consistent with expected Australian HSP transplant survival data. In addition, the </w:t>
      </w:r>
      <w:r w:rsidR="000D268A">
        <w:rPr>
          <w:color w:val="auto"/>
        </w:rPr>
        <w:t xml:space="preserve">previous </w:t>
      </w:r>
      <w:r w:rsidR="005E221B">
        <w:rPr>
          <w:color w:val="auto"/>
        </w:rPr>
        <w:t>commentary</w:t>
      </w:r>
      <w:r w:rsidR="000D268A">
        <w:rPr>
          <w:color w:val="auto"/>
        </w:rPr>
        <w:t xml:space="preserve"> (MSAC 1732)</w:t>
      </w:r>
      <w:r w:rsidRPr="006D1797">
        <w:rPr>
          <w:color w:val="auto"/>
        </w:rPr>
        <w:t xml:space="preserve"> noted that the imlifidase trial UTT-A population 3-year survival rate of 87% appears comparable to the Canadian HSP population survival rate, making the Canadian HSP data a reasonable proxy.</w:t>
      </w:r>
    </w:p>
    <w:p w14:paraId="2B678AF8" w14:textId="15925E2F" w:rsidR="00155B90" w:rsidRDefault="00036AC7" w:rsidP="00AF5F99">
      <w:pPr>
        <w:pStyle w:val="Instructionaltext"/>
        <w:rPr>
          <w:color w:val="auto"/>
        </w:rPr>
        <w:sectPr w:rsidR="00155B90" w:rsidSect="00495DF8">
          <w:pgSz w:w="11906" w:h="16838"/>
          <w:pgMar w:top="1440" w:right="1440" w:bottom="1440" w:left="1440" w:header="708" w:footer="708" w:gutter="0"/>
          <w:cols w:space="708"/>
          <w:docGrid w:linePitch="360"/>
        </w:sectPr>
      </w:pPr>
      <w:r w:rsidRPr="006D1797">
        <w:rPr>
          <w:color w:val="auto"/>
        </w:rPr>
        <w:t>Based on the similarity of the survival outcomes in Sweden and Canada to the imlifidase study follow-up data (</w:t>
      </w:r>
      <w:r w:rsidR="00D32FF9">
        <w:rPr>
          <w:color w:val="auto"/>
        </w:rPr>
        <w:t>3</w:t>
      </w:r>
      <w:r w:rsidRPr="006D1797">
        <w:rPr>
          <w:color w:val="auto"/>
        </w:rPr>
        <w:t xml:space="preserve">-year survival of 87% in the UTT-A population and 92% in the all-transplanted population), it </w:t>
      </w:r>
      <w:r w:rsidR="00A1695C" w:rsidRPr="006D1797">
        <w:rPr>
          <w:color w:val="auto"/>
        </w:rPr>
        <w:t xml:space="preserve">may therefore be </w:t>
      </w:r>
      <w:r w:rsidRPr="006D1797">
        <w:rPr>
          <w:color w:val="auto"/>
        </w:rPr>
        <w:t xml:space="preserve">reasonable to conclude that the imlifidase data can be generalised to Australian imlifidase use in the proposed setting. </w:t>
      </w:r>
    </w:p>
    <w:p w14:paraId="73876172" w14:textId="5221F781" w:rsidR="006645AD" w:rsidRPr="009256D6" w:rsidRDefault="006645AD" w:rsidP="001255BA">
      <w:pPr>
        <w:pStyle w:val="Caption"/>
        <w:rPr>
          <w:sz w:val="18"/>
          <w:szCs w:val="18"/>
        </w:rPr>
      </w:pPr>
      <w:bookmarkStart w:id="27" w:name="_Ref163648998"/>
      <w:r w:rsidRPr="009256D6">
        <w:rPr>
          <w:sz w:val="18"/>
          <w:szCs w:val="18"/>
        </w:rPr>
        <w:lastRenderedPageBreak/>
        <w:t xml:space="preserve">Table </w:t>
      </w:r>
      <w:bookmarkEnd w:id="27"/>
      <w:r w:rsidR="009404F5">
        <w:rPr>
          <w:sz w:val="18"/>
          <w:szCs w:val="18"/>
        </w:rPr>
        <w:t>6</w:t>
      </w:r>
      <w:r w:rsidR="009404F5" w:rsidRPr="009256D6">
        <w:rPr>
          <w:sz w:val="18"/>
          <w:szCs w:val="18"/>
        </w:rPr>
        <w:t xml:space="preserve"> </w:t>
      </w:r>
      <w:r w:rsidRPr="009256D6">
        <w:rPr>
          <w:sz w:val="18"/>
          <w:szCs w:val="18"/>
        </w:rPr>
        <w:t xml:space="preserve">Imlifidase patient survival and death-censored graft survival, compared to overall Australian and Canadian highly sensitised </w:t>
      </w:r>
      <w:proofErr w:type="gramStart"/>
      <w:r w:rsidRPr="009256D6">
        <w:rPr>
          <w:sz w:val="18"/>
          <w:szCs w:val="18"/>
        </w:rPr>
        <w:t>programs</w:t>
      </w:r>
      <w:proofErr w:type="gramEnd"/>
    </w:p>
    <w:tbl>
      <w:tblPr>
        <w:tblStyle w:val="TableGrid"/>
        <w:tblW w:w="5000" w:type="pct"/>
        <w:tblCellMar>
          <w:left w:w="28" w:type="dxa"/>
          <w:right w:w="85" w:type="dxa"/>
        </w:tblCellMar>
        <w:tblLook w:val="04A0" w:firstRow="1" w:lastRow="0" w:firstColumn="1" w:lastColumn="0" w:noHBand="0" w:noVBand="1"/>
      </w:tblPr>
      <w:tblGrid>
        <w:gridCol w:w="5632"/>
        <w:gridCol w:w="1091"/>
        <w:gridCol w:w="909"/>
        <w:gridCol w:w="1816"/>
        <w:gridCol w:w="1816"/>
        <w:gridCol w:w="1091"/>
        <w:gridCol w:w="1593"/>
      </w:tblGrid>
      <w:tr w:rsidR="006530B8" w:rsidRPr="009256D6" w14:paraId="3D8D33C4" w14:textId="77777777" w:rsidTr="002150E1">
        <w:trPr>
          <w:trHeight w:val="126"/>
        </w:trPr>
        <w:tc>
          <w:tcPr>
            <w:tcW w:w="2019" w:type="pct"/>
            <w:vMerge w:val="restart"/>
            <w:shd w:val="clear" w:color="auto" w:fill="auto"/>
            <w:noWrap/>
            <w:hideMark/>
          </w:tcPr>
          <w:p w14:paraId="2DEF6DC0" w14:textId="17CD25F1" w:rsidR="00155B90" w:rsidRPr="009256D6" w:rsidRDefault="005A7A8B" w:rsidP="002150E1">
            <w:pPr>
              <w:pStyle w:val="Tabletext0"/>
              <w:rPr>
                <w:b/>
                <w:sz w:val="18"/>
                <w:szCs w:val="18"/>
              </w:rPr>
            </w:pPr>
            <w:r w:rsidRPr="009256D6">
              <w:rPr>
                <w:b/>
                <w:sz w:val="18"/>
                <w:szCs w:val="18"/>
              </w:rPr>
              <w:t>Population</w:t>
            </w:r>
          </w:p>
        </w:tc>
        <w:tc>
          <w:tcPr>
            <w:tcW w:w="391" w:type="pct"/>
            <w:vMerge w:val="restart"/>
            <w:shd w:val="clear" w:color="auto" w:fill="auto"/>
          </w:tcPr>
          <w:p w14:paraId="555228C7" w14:textId="77777777" w:rsidR="00155B90" w:rsidRPr="009256D6" w:rsidRDefault="00155B90" w:rsidP="002150E1">
            <w:pPr>
              <w:pStyle w:val="Tabletext0"/>
              <w:rPr>
                <w:b/>
                <w:sz w:val="18"/>
                <w:szCs w:val="18"/>
              </w:rPr>
            </w:pPr>
            <w:r w:rsidRPr="009256D6">
              <w:rPr>
                <w:b/>
                <w:sz w:val="18"/>
                <w:szCs w:val="18"/>
              </w:rPr>
              <w:t>Era</w:t>
            </w:r>
          </w:p>
        </w:tc>
        <w:tc>
          <w:tcPr>
            <w:tcW w:w="326" w:type="pct"/>
            <w:vMerge w:val="restart"/>
            <w:shd w:val="clear" w:color="auto" w:fill="auto"/>
          </w:tcPr>
          <w:p w14:paraId="4BF345D1" w14:textId="77777777" w:rsidR="00155B90" w:rsidRPr="009256D6" w:rsidRDefault="00155B90" w:rsidP="002150E1">
            <w:pPr>
              <w:pStyle w:val="Tabletext0"/>
              <w:rPr>
                <w:b/>
                <w:sz w:val="18"/>
                <w:szCs w:val="18"/>
              </w:rPr>
            </w:pPr>
            <w:r w:rsidRPr="009256D6">
              <w:rPr>
                <w:b/>
                <w:sz w:val="18"/>
                <w:szCs w:val="18"/>
              </w:rPr>
              <w:t>N</w:t>
            </w:r>
          </w:p>
        </w:tc>
        <w:tc>
          <w:tcPr>
            <w:tcW w:w="2264" w:type="pct"/>
            <w:gridSpan w:val="4"/>
            <w:shd w:val="clear" w:color="auto" w:fill="auto"/>
            <w:noWrap/>
            <w:hideMark/>
          </w:tcPr>
          <w:p w14:paraId="4ECA2F80" w14:textId="77777777" w:rsidR="00155B90" w:rsidRPr="009256D6" w:rsidRDefault="00155B90" w:rsidP="002150E1">
            <w:pPr>
              <w:pStyle w:val="Tabletext0"/>
              <w:rPr>
                <w:b/>
                <w:sz w:val="18"/>
                <w:szCs w:val="18"/>
              </w:rPr>
            </w:pPr>
            <w:r w:rsidRPr="009256D6">
              <w:rPr>
                <w:b/>
                <w:sz w:val="18"/>
                <w:szCs w:val="18"/>
              </w:rPr>
              <w:t>Survival outcomes, percent with 95% CIs</w:t>
            </w:r>
          </w:p>
        </w:tc>
      </w:tr>
      <w:tr w:rsidR="006530B8" w:rsidRPr="009256D6" w14:paraId="0BCC4324" w14:textId="77777777" w:rsidTr="27A6ADB5">
        <w:trPr>
          <w:trHeight w:val="185"/>
        </w:trPr>
        <w:tc>
          <w:tcPr>
            <w:tcW w:w="2019" w:type="pct"/>
            <w:vMerge/>
            <w:noWrap/>
            <w:hideMark/>
          </w:tcPr>
          <w:p w14:paraId="6D07C01D" w14:textId="77777777" w:rsidR="00155B90" w:rsidRPr="009256D6" w:rsidRDefault="00155B90" w:rsidP="002150E1">
            <w:pPr>
              <w:pStyle w:val="Tabletext0"/>
              <w:rPr>
                <w:b/>
                <w:sz w:val="18"/>
                <w:szCs w:val="18"/>
              </w:rPr>
            </w:pPr>
          </w:p>
        </w:tc>
        <w:tc>
          <w:tcPr>
            <w:tcW w:w="391" w:type="pct"/>
            <w:vMerge/>
          </w:tcPr>
          <w:p w14:paraId="5D62178A" w14:textId="77777777" w:rsidR="00155B90" w:rsidRPr="009256D6" w:rsidRDefault="00155B90" w:rsidP="002150E1">
            <w:pPr>
              <w:pStyle w:val="Tabletext0"/>
              <w:rPr>
                <w:b/>
                <w:sz w:val="18"/>
                <w:szCs w:val="18"/>
              </w:rPr>
            </w:pPr>
          </w:p>
        </w:tc>
        <w:tc>
          <w:tcPr>
            <w:tcW w:w="326" w:type="pct"/>
            <w:vMerge/>
          </w:tcPr>
          <w:p w14:paraId="172DDE7B" w14:textId="77777777" w:rsidR="00155B90" w:rsidRPr="009256D6" w:rsidRDefault="00155B90" w:rsidP="002150E1">
            <w:pPr>
              <w:pStyle w:val="Tabletext0"/>
              <w:rPr>
                <w:b/>
                <w:sz w:val="18"/>
                <w:szCs w:val="18"/>
              </w:rPr>
            </w:pPr>
          </w:p>
        </w:tc>
        <w:tc>
          <w:tcPr>
            <w:tcW w:w="651" w:type="pct"/>
            <w:shd w:val="clear" w:color="auto" w:fill="auto"/>
            <w:noWrap/>
            <w:hideMark/>
          </w:tcPr>
          <w:p w14:paraId="55BCC3E3" w14:textId="17BAC132" w:rsidR="00155B90" w:rsidRPr="009256D6" w:rsidRDefault="00155B90" w:rsidP="002150E1">
            <w:pPr>
              <w:pStyle w:val="Tabletext0"/>
              <w:rPr>
                <w:b/>
                <w:sz w:val="18"/>
                <w:szCs w:val="18"/>
              </w:rPr>
            </w:pPr>
            <w:r w:rsidRPr="009256D6">
              <w:rPr>
                <w:b/>
                <w:sz w:val="18"/>
                <w:szCs w:val="18"/>
              </w:rPr>
              <w:t xml:space="preserve">6 </w:t>
            </w:r>
            <w:proofErr w:type="gramStart"/>
            <w:r w:rsidRPr="009256D6">
              <w:rPr>
                <w:b/>
                <w:sz w:val="18"/>
                <w:szCs w:val="18"/>
              </w:rPr>
              <w:t>month</w:t>
            </w:r>
            <w:proofErr w:type="gramEnd"/>
          </w:p>
        </w:tc>
        <w:tc>
          <w:tcPr>
            <w:tcW w:w="651" w:type="pct"/>
            <w:shd w:val="clear" w:color="auto" w:fill="auto"/>
            <w:noWrap/>
            <w:hideMark/>
          </w:tcPr>
          <w:p w14:paraId="45B3C5F0" w14:textId="77777777" w:rsidR="00155B90" w:rsidRPr="009256D6" w:rsidRDefault="00155B90" w:rsidP="002150E1">
            <w:pPr>
              <w:pStyle w:val="Tabletext0"/>
              <w:rPr>
                <w:b/>
                <w:sz w:val="18"/>
                <w:szCs w:val="18"/>
              </w:rPr>
            </w:pPr>
            <w:r w:rsidRPr="009256D6">
              <w:rPr>
                <w:b/>
                <w:sz w:val="18"/>
                <w:szCs w:val="18"/>
              </w:rPr>
              <w:t>1 year</w:t>
            </w:r>
          </w:p>
        </w:tc>
        <w:tc>
          <w:tcPr>
            <w:tcW w:w="391" w:type="pct"/>
            <w:shd w:val="clear" w:color="auto" w:fill="auto"/>
            <w:noWrap/>
            <w:hideMark/>
          </w:tcPr>
          <w:p w14:paraId="1CBD664D" w14:textId="77777777" w:rsidR="00155B90" w:rsidRPr="009256D6" w:rsidRDefault="00155B90" w:rsidP="002150E1">
            <w:pPr>
              <w:pStyle w:val="Tabletext0"/>
              <w:rPr>
                <w:b/>
                <w:sz w:val="18"/>
                <w:szCs w:val="18"/>
              </w:rPr>
            </w:pPr>
            <w:r w:rsidRPr="009256D6">
              <w:rPr>
                <w:b/>
                <w:sz w:val="18"/>
                <w:szCs w:val="18"/>
              </w:rPr>
              <w:t xml:space="preserve">3 </w:t>
            </w:r>
            <w:proofErr w:type="gramStart"/>
            <w:r w:rsidRPr="009256D6">
              <w:rPr>
                <w:b/>
                <w:sz w:val="18"/>
                <w:szCs w:val="18"/>
              </w:rPr>
              <w:t>year</w:t>
            </w:r>
            <w:proofErr w:type="gramEnd"/>
          </w:p>
        </w:tc>
        <w:tc>
          <w:tcPr>
            <w:tcW w:w="571" w:type="pct"/>
            <w:shd w:val="clear" w:color="auto" w:fill="auto"/>
            <w:noWrap/>
            <w:hideMark/>
          </w:tcPr>
          <w:p w14:paraId="290A50D8" w14:textId="77777777" w:rsidR="00155B90" w:rsidRPr="009256D6" w:rsidRDefault="00155B90" w:rsidP="002150E1">
            <w:pPr>
              <w:pStyle w:val="Tabletext0"/>
              <w:rPr>
                <w:b/>
                <w:sz w:val="18"/>
                <w:szCs w:val="18"/>
              </w:rPr>
            </w:pPr>
            <w:r w:rsidRPr="009256D6">
              <w:rPr>
                <w:b/>
                <w:sz w:val="18"/>
                <w:szCs w:val="18"/>
              </w:rPr>
              <w:t xml:space="preserve">5 </w:t>
            </w:r>
            <w:proofErr w:type="gramStart"/>
            <w:r w:rsidRPr="009256D6">
              <w:rPr>
                <w:b/>
                <w:sz w:val="18"/>
                <w:szCs w:val="18"/>
              </w:rPr>
              <w:t>year</w:t>
            </w:r>
            <w:proofErr w:type="gramEnd"/>
          </w:p>
        </w:tc>
      </w:tr>
      <w:tr w:rsidR="006530B8" w:rsidRPr="009256D6" w14:paraId="2F921B72" w14:textId="77777777" w:rsidTr="002150E1">
        <w:trPr>
          <w:trHeight w:val="143"/>
        </w:trPr>
        <w:tc>
          <w:tcPr>
            <w:tcW w:w="5000" w:type="pct"/>
            <w:gridSpan w:val="7"/>
            <w:shd w:val="clear" w:color="auto" w:fill="auto"/>
            <w:noWrap/>
          </w:tcPr>
          <w:p w14:paraId="3638794C" w14:textId="77777777" w:rsidR="00155B90" w:rsidRPr="009256D6" w:rsidRDefault="00155B90" w:rsidP="002150E1">
            <w:pPr>
              <w:pStyle w:val="Tabletext0"/>
              <w:rPr>
                <w:b/>
                <w:i/>
                <w:sz w:val="18"/>
                <w:szCs w:val="18"/>
              </w:rPr>
            </w:pPr>
            <w:r w:rsidRPr="009256D6">
              <w:rPr>
                <w:b/>
                <w:i/>
                <w:sz w:val="18"/>
                <w:szCs w:val="18"/>
              </w:rPr>
              <w:t>Patient survival</w:t>
            </w:r>
          </w:p>
        </w:tc>
      </w:tr>
      <w:tr w:rsidR="006530B8" w:rsidRPr="009256D6" w14:paraId="7326B28E" w14:textId="77777777" w:rsidTr="002150E1">
        <w:trPr>
          <w:trHeight w:val="484"/>
        </w:trPr>
        <w:tc>
          <w:tcPr>
            <w:tcW w:w="2019" w:type="pct"/>
            <w:shd w:val="clear" w:color="auto" w:fill="auto"/>
            <w:noWrap/>
            <w:hideMark/>
          </w:tcPr>
          <w:p w14:paraId="1333BF28" w14:textId="729258AD" w:rsidR="00155B90" w:rsidRPr="00992554" w:rsidRDefault="00155B90" w:rsidP="002150E1">
            <w:pPr>
              <w:pStyle w:val="Tabletext0"/>
              <w:rPr>
                <w:sz w:val="18"/>
                <w:szCs w:val="18"/>
              </w:rPr>
            </w:pPr>
            <w:r w:rsidRPr="00992554">
              <w:rPr>
                <w:sz w:val="18"/>
                <w:szCs w:val="18"/>
              </w:rPr>
              <w:t xml:space="preserve">Imlifidase </w:t>
            </w:r>
            <w:r w:rsidR="00E84F8B" w:rsidRPr="00992554">
              <w:rPr>
                <w:sz w:val="18"/>
                <w:szCs w:val="18"/>
              </w:rPr>
              <w:t>a</w:t>
            </w:r>
            <w:r w:rsidRPr="00992554">
              <w:rPr>
                <w:sz w:val="18"/>
                <w:szCs w:val="18"/>
              </w:rPr>
              <w:t>ll-transplanted: 15% LD, 70% retransplant</w:t>
            </w:r>
          </w:p>
        </w:tc>
        <w:tc>
          <w:tcPr>
            <w:tcW w:w="391" w:type="pct"/>
            <w:vMerge w:val="restart"/>
            <w:shd w:val="clear" w:color="auto" w:fill="auto"/>
          </w:tcPr>
          <w:p w14:paraId="433913BC" w14:textId="7360E9EB" w:rsidR="00155B90" w:rsidRPr="00992554" w:rsidRDefault="00155B90" w:rsidP="002150E1">
            <w:pPr>
              <w:pStyle w:val="Tabletext0"/>
              <w:rPr>
                <w:sz w:val="18"/>
                <w:szCs w:val="18"/>
              </w:rPr>
            </w:pPr>
            <w:r w:rsidRPr="00992554">
              <w:rPr>
                <w:sz w:val="18"/>
                <w:szCs w:val="18"/>
              </w:rPr>
              <w:t>2014</w:t>
            </w:r>
            <w:r w:rsidR="00C17D18" w:rsidRPr="00992554">
              <w:rPr>
                <w:sz w:val="18"/>
                <w:szCs w:val="18"/>
              </w:rPr>
              <w:t>–20</w:t>
            </w:r>
            <w:r w:rsidRPr="00992554">
              <w:rPr>
                <w:sz w:val="18"/>
                <w:szCs w:val="18"/>
              </w:rPr>
              <w:t>17</w:t>
            </w:r>
          </w:p>
        </w:tc>
        <w:tc>
          <w:tcPr>
            <w:tcW w:w="326" w:type="pct"/>
            <w:shd w:val="clear" w:color="auto" w:fill="auto"/>
          </w:tcPr>
          <w:p w14:paraId="7FB6E198" w14:textId="77777777" w:rsidR="00155B90" w:rsidRPr="00992554" w:rsidRDefault="00155B90" w:rsidP="002150E1">
            <w:pPr>
              <w:pStyle w:val="Tabletext0"/>
              <w:rPr>
                <w:sz w:val="18"/>
                <w:szCs w:val="18"/>
              </w:rPr>
            </w:pPr>
            <w:r w:rsidRPr="00992554">
              <w:rPr>
                <w:sz w:val="18"/>
                <w:szCs w:val="18"/>
              </w:rPr>
              <w:t>46</w:t>
            </w:r>
          </w:p>
        </w:tc>
        <w:tc>
          <w:tcPr>
            <w:tcW w:w="651" w:type="pct"/>
            <w:shd w:val="clear" w:color="auto" w:fill="auto"/>
            <w:noWrap/>
          </w:tcPr>
          <w:p w14:paraId="25F97D4E" w14:textId="77777777" w:rsidR="00155B90" w:rsidRPr="00992554" w:rsidRDefault="00155B90" w:rsidP="002150E1">
            <w:pPr>
              <w:pStyle w:val="Tabletext0"/>
              <w:rPr>
                <w:sz w:val="18"/>
                <w:szCs w:val="18"/>
              </w:rPr>
            </w:pPr>
            <w:r w:rsidRPr="00992554">
              <w:rPr>
                <w:sz w:val="18"/>
                <w:szCs w:val="18"/>
              </w:rPr>
              <w:t>100%</w:t>
            </w:r>
          </w:p>
        </w:tc>
        <w:tc>
          <w:tcPr>
            <w:tcW w:w="651" w:type="pct"/>
            <w:shd w:val="clear" w:color="auto" w:fill="auto"/>
            <w:noWrap/>
          </w:tcPr>
          <w:p w14:paraId="6F48E131" w14:textId="77777777" w:rsidR="00155B90" w:rsidRPr="00992554" w:rsidRDefault="00155B90" w:rsidP="002150E1">
            <w:pPr>
              <w:pStyle w:val="Tabletext0"/>
              <w:rPr>
                <w:sz w:val="18"/>
                <w:szCs w:val="18"/>
              </w:rPr>
            </w:pPr>
            <w:r w:rsidRPr="00992554">
              <w:rPr>
                <w:sz w:val="18"/>
                <w:szCs w:val="18"/>
              </w:rPr>
              <w:t>92%</w:t>
            </w:r>
          </w:p>
        </w:tc>
        <w:tc>
          <w:tcPr>
            <w:tcW w:w="391" w:type="pct"/>
            <w:shd w:val="clear" w:color="auto" w:fill="auto"/>
            <w:noWrap/>
          </w:tcPr>
          <w:p w14:paraId="59F3F60E" w14:textId="77777777" w:rsidR="00155B90" w:rsidRPr="00992554" w:rsidRDefault="00155B90" w:rsidP="002150E1">
            <w:pPr>
              <w:pStyle w:val="Tabletext0"/>
              <w:rPr>
                <w:sz w:val="18"/>
                <w:szCs w:val="18"/>
              </w:rPr>
            </w:pPr>
            <w:r w:rsidRPr="00992554">
              <w:rPr>
                <w:sz w:val="18"/>
                <w:szCs w:val="18"/>
              </w:rPr>
              <w:t>92%</w:t>
            </w:r>
          </w:p>
        </w:tc>
        <w:tc>
          <w:tcPr>
            <w:tcW w:w="571" w:type="pct"/>
            <w:shd w:val="clear" w:color="auto" w:fill="auto"/>
            <w:noWrap/>
          </w:tcPr>
          <w:p w14:paraId="7F336E98" w14:textId="77777777" w:rsidR="00155B90" w:rsidRPr="00992554" w:rsidRDefault="00155B90" w:rsidP="002150E1">
            <w:pPr>
              <w:pStyle w:val="Tabletext0"/>
              <w:rPr>
                <w:sz w:val="18"/>
                <w:szCs w:val="18"/>
              </w:rPr>
            </w:pPr>
            <w:r w:rsidRPr="00992554">
              <w:rPr>
                <w:sz w:val="18"/>
                <w:szCs w:val="18"/>
              </w:rPr>
              <w:t>92%</w:t>
            </w:r>
          </w:p>
        </w:tc>
      </w:tr>
      <w:tr w:rsidR="006530B8" w:rsidRPr="009256D6" w14:paraId="3C5CF6AA" w14:textId="77777777" w:rsidTr="27A6ADB5">
        <w:trPr>
          <w:trHeight w:val="81"/>
        </w:trPr>
        <w:tc>
          <w:tcPr>
            <w:tcW w:w="2019" w:type="pct"/>
            <w:shd w:val="clear" w:color="auto" w:fill="auto"/>
            <w:noWrap/>
            <w:hideMark/>
          </w:tcPr>
          <w:p w14:paraId="2E9CDCCF" w14:textId="67FACCFC" w:rsidR="00155B90" w:rsidRPr="009E2F9F" w:rsidRDefault="00155B90" w:rsidP="002150E1">
            <w:pPr>
              <w:pStyle w:val="Tabletext0"/>
              <w:rPr>
                <w:sz w:val="18"/>
                <w:szCs w:val="18"/>
              </w:rPr>
            </w:pPr>
            <w:r w:rsidRPr="00992554">
              <w:rPr>
                <w:sz w:val="18"/>
                <w:szCs w:val="18"/>
              </w:rPr>
              <w:t xml:space="preserve">Imlifidase UTT-A: </w:t>
            </w:r>
            <w:r w:rsidRPr="009E2F9F">
              <w:rPr>
                <w:sz w:val="18"/>
                <w:szCs w:val="18"/>
              </w:rPr>
              <w:t>17% LD, 70% retransplant</w:t>
            </w:r>
          </w:p>
        </w:tc>
        <w:tc>
          <w:tcPr>
            <w:tcW w:w="391" w:type="pct"/>
            <w:vMerge/>
          </w:tcPr>
          <w:p w14:paraId="52CFC857" w14:textId="77777777" w:rsidR="00155B90" w:rsidRPr="00992554" w:rsidRDefault="00155B90" w:rsidP="002150E1">
            <w:pPr>
              <w:pStyle w:val="Tabletext0"/>
              <w:rPr>
                <w:sz w:val="18"/>
                <w:szCs w:val="18"/>
              </w:rPr>
            </w:pPr>
          </w:p>
        </w:tc>
        <w:tc>
          <w:tcPr>
            <w:tcW w:w="326" w:type="pct"/>
            <w:shd w:val="clear" w:color="auto" w:fill="auto"/>
          </w:tcPr>
          <w:p w14:paraId="084594F7" w14:textId="77777777" w:rsidR="00155B90" w:rsidRPr="009E2F9F" w:rsidRDefault="00155B90" w:rsidP="002150E1">
            <w:pPr>
              <w:pStyle w:val="Tabletext0"/>
              <w:rPr>
                <w:sz w:val="18"/>
                <w:szCs w:val="18"/>
              </w:rPr>
            </w:pPr>
            <w:r w:rsidRPr="009E2F9F">
              <w:rPr>
                <w:sz w:val="18"/>
                <w:szCs w:val="18"/>
              </w:rPr>
              <w:t>30</w:t>
            </w:r>
          </w:p>
        </w:tc>
        <w:tc>
          <w:tcPr>
            <w:tcW w:w="651" w:type="pct"/>
            <w:shd w:val="clear" w:color="auto" w:fill="auto"/>
            <w:noWrap/>
          </w:tcPr>
          <w:p w14:paraId="707075A9" w14:textId="77777777" w:rsidR="00155B90" w:rsidRPr="009E2F9F" w:rsidRDefault="00155B90" w:rsidP="002150E1">
            <w:pPr>
              <w:pStyle w:val="Tabletext0"/>
              <w:rPr>
                <w:sz w:val="18"/>
                <w:szCs w:val="18"/>
              </w:rPr>
            </w:pPr>
            <w:r w:rsidRPr="009E2F9F">
              <w:rPr>
                <w:sz w:val="18"/>
                <w:szCs w:val="18"/>
              </w:rPr>
              <w:t>100%</w:t>
            </w:r>
          </w:p>
        </w:tc>
        <w:tc>
          <w:tcPr>
            <w:tcW w:w="651" w:type="pct"/>
            <w:shd w:val="clear" w:color="auto" w:fill="auto"/>
            <w:noWrap/>
          </w:tcPr>
          <w:p w14:paraId="255EBB7F" w14:textId="77777777" w:rsidR="00155B90" w:rsidRPr="009E2F9F" w:rsidRDefault="00155B90" w:rsidP="002150E1">
            <w:pPr>
              <w:pStyle w:val="Tabletext0"/>
              <w:rPr>
                <w:sz w:val="18"/>
                <w:szCs w:val="18"/>
              </w:rPr>
            </w:pPr>
            <w:r w:rsidRPr="009E2F9F">
              <w:rPr>
                <w:sz w:val="18"/>
                <w:szCs w:val="18"/>
              </w:rPr>
              <w:t>87%</w:t>
            </w:r>
          </w:p>
        </w:tc>
        <w:tc>
          <w:tcPr>
            <w:tcW w:w="391" w:type="pct"/>
            <w:shd w:val="clear" w:color="auto" w:fill="auto"/>
            <w:noWrap/>
          </w:tcPr>
          <w:p w14:paraId="3E4BCE94" w14:textId="77777777" w:rsidR="00155B90" w:rsidRPr="009E2F9F" w:rsidRDefault="00155B90" w:rsidP="002150E1">
            <w:pPr>
              <w:pStyle w:val="Tabletext0"/>
              <w:rPr>
                <w:sz w:val="18"/>
                <w:szCs w:val="18"/>
              </w:rPr>
            </w:pPr>
            <w:r w:rsidRPr="009E2F9F">
              <w:rPr>
                <w:sz w:val="18"/>
                <w:szCs w:val="18"/>
              </w:rPr>
              <w:t>87%</w:t>
            </w:r>
          </w:p>
        </w:tc>
        <w:tc>
          <w:tcPr>
            <w:tcW w:w="571" w:type="pct"/>
            <w:shd w:val="clear" w:color="auto" w:fill="auto"/>
            <w:noWrap/>
          </w:tcPr>
          <w:p w14:paraId="7D40DCA1" w14:textId="77777777" w:rsidR="00155B90" w:rsidRPr="009E2F9F" w:rsidRDefault="00155B90" w:rsidP="002150E1">
            <w:pPr>
              <w:pStyle w:val="Tabletext0"/>
              <w:rPr>
                <w:sz w:val="18"/>
                <w:szCs w:val="18"/>
              </w:rPr>
            </w:pPr>
            <w:r w:rsidRPr="009E2F9F">
              <w:rPr>
                <w:sz w:val="18"/>
                <w:szCs w:val="18"/>
              </w:rPr>
              <w:t>87%</w:t>
            </w:r>
          </w:p>
        </w:tc>
      </w:tr>
      <w:tr w:rsidR="006530B8" w:rsidRPr="009256D6" w14:paraId="102DDC1B" w14:textId="77777777" w:rsidTr="27A6ADB5">
        <w:trPr>
          <w:trHeight w:val="58"/>
        </w:trPr>
        <w:tc>
          <w:tcPr>
            <w:tcW w:w="2019" w:type="pct"/>
            <w:shd w:val="clear" w:color="auto" w:fill="auto"/>
            <w:noWrap/>
            <w:hideMark/>
          </w:tcPr>
          <w:p w14:paraId="556F9A12" w14:textId="77777777" w:rsidR="00155B90" w:rsidRPr="00992554" w:rsidRDefault="00155B90" w:rsidP="002150E1">
            <w:pPr>
              <w:pStyle w:val="Tabletext0"/>
              <w:rPr>
                <w:sz w:val="18"/>
                <w:szCs w:val="18"/>
              </w:rPr>
            </w:pPr>
            <w:r w:rsidRPr="00992554">
              <w:rPr>
                <w:sz w:val="18"/>
                <w:szCs w:val="18"/>
              </w:rPr>
              <w:t>Imlifidase UTT: DD only, 67% retransplant</w:t>
            </w:r>
          </w:p>
        </w:tc>
        <w:tc>
          <w:tcPr>
            <w:tcW w:w="391" w:type="pct"/>
            <w:vMerge/>
          </w:tcPr>
          <w:p w14:paraId="357674DD" w14:textId="77777777" w:rsidR="00155B90" w:rsidRPr="00992554" w:rsidRDefault="00155B90" w:rsidP="002150E1">
            <w:pPr>
              <w:pStyle w:val="Tabletext0"/>
              <w:rPr>
                <w:sz w:val="18"/>
                <w:szCs w:val="18"/>
              </w:rPr>
            </w:pPr>
          </w:p>
        </w:tc>
        <w:tc>
          <w:tcPr>
            <w:tcW w:w="326" w:type="pct"/>
            <w:shd w:val="clear" w:color="auto" w:fill="auto"/>
          </w:tcPr>
          <w:p w14:paraId="1C6E1156" w14:textId="77777777" w:rsidR="00155B90" w:rsidRPr="00992554" w:rsidRDefault="00155B90" w:rsidP="002150E1">
            <w:pPr>
              <w:pStyle w:val="Tabletext0"/>
              <w:rPr>
                <w:sz w:val="18"/>
                <w:szCs w:val="18"/>
              </w:rPr>
            </w:pPr>
            <w:r w:rsidRPr="00992554">
              <w:rPr>
                <w:sz w:val="18"/>
                <w:szCs w:val="18"/>
              </w:rPr>
              <w:t>25</w:t>
            </w:r>
          </w:p>
        </w:tc>
        <w:tc>
          <w:tcPr>
            <w:tcW w:w="651" w:type="pct"/>
            <w:shd w:val="clear" w:color="auto" w:fill="auto"/>
            <w:noWrap/>
          </w:tcPr>
          <w:p w14:paraId="459BDBEB" w14:textId="77777777" w:rsidR="00155B90" w:rsidRPr="00992554" w:rsidRDefault="00155B90" w:rsidP="002150E1">
            <w:pPr>
              <w:pStyle w:val="Tabletext0"/>
              <w:rPr>
                <w:sz w:val="18"/>
                <w:szCs w:val="18"/>
              </w:rPr>
            </w:pPr>
            <w:r w:rsidRPr="00992554">
              <w:rPr>
                <w:sz w:val="18"/>
                <w:szCs w:val="18"/>
              </w:rPr>
              <w:t>100%</w:t>
            </w:r>
          </w:p>
        </w:tc>
        <w:tc>
          <w:tcPr>
            <w:tcW w:w="651" w:type="pct"/>
            <w:shd w:val="clear" w:color="auto" w:fill="auto"/>
            <w:noWrap/>
          </w:tcPr>
          <w:p w14:paraId="0750B1BF" w14:textId="77777777" w:rsidR="00155B90" w:rsidRPr="00992554" w:rsidRDefault="00155B90" w:rsidP="002150E1">
            <w:pPr>
              <w:pStyle w:val="Tabletext0"/>
              <w:rPr>
                <w:sz w:val="18"/>
                <w:szCs w:val="18"/>
              </w:rPr>
            </w:pPr>
            <w:r w:rsidRPr="00992554">
              <w:rPr>
                <w:sz w:val="18"/>
                <w:szCs w:val="18"/>
              </w:rPr>
              <w:t>84%</w:t>
            </w:r>
          </w:p>
        </w:tc>
        <w:tc>
          <w:tcPr>
            <w:tcW w:w="391" w:type="pct"/>
            <w:shd w:val="clear" w:color="auto" w:fill="auto"/>
            <w:noWrap/>
          </w:tcPr>
          <w:p w14:paraId="3DBFAB07" w14:textId="77777777" w:rsidR="00155B90" w:rsidRPr="00992554" w:rsidRDefault="00155B90" w:rsidP="002150E1">
            <w:pPr>
              <w:pStyle w:val="Tabletext0"/>
              <w:rPr>
                <w:sz w:val="18"/>
                <w:szCs w:val="18"/>
              </w:rPr>
            </w:pPr>
            <w:r w:rsidRPr="00992554">
              <w:rPr>
                <w:sz w:val="18"/>
                <w:szCs w:val="18"/>
              </w:rPr>
              <w:t>84%</w:t>
            </w:r>
          </w:p>
        </w:tc>
        <w:tc>
          <w:tcPr>
            <w:tcW w:w="571" w:type="pct"/>
            <w:shd w:val="clear" w:color="auto" w:fill="auto"/>
            <w:noWrap/>
          </w:tcPr>
          <w:p w14:paraId="7D10FFAF" w14:textId="77777777" w:rsidR="00155B90" w:rsidRPr="00992554" w:rsidRDefault="00155B90" w:rsidP="002150E1">
            <w:pPr>
              <w:pStyle w:val="Tabletext0"/>
              <w:rPr>
                <w:sz w:val="18"/>
                <w:szCs w:val="18"/>
              </w:rPr>
            </w:pPr>
            <w:r w:rsidRPr="00992554">
              <w:rPr>
                <w:sz w:val="18"/>
                <w:szCs w:val="18"/>
              </w:rPr>
              <w:t>84%</w:t>
            </w:r>
          </w:p>
        </w:tc>
      </w:tr>
      <w:tr w:rsidR="006530B8" w:rsidRPr="009256D6" w14:paraId="6234CB3E" w14:textId="77777777" w:rsidTr="27A6ADB5">
        <w:trPr>
          <w:trHeight w:val="58"/>
        </w:trPr>
        <w:tc>
          <w:tcPr>
            <w:tcW w:w="2019" w:type="pct"/>
            <w:shd w:val="clear" w:color="auto" w:fill="auto"/>
            <w:noWrap/>
          </w:tcPr>
          <w:p w14:paraId="4A61B147" w14:textId="061E19E9" w:rsidR="00155B90" w:rsidRPr="009E2F9F" w:rsidRDefault="00155B90" w:rsidP="002150E1">
            <w:pPr>
              <w:pStyle w:val="Tabletext0"/>
              <w:rPr>
                <w:sz w:val="18"/>
                <w:szCs w:val="18"/>
              </w:rPr>
            </w:pPr>
            <w:r w:rsidRPr="00992554">
              <w:rPr>
                <w:sz w:val="18"/>
                <w:szCs w:val="18"/>
              </w:rPr>
              <w:t>Imlifidase AUS-UTT-A</w:t>
            </w:r>
            <w:r w:rsidR="000B39E4" w:rsidRPr="00992554">
              <w:rPr>
                <w:sz w:val="18"/>
                <w:szCs w:val="18"/>
              </w:rPr>
              <w:t>:</w:t>
            </w:r>
            <w:r w:rsidRPr="00992554">
              <w:rPr>
                <w:sz w:val="18"/>
                <w:szCs w:val="18"/>
              </w:rPr>
              <w:t xml:space="preserve"> </w:t>
            </w:r>
            <w:r w:rsidR="008C277B" w:rsidRPr="009E2F9F">
              <w:rPr>
                <w:sz w:val="18"/>
                <w:szCs w:val="18"/>
              </w:rPr>
              <w:t xml:space="preserve">22% </w:t>
            </w:r>
            <w:r w:rsidRPr="009E2F9F">
              <w:rPr>
                <w:sz w:val="18"/>
                <w:szCs w:val="18"/>
              </w:rPr>
              <w:t>LD, 74% retransplant</w:t>
            </w:r>
          </w:p>
        </w:tc>
        <w:tc>
          <w:tcPr>
            <w:tcW w:w="391" w:type="pct"/>
            <w:vMerge/>
          </w:tcPr>
          <w:p w14:paraId="20DAD6D9" w14:textId="77777777" w:rsidR="00155B90" w:rsidRPr="00992554" w:rsidRDefault="00155B90" w:rsidP="002150E1">
            <w:pPr>
              <w:pStyle w:val="Tabletext0"/>
              <w:rPr>
                <w:sz w:val="18"/>
                <w:szCs w:val="18"/>
              </w:rPr>
            </w:pPr>
          </w:p>
        </w:tc>
        <w:tc>
          <w:tcPr>
            <w:tcW w:w="326" w:type="pct"/>
            <w:shd w:val="clear" w:color="auto" w:fill="auto"/>
          </w:tcPr>
          <w:p w14:paraId="06710572" w14:textId="77777777" w:rsidR="00155B90" w:rsidRPr="009E2F9F" w:rsidRDefault="00155B90" w:rsidP="002150E1">
            <w:pPr>
              <w:pStyle w:val="Tabletext0"/>
              <w:rPr>
                <w:sz w:val="18"/>
                <w:szCs w:val="18"/>
              </w:rPr>
            </w:pPr>
            <w:r w:rsidRPr="009E2F9F">
              <w:rPr>
                <w:sz w:val="18"/>
                <w:szCs w:val="18"/>
              </w:rPr>
              <w:t>24</w:t>
            </w:r>
          </w:p>
        </w:tc>
        <w:tc>
          <w:tcPr>
            <w:tcW w:w="651" w:type="pct"/>
            <w:shd w:val="clear" w:color="auto" w:fill="auto"/>
            <w:noWrap/>
          </w:tcPr>
          <w:p w14:paraId="38EAAC3F" w14:textId="77777777" w:rsidR="00155B90" w:rsidRPr="009E2F9F" w:rsidRDefault="00155B90" w:rsidP="002150E1">
            <w:pPr>
              <w:pStyle w:val="Tabletext0"/>
              <w:rPr>
                <w:sz w:val="18"/>
                <w:szCs w:val="18"/>
              </w:rPr>
            </w:pPr>
            <w:r w:rsidRPr="009E2F9F">
              <w:rPr>
                <w:sz w:val="18"/>
                <w:szCs w:val="18"/>
              </w:rPr>
              <w:t>100%</w:t>
            </w:r>
          </w:p>
        </w:tc>
        <w:tc>
          <w:tcPr>
            <w:tcW w:w="651" w:type="pct"/>
            <w:shd w:val="clear" w:color="auto" w:fill="auto"/>
            <w:noWrap/>
          </w:tcPr>
          <w:p w14:paraId="1DDED1D1" w14:textId="77777777" w:rsidR="00155B90" w:rsidRPr="009E2F9F" w:rsidRDefault="00155B90" w:rsidP="002150E1">
            <w:pPr>
              <w:pStyle w:val="Tabletext0"/>
              <w:rPr>
                <w:sz w:val="18"/>
                <w:szCs w:val="18"/>
              </w:rPr>
            </w:pPr>
            <w:r w:rsidRPr="009E2F9F">
              <w:rPr>
                <w:sz w:val="18"/>
                <w:szCs w:val="18"/>
              </w:rPr>
              <w:t>83%</w:t>
            </w:r>
          </w:p>
        </w:tc>
        <w:tc>
          <w:tcPr>
            <w:tcW w:w="391" w:type="pct"/>
            <w:shd w:val="clear" w:color="auto" w:fill="auto"/>
            <w:noWrap/>
          </w:tcPr>
          <w:p w14:paraId="08240C1B" w14:textId="77777777" w:rsidR="00155B90" w:rsidRPr="009E2F9F" w:rsidRDefault="00155B90" w:rsidP="002150E1">
            <w:pPr>
              <w:pStyle w:val="Tabletext0"/>
              <w:rPr>
                <w:sz w:val="18"/>
                <w:szCs w:val="18"/>
              </w:rPr>
            </w:pPr>
            <w:r w:rsidRPr="009E2F9F">
              <w:rPr>
                <w:sz w:val="18"/>
                <w:szCs w:val="18"/>
              </w:rPr>
              <w:t>83%</w:t>
            </w:r>
          </w:p>
        </w:tc>
        <w:tc>
          <w:tcPr>
            <w:tcW w:w="571" w:type="pct"/>
            <w:shd w:val="clear" w:color="auto" w:fill="auto"/>
            <w:noWrap/>
          </w:tcPr>
          <w:p w14:paraId="69F11EBB" w14:textId="77777777" w:rsidR="00155B90" w:rsidRPr="009E2F9F" w:rsidRDefault="00155B90" w:rsidP="002150E1">
            <w:pPr>
              <w:pStyle w:val="Tabletext0"/>
              <w:rPr>
                <w:sz w:val="18"/>
                <w:szCs w:val="18"/>
              </w:rPr>
            </w:pPr>
            <w:r w:rsidRPr="009E2F9F">
              <w:rPr>
                <w:sz w:val="18"/>
                <w:szCs w:val="18"/>
              </w:rPr>
              <w:t>83%</w:t>
            </w:r>
          </w:p>
        </w:tc>
      </w:tr>
      <w:tr w:rsidR="006530B8" w:rsidRPr="009256D6" w14:paraId="666DBD30" w14:textId="77777777" w:rsidTr="002150E1">
        <w:trPr>
          <w:trHeight w:val="56"/>
        </w:trPr>
        <w:tc>
          <w:tcPr>
            <w:tcW w:w="2019" w:type="pct"/>
            <w:shd w:val="clear" w:color="auto" w:fill="auto"/>
            <w:noWrap/>
            <w:hideMark/>
          </w:tcPr>
          <w:p w14:paraId="1E65E52A" w14:textId="77777777" w:rsidR="00155B90" w:rsidRPr="00992554" w:rsidRDefault="00155B90" w:rsidP="002150E1">
            <w:pPr>
              <w:pStyle w:val="Tabletext0"/>
              <w:rPr>
                <w:sz w:val="18"/>
                <w:szCs w:val="18"/>
              </w:rPr>
            </w:pPr>
            <w:r w:rsidRPr="00992554">
              <w:rPr>
                <w:sz w:val="18"/>
                <w:szCs w:val="18"/>
              </w:rPr>
              <w:t>Canadian HSP</w:t>
            </w:r>
          </w:p>
        </w:tc>
        <w:tc>
          <w:tcPr>
            <w:tcW w:w="391" w:type="pct"/>
            <w:shd w:val="clear" w:color="auto" w:fill="auto"/>
          </w:tcPr>
          <w:p w14:paraId="4615355A" w14:textId="4BD4A230" w:rsidR="00155B90" w:rsidRPr="00992554" w:rsidRDefault="00155B90" w:rsidP="002150E1">
            <w:pPr>
              <w:pStyle w:val="Tabletext0"/>
              <w:rPr>
                <w:sz w:val="18"/>
                <w:szCs w:val="18"/>
              </w:rPr>
            </w:pPr>
            <w:r w:rsidRPr="00992554">
              <w:rPr>
                <w:sz w:val="18"/>
                <w:szCs w:val="18"/>
              </w:rPr>
              <w:t>2014</w:t>
            </w:r>
            <w:r w:rsidR="00293301" w:rsidRPr="00992554">
              <w:rPr>
                <w:sz w:val="18"/>
                <w:szCs w:val="18"/>
              </w:rPr>
              <w:t>–20</w:t>
            </w:r>
            <w:r w:rsidRPr="00992554">
              <w:rPr>
                <w:sz w:val="18"/>
                <w:szCs w:val="18"/>
              </w:rPr>
              <w:t>17</w:t>
            </w:r>
          </w:p>
        </w:tc>
        <w:tc>
          <w:tcPr>
            <w:tcW w:w="326" w:type="pct"/>
            <w:shd w:val="clear" w:color="auto" w:fill="auto"/>
          </w:tcPr>
          <w:p w14:paraId="36ACA745" w14:textId="77777777" w:rsidR="00155B90" w:rsidRPr="00992554" w:rsidRDefault="00155B90" w:rsidP="002150E1">
            <w:pPr>
              <w:pStyle w:val="Tabletext0"/>
              <w:rPr>
                <w:sz w:val="18"/>
                <w:szCs w:val="18"/>
              </w:rPr>
            </w:pPr>
            <w:r w:rsidRPr="00992554">
              <w:rPr>
                <w:sz w:val="18"/>
                <w:szCs w:val="18"/>
              </w:rPr>
              <w:t>378</w:t>
            </w:r>
          </w:p>
        </w:tc>
        <w:tc>
          <w:tcPr>
            <w:tcW w:w="651" w:type="pct"/>
            <w:shd w:val="clear" w:color="auto" w:fill="auto"/>
            <w:noWrap/>
          </w:tcPr>
          <w:p w14:paraId="1899D949" w14:textId="4D0A97EC" w:rsidR="00155B90" w:rsidRPr="00992554" w:rsidRDefault="00A06EB2" w:rsidP="002150E1">
            <w:pPr>
              <w:pStyle w:val="Tabletext0"/>
              <w:rPr>
                <w:sz w:val="18"/>
                <w:szCs w:val="18"/>
              </w:rPr>
            </w:pPr>
            <w:r w:rsidRPr="00992554">
              <w:rPr>
                <w:sz w:val="18"/>
                <w:szCs w:val="18"/>
              </w:rPr>
              <w:t>9</w:t>
            </w:r>
            <w:r w:rsidR="005D6103" w:rsidRPr="00992554">
              <w:rPr>
                <w:sz w:val="18"/>
                <w:szCs w:val="18"/>
              </w:rPr>
              <w:t>8</w:t>
            </w:r>
            <w:r w:rsidRPr="00992554">
              <w:rPr>
                <w:sz w:val="18"/>
                <w:szCs w:val="18"/>
              </w:rPr>
              <w:t>%</w:t>
            </w:r>
          </w:p>
        </w:tc>
        <w:tc>
          <w:tcPr>
            <w:tcW w:w="651" w:type="pct"/>
            <w:shd w:val="clear" w:color="auto" w:fill="auto"/>
            <w:noWrap/>
          </w:tcPr>
          <w:p w14:paraId="6131897A" w14:textId="2A732562" w:rsidR="00155B90" w:rsidRPr="00992554" w:rsidRDefault="00155B90" w:rsidP="002150E1">
            <w:pPr>
              <w:pStyle w:val="Tabletext0"/>
              <w:rPr>
                <w:sz w:val="18"/>
                <w:szCs w:val="18"/>
              </w:rPr>
            </w:pPr>
            <w:r w:rsidRPr="00992554">
              <w:rPr>
                <w:sz w:val="18"/>
                <w:szCs w:val="18"/>
              </w:rPr>
              <w:t>97%</w:t>
            </w:r>
          </w:p>
        </w:tc>
        <w:tc>
          <w:tcPr>
            <w:tcW w:w="391" w:type="pct"/>
            <w:shd w:val="clear" w:color="auto" w:fill="auto"/>
            <w:noWrap/>
          </w:tcPr>
          <w:p w14:paraId="447403DB" w14:textId="789B7BD8" w:rsidR="00155B90" w:rsidRPr="00992554" w:rsidRDefault="00155B90" w:rsidP="002150E1">
            <w:pPr>
              <w:pStyle w:val="Tabletext0"/>
              <w:rPr>
                <w:sz w:val="18"/>
                <w:szCs w:val="18"/>
              </w:rPr>
            </w:pPr>
            <w:r w:rsidRPr="00992554">
              <w:rPr>
                <w:sz w:val="18"/>
                <w:szCs w:val="18"/>
              </w:rPr>
              <w:t>9</w:t>
            </w:r>
            <w:r w:rsidR="005D6103" w:rsidRPr="00992554">
              <w:rPr>
                <w:sz w:val="18"/>
                <w:szCs w:val="18"/>
              </w:rPr>
              <w:t>4</w:t>
            </w:r>
            <w:r w:rsidRPr="00992554">
              <w:rPr>
                <w:sz w:val="18"/>
                <w:szCs w:val="18"/>
              </w:rPr>
              <w:t>%</w:t>
            </w:r>
          </w:p>
        </w:tc>
        <w:tc>
          <w:tcPr>
            <w:tcW w:w="571" w:type="pct"/>
            <w:shd w:val="clear" w:color="auto" w:fill="auto"/>
            <w:noWrap/>
          </w:tcPr>
          <w:p w14:paraId="31C4D009" w14:textId="77777777" w:rsidR="00155B90" w:rsidRPr="00992554" w:rsidRDefault="00155B90" w:rsidP="002150E1">
            <w:pPr>
              <w:pStyle w:val="Tabletext0"/>
              <w:rPr>
                <w:sz w:val="18"/>
                <w:szCs w:val="18"/>
              </w:rPr>
            </w:pPr>
            <w:r w:rsidRPr="00992554">
              <w:rPr>
                <w:sz w:val="18"/>
                <w:szCs w:val="18"/>
              </w:rPr>
              <w:t>-</w:t>
            </w:r>
          </w:p>
        </w:tc>
      </w:tr>
      <w:tr w:rsidR="006530B8" w:rsidRPr="009256D6" w14:paraId="180998E6" w14:textId="77777777" w:rsidTr="002150E1">
        <w:trPr>
          <w:trHeight w:val="56"/>
        </w:trPr>
        <w:tc>
          <w:tcPr>
            <w:tcW w:w="2019" w:type="pct"/>
            <w:shd w:val="clear" w:color="auto" w:fill="auto"/>
            <w:noWrap/>
          </w:tcPr>
          <w:p w14:paraId="1AFFC510" w14:textId="77777777" w:rsidR="00155B90" w:rsidRPr="00992554" w:rsidRDefault="00155B90" w:rsidP="002150E1">
            <w:pPr>
              <w:pStyle w:val="Tabletext0"/>
              <w:rPr>
                <w:sz w:val="18"/>
                <w:szCs w:val="18"/>
              </w:rPr>
            </w:pPr>
            <w:r w:rsidRPr="00992554">
              <w:rPr>
                <w:sz w:val="18"/>
                <w:szCs w:val="18"/>
              </w:rPr>
              <w:t>Australia: Primary DD graft</w:t>
            </w:r>
          </w:p>
        </w:tc>
        <w:tc>
          <w:tcPr>
            <w:tcW w:w="391" w:type="pct"/>
            <w:vMerge w:val="restart"/>
            <w:shd w:val="clear" w:color="auto" w:fill="auto"/>
          </w:tcPr>
          <w:p w14:paraId="6137BC7E" w14:textId="7FEB135D" w:rsidR="00155B90" w:rsidRPr="00992554" w:rsidRDefault="00155B90" w:rsidP="002150E1">
            <w:pPr>
              <w:pStyle w:val="Tabletext0"/>
              <w:rPr>
                <w:sz w:val="18"/>
                <w:szCs w:val="18"/>
              </w:rPr>
            </w:pPr>
            <w:r w:rsidRPr="00992554">
              <w:rPr>
                <w:sz w:val="18"/>
                <w:szCs w:val="18"/>
              </w:rPr>
              <w:t>2015</w:t>
            </w:r>
            <w:r w:rsidR="00293301" w:rsidRPr="00992554">
              <w:rPr>
                <w:sz w:val="18"/>
                <w:szCs w:val="18"/>
              </w:rPr>
              <w:t>–20</w:t>
            </w:r>
            <w:r w:rsidRPr="00992554">
              <w:rPr>
                <w:sz w:val="18"/>
                <w:szCs w:val="18"/>
              </w:rPr>
              <w:t>16</w:t>
            </w:r>
          </w:p>
        </w:tc>
        <w:tc>
          <w:tcPr>
            <w:tcW w:w="326" w:type="pct"/>
            <w:shd w:val="clear" w:color="auto" w:fill="auto"/>
          </w:tcPr>
          <w:p w14:paraId="32472B21" w14:textId="77777777" w:rsidR="00155B90" w:rsidRPr="00992554" w:rsidRDefault="00155B90" w:rsidP="002150E1">
            <w:pPr>
              <w:pStyle w:val="Tabletext0"/>
              <w:rPr>
                <w:sz w:val="18"/>
                <w:szCs w:val="18"/>
              </w:rPr>
            </w:pPr>
            <w:r w:rsidRPr="00992554">
              <w:rPr>
                <w:sz w:val="18"/>
                <w:szCs w:val="18"/>
              </w:rPr>
              <w:t>1,327</w:t>
            </w:r>
          </w:p>
        </w:tc>
        <w:tc>
          <w:tcPr>
            <w:tcW w:w="651" w:type="pct"/>
            <w:shd w:val="clear" w:color="auto" w:fill="auto"/>
            <w:noWrap/>
          </w:tcPr>
          <w:p w14:paraId="6F4E6667" w14:textId="77777777" w:rsidR="00155B90" w:rsidRPr="00992554" w:rsidRDefault="00155B90" w:rsidP="002150E1">
            <w:pPr>
              <w:pStyle w:val="Tabletext0"/>
              <w:rPr>
                <w:sz w:val="18"/>
                <w:szCs w:val="18"/>
              </w:rPr>
            </w:pPr>
            <w:r w:rsidRPr="00992554">
              <w:rPr>
                <w:sz w:val="18"/>
                <w:szCs w:val="18"/>
              </w:rPr>
              <w:t>100% (99, 100)</w:t>
            </w:r>
          </w:p>
        </w:tc>
        <w:tc>
          <w:tcPr>
            <w:tcW w:w="651" w:type="pct"/>
            <w:shd w:val="clear" w:color="auto" w:fill="auto"/>
            <w:noWrap/>
          </w:tcPr>
          <w:p w14:paraId="2DBB8052" w14:textId="77777777" w:rsidR="00155B90" w:rsidRPr="00992554" w:rsidRDefault="00155B90" w:rsidP="002150E1">
            <w:pPr>
              <w:pStyle w:val="Tabletext0"/>
              <w:rPr>
                <w:sz w:val="18"/>
                <w:szCs w:val="18"/>
              </w:rPr>
            </w:pPr>
            <w:r w:rsidRPr="00992554">
              <w:rPr>
                <w:sz w:val="18"/>
                <w:szCs w:val="18"/>
              </w:rPr>
              <w:t>98% (97, 99)</w:t>
            </w:r>
          </w:p>
        </w:tc>
        <w:tc>
          <w:tcPr>
            <w:tcW w:w="391" w:type="pct"/>
            <w:shd w:val="clear" w:color="auto" w:fill="auto"/>
            <w:noWrap/>
          </w:tcPr>
          <w:p w14:paraId="0D3689DB" w14:textId="77777777" w:rsidR="00155B90" w:rsidRPr="00992554" w:rsidRDefault="00155B90" w:rsidP="002150E1">
            <w:pPr>
              <w:pStyle w:val="Tabletext0"/>
              <w:rPr>
                <w:sz w:val="18"/>
                <w:szCs w:val="18"/>
              </w:rPr>
            </w:pPr>
            <w:r w:rsidRPr="00992554">
              <w:rPr>
                <w:sz w:val="18"/>
                <w:szCs w:val="18"/>
              </w:rPr>
              <w:t>-</w:t>
            </w:r>
          </w:p>
        </w:tc>
        <w:tc>
          <w:tcPr>
            <w:tcW w:w="571" w:type="pct"/>
            <w:shd w:val="clear" w:color="auto" w:fill="auto"/>
            <w:noWrap/>
          </w:tcPr>
          <w:p w14:paraId="005355A7" w14:textId="77777777" w:rsidR="00155B90" w:rsidRPr="00992554" w:rsidRDefault="00155B90" w:rsidP="002150E1">
            <w:pPr>
              <w:pStyle w:val="Tabletext0"/>
              <w:rPr>
                <w:sz w:val="18"/>
                <w:szCs w:val="18"/>
              </w:rPr>
            </w:pPr>
            <w:r w:rsidRPr="00992554">
              <w:rPr>
                <w:sz w:val="18"/>
                <w:szCs w:val="18"/>
              </w:rPr>
              <w:t>97% (96, 98)</w:t>
            </w:r>
          </w:p>
        </w:tc>
      </w:tr>
      <w:tr w:rsidR="006530B8" w:rsidRPr="009256D6" w14:paraId="39DB1F1A" w14:textId="77777777" w:rsidTr="27A6ADB5">
        <w:trPr>
          <w:trHeight w:val="56"/>
        </w:trPr>
        <w:tc>
          <w:tcPr>
            <w:tcW w:w="2019" w:type="pct"/>
            <w:shd w:val="clear" w:color="auto" w:fill="auto"/>
            <w:noWrap/>
          </w:tcPr>
          <w:p w14:paraId="433B6FFF" w14:textId="77777777" w:rsidR="00155B90" w:rsidRPr="00992554" w:rsidRDefault="00155B90" w:rsidP="002150E1">
            <w:pPr>
              <w:pStyle w:val="Tabletext0"/>
              <w:rPr>
                <w:sz w:val="18"/>
                <w:szCs w:val="18"/>
              </w:rPr>
            </w:pPr>
            <w:r w:rsidRPr="00992554">
              <w:rPr>
                <w:sz w:val="18"/>
                <w:szCs w:val="18"/>
              </w:rPr>
              <w:t>ANZ: Retransplant DD graft</w:t>
            </w:r>
          </w:p>
        </w:tc>
        <w:tc>
          <w:tcPr>
            <w:tcW w:w="391" w:type="pct"/>
            <w:vMerge/>
          </w:tcPr>
          <w:p w14:paraId="5A445392" w14:textId="77777777" w:rsidR="00155B90" w:rsidRPr="00992554" w:rsidRDefault="00155B90" w:rsidP="002150E1">
            <w:pPr>
              <w:pStyle w:val="Tabletext0"/>
              <w:rPr>
                <w:sz w:val="18"/>
                <w:szCs w:val="18"/>
              </w:rPr>
            </w:pPr>
          </w:p>
        </w:tc>
        <w:tc>
          <w:tcPr>
            <w:tcW w:w="326" w:type="pct"/>
            <w:shd w:val="clear" w:color="auto" w:fill="auto"/>
          </w:tcPr>
          <w:p w14:paraId="0A46F477" w14:textId="77777777" w:rsidR="00155B90" w:rsidRPr="00992554" w:rsidRDefault="00155B90" w:rsidP="002150E1">
            <w:pPr>
              <w:pStyle w:val="Tabletext0"/>
              <w:rPr>
                <w:sz w:val="18"/>
                <w:szCs w:val="18"/>
              </w:rPr>
            </w:pPr>
            <w:r w:rsidRPr="00992554">
              <w:rPr>
                <w:sz w:val="18"/>
                <w:szCs w:val="18"/>
              </w:rPr>
              <w:t>225</w:t>
            </w:r>
          </w:p>
        </w:tc>
        <w:tc>
          <w:tcPr>
            <w:tcW w:w="651" w:type="pct"/>
            <w:shd w:val="clear" w:color="auto" w:fill="auto"/>
            <w:noWrap/>
          </w:tcPr>
          <w:p w14:paraId="5F1D2656" w14:textId="77777777" w:rsidR="00155B90" w:rsidRPr="00992554" w:rsidRDefault="00155B90" w:rsidP="002150E1">
            <w:pPr>
              <w:pStyle w:val="Tabletext0"/>
              <w:rPr>
                <w:sz w:val="18"/>
                <w:szCs w:val="18"/>
              </w:rPr>
            </w:pPr>
            <w:r w:rsidRPr="00992554">
              <w:rPr>
                <w:sz w:val="18"/>
                <w:szCs w:val="18"/>
              </w:rPr>
              <w:t>99% (96, 100)</w:t>
            </w:r>
          </w:p>
        </w:tc>
        <w:tc>
          <w:tcPr>
            <w:tcW w:w="651" w:type="pct"/>
            <w:shd w:val="clear" w:color="auto" w:fill="auto"/>
            <w:noWrap/>
          </w:tcPr>
          <w:p w14:paraId="7C54986A" w14:textId="77777777" w:rsidR="00155B90" w:rsidRPr="00992554" w:rsidRDefault="00155B90" w:rsidP="002150E1">
            <w:pPr>
              <w:pStyle w:val="Tabletext0"/>
              <w:rPr>
                <w:sz w:val="18"/>
                <w:szCs w:val="18"/>
              </w:rPr>
            </w:pPr>
            <w:r w:rsidRPr="00992554">
              <w:rPr>
                <w:sz w:val="18"/>
                <w:szCs w:val="18"/>
              </w:rPr>
              <w:t>97% (94, 99)</w:t>
            </w:r>
          </w:p>
        </w:tc>
        <w:tc>
          <w:tcPr>
            <w:tcW w:w="391" w:type="pct"/>
            <w:shd w:val="clear" w:color="auto" w:fill="auto"/>
            <w:noWrap/>
          </w:tcPr>
          <w:p w14:paraId="54681F48" w14:textId="77777777" w:rsidR="00155B90" w:rsidRPr="00992554" w:rsidRDefault="00155B90" w:rsidP="002150E1">
            <w:pPr>
              <w:pStyle w:val="Tabletext0"/>
              <w:rPr>
                <w:sz w:val="18"/>
                <w:szCs w:val="18"/>
              </w:rPr>
            </w:pPr>
            <w:r w:rsidRPr="00992554">
              <w:rPr>
                <w:sz w:val="18"/>
                <w:szCs w:val="18"/>
              </w:rPr>
              <w:t>-</w:t>
            </w:r>
          </w:p>
        </w:tc>
        <w:tc>
          <w:tcPr>
            <w:tcW w:w="571" w:type="pct"/>
            <w:shd w:val="clear" w:color="auto" w:fill="auto"/>
            <w:noWrap/>
          </w:tcPr>
          <w:p w14:paraId="3984E1E7" w14:textId="77777777" w:rsidR="00155B90" w:rsidRPr="00992554" w:rsidRDefault="00155B90" w:rsidP="002150E1">
            <w:pPr>
              <w:pStyle w:val="Tabletext0"/>
              <w:rPr>
                <w:sz w:val="18"/>
                <w:szCs w:val="18"/>
              </w:rPr>
            </w:pPr>
            <w:r w:rsidRPr="00992554">
              <w:rPr>
                <w:sz w:val="18"/>
                <w:szCs w:val="18"/>
              </w:rPr>
              <w:t>91% (85, 94)</w:t>
            </w:r>
          </w:p>
        </w:tc>
      </w:tr>
      <w:tr w:rsidR="006530B8" w:rsidRPr="009256D6" w14:paraId="19FD36F0" w14:textId="77777777" w:rsidTr="27A6ADB5">
        <w:trPr>
          <w:trHeight w:val="82"/>
        </w:trPr>
        <w:tc>
          <w:tcPr>
            <w:tcW w:w="2019" w:type="pct"/>
            <w:shd w:val="clear" w:color="auto" w:fill="auto"/>
            <w:noWrap/>
          </w:tcPr>
          <w:p w14:paraId="26450D87" w14:textId="77777777" w:rsidR="00155B90" w:rsidRPr="00992554" w:rsidRDefault="00155B90" w:rsidP="002150E1">
            <w:pPr>
              <w:pStyle w:val="Tabletext0"/>
              <w:rPr>
                <w:sz w:val="18"/>
                <w:szCs w:val="18"/>
              </w:rPr>
            </w:pPr>
            <w:r w:rsidRPr="00992554">
              <w:rPr>
                <w:sz w:val="18"/>
                <w:szCs w:val="18"/>
              </w:rPr>
              <w:t>Australia: Primary LD graft</w:t>
            </w:r>
          </w:p>
        </w:tc>
        <w:tc>
          <w:tcPr>
            <w:tcW w:w="391" w:type="pct"/>
            <w:vMerge/>
          </w:tcPr>
          <w:p w14:paraId="4224A8CB" w14:textId="77777777" w:rsidR="00155B90" w:rsidRPr="00992554" w:rsidRDefault="00155B90" w:rsidP="002150E1">
            <w:pPr>
              <w:pStyle w:val="Tabletext0"/>
              <w:rPr>
                <w:sz w:val="18"/>
                <w:szCs w:val="18"/>
              </w:rPr>
            </w:pPr>
          </w:p>
        </w:tc>
        <w:tc>
          <w:tcPr>
            <w:tcW w:w="326" w:type="pct"/>
            <w:shd w:val="clear" w:color="auto" w:fill="auto"/>
          </w:tcPr>
          <w:p w14:paraId="136C48CB" w14:textId="77777777" w:rsidR="00155B90" w:rsidRPr="00992554" w:rsidRDefault="00155B90" w:rsidP="002150E1">
            <w:pPr>
              <w:pStyle w:val="Tabletext0"/>
              <w:rPr>
                <w:sz w:val="18"/>
                <w:szCs w:val="18"/>
              </w:rPr>
            </w:pPr>
            <w:r w:rsidRPr="00992554">
              <w:rPr>
                <w:sz w:val="18"/>
                <w:szCs w:val="18"/>
              </w:rPr>
              <w:t>447</w:t>
            </w:r>
          </w:p>
        </w:tc>
        <w:tc>
          <w:tcPr>
            <w:tcW w:w="651" w:type="pct"/>
            <w:shd w:val="clear" w:color="auto" w:fill="auto"/>
            <w:noWrap/>
          </w:tcPr>
          <w:p w14:paraId="3C314D71" w14:textId="77777777" w:rsidR="00155B90" w:rsidRPr="00992554" w:rsidRDefault="00155B90" w:rsidP="002150E1">
            <w:pPr>
              <w:pStyle w:val="Tabletext0"/>
              <w:rPr>
                <w:sz w:val="18"/>
                <w:szCs w:val="18"/>
              </w:rPr>
            </w:pPr>
            <w:r w:rsidRPr="00992554">
              <w:rPr>
                <w:sz w:val="18"/>
                <w:szCs w:val="18"/>
              </w:rPr>
              <w:t>100% (98, 100)</w:t>
            </w:r>
          </w:p>
        </w:tc>
        <w:tc>
          <w:tcPr>
            <w:tcW w:w="651" w:type="pct"/>
            <w:shd w:val="clear" w:color="auto" w:fill="auto"/>
            <w:noWrap/>
          </w:tcPr>
          <w:p w14:paraId="4A74BCA5" w14:textId="77777777" w:rsidR="00155B90" w:rsidRPr="00992554" w:rsidRDefault="00155B90" w:rsidP="002150E1">
            <w:pPr>
              <w:pStyle w:val="Tabletext0"/>
              <w:rPr>
                <w:sz w:val="18"/>
                <w:szCs w:val="18"/>
              </w:rPr>
            </w:pPr>
            <w:r w:rsidRPr="00992554">
              <w:rPr>
                <w:sz w:val="18"/>
                <w:szCs w:val="18"/>
              </w:rPr>
              <w:t>100% (98, 100)</w:t>
            </w:r>
          </w:p>
        </w:tc>
        <w:tc>
          <w:tcPr>
            <w:tcW w:w="391" w:type="pct"/>
            <w:shd w:val="clear" w:color="auto" w:fill="auto"/>
            <w:noWrap/>
          </w:tcPr>
          <w:p w14:paraId="7B75E28D" w14:textId="77777777" w:rsidR="00155B90" w:rsidRPr="00992554" w:rsidRDefault="00155B90" w:rsidP="002150E1">
            <w:pPr>
              <w:pStyle w:val="Tabletext0"/>
              <w:rPr>
                <w:sz w:val="18"/>
                <w:szCs w:val="18"/>
              </w:rPr>
            </w:pPr>
            <w:r w:rsidRPr="00992554">
              <w:rPr>
                <w:sz w:val="18"/>
                <w:szCs w:val="18"/>
              </w:rPr>
              <w:t>-</w:t>
            </w:r>
          </w:p>
        </w:tc>
        <w:tc>
          <w:tcPr>
            <w:tcW w:w="571" w:type="pct"/>
            <w:shd w:val="clear" w:color="auto" w:fill="auto"/>
            <w:noWrap/>
          </w:tcPr>
          <w:p w14:paraId="7481288A" w14:textId="77777777" w:rsidR="00155B90" w:rsidRPr="00992554" w:rsidRDefault="00155B90" w:rsidP="002150E1">
            <w:pPr>
              <w:pStyle w:val="Tabletext0"/>
              <w:rPr>
                <w:sz w:val="18"/>
                <w:szCs w:val="18"/>
              </w:rPr>
            </w:pPr>
            <w:r w:rsidRPr="00992554">
              <w:rPr>
                <w:sz w:val="18"/>
                <w:szCs w:val="18"/>
              </w:rPr>
              <w:t>95% (92, 96)</w:t>
            </w:r>
          </w:p>
        </w:tc>
      </w:tr>
      <w:tr w:rsidR="006530B8" w:rsidRPr="009256D6" w14:paraId="3648A594" w14:textId="77777777" w:rsidTr="002150E1">
        <w:trPr>
          <w:trHeight w:val="53"/>
        </w:trPr>
        <w:tc>
          <w:tcPr>
            <w:tcW w:w="2019" w:type="pct"/>
            <w:shd w:val="clear" w:color="auto" w:fill="auto"/>
            <w:noWrap/>
          </w:tcPr>
          <w:p w14:paraId="223151F5" w14:textId="77777777" w:rsidR="00155B90" w:rsidRPr="00992554" w:rsidRDefault="00155B90" w:rsidP="002150E1">
            <w:pPr>
              <w:pStyle w:val="Tabletext0"/>
              <w:rPr>
                <w:sz w:val="18"/>
                <w:szCs w:val="18"/>
              </w:rPr>
            </w:pPr>
            <w:r w:rsidRPr="00992554">
              <w:rPr>
                <w:sz w:val="18"/>
                <w:szCs w:val="18"/>
              </w:rPr>
              <w:t>ANZ: Retransplant LD graft</w:t>
            </w:r>
          </w:p>
        </w:tc>
        <w:tc>
          <w:tcPr>
            <w:tcW w:w="391" w:type="pct"/>
            <w:shd w:val="clear" w:color="auto" w:fill="auto"/>
          </w:tcPr>
          <w:p w14:paraId="5921E364" w14:textId="7852C766" w:rsidR="00155B90" w:rsidRPr="00992554" w:rsidRDefault="00155B90" w:rsidP="002150E1">
            <w:pPr>
              <w:pStyle w:val="Tabletext0"/>
              <w:rPr>
                <w:sz w:val="18"/>
                <w:szCs w:val="18"/>
              </w:rPr>
            </w:pPr>
            <w:r w:rsidRPr="00992554">
              <w:rPr>
                <w:sz w:val="18"/>
                <w:szCs w:val="18"/>
              </w:rPr>
              <w:t>2015</w:t>
            </w:r>
            <w:r w:rsidR="00293301" w:rsidRPr="00992554">
              <w:rPr>
                <w:sz w:val="18"/>
                <w:szCs w:val="18"/>
              </w:rPr>
              <w:t>–20</w:t>
            </w:r>
            <w:r w:rsidRPr="00992554">
              <w:rPr>
                <w:sz w:val="18"/>
                <w:szCs w:val="18"/>
              </w:rPr>
              <w:t>19</w:t>
            </w:r>
          </w:p>
        </w:tc>
        <w:tc>
          <w:tcPr>
            <w:tcW w:w="326" w:type="pct"/>
            <w:shd w:val="clear" w:color="auto" w:fill="auto"/>
          </w:tcPr>
          <w:p w14:paraId="041D66CC" w14:textId="77777777" w:rsidR="00155B90" w:rsidRPr="00992554" w:rsidRDefault="00155B90" w:rsidP="002150E1">
            <w:pPr>
              <w:pStyle w:val="Tabletext0"/>
              <w:rPr>
                <w:sz w:val="18"/>
                <w:szCs w:val="18"/>
              </w:rPr>
            </w:pPr>
            <w:r w:rsidRPr="00992554">
              <w:rPr>
                <w:sz w:val="18"/>
                <w:szCs w:val="18"/>
              </w:rPr>
              <w:t>167</w:t>
            </w:r>
          </w:p>
        </w:tc>
        <w:tc>
          <w:tcPr>
            <w:tcW w:w="651" w:type="pct"/>
            <w:shd w:val="clear" w:color="auto" w:fill="auto"/>
            <w:noWrap/>
          </w:tcPr>
          <w:p w14:paraId="76FD500F" w14:textId="77777777" w:rsidR="00155B90" w:rsidRPr="00992554" w:rsidRDefault="00155B90" w:rsidP="002150E1">
            <w:pPr>
              <w:pStyle w:val="Tabletext0"/>
              <w:rPr>
                <w:sz w:val="18"/>
                <w:szCs w:val="18"/>
              </w:rPr>
            </w:pPr>
            <w:r w:rsidRPr="00992554">
              <w:rPr>
                <w:sz w:val="18"/>
                <w:szCs w:val="18"/>
              </w:rPr>
              <w:t>-</w:t>
            </w:r>
          </w:p>
        </w:tc>
        <w:tc>
          <w:tcPr>
            <w:tcW w:w="651" w:type="pct"/>
            <w:shd w:val="clear" w:color="auto" w:fill="auto"/>
            <w:noWrap/>
          </w:tcPr>
          <w:p w14:paraId="6EF5593D" w14:textId="77777777" w:rsidR="00155B90" w:rsidRPr="00992554" w:rsidRDefault="00155B90" w:rsidP="002150E1">
            <w:pPr>
              <w:pStyle w:val="Tabletext0"/>
              <w:rPr>
                <w:sz w:val="18"/>
                <w:szCs w:val="18"/>
              </w:rPr>
            </w:pPr>
            <w:r w:rsidRPr="00992554">
              <w:rPr>
                <w:sz w:val="18"/>
                <w:szCs w:val="18"/>
              </w:rPr>
              <w:t>99% (95, 100)</w:t>
            </w:r>
          </w:p>
        </w:tc>
        <w:tc>
          <w:tcPr>
            <w:tcW w:w="391" w:type="pct"/>
            <w:shd w:val="clear" w:color="auto" w:fill="auto"/>
            <w:noWrap/>
          </w:tcPr>
          <w:p w14:paraId="556D7ADC" w14:textId="77777777" w:rsidR="00155B90" w:rsidRPr="00992554" w:rsidRDefault="00155B90" w:rsidP="002150E1">
            <w:pPr>
              <w:pStyle w:val="Tabletext0"/>
              <w:rPr>
                <w:sz w:val="18"/>
                <w:szCs w:val="18"/>
              </w:rPr>
            </w:pPr>
            <w:r w:rsidRPr="00992554">
              <w:rPr>
                <w:sz w:val="18"/>
                <w:szCs w:val="18"/>
              </w:rPr>
              <w:t>-</w:t>
            </w:r>
          </w:p>
        </w:tc>
        <w:tc>
          <w:tcPr>
            <w:tcW w:w="571" w:type="pct"/>
            <w:shd w:val="clear" w:color="auto" w:fill="auto"/>
            <w:noWrap/>
          </w:tcPr>
          <w:p w14:paraId="640F33F2" w14:textId="77777777" w:rsidR="00155B90" w:rsidRPr="00992554" w:rsidRDefault="00155B90" w:rsidP="002150E1">
            <w:pPr>
              <w:pStyle w:val="Tabletext0"/>
              <w:rPr>
                <w:sz w:val="18"/>
                <w:szCs w:val="18"/>
              </w:rPr>
            </w:pPr>
            <w:r w:rsidRPr="00992554">
              <w:rPr>
                <w:sz w:val="18"/>
                <w:szCs w:val="18"/>
              </w:rPr>
              <w:t>97% (90, 99)</w:t>
            </w:r>
          </w:p>
        </w:tc>
      </w:tr>
      <w:tr w:rsidR="006530B8" w:rsidRPr="009256D6" w14:paraId="0485F236" w14:textId="77777777" w:rsidTr="002150E1">
        <w:trPr>
          <w:trHeight w:val="347"/>
        </w:trPr>
        <w:tc>
          <w:tcPr>
            <w:tcW w:w="5000" w:type="pct"/>
            <w:gridSpan w:val="7"/>
            <w:shd w:val="clear" w:color="auto" w:fill="auto"/>
            <w:noWrap/>
          </w:tcPr>
          <w:p w14:paraId="1C04F05D" w14:textId="77777777" w:rsidR="00155B90" w:rsidRPr="00992554" w:rsidRDefault="00155B90" w:rsidP="002150E1">
            <w:pPr>
              <w:pStyle w:val="Tabletext0"/>
              <w:rPr>
                <w:b/>
                <w:i/>
                <w:sz w:val="18"/>
                <w:szCs w:val="18"/>
              </w:rPr>
            </w:pPr>
            <w:r w:rsidRPr="00992554">
              <w:rPr>
                <w:b/>
                <w:i/>
                <w:sz w:val="18"/>
                <w:szCs w:val="18"/>
              </w:rPr>
              <w:t>Graft survival (death-censored)</w:t>
            </w:r>
          </w:p>
        </w:tc>
      </w:tr>
      <w:tr w:rsidR="006530B8" w:rsidRPr="009256D6" w14:paraId="0D9EE411" w14:textId="77777777" w:rsidTr="002150E1">
        <w:trPr>
          <w:trHeight w:val="56"/>
        </w:trPr>
        <w:tc>
          <w:tcPr>
            <w:tcW w:w="2019" w:type="pct"/>
            <w:shd w:val="clear" w:color="auto" w:fill="auto"/>
            <w:noWrap/>
            <w:hideMark/>
          </w:tcPr>
          <w:p w14:paraId="21A9AD9A" w14:textId="1AB8948F" w:rsidR="00155B90" w:rsidRPr="00992554" w:rsidRDefault="00155B90" w:rsidP="002150E1">
            <w:pPr>
              <w:pStyle w:val="Tabletext0"/>
              <w:rPr>
                <w:sz w:val="18"/>
                <w:szCs w:val="18"/>
              </w:rPr>
            </w:pPr>
            <w:r w:rsidRPr="00992554">
              <w:rPr>
                <w:sz w:val="18"/>
                <w:szCs w:val="18"/>
              </w:rPr>
              <w:t xml:space="preserve">Imlifidase </w:t>
            </w:r>
            <w:r w:rsidR="00550B8A" w:rsidRPr="00992554">
              <w:rPr>
                <w:sz w:val="18"/>
                <w:szCs w:val="18"/>
              </w:rPr>
              <w:t>a</w:t>
            </w:r>
            <w:r w:rsidRPr="00992554">
              <w:rPr>
                <w:sz w:val="18"/>
                <w:szCs w:val="18"/>
              </w:rPr>
              <w:t>ll-transplanted: 15% LD, 70% retransplant</w:t>
            </w:r>
          </w:p>
        </w:tc>
        <w:tc>
          <w:tcPr>
            <w:tcW w:w="391" w:type="pct"/>
            <w:vMerge w:val="restart"/>
            <w:shd w:val="clear" w:color="auto" w:fill="auto"/>
          </w:tcPr>
          <w:p w14:paraId="0575B854" w14:textId="3627F935" w:rsidR="00155B90" w:rsidRPr="00992554" w:rsidRDefault="00155B90" w:rsidP="002150E1">
            <w:pPr>
              <w:pStyle w:val="Tabletext0"/>
              <w:rPr>
                <w:sz w:val="18"/>
                <w:szCs w:val="18"/>
              </w:rPr>
            </w:pPr>
            <w:r w:rsidRPr="00992554">
              <w:rPr>
                <w:sz w:val="18"/>
                <w:szCs w:val="18"/>
              </w:rPr>
              <w:t>2014</w:t>
            </w:r>
            <w:r w:rsidR="00293301" w:rsidRPr="00992554">
              <w:rPr>
                <w:sz w:val="18"/>
                <w:szCs w:val="18"/>
              </w:rPr>
              <w:t>–20</w:t>
            </w:r>
            <w:r w:rsidRPr="00992554">
              <w:rPr>
                <w:sz w:val="18"/>
                <w:szCs w:val="18"/>
              </w:rPr>
              <w:t>17</w:t>
            </w:r>
          </w:p>
        </w:tc>
        <w:tc>
          <w:tcPr>
            <w:tcW w:w="326" w:type="pct"/>
            <w:shd w:val="clear" w:color="auto" w:fill="auto"/>
          </w:tcPr>
          <w:p w14:paraId="102D17A8" w14:textId="77777777" w:rsidR="00155B90" w:rsidRPr="00992554" w:rsidRDefault="00155B90" w:rsidP="002150E1">
            <w:pPr>
              <w:pStyle w:val="Tabletext0"/>
              <w:rPr>
                <w:sz w:val="18"/>
                <w:szCs w:val="18"/>
              </w:rPr>
            </w:pPr>
            <w:r w:rsidRPr="00992554">
              <w:rPr>
                <w:sz w:val="18"/>
                <w:szCs w:val="18"/>
              </w:rPr>
              <w:t>46</w:t>
            </w:r>
          </w:p>
        </w:tc>
        <w:tc>
          <w:tcPr>
            <w:tcW w:w="651" w:type="pct"/>
            <w:shd w:val="clear" w:color="auto" w:fill="auto"/>
            <w:noWrap/>
            <w:hideMark/>
          </w:tcPr>
          <w:p w14:paraId="2CF130CB" w14:textId="77777777" w:rsidR="00155B90" w:rsidRPr="00992554" w:rsidRDefault="00155B90" w:rsidP="002150E1">
            <w:pPr>
              <w:pStyle w:val="Tabletext0"/>
              <w:rPr>
                <w:sz w:val="18"/>
                <w:szCs w:val="18"/>
              </w:rPr>
            </w:pPr>
            <w:r w:rsidRPr="00992554">
              <w:rPr>
                <w:sz w:val="18"/>
                <w:szCs w:val="18"/>
              </w:rPr>
              <w:t>93%</w:t>
            </w:r>
          </w:p>
        </w:tc>
        <w:tc>
          <w:tcPr>
            <w:tcW w:w="651" w:type="pct"/>
            <w:shd w:val="clear" w:color="auto" w:fill="auto"/>
            <w:noWrap/>
            <w:hideMark/>
          </w:tcPr>
          <w:p w14:paraId="3BE9AE64" w14:textId="77777777" w:rsidR="00155B90" w:rsidRPr="00992554" w:rsidRDefault="00155B90" w:rsidP="002150E1">
            <w:pPr>
              <w:pStyle w:val="Tabletext0"/>
              <w:rPr>
                <w:sz w:val="18"/>
                <w:szCs w:val="18"/>
              </w:rPr>
            </w:pPr>
            <w:r w:rsidRPr="00992554">
              <w:rPr>
                <w:sz w:val="18"/>
                <w:szCs w:val="18"/>
              </w:rPr>
              <w:t>93%</w:t>
            </w:r>
          </w:p>
        </w:tc>
        <w:tc>
          <w:tcPr>
            <w:tcW w:w="391" w:type="pct"/>
            <w:shd w:val="clear" w:color="auto" w:fill="auto"/>
            <w:noWrap/>
            <w:hideMark/>
          </w:tcPr>
          <w:p w14:paraId="0ED41995" w14:textId="77777777" w:rsidR="00155B90" w:rsidRPr="00992554" w:rsidRDefault="00155B90" w:rsidP="002150E1">
            <w:pPr>
              <w:pStyle w:val="Tabletext0"/>
              <w:rPr>
                <w:sz w:val="18"/>
                <w:szCs w:val="18"/>
              </w:rPr>
            </w:pPr>
            <w:r w:rsidRPr="00992554">
              <w:rPr>
                <w:sz w:val="18"/>
                <w:szCs w:val="18"/>
              </w:rPr>
              <w:t>88%</w:t>
            </w:r>
          </w:p>
        </w:tc>
        <w:tc>
          <w:tcPr>
            <w:tcW w:w="571" w:type="pct"/>
            <w:shd w:val="clear" w:color="auto" w:fill="auto"/>
            <w:noWrap/>
            <w:hideMark/>
          </w:tcPr>
          <w:p w14:paraId="79E62824" w14:textId="77777777" w:rsidR="00155B90" w:rsidRPr="00992554" w:rsidRDefault="00155B90" w:rsidP="002150E1">
            <w:pPr>
              <w:pStyle w:val="Tabletext0"/>
              <w:rPr>
                <w:sz w:val="18"/>
                <w:szCs w:val="18"/>
              </w:rPr>
            </w:pPr>
            <w:r w:rsidRPr="00992554">
              <w:rPr>
                <w:sz w:val="18"/>
                <w:szCs w:val="18"/>
              </w:rPr>
              <w:t>85%</w:t>
            </w:r>
          </w:p>
        </w:tc>
      </w:tr>
      <w:tr w:rsidR="006530B8" w:rsidRPr="009256D6" w14:paraId="189E1551" w14:textId="77777777" w:rsidTr="27A6ADB5">
        <w:trPr>
          <w:trHeight w:val="110"/>
        </w:trPr>
        <w:tc>
          <w:tcPr>
            <w:tcW w:w="2019" w:type="pct"/>
            <w:shd w:val="clear" w:color="auto" w:fill="auto"/>
            <w:noWrap/>
            <w:hideMark/>
          </w:tcPr>
          <w:p w14:paraId="23A024BD" w14:textId="36903621" w:rsidR="00155B90" w:rsidRPr="009E2F9F" w:rsidRDefault="00155B90" w:rsidP="002150E1">
            <w:pPr>
              <w:pStyle w:val="Tabletext0"/>
              <w:rPr>
                <w:sz w:val="18"/>
                <w:szCs w:val="18"/>
              </w:rPr>
            </w:pPr>
            <w:r w:rsidRPr="00992554">
              <w:rPr>
                <w:sz w:val="18"/>
                <w:szCs w:val="18"/>
              </w:rPr>
              <w:t>Imlifidase UTT-A</w:t>
            </w:r>
            <w:r w:rsidRPr="009E2F9F">
              <w:rPr>
                <w:sz w:val="18"/>
                <w:szCs w:val="18"/>
              </w:rPr>
              <w:t>: 17% LD, 70% retransplant</w:t>
            </w:r>
          </w:p>
        </w:tc>
        <w:tc>
          <w:tcPr>
            <w:tcW w:w="391" w:type="pct"/>
            <w:vMerge/>
          </w:tcPr>
          <w:p w14:paraId="51AE21DA" w14:textId="77777777" w:rsidR="00155B90" w:rsidRPr="00992554" w:rsidRDefault="00155B90" w:rsidP="002150E1">
            <w:pPr>
              <w:pStyle w:val="Tabletext0"/>
              <w:rPr>
                <w:sz w:val="18"/>
                <w:szCs w:val="18"/>
              </w:rPr>
            </w:pPr>
          </w:p>
        </w:tc>
        <w:tc>
          <w:tcPr>
            <w:tcW w:w="326" w:type="pct"/>
            <w:shd w:val="clear" w:color="auto" w:fill="auto"/>
          </w:tcPr>
          <w:p w14:paraId="20559512" w14:textId="77777777" w:rsidR="00155B90" w:rsidRPr="009E2F9F" w:rsidRDefault="00155B90" w:rsidP="002150E1">
            <w:pPr>
              <w:pStyle w:val="Tabletext0"/>
              <w:rPr>
                <w:sz w:val="18"/>
                <w:szCs w:val="18"/>
              </w:rPr>
            </w:pPr>
            <w:r w:rsidRPr="009E2F9F">
              <w:rPr>
                <w:sz w:val="18"/>
                <w:szCs w:val="18"/>
              </w:rPr>
              <w:t>30</w:t>
            </w:r>
          </w:p>
        </w:tc>
        <w:tc>
          <w:tcPr>
            <w:tcW w:w="651" w:type="pct"/>
            <w:shd w:val="clear" w:color="auto" w:fill="auto"/>
            <w:noWrap/>
            <w:hideMark/>
          </w:tcPr>
          <w:p w14:paraId="0E448419" w14:textId="77777777" w:rsidR="00155B90" w:rsidRPr="009E2F9F" w:rsidRDefault="00155B90" w:rsidP="002150E1">
            <w:pPr>
              <w:pStyle w:val="Tabletext0"/>
              <w:rPr>
                <w:sz w:val="18"/>
                <w:szCs w:val="18"/>
              </w:rPr>
            </w:pPr>
            <w:r w:rsidRPr="009E2F9F">
              <w:rPr>
                <w:sz w:val="18"/>
                <w:szCs w:val="18"/>
              </w:rPr>
              <w:t>97%</w:t>
            </w:r>
          </w:p>
        </w:tc>
        <w:tc>
          <w:tcPr>
            <w:tcW w:w="651" w:type="pct"/>
            <w:shd w:val="clear" w:color="auto" w:fill="auto"/>
            <w:noWrap/>
            <w:hideMark/>
          </w:tcPr>
          <w:p w14:paraId="758C5B2A" w14:textId="77777777" w:rsidR="00155B90" w:rsidRPr="009E2F9F" w:rsidRDefault="00155B90" w:rsidP="002150E1">
            <w:pPr>
              <w:pStyle w:val="Tabletext0"/>
              <w:rPr>
                <w:sz w:val="18"/>
                <w:szCs w:val="18"/>
              </w:rPr>
            </w:pPr>
            <w:r w:rsidRPr="009E2F9F">
              <w:rPr>
                <w:sz w:val="18"/>
                <w:szCs w:val="18"/>
              </w:rPr>
              <w:t>97%</w:t>
            </w:r>
          </w:p>
        </w:tc>
        <w:tc>
          <w:tcPr>
            <w:tcW w:w="391" w:type="pct"/>
            <w:shd w:val="clear" w:color="auto" w:fill="auto"/>
            <w:noWrap/>
            <w:hideMark/>
          </w:tcPr>
          <w:p w14:paraId="24926148" w14:textId="77777777" w:rsidR="00155B90" w:rsidRPr="009E2F9F" w:rsidRDefault="00155B90" w:rsidP="002150E1">
            <w:pPr>
              <w:pStyle w:val="Tabletext0"/>
              <w:rPr>
                <w:sz w:val="18"/>
                <w:szCs w:val="18"/>
              </w:rPr>
            </w:pPr>
            <w:r w:rsidRPr="009E2F9F">
              <w:rPr>
                <w:sz w:val="18"/>
                <w:szCs w:val="18"/>
              </w:rPr>
              <w:t>92%</w:t>
            </w:r>
          </w:p>
        </w:tc>
        <w:tc>
          <w:tcPr>
            <w:tcW w:w="571" w:type="pct"/>
            <w:shd w:val="clear" w:color="auto" w:fill="auto"/>
            <w:noWrap/>
            <w:hideMark/>
          </w:tcPr>
          <w:p w14:paraId="1EAAC6EC" w14:textId="77777777" w:rsidR="00155B90" w:rsidRPr="009E2F9F" w:rsidRDefault="00155B90" w:rsidP="002150E1">
            <w:pPr>
              <w:pStyle w:val="Tabletext0"/>
              <w:rPr>
                <w:sz w:val="18"/>
                <w:szCs w:val="18"/>
              </w:rPr>
            </w:pPr>
            <w:r w:rsidRPr="009E2F9F">
              <w:rPr>
                <w:sz w:val="18"/>
                <w:szCs w:val="18"/>
              </w:rPr>
              <w:t>87%</w:t>
            </w:r>
          </w:p>
        </w:tc>
      </w:tr>
      <w:tr w:rsidR="006530B8" w:rsidRPr="009256D6" w14:paraId="18346C9E" w14:textId="77777777" w:rsidTr="27A6ADB5">
        <w:trPr>
          <w:trHeight w:val="169"/>
        </w:trPr>
        <w:tc>
          <w:tcPr>
            <w:tcW w:w="2019" w:type="pct"/>
            <w:shd w:val="clear" w:color="auto" w:fill="auto"/>
            <w:noWrap/>
            <w:hideMark/>
          </w:tcPr>
          <w:p w14:paraId="03A48624" w14:textId="329DCF69" w:rsidR="00155B90" w:rsidRPr="00992554" w:rsidRDefault="00155B90" w:rsidP="002150E1">
            <w:pPr>
              <w:pStyle w:val="Tabletext0"/>
              <w:rPr>
                <w:sz w:val="18"/>
                <w:szCs w:val="18"/>
              </w:rPr>
            </w:pPr>
            <w:r w:rsidRPr="00992554">
              <w:rPr>
                <w:sz w:val="18"/>
                <w:szCs w:val="18"/>
              </w:rPr>
              <w:t>Imlifidase UTT</w:t>
            </w:r>
            <w:r w:rsidR="00550B8A" w:rsidRPr="00992554">
              <w:rPr>
                <w:sz w:val="18"/>
                <w:szCs w:val="18"/>
              </w:rPr>
              <w:t>:</w:t>
            </w:r>
            <w:r w:rsidRPr="00992554">
              <w:rPr>
                <w:sz w:val="18"/>
                <w:szCs w:val="18"/>
              </w:rPr>
              <w:t xml:space="preserve"> DD only, 67% retransplant</w:t>
            </w:r>
          </w:p>
        </w:tc>
        <w:tc>
          <w:tcPr>
            <w:tcW w:w="391" w:type="pct"/>
            <w:vMerge/>
          </w:tcPr>
          <w:p w14:paraId="59BAD204" w14:textId="77777777" w:rsidR="00155B90" w:rsidRPr="00992554" w:rsidRDefault="00155B90" w:rsidP="002150E1">
            <w:pPr>
              <w:pStyle w:val="Tabletext0"/>
              <w:rPr>
                <w:sz w:val="18"/>
                <w:szCs w:val="18"/>
              </w:rPr>
            </w:pPr>
          </w:p>
        </w:tc>
        <w:tc>
          <w:tcPr>
            <w:tcW w:w="326" w:type="pct"/>
            <w:shd w:val="clear" w:color="auto" w:fill="auto"/>
          </w:tcPr>
          <w:p w14:paraId="6F17D378" w14:textId="77777777" w:rsidR="00155B90" w:rsidRPr="00992554" w:rsidRDefault="00155B90" w:rsidP="002150E1">
            <w:pPr>
              <w:pStyle w:val="Tabletext0"/>
              <w:rPr>
                <w:sz w:val="18"/>
                <w:szCs w:val="18"/>
              </w:rPr>
            </w:pPr>
            <w:r w:rsidRPr="00992554">
              <w:rPr>
                <w:sz w:val="18"/>
                <w:szCs w:val="18"/>
              </w:rPr>
              <w:t>25</w:t>
            </w:r>
          </w:p>
        </w:tc>
        <w:tc>
          <w:tcPr>
            <w:tcW w:w="651" w:type="pct"/>
            <w:shd w:val="clear" w:color="auto" w:fill="auto"/>
            <w:noWrap/>
            <w:hideMark/>
          </w:tcPr>
          <w:p w14:paraId="001891A4" w14:textId="2A537BF0" w:rsidR="00155B90" w:rsidRPr="00992554" w:rsidRDefault="00155B90" w:rsidP="002150E1">
            <w:pPr>
              <w:pStyle w:val="Tabletext0"/>
              <w:rPr>
                <w:sz w:val="18"/>
                <w:szCs w:val="18"/>
              </w:rPr>
            </w:pPr>
            <w:r w:rsidRPr="00992554">
              <w:rPr>
                <w:sz w:val="18"/>
                <w:szCs w:val="18"/>
              </w:rPr>
              <w:t>96%</w:t>
            </w:r>
            <w:r w:rsidR="008750AB" w:rsidRPr="00992554">
              <w:rPr>
                <w:sz w:val="18"/>
                <w:szCs w:val="18"/>
              </w:rPr>
              <w:t xml:space="preserve"> </w:t>
            </w:r>
          </w:p>
        </w:tc>
        <w:tc>
          <w:tcPr>
            <w:tcW w:w="651" w:type="pct"/>
            <w:shd w:val="clear" w:color="auto" w:fill="auto"/>
            <w:noWrap/>
          </w:tcPr>
          <w:p w14:paraId="4997FB8C" w14:textId="77777777" w:rsidR="00155B90" w:rsidRPr="00992554" w:rsidRDefault="00155B90" w:rsidP="002150E1">
            <w:pPr>
              <w:pStyle w:val="Tabletext0"/>
              <w:rPr>
                <w:sz w:val="18"/>
                <w:szCs w:val="18"/>
              </w:rPr>
            </w:pPr>
            <w:r w:rsidRPr="00992554">
              <w:rPr>
                <w:sz w:val="18"/>
                <w:szCs w:val="18"/>
              </w:rPr>
              <w:t>96%</w:t>
            </w:r>
          </w:p>
        </w:tc>
        <w:tc>
          <w:tcPr>
            <w:tcW w:w="391" w:type="pct"/>
            <w:shd w:val="clear" w:color="auto" w:fill="auto"/>
            <w:noWrap/>
          </w:tcPr>
          <w:p w14:paraId="669A01D3" w14:textId="77777777" w:rsidR="00155B90" w:rsidRPr="00992554" w:rsidRDefault="00155B90" w:rsidP="002150E1">
            <w:pPr>
              <w:pStyle w:val="Tabletext0"/>
              <w:rPr>
                <w:sz w:val="18"/>
                <w:szCs w:val="18"/>
              </w:rPr>
            </w:pPr>
            <w:r w:rsidRPr="00992554">
              <w:rPr>
                <w:sz w:val="18"/>
                <w:szCs w:val="18"/>
              </w:rPr>
              <w:t>90%</w:t>
            </w:r>
          </w:p>
        </w:tc>
        <w:tc>
          <w:tcPr>
            <w:tcW w:w="571" w:type="pct"/>
            <w:shd w:val="clear" w:color="auto" w:fill="auto"/>
            <w:noWrap/>
          </w:tcPr>
          <w:p w14:paraId="3D44EC92" w14:textId="77777777" w:rsidR="00155B90" w:rsidRPr="00992554" w:rsidRDefault="00155B90" w:rsidP="002150E1">
            <w:pPr>
              <w:pStyle w:val="Tabletext0"/>
              <w:rPr>
                <w:sz w:val="18"/>
                <w:szCs w:val="18"/>
              </w:rPr>
            </w:pPr>
            <w:r w:rsidRPr="00992554">
              <w:rPr>
                <w:sz w:val="18"/>
                <w:szCs w:val="18"/>
              </w:rPr>
              <w:t>84%</w:t>
            </w:r>
          </w:p>
        </w:tc>
      </w:tr>
      <w:tr w:rsidR="006530B8" w:rsidRPr="009256D6" w14:paraId="74D9659F" w14:textId="77777777" w:rsidTr="27A6ADB5">
        <w:trPr>
          <w:trHeight w:val="169"/>
        </w:trPr>
        <w:tc>
          <w:tcPr>
            <w:tcW w:w="2019" w:type="pct"/>
            <w:shd w:val="clear" w:color="auto" w:fill="auto"/>
            <w:noWrap/>
          </w:tcPr>
          <w:p w14:paraId="2E379921" w14:textId="2BBB9443" w:rsidR="00155B90" w:rsidRPr="009E2F9F" w:rsidRDefault="00155B90" w:rsidP="002150E1">
            <w:pPr>
              <w:pStyle w:val="Tabletext0"/>
              <w:rPr>
                <w:sz w:val="18"/>
                <w:szCs w:val="18"/>
              </w:rPr>
            </w:pPr>
            <w:r w:rsidRPr="00992554">
              <w:rPr>
                <w:sz w:val="18"/>
                <w:szCs w:val="18"/>
              </w:rPr>
              <w:t>Imlifidase AUS-UTT-A</w:t>
            </w:r>
            <w:r w:rsidR="003E409C" w:rsidRPr="00992554">
              <w:rPr>
                <w:sz w:val="18"/>
                <w:szCs w:val="18"/>
              </w:rPr>
              <w:t>:</w:t>
            </w:r>
            <w:r w:rsidRPr="00992554">
              <w:rPr>
                <w:sz w:val="18"/>
                <w:szCs w:val="18"/>
              </w:rPr>
              <w:t xml:space="preserve"> </w:t>
            </w:r>
            <w:r w:rsidR="003E409C" w:rsidRPr="009E2F9F">
              <w:rPr>
                <w:sz w:val="18"/>
                <w:szCs w:val="18"/>
              </w:rPr>
              <w:t xml:space="preserve">22% </w:t>
            </w:r>
            <w:r w:rsidRPr="009E2F9F">
              <w:rPr>
                <w:sz w:val="18"/>
                <w:szCs w:val="18"/>
              </w:rPr>
              <w:t>LD, 74% retransplant</w:t>
            </w:r>
          </w:p>
        </w:tc>
        <w:tc>
          <w:tcPr>
            <w:tcW w:w="391" w:type="pct"/>
            <w:vMerge/>
          </w:tcPr>
          <w:p w14:paraId="25FA5584" w14:textId="77777777" w:rsidR="00155B90" w:rsidRPr="00992554" w:rsidRDefault="00155B90" w:rsidP="002150E1">
            <w:pPr>
              <w:pStyle w:val="Tabletext0"/>
              <w:rPr>
                <w:sz w:val="18"/>
                <w:szCs w:val="18"/>
              </w:rPr>
            </w:pPr>
          </w:p>
        </w:tc>
        <w:tc>
          <w:tcPr>
            <w:tcW w:w="326" w:type="pct"/>
            <w:shd w:val="clear" w:color="auto" w:fill="auto"/>
          </w:tcPr>
          <w:p w14:paraId="0FAF6A38" w14:textId="77777777" w:rsidR="00155B90" w:rsidRPr="009E2F9F" w:rsidRDefault="00155B90" w:rsidP="002150E1">
            <w:pPr>
              <w:pStyle w:val="Tabletext0"/>
              <w:rPr>
                <w:sz w:val="18"/>
                <w:szCs w:val="18"/>
              </w:rPr>
            </w:pPr>
            <w:r w:rsidRPr="009E2F9F">
              <w:rPr>
                <w:sz w:val="18"/>
                <w:szCs w:val="18"/>
              </w:rPr>
              <w:t>24</w:t>
            </w:r>
          </w:p>
        </w:tc>
        <w:tc>
          <w:tcPr>
            <w:tcW w:w="651" w:type="pct"/>
            <w:shd w:val="clear" w:color="auto" w:fill="auto"/>
            <w:noWrap/>
          </w:tcPr>
          <w:p w14:paraId="578AA1D6" w14:textId="588733A0" w:rsidR="00155B90" w:rsidRPr="009E2F9F" w:rsidRDefault="00155B90" w:rsidP="002150E1">
            <w:pPr>
              <w:pStyle w:val="Tabletext0"/>
              <w:rPr>
                <w:sz w:val="18"/>
                <w:szCs w:val="18"/>
              </w:rPr>
            </w:pPr>
            <w:r w:rsidRPr="009E2F9F">
              <w:rPr>
                <w:sz w:val="18"/>
                <w:szCs w:val="18"/>
              </w:rPr>
              <w:t>96%</w:t>
            </w:r>
            <w:r w:rsidR="00E37537" w:rsidRPr="00992554">
              <w:rPr>
                <w:sz w:val="18"/>
                <w:szCs w:val="18"/>
              </w:rPr>
              <w:t xml:space="preserve"> </w:t>
            </w:r>
          </w:p>
        </w:tc>
        <w:tc>
          <w:tcPr>
            <w:tcW w:w="651" w:type="pct"/>
            <w:shd w:val="clear" w:color="auto" w:fill="auto"/>
            <w:noWrap/>
          </w:tcPr>
          <w:p w14:paraId="7C6F711F" w14:textId="77777777" w:rsidR="00155B90" w:rsidRPr="009E2F9F" w:rsidRDefault="00155B90" w:rsidP="002150E1">
            <w:pPr>
              <w:pStyle w:val="Tabletext0"/>
              <w:rPr>
                <w:sz w:val="18"/>
                <w:szCs w:val="18"/>
              </w:rPr>
            </w:pPr>
            <w:r w:rsidRPr="009E2F9F">
              <w:rPr>
                <w:sz w:val="18"/>
                <w:szCs w:val="18"/>
              </w:rPr>
              <w:t>96%</w:t>
            </w:r>
          </w:p>
        </w:tc>
        <w:tc>
          <w:tcPr>
            <w:tcW w:w="391" w:type="pct"/>
            <w:shd w:val="clear" w:color="auto" w:fill="auto"/>
            <w:noWrap/>
          </w:tcPr>
          <w:p w14:paraId="5A539F0E" w14:textId="77777777" w:rsidR="00155B90" w:rsidRPr="009E2F9F" w:rsidRDefault="00155B90" w:rsidP="002150E1">
            <w:pPr>
              <w:pStyle w:val="Tabletext0"/>
              <w:rPr>
                <w:sz w:val="18"/>
                <w:szCs w:val="18"/>
              </w:rPr>
            </w:pPr>
            <w:r w:rsidRPr="009E2F9F">
              <w:rPr>
                <w:sz w:val="18"/>
                <w:szCs w:val="18"/>
              </w:rPr>
              <w:t>96%</w:t>
            </w:r>
          </w:p>
        </w:tc>
        <w:tc>
          <w:tcPr>
            <w:tcW w:w="571" w:type="pct"/>
            <w:shd w:val="clear" w:color="auto" w:fill="auto"/>
            <w:noWrap/>
          </w:tcPr>
          <w:p w14:paraId="5509D266" w14:textId="77777777" w:rsidR="00155B90" w:rsidRPr="009E2F9F" w:rsidRDefault="00155B90" w:rsidP="002150E1">
            <w:pPr>
              <w:pStyle w:val="Tabletext0"/>
              <w:rPr>
                <w:sz w:val="18"/>
                <w:szCs w:val="18"/>
              </w:rPr>
            </w:pPr>
            <w:r w:rsidRPr="009E2F9F">
              <w:rPr>
                <w:sz w:val="18"/>
                <w:szCs w:val="18"/>
              </w:rPr>
              <w:t>89%</w:t>
            </w:r>
          </w:p>
        </w:tc>
      </w:tr>
      <w:tr w:rsidR="006530B8" w:rsidRPr="009256D6" w14:paraId="11B7D9DD" w14:textId="77777777" w:rsidTr="002150E1">
        <w:trPr>
          <w:trHeight w:val="101"/>
        </w:trPr>
        <w:tc>
          <w:tcPr>
            <w:tcW w:w="2019" w:type="pct"/>
            <w:shd w:val="clear" w:color="auto" w:fill="auto"/>
            <w:noWrap/>
          </w:tcPr>
          <w:p w14:paraId="531C8B68" w14:textId="77777777" w:rsidR="00155B90" w:rsidRPr="00992554" w:rsidRDefault="00155B90" w:rsidP="002150E1">
            <w:pPr>
              <w:pStyle w:val="Tabletext0"/>
              <w:rPr>
                <w:sz w:val="18"/>
                <w:szCs w:val="18"/>
              </w:rPr>
            </w:pPr>
            <w:r w:rsidRPr="00992554">
              <w:rPr>
                <w:sz w:val="18"/>
                <w:szCs w:val="18"/>
              </w:rPr>
              <w:t>Canadian HSP</w:t>
            </w:r>
          </w:p>
        </w:tc>
        <w:tc>
          <w:tcPr>
            <w:tcW w:w="391" w:type="pct"/>
            <w:shd w:val="clear" w:color="auto" w:fill="auto"/>
          </w:tcPr>
          <w:p w14:paraId="091CFE5C" w14:textId="5633911A" w:rsidR="00155B90" w:rsidRPr="00992554" w:rsidRDefault="00155B90" w:rsidP="002150E1">
            <w:pPr>
              <w:pStyle w:val="Tabletext0"/>
              <w:rPr>
                <w:sz w:val="18"/>
                <w:szCs w:val="18"/>
              </w:rPr>
            </w:pPr>
            <w:r w:rsidRPr="00992554">
              <w:rPr>
                <w:sz w:val="18"/>
                <w:szCs w:val="18"/>
              </w:rPr>
              <w:t>2014</w:t>
            </w:r>
            <w:r w:rsidR="00293301" w:rsidRPr="00992554">
              <w:rPr>
                <w:sz w:val="18"/>
                <w:szCs w:val="18"/>
              </w:rPr>
              <w:t>–20</w:t>
            </w:r>
            <w:r w:rsidRPr="00992554">
              <w:rPr>
                <w:sz w:val="18"/>
                <w:szCs w:val="18"/>
              </w:rPr>
              <w:t>17</w:t>
            </w:r>
          </w:p>
        </w:tc>
        <w:tc>
          <w:tcPr>
            <w:tcW w:w="326" w:type="pct"/>
            <w:shd w:val="clear" w:color="auto" w:fill="auto"/>
          </w:tcPr>
          <w:p w14:paraId="3856C047" w14:textId="77777777" w:rsidR="00155B90" w:rsidRPr="00992554" w:rsidRDefault="00155B90" w:rsidP="002150E1">
            <w:pPr>
              <w:pStyle w:val="Tabletext0"/>
              <w:rPr>
                <w:sz w:val="18"/>
                <w:szCs w:val="18"/>
              </w:rPr>
            </w:pPr>
            <w:r w:rsidRPr="00992554">
              <w:rPr>
                <w:sz w:val="18"/>
                <w:szCs w:val="18"/>
              </w:rPr>
              <w:t>378</w:t>
            </w:r>
          </w:p>
        </w:tc>
        <w:tc>
          <w:tcPr>
            <w:tcW w:w="651" w:type="pct"/>
            <w:shd w:val="clear" w:color="auto" w:fill="auto"/>
            <w:noWrap/>
          </w:tcPr>
          <w:p w14:paraId="731B27C0" w14:textId="5B2828AA" w:rsidR="00155B90" w:rsidRPr="00992554" w:rsidRDefault="00155B90" w:rsidP="002150E1">
            <w:pPr>
              <w:pStyle w:val="Tabletext0"/>
              <w:rPr>
                <w:sz w:val="18"/>
                <w:szCs w:val="18"/>
              </w:rPr>
            </w:pPr>
            <w:r w:rsidRPr="00992554">
              <w:rPr>
                <w:sz w:val="18"/>
                <w:szCs w:val="18"/>
              </w:rPr>
              <w:t>9</w:t>
            </w:r>
            <w:r w:rsidR="005D6103" w:rsidRPr="00992554">
              <w:rPr>
                <w:sz w:val="18"/>
                <w:szCs w:val="18"/>
              </w:rPr>
              <w:t>5</w:t>
            </w:r>
            <w:r w:rsidRPr="00992554">
              <w:rPr>
                <w:sz w:val="18"/>
                <w:szCs w:val="18"/>
              </w:rPr>
              <w:t>%</w:t>
            </w:r>
          </w:p>
        </w:tc>
        <w:tc>
          <w:tcPr>
            <w:tcW w:w="651" w:type="pct"/>
            <w:shd w:val="clear" w:color="auto" w:fill="auto"/>
            <w:noWrap/>
          </w:tcPr>
          <w:p w14:paraId="73D0E749" w14:textId="2EACF60C" w:rsidR="00155B90" w:rsidRPr="00992554" w:rsidRDefault="00155B90" w:rsidP="002150E1">
            <w:pPr>
              <w:pStyle w:val="Tabletext0"/>
              <w:rPr>
                <w:sz w:val="18"/>
                <w:szCs w:val="18"/>
              </w:rPr>
            </w:pPr>
            <w:r w:rsidRPr="00992554">
              <w:rPr>
                <w:sz w:val="18"/>
                <w:szCs w:val="18"/>
              </w:rPr>
              <w:t>93%</w:t>
            </w:r>
          </w:p>
        </w:tc>
        <w:tc>
          <w:tcPr>
            <w:tcW w:w="391" w:type="pct"/>
            <w:shd w:val="clear" w:color="auto" w:fill="auto"/>
            <w:noWrap/>
          </w:tcPr>
          <w:p w14:paraId="3045C326" w14:textId="77777777" w:rsidR="00155B90" w:rsidRPr="00992554" w:rsidRDefault="00155B90" w:rsidP="002150E1">
            <w:pPr>
              <w:pStyle w:val="Tabletext0"/>
              <w:rPr>
                <w:sz w:val="18"/>
                <w:szCs w:val="18"/>
              </w:rPr>
            </w:pPr>
          </w:p>
        </w:tc>
        <w:tc>
          <w:tcPr>
            <w:tcW w:w="571" w:type="pct"/>
            <w:shd w:val="clear" w:color="auto" w:fill="auto"/>
            <w:noWrap/>
          </w:tcPr>
          <w:p w14:paraId="7F5C445F" w14:textId="3C68009A" w:rsidR="00155B90" w:rsidRPr="00992554" w:rsidRDefault="00155B90" w:rsidP="002150E1">
            <w:pPr>
              <w:pStyle w:val="Tabletext0"/>
              <w:rPr>
                <w:sz w:val="18"/>
                <w:szCs w:val="18"/>
              </w:rPr>
            </w:pPr>
            <w:r w:rsidRPr="00992554">
              <w:rPr>
                <w:sz w:val="18"/>
                <w:szCs w:val="18"/>
              </w:rPr>
              <w:t>90%</w:t>
            </w:r>
          </w:p>
        </w:tc>
      </w:tr>
      <w:tr w:rsidR="006530B8" w:rsidRPr="009256D6" w14:paraId="2DE42106" w14:textId="77777777" w:rsidTr="002150E1">
        <w:trPr>
          <w:trHeight w:val="162"/>
        </w:trPr>
        <w:tc>
          <w:tcPr>
            <w:tcW w:w="2019" w:type="pct"/>
            <w:shd w:val="clear" w:color="auto" w:fill="auto"/>
            <w:noWrap/>
          </w:tcPr>
          <w:p w14:paraId="552DB5BF" w14:textId="77777777" w:rsidR="00155B90" w:rsidRPr="009256D6" w:rsidRDefault="00155B90" w:rsidP="002150E1">
            <w:pPr>
              <w:pStyle w:val="Tabletext0"/>
              <w:rPr>
                <w:sz w:val="18"/>
                <w:szCs w:val="18"/>
              </w:rPr>
            </w:pPr>
            <w:r w:rsidRPr="009256D6">
              <w:rPr>
                <w:sz w:val="18"/>
                <w:szCs w:val="18"/>
              </w:rPr>
              <w:t>Australia: Primary DD graft*</w:t>
            </w:r>
          </w:p>
        </w:tc>
        <w:tc>
          <w:tcPr>
            <w:tcW w:w="391" w:type="pct"/>
            <w:vMerge w:val="restart"/>
            <w:shd w:val="clear" w:color="auto" w:fill="auto"/>
          </w:tcPr>
          <w:p w14:paraId="55A23EA5" w14:textId="7CEBF067" w:rsidR="00155B90" w:rsidRPr="009256D6" w:rsidRDefault="00155B90" w:rsidP="002150E1">
            <w:pPr>
              <w:pStyle w:val="Tabletext0"/>
              <w:rPr>
                <w:sz w:val="18"/>
                <w:szCs w:val="18"/>
              </w:rPr>
            </w:pPr>
            <w:r w:rsidRPr="009256D6">
              <w:rPr>
                <w:sz w:val="18"/>
                <w:szCs w:val="18"/>
              </w:rPr>
              <w:t>2015</w:t>
            </w:r>
            <w:r w:rsidR="00293301">
              <w:rPr>
                <w:sz w:val="18"/>
                <w:szCs w:val="18"/>
              </w:rPr>
              <w:t>–20</w:t>
            </w:r>
            <w:r w:rsidRPr="009256D6">
              <w:rPr>
                <w:sz w:val="18"/>
                <w:szCs w:val="18"/>
              </w:rPr>
              <w:t>16</w:t>
            </w:r>
          </w:p>
        </w:tc>
        <w:tc>
          <w:tcPr>
            <w:tcW w:w="326" w:type="pct"/>
            <w:shd w:val="clear" w:color="auto" w:fill="auto"/>
          </w:tcPr>
          <w:p w14:paraId="4C4A2D1D" w14:textId="77777777" w:rsidR="00155B90" w:rsidRPr="009256D6" w:rsidRDefault="00155B90" w:rsidP="002150E1">
            <w:pPr>
              <w:pStyle w:val="Tabletext0"/>
              <w:rPr>
                <w:sz w:val="18"/>
                <w:szCs w:val="18"/>
              </w:rPr>
            </w:pPr>
            <w:r w:rsidRPr="009256D6">
              <w:rPr>
                <w:sz w:val="18"/>
                <w:szCs w:val="18"/>
              </w:rPr>
              <w:t>1,327</w:t>
            </w:r>
          </w:p>
        </w:tc>
        <w:tc>
          <w:tcPr>
            <w:tcW w:w="651" w:type="pct"/>
            <w:shd w:val="clear" w:color="auto" w:fill="auto"/>
            <w:noWrap/>
          </w:tcPr>
          <w:p w14:paraId="54B17DF6" w14:textId="77777777" w:rsidR="00155B90" w:rsidRPr="009256D6" w:rsidRDefault="00155B90" w:rsidP="002150E1">
            <w:pPr>
              <w:pStyle w:val="Tabletext0"/>
              <w:rPr>
                <w:sz w:val="18"/>
                <w:szCs w:val="18"/>
              </w:rPr>
            </w:pPr>
            <w:r w:rsidRPr="009256D6">
              <w:rPr>
                <w:sz w:val="18"/>
                <w:szCs w:val="18"/>
              </w:rPr>
              <w:t>96% (95, 97)</w:t>
            </w:r>
          </w:p>
        </w:tc>
        <w:tc>
          <w:tcPr>
            <w:tcW w:w="651" w:type="pct"/>
            <w:shd w:val="clear" w:color="auto" w:fill="auto"/>
            <w:noWrap/>
          </w:tcPr>
          <w:p w14:paraId="383A2AB2" w14:textId="77777777" w:rsidR="00155B90" w:rsidRPr="009256D6" w:rsidRDefault="00155B90" w:rsidP="002150E1">
            <w:pPr>
              <w:pStyle w:val="Tabletext0"/>
              <w:rPr>
                <w:sz w:val="18"/>
                <w:szCs w:val="18"/>
              </w:rPr>
            </w:pPr>
            <w:r w:rsidRPr="009256D6">
              <w:rPr>
                <w:sz w:val="18"/>
                <w:szCs w:val="18"/>
              </w:rPr>
              <w:t>94% (92, 95)</w:t>
            </w:r>
          </w:p>
        </w:tc>
        <w:tc>
          <w:tcPr>
            <w:tcW w:w="391" w:type="pct"/>
            <w:shd w:val="clear" w:color="auto" w:fill="auto"/>
            <w:noWrap/>
          </w:tcPr>
          <w:p w14:paraId="2A84D0D2" w14:textId="77777777" w:rsidR="00155B90" w:rsidRPr="009256D6" w:rsidRDefault="00155B90" w:rsidP="002150E1">
            <w:pPr>
              <w:pStyle w:val="Tabletext0"/>
              <w:rPr>
                <w:sz w:val="18"/>
                <w:szCs w:val="18"/>
              </w:rPr>
            </w:pPr>
            <w:r w:rsidRPr="009256D6">
              <w:rPr>
                <w:sz w:val="18"/>
                <w:szCs w:val="18"/>
              </w:rPr>
              <w:t>-</w:t>
            </w:r>
          </w:p>
        </w:tc>
        <w:tc>
          <w:tcPr>
            <w:tcW w:w="571" w:type="pct"/>
            <w:shd w:val="clear" w:color="auto" w:fill="auto"/>
            <w:noWrap/>
          </w:tcPr>
          <w:p w14:paraId="444BE02E" w14:textId="77777777" w:rsidR="00155B90" w:rsidRPr="009256D6" w:rsidRDefault="00155B90" w:rsidP="002150E1">
            <w:pPr>
              <w:pStyle w:val="Tabletext0"/>
              <w:rPr>
                <w:sz w:val="18"/>
                <w:szCs w:val="18"/>
              </w:rPr>
            </w:pPr>
            <w:r w:rsidRPr="009256D6">
              <w:rPr>
                <w:sz w:val="18"/>
                <w:szCs w:val="18"/>
              </w:rPr>
              <w:t>82% (80, 84)</w:t>
            </w:r>
          </w:p>
        </w:tc>
      </w:tr>
      <w:tr w:rsidR="006530B8" w:rsidRPr="009256D6" w14:paraId="1A47926E" w14:textId="77777777" w:rsidTr="27A6ADB5">
        <w:trPr>
          <w:trHeight w:val="79"/>
        </w:trPr>
        <w:tc>
          <w:tcPr>
            <w:tcW w:w="2019" w:type="pct"/>
            <w:shd w:val="clear" w:color="auto" w:fill="auto"/>
            <w:noWrap/>
          </w:tcPr>
          <w:p w14:paraId="23D3B4A1" w14:textId="77777777" w:rsidR="00155B90" w:rsidRPr="009256D6" w:rsidRDefault="00155B90" w:rsidP="002150E1">
            <w:pPr>
              <w:pStyle w:val="Tabletext0"/>
              <w:rPr>
                <w:sz w:val="18"/>
                <w:szCs w:val="18"/>
              </w:rPr>
            </w:pPr>
            <w:r w:rsidRPr="009256D6">
              <w:rPr>
                <w:sz w:val="18"/>
                <w:szCs w:val="18"/>
              </w:rPr>
              <w:t>ANZ: Retransplant DD graft*</w:t>
            </w:r>
          </w:p>
        </w:tc>
        <w:tc>
          <w:tcPr>
            <w:tcW w:w="391" w:type="pct"/>
            <w:vMerge/>
          </w:tcPr>
          <w:p w14:paraId="0BC548FA" w14:textId="77777777" w:rsidR="00155B90" w:rsidRPr="009256D6" w:rsidRDefault="00155B90" w:rsidP="002150E1">
            <w:pPr>
              <w:pStyle w:val="Tabletext0"/>
              <w:rPr>
                <w:sz w:val="18"/>
                <w:szCs w:val="18"/>
              </w:rPr>
            </w:pPr>
          </w:p>
        </w:tc>
        <w:tc>
          <w:tcPr>
            <w:tcW w:w="326" w:type="pct"/>
            <w:shd w:val="clear" w:color="auto" w:fill="auto"/>
          </w:tcPr>
          <w:p w14:paraId="2A8D530C" w14:textId="77777777" w:rsidR="00155B90" w:rsidRPr="009256D6" w:rsidRDefault="00155B90" w:rsidP="002150E1">
            <w:pPr>
              <w:pStyle w:val="Tabletext0"/>
              <w:rPr>
                <w:sz w:val="18"/>
                <w:szCs w:val="18"/>
              </w:rPr>
            </w:pPr>
            <w:r w:rsidRPr="009256D6">
              <w:rPr>
                <w:sz w:val="18"/>
                <w:szCs w:val="18"/>
              </w:rPr>
              <w:t>225</w:t>
            </w:r>
          </w:p>
        </w:tc>
        <w:tc>
          <w:tcPr>
            <w:tcW w:w="651" w:type="pct"/>
            <w:shd w:val="clear" w:color="auto" w:fill="auto"/>
            <w:noWrap/>
          </w:tcPr>
          <w:p w14:paraId="0AB7BDFE" w14:textId="77777777" w:rsidR="00155B90" w:rsidRPr="009256D6" w:rsidRDefault="00155B90" w:rsidP="002150E1">
            <w:pPr>
              <w:pStyle w:val="Tabletext0"/>
              <w:rPr>
                <w:sz w:val="18"/>
                <w:szCs w:val="18"/>
              </w:rPr>
            </w:pPr>
            <w:r w:rsidRPr="009256D6">
              <w:rPr>
                <w:sz w:val="18"/>
                <w:szCs w:val="18"/>
              </w:rPr>
              <w:t>96% (93, 98)</w:t>
            </w:r>
          </w:p>
        </w:tc>
        <w:tc>
          <w:tcPr>
            <w:tcW w:w="651" w:type="pct"/>
            <w:shd w:val="clear" w:color="auto" w:fill="auto"/>
            <w:noWrap/>
          </w:tcPr>
          <w:p w14:paraId="46006974" w14:textId="77777777" w:rsidR="00155B90" w:rsidRPr="009256D6" w:rsidRDefault="00155B90" w:rsidP="002150E1">
            <w:pPr>
              <w:pStyle w:val="Tabletext0"/>
              <w:rPr>
                <w:sz w:val="18"/>
                <w:szCs w:val="18"/>
              </w:rPr>
            </w:pPr>
            <w:r w:rsidRPr="009256D6">
              <w:rPr>
                <w:sz w:val="18"/>
                <w:szCs w:val="18"/>
              </w:rPr>
              <w:t>94% (90, 96)</w:t>
            </w:r>
          </w:p>
        </w:tc>
        <w:tc>
          <w:tcPr>
            <w:tcW w:w="391" w:type="pct"/>
            <w:shd w:val="clear" w:color="auto" w:fill="auto"/>
            <w:noWrap/>
          </w:tcPr>
          <w:p w14:paraId="18DA591D" w14:textId="77777777" w:rsidR="00155B90" w:rsidRPr="009256D6" w:rsidRDefault="00155B90" w:rsidP="002150E1">
            <w:pPr>
              <w:pStyle w:val="Tabletext0"/>
              <w:rPr>
                <w:sz w:val="18"/>
                <w:szCs w:val="18"/>
              </w:rPr>
            </w:pPr>
            <w:r w:rsidRPr="009256D6">
              <w:rPr>
                <w:sz w:val="18"/>
                <w:szCs w:val="18"/>
              </w:rPr>
              <w:t>-</w:t>
            </w:r>
          </w:p>
        </w:tc>
        <w:tc>
          <w:tcPr>
            <w:tcW w:w="571" w:type="pct"/>
            <w:shd w:val="clear" w:color="auto" w:fill="auto"/>
            <w:noWrap/>
          </w:tcPr>
          <w:p w14:paraId="0B997C70" w14:textId="77777777" w:rsidR="00155B90" w:rsidRPr="009256D6" w:rsidRDefault="00155B90" w:rsidP="002150E1">
            <w:pPr>
              <w:pStyle w:val="Tabletext0"/>
              <w:rPr>
                <w:sz w:val="18"/>
                <w:szCs w:val="18"/>
              </w:rPr>
            </w:pPr>
            <w:r w:rsidRPr="009256D6">
              <w:rPr>
                <w:sz w:val="18"/>
                <w:szCs w:val="18"/>
              </w:rPr>
              <w:t>79% (72, 84)</w:t>
            </w:r>
          </w:p>
        </w:tc>
      </w:tr>
      <w:tr w:rsidR="006530B8" w:rsidRPr="009256D6" w14:paraId="34823B2F" w14:textId="77777777" w:rsidTr="27A6ADB5">
        <w:trPr>
          <w:trHeight w:val="56"/>
        </w:trPr>
        <w:tc>
          <w:tcPr>
            <w:tcW w:w="2019" w:type="pct"/>
            <w:shd w:val="clear" w:color="auto" w:fill="auto"/>
            <w:noWrap/>
          </w:tcPr>
          <w:p w14:paraId="46C95336" w14:textId="77777777" w:rsidR="00155B90" w:rsidRPr="009256D6" w:rsidRDefault="00155B90" w:rsidP="002150E1">
            <w:pPr>
              <w:pStyle w:val="Tabletext0"/>
              <w:rPr>
                <w:sz w:val="18"/>
                <w:szCs w:val="18"/>
              </w:rPr>
            </w:pPr>
            <w:r w:rsidRPr="009256D6">
              <w:rPr>
                <w:sz w:val="18"/>
                <w:szCs w:val="18"/>
              </w:rPr>
              <w:t>Australia: Primary LD graft*</w:t>
            </w:r>
          </w:p>
        </w:tc>
        <w:tc>
          <w:tcPr>
            <w:tcW w:w="391" w:type="pct"/>
            <w:vMerge/>
          </w:tcPr>
          <w:p w14:paraId="348A22DF" w14:textId="77777777" w:rsidR="00155B90" w:rsidRPr="009256D6" w:rsidRDefault="00155B90" w:rsidP="002150E1">
            <w:pPr>
              <w:pStyle w:val="Tabletext0"/>
              <w:rPr>
                <w:sz w:val="18"/>
                <w:szCs w:val="18"/>
              </w:rPr>
            </w:pPr>
          </w:p>
        </w:tc>
        <w:tc>
          <w:tcPr>
            <w:tcW w:w="326" w:type="pct"/>
            <w:shd w:val="clear" w:color="auto" w:fill="auto"/>
          </w:tcPr>
          <w:p w14:paraId="3268A033" w14:textId="77777777" w:rsidR="00155B90" w:rsidRPr="009256D6" w:rsidRDefault="00155B90" w:rsidP="002150E1">
            <w:pPr>
              <w:pStyle w:val="Tabletext0"/>
              <w:rPr>
                <w:sz w:val="18"/>
                <w:szCs w:val="18"/>
              </w:rPr>
            </w:pPr>
            <w:r w:rsidRPr="009256D6">
              <w:rPr>
                <w:sz w:val="18"/>
                <w:szCs w:val="18"/>
              </w:rPr>
              <w:t>447</w:t>
            </w:r>
          </w:p>
        </w:tc>
        <w:tc>
          <w:tcPr>
            <w:tcW w:w="651" w:type="pct"/>
            <w:shd w:val="clear" w:color="auto" w:fill="auto"/>
            <w:noWrap/>
          </w:tcPr>
          <w:p w14:paraId="72D6A089" w14:textId="77777777" w:rsidR="00155B90" w:rsidRPr="009256D6" w:rsidRDefault="00155B90" w:rsidP="002150E1">
            <w:pPr>
              <w:pStyle w:val="Tabletext0"/>
              <w:rPr>
                <w:sz w:val="18"/>
                <w:szCs w:val="18"/>
              </w:rPr>
            </w:pPr>
            <w:r w:rsidRPr="009256D6">
              <w:rPr>
                <w:sz w:val="18"/>
                <w:szCs w:val="18"/>
              </w:rPr>
              <w:t>99% (97, 100)</w:t>
            </w:r>
          </w:p>
        </w:tc>
        <w:tc>
          <w:tcPr>
            <w:tcW w:w="651" w:type="pct"/>
            <w:shd w:val="clear" w:color="auto" w:fill="auto"/>
            <w:noWrap/>
          </w:tcPr>
          <w:p w14:paraId="2ED9AA12" w14:textId="77777777" w:rsidR="00155B90" w:rsidRPr="009256D6" w:rsidRDefault="00155B90" w:rsidP="002150E1">
            <w:pPr>
              <w:pStyle w:val="Tabletext0"/>
              <w:rPr>
                <w:sz w:val="18"/>
                <w:szCs w:val="18"/>
              </w:rPr>
            </w:pPr>
            <w:r w:rsidRPr="009256D6">
              <w:rPr>
                <w:sz w:val="18"/>
                <w:szCs w:val="18"/>
              </w:rPr>
              <w:t>99% (97, 99)</w:t>
            </w:r>
          </w:p>
        </w:tc>
        <w:tc>
          <w:tcPr>
            <w:tcW w:w="391" w:type="pct"/>
            <w:shd w:val="clear" w:color="auto" w:fill="auto"/>
            <w:noWrap/>
          </w:tcPr>
          <w:p w14:paraId="6F5E4995" w14:textId="77777777" w:rsidR="00155B90" w:rsidRPr="009256D6" w:rsidRDefault="00155B90" w:rsidP="002150E1">
            <w:pPr>
              <w:pStyle w:val="Tabletext0"/>
              <w:rPr>
                <w:sz w:val="18"/>
                <w:szCs w:val="18"/>
              </w:rPr>
            </w:pPr>
            <w:r w:rsidRPr="009256D6">
              <w:rPr>
                <w:sz w:val="18"/>
                <w:szCs w:val="18"/>
              </w:rPr>
              <w:t>-</w:t>
            </w:r>
          </w:p>
        </w:tc>
        <w:tc>
          <w:tcPr>
            <w:tcW w:w="571" w:type="pct"/>
            <w:shd w:val="clear" w:color="auto" w:fill="auto"/>
            <w:noWrap/>
          </w:tcPr>
          <w:p w14:paraId="0F39B931" w14:textId="77777777" w:rsidR="00155B90" w:rsidRPr="009256D6" w:rsidRDefault="00155B90" w:rsidP="002150E1">
            <w:pPr>
              <w:pStyle w:val="Tabletext0"/>
              <w:rPr>
                <w:sz w:val="18"/>
                <w:szCs w:val="18"/>
              </w:rPr>
            </w:pPr>
            <w:r w:rsidRPr="009256D6">
              <w:rPr>
                <w:sz w:val="18"/>
                <w:szCs w:val="18"/>
              </w:rPr>
              <w:t>91% (88, 93)</w:t>
            </w:r>
          </w:p>
        </w:tc>
      </w:tr>
      <w:tr w:rsidR="006530B8" w:rsidRPr="009256D6" w14:paraId="345BBEFF" w14:textId="77777777" w:rsidTr="002150E1">
        <w:trPr>
          <w:trHeight w:val="71"/>
        </w:trPr>
        <w:tc>
          <w:tcPr>
            <w:tcW w:w="2019" w:type="pct"/>
            <w:shd w:val="clear" w:color="auto" w:fill="auto"/>
            <w:noWrap/>
            <w:hideMark/>
          </w:tcPr>
          <w:p w14:paraId="03253E43" w14:textId="77777777" w:rsidR="00155B90" w:rsidRPr="009256D6" w:rsidRDefault="00155B90" w:rsidP="002150E1">
            <w:pPr>
              <w:pStyle w:val="Tabletext0"/>
              <w:rPr>
                <w:sz w:val="18"/>
                <w:szCs w:val="18"/>
              </w:rPr>
            </w:pPr>
            <w:r w:rsidRPr="009256D6">
              <w:rPr>
                <w:sz w:val="18"/>
                <w:szCs w:val="18"/>
              </w:rPr>
              <w:t>ANZ: Retransplant LD graft*</w:t>
            </w:r>
          </w:p>
        </w:tc>
        <w:tc>
          <w:tcPr>
            <w:tcW w:w="391" w:type="pct"/>
            <w:shd w:val="clear" w:color="auto" w:fill="auto"/>
          </w:tcPr>
          <w:p w14:paraId="46D24F0E" w14:textId="0272A52B" w:rsidR="00155B90" w:rsidRPr="009256D6" w:rsidRDefault="00155B90" w:rsidP="002150E1">
            <w:pPr>
              <w:pStyle w:val="Tabletext0"/>
              <w:rPr>
                <w:sz w:val="18"/>
                <w:szCs w:val="18"/>
              </w:rPr>
            </w:pPr>
            <w:r w:rsidRPr="009256D6">
              <w:rPr>
                <w:sz w:val="18"/>
                <w:szCs w:val="18"/>
              </w:rPr>
              <w:t>2015</w:t>
            </w:r>
            <w:r w:rsidR="00293301">
              <w:rPr>
                <w:sz w:val="18"/>
                <w:szCs w:val="18"/>
              </w:rPr>
              <w:t>–20</w:t>
            </w:r>
            <w:r w:rsidRPr="009256D6">
              <w:rPr>
                <w:sz w:val="18"/>
                <w:szCs w:val="18"/>
              </w:rPr>
              <w:t>19</w:t>
            </w:r>
          </w:p>
        </w:tc>
        <w:tc>
          <w:tcPr>
            <w:tcW w:w="326" w:type="pct"/>
            <w:shd w:val="clear" w:color="auto" w:fill="auto"/>
          </w:tcPr>
          <w:p w14:paraId="0D2FA734" w14:textId="77777777" w:rsidR="00155B90" w:rsidRPr="009256D6" w:rsidRDefault="00155B90" w:rsidP="002150E1">
            <w:pPr>
              <w:pStyle w:val="Tabletext0"/>
              <w:rPr>
                <w:sz w:val="18"/>
                <w:szCs w:val="18"/>
              </w:rPr>
            </w:pPr>
            <w:r w:rsidRPr="009256D6">
              <w:rPr>
                <w:sz w:val="18"/>
                <w:szCs w:val="18"/>
              </w:rPr>
              <w:t>167</w:t>
            </w:r>
          </w:p>
        </w:tc>
        <w:tc>
          <w:tcPr>
            <w:tcW w:w="651" w:type="pct"/>
            <w:shd w:val="clear" w:color="auto" w:fill="auto"/>
            <w:noWrap/>
          </w:tcPr>
          <w:p w14:paraId="782E3B92" w14:textId="77777777" w:rsidR="00155B90" w:rsidRPr="009256D6" w:rsidRDefault="00155B90" w:rsidP="002150E1">
            <w:pPr>
              <w:pStyle w:val="Tabletext0"/>
              <w:rPr>
                <w:sz w:val="18"/>
                <w:szCs w:val="18"/>
              </w:rPr>
            </w:pPr>
            <w:r w:rsidRPr="009256D6">
              <w:rPr>
                <w:sz w:val="18"/>
                <w:szCs w:val="18"/>
              </w:rPr>
              <w:t>NR</w:t>
            </w:r>
          </w:p>
        </w:tc>
        <w:tc>
          <w:tcPr>
            <w:tcW w:w="651" w:type="pct"/>
            <w:shd w:val="clear" w:color="auto" w:fill="auto"/>
            <w:noWrap/>
          </w:tcPr>
          <w:p w14:paraId="20B04D65" w14:textId="77777777" w:rsidR="00155B90" w:rsidRPr="009256D6" w:rsidRDefault="00155B90" w:rsidP="002150E1">
            <w:pPr>
              <w:pStyle w:val="Tabletext0"/>
              <w:rPr>
                <w:sz w:val="18"/>
                <w:szCs w:val="18"/>
              </w:rPr>
            </w:pPr>
            <w:r w:rsidRPr="009256D6">
              <w:rPr>
                <w:sz w:val="18"/>
                <w:szCs w:val="18"/>
              </w:rPr>
              <w:t>98% (94, 99)</w:t>
            </w:r>
          </w:p>
        </w:tc>
        <w:tc>
          <w:tcPr>
            <w:tcW w:w="391" w:type="pct"/>
            <w:shd w:val="clear" w:color="auto" w:fill="auto"/>
            <w:noWrap/>
          </w:tcPr>
          <w:p w14:paraId="2695F130" w14:textId="77777777" w:rsidR="00155B90" w:rsidRPr="009256D6" w:rsidRDefault="00155B90" w:rsidP="002150E1">
            <w:pPr>
              <w:pStyle w:val="Tabletext0"/>
              <w:rPr>
                <w:sz w:val="18"/>
                <w:szCs w:val="18"/>
              </w:rPr>
            </w:pPr>
            <w:r w:rsidRPr="009256D6">
              <w:rPr>
                <w:sz w:val="18"/>
                <w:szCs w:val="18"/>
              </w:rPr>
              <w:t>-</w:t>
            </w:r>
          </w:p>
        </w:tc>
        <w:tc>
          <w:tcPr>
            <w:tcW w:w="571" w:type="pct"/>
            <w:shd w:val="clear" w:color="auto" w:fill="auto"/>
            <w:noWrap/>
          </w:tcPr>
          <w:p w14:paraId="61527B94" w14:textId="77777777" w:rsidR="00155B90" w:rsidRPr="009256D6" w:rsidRDefault="00155B90" w:rsidP="002150E1">
            <w:pPr>
              <w:pStyle w:val="Tabletext0"/>
              <w:rPr>
                <w:sz w:val="18"/>
                <w:szCs w:val="18"/>
              </w:rPr>
            </w:pPr>
            <w:r w:rsidRPr="009256D6">
              <w:rPr>
                <w:sz w:val="18"/>
                <w:szCs w:val="18"/>
              </w:rPr>
              <w:t>92% (84, 96)</w:t>
            </w:r>
          </w:p>
        </w:tc>
      </w:tr>
    </w:tbl>
    <w:p w14:paraId="7B53F305" w14:textId="203E2621" w:rsidR="00662197" w:rsidRPr="00527717" w:rsidRDefault="00662197" w:rsidP="00007E1F">
      <w:pPr>
        <w:pStyle w:val="Tablenotes0"/>
        <w:rPr>
          <w:b/>
          <w:bCs/>
          <w:sz w:val="16"/>
          <w:szCs w:val="20"/>
          <w:u w:val="single"/>
        </w:rPr>
      </w:pPr>
      <w:r>
        <w:rPr>
          <w:b/>
          <w:bCs/>
          <w:sz w:val="16"/>
          <w:szCs w:val="20"/>
          <w:u w:val="single"/>
        </w:rPr>
        <w:t>Abbreviations</w:t>
      </w:r>
    </w:p>
    <w:p w14:paraId="657FF4D3" w14:textId="68C937C4" w:rsidR="00007E1F" w:rsidRPr="009256D6" w:rsidRDefault="007F1593" w:rsidP="00007E1F">
      <w:pPr>
        <w:pStyle w:val="Tablenotes0"/>
        <w:rPr>
          <w:sz w:val="16"/>
          <w:szCs w:val="20"/>
        </w:rPr>
      </w:pPr>
      <w:r>
        <w:rPr>
          <w:sz w:val="16"/>
          <w:szCs w:val="20"/>
        </w:rPr>
        <w:t>ANZ</w:t>
      </w:r>
      <w:r w:rsidR="002E0645">
        <w:rPr>
          <w:sz w:val="16"/>
          <w:szCs w:val="20"/>
        </w:rPr>
        <w:t>=</w:t>
      </w:r>
      <w:r>
        <w:rPr>
          <w:sz w:val="16"/>
          <w:szCs w:val="20"/>
        </w:rPr>
        <w:t xml:space="preserve"> Australia and New Zealand</w:t>
      </w:r>
      <w:r w:rsidR="006A33D5">
        <w:rPr>
          <w:sz w:val="16"/>
          <w:szCs w:val="20"/>
        </w:rPr>
        <w:t>,</w:t>
      </w:r>
      <w:r>
        <w:rPr>
          <w:sz w:val="16"/>
          <w:szCs w:val="20"/>
        </w:rPr>
        <w:t xml:space="preserve"> </w:t>
      </w:r>
      <w:r w:rsidR="004B7C87" w:rsidRPr="009256D6">
        <w:rPr>
          <w:sz w:val="16"/>
          <w:szCs w:val="20"/>
        </w:rPr>
        <w:t>AUS-UTT-A</w:t>
      </w:r>
      <w:r w:rsidR="00007E1F" w:rsidRPr="009256D6">
        <w:rPr>
          <w:sz w:val="16"/>
          <w:szCs w:val="20"/>
        </w:rPr>
        <w:t xml:space="preserve"> =</w:t>
      </w:r>
      <w:r w:rsidR="004B7C87" w:rsidRPr="009256D6">
        <w:rPr>
          <w:sz w:val="16"/>
          <w:szCs w:val="20"/>
        </w:rPr>
        <w:t xml:space="preserve"> Australia </w:t>
      </w:r>
      <w:r w:rsidR="005E5F0A">
        <w:rPr>
          <w:sz w:val="16"/>
          <w:szCs w:val="20"/>
        </w:rPr>
        <w:t>–</w:t>
      </w:r>
      <w:r w:rsidR="004B7C87" w:rsidRPr="009256D6">
        <w:rPr>
          <w:sz w:val="16"/>
          <w:szCs w:val="20"/>
        </w:rPr>
        <w:t xml:space="preserve"> </w:t>
      </w:r>
      <w:r w:rsidR="006A33D5">
        <w:rPr>
          <w:sz w:val="16"/>
          <w:szCs w:val="20"/>
        </w:rPr>
        <w:t>u</w:t>
      </w:r>
      <w:r w:rsidR="004B7C87" w:rsidRPr="009256D6">
        <w:rPr>
          <w:sz w:val="16"/>
          <w:szCs w:val="20"/>
        </w:rPr>
        <w:t xml:space="preserve">nlikely </w:t>
      </w:r>
      <w:r w:rsidR="006A33D5">
        <w:rPr>
          <w:sz w:val="16"/>
          <w:szCs w:val="20"/>
        </w:rPr>
        <w:t>t</w:t>
      </w:r>
      <w:r w:rsidR="004B7C87" w:rsidRPr="009256D6">
        <w:rPr>
          <w:sz w:val="16"/>
          <w:szCs w:val="20"/>
        </w:rPr>
        <w:t xml:space="preserve">o </w:t>
      </w:r>
      <w:r w:rsidR="006A33D5">
        <w:rPr>
          <w:sz w:val="16"/>
          <w:szCs w:val="20"/>
        </w:rPr>
        <w:t>t</w:t>
      </w:r>
      <w:r w:rsidR="004B7C87" w:rsidRPr="009256D6">
        <w:rPr>
          <w:sz w:val="16"/>
          <w:szCs w:val="20"/>
        </w:rPr>
        <w:t>ransplant</w:t>
      </w:r>
      <w:r w:rsidR="00327A10">
        <w:rPr>
          <w:sz w:val="16"/>
          <w:szCs w:val="20"/>
        </w:rPr>
        <w:t xml:space="preserve"> </w:t>
      </w:r>
      <w:r w:rsidR="004B7C87" w:rsidRPr="009256D6">
        <w:rPr>
          <w:sz w:val="16"/>
          <w:szCs w:val="20"/>
        </w:rPr>
        <w:t xml:space="preserve">– </w:t>
      </w:r>
      <w:r w:rsidR="006A33D5">
        <w:rPr>
          <w:sz w:val="16"/>
          <w:szCs w:val="20"/>
        </w:rPr>
        <w:t>a</w:t>
      </w:r>
      <w:r w:rsidR="004B7C87" w:rsidRPr="009256D6">
        <w:rPr>
          <w:sz w:val="16"/>
          <w:szCs w:val="20"/>
        </w:rPr>
        <w:t xml:space="preserve">gnostic (includes LD and DD transplants, </w:t>
      </w:r>
      <w:proofErr w:type="spellStart"/>
      <w:r w:rsidR="004B7C87" w:rsidRPr="009256D6">
        <w:rPr>
          <w:sz w:val="16"/>
          <w:szCs w:val="20"/>
        </w:rPr>
        <w:t>cPRA</w:t>
      </w:r>
      <w:proofErr w:type="spellEnd"/>
      <w:r w:rsidR="004B7C87" w:rsidRPr="009256D6">
        <w:rPr>
          <w:sz w:val="16"/>
          <w:szCs w:val="20"/>
        </w:rPr>
        <w:t xml:space="preserve"> ≥99% with wait time of 2 years or more)</w:t>
      </w:r>
      <w:r w:rsidR="00007E1F" w:rsidRPr="009256D6">
        <w:rPr>
          <w:sz w:val="16"/>
          <w:szCs w:val="20"/>
        </w:rPr>
        <w:t>,</w:t>
      </w:r>
      <w:r w:rsidR="004B7C87" w:rsidRPr="009256D6">
        <w:rPr>
          <w:sz w:val="16"/>
          <w:szCs w:val="20"/>
        </w:rPr>
        <w:t xml:space="preserve"> </w:t>
      </w:r>
      <w:r w:rsidR="00B01568">
        <w:rPr>
          <w:sz w:val="16"/>
          <w:szCs w:val="20"/>
        </w:rPr>
        <w:t xml:space="preserve">CI = confidence interval, </w:t>
      </w:r>
      <w:r w:rsidRPr="009256D6">
        <w:rPr>
          <w:sz w:val="16"/>
          <w:szCs w:val="20"/>
        </w:rPr>
        <w:t>DD = deceased donor,</w:t>
      </w:r>
      <w:r>
        <w:rPr>
          <w:sz w:val="16"/>
          <w:szCs w:val="20"/>
        </w:rPr>
        <w:t xml:space="preserve"> </w:t>
      </w:r>
      <w:r w:rsidRPr="009256D6">
        <w:rPr>
          <w:sz w:val="16"/>
          <w:szCs w:val="20"/>
        </w:rPr>
        <w:t>HSP = highly sensitised program, LD = living donor</w:t>
      </w:r>
      <w:r>
        <w:rPr>
          <w:sz w:val="16"/>
          <w:szCs w:val="20"/>
        </w:rPr>
        <w:t xml:space="preserve">, </w:t>
      </w:r>
      <w:r w:rsidR="00B01568">
        <w:rPr>
          <w:sz w:val="16"/>
          <w:szCs w:val="20"/>
        </w:rPr>
        <w:t xml:space="preserve">UTT = </w:t>
      </w:r>
      <w:r w:rsidR="006A33D5">
        <w:rPr>
          <w:sz w:val="16"/>
          <w:szCs w:val="20"/>
        </w:rPr>
        <w:t>u</w:t>
      </w:r>
      <w:r w:rsidR="00B01568">
        <w:rPr>
          <w:sz w:val="16"/>
          <w:szCs w:val="20"/>
        </w:rPr>
        <w:t xml:space="preserve">nlikely to </w:t>
      </w:r>
      <w:r w:rsidR="006A33D5">
        <w:rPr>
          <w:sz w:val="16"/>
          <w:szCs w:val="20"/>
        </w:rPr>
        <w:t>transplant</w:t>
      </w:r>
      <w:r w:rsidR="00B01568">
        <w:rPr>
          <w:sz w:val="16"/>
          <w:szCs w:val="20"/>
        </w:rPr>
        <w:t xml:space="preserve">, </w:t>
      </w:r>
      <w:r w:rsidR="004B7C87" w:rsidRPr="009256D6">
        <w:rPr>
          <w:sz w:val="16"/>
          <w:szCs w:val="20"/>
        </w:rPr>
        <w:t>UTT-A</w:t>
      </w:r>
      <w:r w:rsidR="00007E1F" w:rsidRPr="009256D6">
        <w:rPr>
          <w:sz w:val="16"/>
          <w:szCs w:val="20"/>
        </w:rPr>
        <w:t xml:space="preserve"> =</w:t>
      </w:r>
      <w:r w:rsidR="004B7C87" w:rsidRPr="009256D6">
        <w:rPr>
          <w:sz w:val="16"/>
          <w:szCs w:val="20"/>
        </w:rPr>
        <w:t xml:space="preserve"> </w:t>
      </w:r>
      <w:r w:rsidR="00B304ED">
        <w:rPr>
          <w:sz w:val="16"/>
          <w:szCs w:val="20"/>
        </w:rPr>
        <w:t>u</w:t>
      </w:r>
      <w:r w:rsidR="004B7C87" w:rsidRPr="009256D6">
        <w:rPr>
          <w:sz w:val="16"/>
          <w:szCs w:val="20"/>
        </w:rPr>
        <w:t xml:space="preserve">nlikely to transplant – </w:t>
      </w:r>
      <w:r w:rsidR="00B304ED">
        <w:rPr>
          <w:sz w:val="16"/>
          <w:szCs w:val="20"/>
        </w:rPr>
        <w:t>a</w:t>
      </w:r>
      <w:r w:rsidR="004B7C87" w:rsidRPr="009256D6">
        <w:rPr>
          <w:sz w:val="16"/>
          <w:szCs w:val="20"/>
        </w:rPr>
        <w:t>gnostic</w:t>
      </w:r>
    </w:p>
    <w:p w14:paraId="3C7884D8" w14:textId="77777777" w:rsidR="00283A49" w:rsidRDefault="00662197" w:rsidP="00007E1F">
      <w:pPr>
        <w:pStyle w:val="Tablenotes0"/>
        <w:rPr>
          <w:b/>
          <w:bCs/>
          <w:sz w:val="16"/>
          <w:szCs w:val="20"/>
          <w:u w:val="single"/>
        </w:rPr>
      </w:pPr>
      <w:r>
        <w:rPr>
          <w:b/>
          <w:bCs/>
          <w:sz w:val="16"/>
          <w:szCs w:val="20"/>
          <w:u w:val="single"/>
        </w:rPr>
        <w:t>Note</w:t>
      </w:r>
      <w:r w:rsidR="00283A49">
        <w:rPr>
          <w:b/>
          <w:bCs/>
          <w:sz w:val="16"/>
          <w:szCs w:val="20"/>
          <w:u w:val="single"/>
        </w:rPr>
        <w:t xml:space="preserve"> </w:t>
      </w:r>
    </w:p>
    <w:p w14:paraId="08284C18" w14:textId="1F158642" w:rsidR="00155B90" w:rsidRPr="00527717" w:rsidRDefault="004B7C87" w:rsidP="00007E1F">
      <w:pPr>
        <w:pStyle w:val="Tablenotes0"/>
        <w:rPr>
          <w:b/>
          <w:bCs/>
          <w:sz w:val="16"/>
          <w:szCs w:val="20"/>
          <w:u w:val="single"/>
        </w:rPr>
      </w:pPr>
      <w:r w:rsidRPr="009256D6">
        <w:rPr>
          <w:sz w:val="16"/>
          <w:szCs w:val="20"/>
        </w:rPr>
        <w:t>*Australian data was not censored for death</w:t>
      </w:r>
      <w:r w:rsidR="00662197">
        <w:rPr>
          <w:sz w:val="16"/>
          <w:szCs w:val="20"/>
        </w:rPr>
        <w:t>; that is,</w:t>
      </w:r>
      <w:r w:rsidRPr="009256D6">
        <w:rPr>
          <w:sz w:val="16"/>
          <w:szCs w:val="20"/>
        </w:rPr>
        <w:t xml:space="preserve"> if a patient with a functioning transplant dies, the graft is considered lost, regardless of the cause of their death.</w:t>
      </w:r>
    </w:p>
    <w:p w14:paraId="01D1AA00" w14:textId="17CC5D5B" w:rsidR="00662197" w:rsidRPr="00527717" w:rsidRDefault="00C56C83" w:rsidP="00527717">
      <w:pPr>
        <w:pStyle w:val="Tablenotes0"/>
        <w:spacing w:after="0"/>
        <w:contextualSpacing w:val="0"/>
        <w:rPr>
          <w:b/>
          <w:bCs/>
          <w:sz w:val="16"/>
          <w:szCs w:val="20"/>
          <w:u w:val="single"/>
        </w:rPr>
      </w:pPr>
      <w:r w:rsidRPr="00527717">
        <w:rPr>
          <w:b/>
          <w:bCs/>
          <w:sz w:val="16"/>
          <w:szCs w:val="20"/>
          <w:u w:val="single"/>
        </w:rPr>
        <w:t>Source</w:t>
      </w:r>
    </w:p>
    <w:p w14:paraId="36FB6C01" w14:textId="48BED08D" w:rsidR="00155B90" w:rsidRPr="00527717" w:rsidRDefault="00ED7642" w:rsidP="00527717">
      <w:pPr>
        <w:pStyle w:val="Instructionaltext"/>
        <w:spacing w:before="0"/>
        <w:rPr>
          <w:rFonts w:ascii="Arial Narrow" w:hAnsi="Arial Narrow" w:cs="Arial"/>
          <w:color w:val="auto"/>
          <w:sz w:val="16"/>
          <w:szCs w:val="20"/>
        </w:rPr>
        <w:sectPr w:rsidR="00155B90" w:rsidRPr="00527717" w:rsidSect="00495DF8">
          <w:pgSz w:w="16838" w:h="11906" w:orient="landscape"/>
          <w:pgMar w:top="1440" w:right="1440" w:bottom="1440" w:left="1440" w:header="709" w:footer="709" w:gutter="0"/>
          <w:cols w:space="708"/>
          <w:docGrid w:linePitch="360"/>
        </w:sectPr>
      </w:pPr>
      <w:r w:rsidRPr="00527717">
        <w:rPr>
          <w:rFonts w:ascii="Arial Narrow" w:hAnsi="Arial Narrow" w:cs="Arial"/>
          <w:color w:val="auto"/>
          <w:sz w:val="16"/>
          <w:szCs w:val="20"/>
        </w:rPr>
        <w:t>Adapted from Table ES.1, p</w:t>
      </w:r>
      <w:r w:rsidR="00BB4472" w:rsidRPr="00527717">
        <w:rPr>
          <w:rFonts w:ascii="Arial Narrow" w:hAnsi="Arial Narrow" w:cs="Arial"/>
          <w:color w:val="auto"/>
          <w:sz w:val="16"/>
          <w:szCs w:val="20"/>
        </w:rPr>
        <w:t>.</w:t>
      </w:r>
      <w:r w:rsidRPr="00527717">
        <w:rPr>
          <w:rFonts w:ascii="Arial Narrow" w:hAnsi="Arial Narrow" w:cs="Arial"/>
          <w:color w:val="auto"/>
          <w:sz w:val="16"/>
          <w:szCs w:val="20"/>
        </w:rPr>
        <w:t xml:space="preserve"> 23 of the MSAC 1732.1 </w:t>
      </w:r>
      <w:proofErr w:type="spellStart"/>
      <w:r w:rsidRPr="00527717">
        <w:rPr>
          <w:rFonts w:ascii="Arial Narrow" w:hAnsi="Arial Narrow" w:cs="Arial"/>
          <w:color w:val="auto"/>
          <w:sz w:val="16"/>
          <w:szCs w:val="20"/>
        </w:rPr>
        <w:t>ADAR+in-line</w:t>
      </w:r>
      <w:proofErr w:type="spellEnd"/>
      <w:r w:rsidRPr="00527717">
        <w:rPr>
          <w:rFonts w:ascii="Arial Narrow" w:hAnsi="Arial Narrow" w:cs="Arial"/>
          <w:color w:val="auto"/>
          <w:sz w:val="16"/>
          <w:szCs w:val="20"/>
        </w:rPr>
        <w:t xml:space="preserve"> commentary </w:t>
      </w:r>
    </w:p>
    <w:p w14:paraId="189D2FF2" w14:textId="01E09CD1" w:rsidR="00791E72" w:rsidRPr="006D1797" w:rsidRDefault="004B4F60" w:rsidP="009C4296">
      <w:pPr>
        <w:pStyle w:val="Heading3"/>
      </w:pPr>
      <w:r w:rsidRPr="006D1797">
        <w:lastRenderedPageBreak/>
        <w:t>Gra</w:t>
      </w:r>
      <w:r w:rsidR="003F1BDA" w:rsidRPr="006D1797">
        <w:t>f</w:t>
      </w:r>
      <w:r w:rsidRPr="006D1797">
        <w:t>t survival</w:t>
      </w:r>
    </w:p>
    <w:p w14:paraId="5047257D" w14:textId="7C20ECB2" w:rsidR="0007775A" w:rsidRDefault="001079B7" w:rsidP="00DB26C3">
      <w:r>
        <w:t xml:space="preserve">At the end of the </w:t>
      </w:r>
      <w:r w:rsidR="000113CB">
        <w:t xml:space="preserve">imlifidase trial period </w:t>
      </w:r>
      <w:r w:rsidR="0005607B">
        <w:t xml:space="preserve">(6-months) </w:t>
      </w:r>
      <w:r w:rsidR="000113CB">
        <w:t xml:space="preserve">all except one patient in the </w:t>
      </w:r>
      <w:r w:rsidR="00110E6D">
        <w:t>AUS-UTT-A</w:t>
      </w:r>
      <w:r w:rsidR="000113CB">
        <w:t xml:space="preserve"> population had a functioning graft</w:t>
      </w:r>
      <w:r w:rsidR="00D32FF9">
        <w:t xml:space="preserve"> (</w:t>
      </w:r>
      <w:r w:rsidR="00F25566">
        <w:t>survival rate of 96% [23/24]</w:t>
      </w:r>
      <w:r w:rsidR="0074162C">
        <w:t>)</w:t>
      </w:r>
      <w:r w:rsidR="006C4E3D">
        <w:t xml:space="preserve"> </w:t>
      </w:r>
      <w:r w:rsidR="00594A2C" w:rsidRPr="00DB26C3">
        <w:t>(</w:t>
      </w:r>
      <w:r w:rsidR="009404F5">
        <w:t xml:space="preserve">Table </w:t>
      </w:r>
      <w:r w:rsidR="00C55ABE">
        <w:t>6</w:t>
      </w:r>
      <w:r w:rsidR="00594A2C" w:rsidRPr="00DB26C3">
        <w:t>)</w:t>
      </w:r>
      <w:r w:rsidR="00141750" w:rsidRPr="00DB26C3">
        <w:t>.</w:t>
      </w:r>
    </w:p>
    <w:p w14:paraId="72DB98E8" w14:textId="630BEC5C" w:rsidR="00E55BEB" w:rsidRDefault="004B4B9F" w:rsidP="00E76AE0">
      <w:pPr>
        <w:pStyle w:val="Instructionaltext"/>
        <w:rPr>
          <w:color w:val="auto"/>
        </w:rPr>
      </w:pPr>
      <w:r>
        <w:rPr>
          <w:color w:val="auto"/>
        </w:rPr>
        <w:t>Between years 2 and 3 of follow-up</w:t>
      </w:r>
      <w:r w:rsidR="00741713" w:rsidRPr="00741713">
        <w:rPr>
          <w:color w:val="auto"/>
        </w:rPr>
        <w:t xml:space="preserve">, 3 additional patients in the </w:t>
      </w:r>
      <w:r w:rsidR="00EE5DD8">
        <w:rPr>
          <w:color w:val="auto"/>
        </w:rPr>
        <w:t>a</w:t>
      </w:r>
      <w:r w:rsidR="00741713" w:rsidRPr="00741713">
        <w:rPr>
          <w:color w:val="auto"/>
        </w:rPr>
        <w:t>ll-</w:t>
      </w:r>
      <w:r w:rsidR="00EE5DD8">
        <w:rPr>
          <w:color w:val="auto"/>
        </w:rPr>
        <w:t>t</w:t>
      </w:r>
      <w:r w:rsidR="00741713" w:rsidRPr="00741713">
        <w:rPr>
          <w:color w:val="auto"/>
        </w:rPr>
        <w:t xml:space="preserve">ransplanted population experienced graft failure, with </w:t>
      </w:r>
      <w:r w:rsidR="00871D11">
        <w:rPr>
          <w:color w:val="auto"/>
        </w:rPr>
        <w:t>1</w:t>
      </w:r>
      <w:r w:rsidR="00871D11" w:rsidRPr="00741713">
        <w:rPr>
          <w:color w:val="auto"/>
        </w:rPr>
        <w:t xml:space="preserve"> </w:t>
      </w:r>
      <w:r w:rsidR="00741713" w:rsidRPr="00741713">
        <w:rPr>
          <w:color w:val="auto"/>
        </w:rPr>
        <w:t xml:space="preserve">of these patients also in the </w:t>
      </w:r>
      <w:r w:rsidR="00871D11">
        <w:rPr>
          <w:color w:val="auto"/>
        </w:rPr>
        <w:t>AUS-UTT-A</w:t>
      </w:r>
      <w:r w:rsidR="00741713" w:rsidRPr="00741713">
        <w:rPr>
          <w:color w:val="auto"/>
        </w:rPr>
        <w:t xml:space="preserve"> </w:t>
      </w:r>
      <w:r>
        <w:rPr>
          <w:color w:val="auto"/>
        </w:rPr>
        <w:t>subgroup</w:t>
      </w:r>
      <w:r w:rsidR="00741713" w:rsidRPr="00741713">
        <w:rPr>
          <w:color w:val="auto"/>
        </w:rPr>
        <w:t>.</w:t>
      </w:r>
      <w:r w:rsidR="00741713">
        <w:rPr>
          <w:color w:val="auto"/>
        </w:rPr>
        <w:t xml:space="preserve"> </w:t>
      </w:r>
      <w:r w:rsidR="00F01C68" w:rsidRPr="00F01C68">
        <w:rPr>
          <w:color w:val="auto"/>
        </w:rPr>
        <w:t xml:space="preserve">In the </w:t>
      </w:r>
      <w:r w:rsidR="00EE5DD8">
        <w:rPr>
          <w:color w:val="auto"/>
        </w:rPr>
        <w:t>a</w:t>
      </w:r>
      <w:r w:rsidR="00F01C68" w:rsidRPr="00F01C68">
        <w:rPr>
          <w:color w:val="auto"/>
        </w:rPr>
        <w:t>ll-</w:t>
      </w:r>
      <w:r w:rsidR="00EE5DD8">
        <w:rPr>
          <w:color w:val="auto"/>
        </w:rPr>
        <w:t>t</w:t>
      </w:r>
      <w:r w:rsidR="00F01C68" w:rsidRPr="00F01C68">
        <w:rPr>
          <w:color w:val="auto"/>
        </w:rPr>
        <w:t>ransplanted population, 3 (7%) of patients lost their grafts during the 6-month study period. All 3</w:t>
      </w:r>
      <w:r w:rsidR="006D3457">
        <w:rPr>
          <w:color w:val="auto"/>
        </w:rPr>
        <w:t> </w:t>
      </w:r>
      <w:r w:rsidR="00F01C68" w:rsidRPr="00F01C68">
        <w:rPr>
          <w:color w:val="auto"/>
        </w:rPr>
        <w:t>patients had received a DD kidney that never started to function</w:t>
      </w:r>
      <w:r w:rsidR="00F01C68">
        <w:rPr>
          <w:color w:val="auto"/>
        </w:rPr>
        <w:t xml:space="preserve">. </w:t>
      </w:r>
      <w:r w:rsidR="00F74B22">
        <w:rPr>
          <w:color w:val="auto"/>
        </w:rPr>
        <w:t>Between</w:t>
      </w:r>
      <w:r w:rsidR="00651A2C" w:rsidRPr="00651A2C">
        <w:rPr>
          <w:color w:val="auto"/>
        </w:rPr>
        <w:t xml:space="preserve"> year</w:t>
      </w:r>
      <w:r w:rsidR="00F74B22">
        <w:rPr>
          <w:color w:val="auto"/>
        </w:rPr>
        <w:t>s</w:t>
      </w:r>
      <w:r w:rsidR="00651A2C" w:rsidRPr="00651A2C">
        <w:rPr>
          <w:color w:val="auto"/>
        </w:rPr>
        <w:t xml:space="preserve"> 1 </w:t>
      </w:r>
      <w:r w:rsidR="00F74B22">
        <w:rPr>
          <w:color w:val="auto"/>
        </w:rPr>
        <w:t>and</w:t>
      </w:r>
      <w:r w:rsidR="00651A2C" w:rsidRPr="00651A2C">
        <w:rPr>
          <w:color w:val="auto"/>
        </w:rPr>
        <w:t xml:space="preserve"> 2, reported graft survival was 100% in the UTT</w:t>
      </w:r>
      <w:r w:rsidR="00042B2A">
        <w:rPr>
          <w:color w:val="auto"/>
        </w:rPr>
        <w:t>,</w:t>
      </w:r>
      <w:r w:rsidR="00651A2C" w:rsidRPr="00651A2C">
        <w:rPr>
          <w:color w:val="auto"/>
        </w:rPr>
        <w:t xml:space="preserve"> UT</w:t>
      </w:r>
      <w:r w:rsidR="00042B2A">
        <w:rPr>
          <w:color w:val="auto"/>
        </w:rPr>
        <w:t>T</w:t>
      </w:r>
      <w:r w:rsidR="00651A2C" w:rsidRPr="00651A2C">
        <w:rPr>
          <w:color w:val="auto"/>
        </w:rPr>
        <w:t>-A and AUS-</w:t>
      </w:r>
      <w:r w:rsidR="00042B2A">
        <w:rPr>
          <w:color w:val="auto"/>
        </w:rPr>
        <w:t>UTT</w:t>
      </w:r>
      <w:r w:rsidR="00651A2C" w:rsidRPr="00651A2C">
        <w:rPr>
          <w:color w:val="auto"/>
        </w:rPr>
        <w:t xml:space="preserve">-A subgroups. </w:t>
      </w:r>
      <w:r w:rsidR="00E55BEB">
        <w:rPr>
          <w:color w:val="auto"/>
        </w:rPr>
        <w:t>One</w:t>
      </w:r>
      <w:r w:rsidR="00651A2C" w:rsidRPr="00651A2C">
        <w:rPr>
          <w:color w:val="auto"/>
        </w:rPr>
        <w:t xml:space="preserve"> patient in the AUS</w:t>
      </w:r>
      <w:r w:rsidR="00AC66AC">
        <w:rPr>
          <w:color w:val="auto"/>
        </w:rPr>
        <w:t>-</w:t>
      </w:r>
      <w:r w:rsidR="00651A2C" w:rsidRPr="00651A2C">
        <w:rPr>
          <w:color w:val="auto"/>
        </w:rPr>
        <w:t xml:space="preserve">UTT-A group lost their graft between years </w:t>
      </w:r>
      <w:r w:rsidR="00E55BEB">
        <w:rPr>
          <w:color w:val="auto"/>
        </w:rPr>
        <w:t xml:space="preserve">2 and </w:t>
      </w:r>
      <w:r w:rsidR="00651A2C" w:rsidRPr="00651A2C">
        <w:rPr>
          <w:color w:val="auto"/>
        </w:rPr>
        <w:t>3</w:t>
      </w:r>
      <w:r w:rsidR="00E55BEB">
        <w:rPr>
          <w:color w:val="auto"/>
        </w:rPr>
        <w:t>. N</w:t>
      </w:r>
      <w:r w:rsidR="00651A2C" w:rsidRPr="00651A2C">
        <w:rPr>
          <w:color w:val="auto"/>
        </w:rPr>
        <w:t>o further patients lost their graft thereafter</w:t>
      </w:r>
      <w:r w:rsidR="008054CF">
        <w:rPr>
          <w:color w:val="auto"/>
        </w:rPr>
        <w:t>,</w:t>
      </w:r>
      <w:r w:rsidR="00651A2C" w:rsidRPr="00651A2C">
        <w:rPr>
          <w:color w:val="auto"/>
        </w:rPr>
        <w:t xml:space="preserve"> out to end of the study period at 5 years</w:t>
      </w:r>
      <w:r w:rsidR="00A7187A">
        <w:rPr>
          <w:color w:val="auto"/>
        </w:rPr>
        <w:t xml:space="preserve">. </w:t>
      </w:r>
    </w:p>
    <w:p w14:paraId="6674F700" w14:textId="10825D01" w:rsidR="002C5512" w:rsidRPr="006D1797" w:rsidRDefault="00A7187A" w:rsidP="00DB26C3">
      <w:r w:rsidRPr="00A7187A">
        <w:t xml:space="preserve">In the UTT-A </w:t>
      </w:r>
      <w:r w:rsidR="00E55BEB">
        <w:t>subgroup</w:t>
      </w:r>
      <w:r w:rsidRPr="00A7187A">
        <w:t xml:space="preserve"> graft survival of 97% is reported at 6 months to 2 years and 91% at 3</w:t>
      </w:r>
      <w:r w:rsidR="006D3457">
        <w:t> </w:t>
      </w:r>
      <w:r w:rsidRPr="00A7187A">
        <w:t>years</w:t>
      </w:r>
      <w:r>
        <w:t xml:space="preserve">. </w:t>
      </w:r>
      <w:r w:rsidR="00885B33" w:rsidRPr="00885B33">
        <w:t>In the crossmatch</w:t>
      </w:r>
      <w:r w:rsidR="00122BF1">
        <w:t>-</w:t>
      </w:r>
      <w:r w:rsidR="00885B33" w:rsidRPr="00885B33">
        <w:t xml:space="preserve">positive </w:t>
      </w:r>
      <w:r w:rsidR="00122BF1">
        <w:t>a</w:t>
      </w:r>
      <w:r w:rsidR="00885B33" w:rsidRPr="00885B33">
        <w:t>ll-</w:t>
      </w:r>
      <w:r w:rsidR="00122BF1">
        <w:t>t</w:t>
      </w:r>
      <w:r w:rsidR="00885B33" w:rsidRPr="00885B33">
        <w:t>ransplanted population</w:t>
      </w:r>
      <w:r w:rsidR="00885B33">
        <w:t xml:space="preserve">, </w:t>
      </w:r>
      <w:r w:rsidR="00885B33" w:rsidRPr="00885B33">
        <w:t>3-year graft survival was 84%, lower than in the UTT-A population where 91% 3-year graft survival was reported</w:t>
      </w:r>
      <w:r w:rsidR="00885B33">
        <w:t xml:space="preserve">. </w:t>
      </w:r>
      <w:r w:rsidR="00A87D62" w:rsidRPr="00A87D62">
        <w:t xml:space="preserve">Additional analyses of AUS-UTT-A population showed death-censored graft survival to be 96% at 6 months, with another graft </w:t>
      </w:r>
      <w:r w:rsidR="00A87D62" w:rsidRPr="00DB26C3">
        <w:t>lost at 3 year</w:t>
      </w:r>
      <w:r w:rsidR="00E55BEB" w:rsidRPr="00DB26C3">
        <w:t>s</w:t>
      </w:r>
      <w:r w:rsidR="00A87D62" w:rsidRPr="00DB26C3">
        <w:t xml:space="preserve"> (or 89% graft survival)</w:t>
      </w:r>
      <w:r w:rsidR="006C4E3D" w:rsidRPr="00DB26C3">
        <w:t xml:space="preserve">, then </w:t>
      </w:r>
      <w:r w:rsidR="00A87D62" w:rsidRPr="00DB26C3">
        <w:t>no further graft loss observed until the end of study at 5 year</w:t>
      </w:r>
      <w:r w:rsidR="00E55BEB" w:rsidRPr="00DB26C3">
        <w:t>s</w:t>
      </w:r>
      <w:r w:rsidR="006C4E3D" w:rsidRPr="00DB26C3">
        <w:t xml:space="preserve"> (</w:t>
      </w:r>
      <w:r w:rsidR="00BC41D5">
        <w:t xml:space="preserve">Table </w:t>
      </w:r>
      <w:r w:rsidR="00C55ABE">
        <w:t>6</w:t>
      </w:r>
      <w:r w:rsidR="006C4E3D" w:rsidRPr="00DB26C3">
        <w:t>)</w:t>
      </w:r>
      <w:r w:rsidR="00A87D62" w:rsidRPr="00DB26C3">
        <w:t>. The graft survival</w:t>
      </w:r>
      <w:r w:rsidR="00A87D62" w:rsidRPr="00A87D62">
        <w:t xml:space="preserve"> rate observed in AUS-UTT-A is comparable to the overall graft survival in Australia, which included non-HS patients.</w:t>
      </w:r>
    </w:p>
    <w:p w14:paraId="694D9EC8" w14:textId="4ABBC0B8" w:rsidR="004B4F60" w:rsidRPr="006D1797" w:rsidRDefault="004B4F60" w:rsidP="009C4296">
      <w:pPr>
        <w:pStyle w:val="Heading3"/>
      </w:pPr>
      <w:r w:rsidRPr="006D1797">
        <w:t>Antibody</w:t>
      </w:r>
      <w:r w:rsidR="00414416">
        <w:t>-</w:t>
      </w:r>
      <w:r w:rsidR="009C4296">
        <w:t>m</w:t>
      </w:r>
      <w:r w:rsidRPr="006D1797">
        <w:t xml:space="preserve">ediated </w:t>
      </w:r>
      <w:r w:rsidR="009C4296">
        <w:t>r</w:t>
      </w:r>
      <w:r w:rsidRPr="006D1797">
        <w:t xml:space="preserve">ejection induced graft rejection over </w:t>
      </w:r>
      <w:proofErr w:type="gramStart"/>
      <w:r w:rsidRPr="006D1797">
        <w:t>time</w:t>
      </w:r>
      <w:proofErr w:type="gramEnd"/>
    </w:p>
    <w:p w14:paraId="60720134" w14:textId="1F004AE8" w:rsidR="00676E44" w:rsidRDefault="003809F2" w:rsidP="00E76AE0">
      <w:pPr>
        <w:pStyle w:val="Instructionaltext"/>
        <w:rPr>
          <w:color w:val="auto"/>
        </w:rPr>
      </w:pPr>
      <w:r w:rsidRPr="003809F2">
        <w:rPr>
          <w:color w:val="auto"/>
        </w:rPr>
        <w:t>An acute antibody</w:t>
      </w:r>
      <w:r w:rsidR="00414416">
        <w:rPr>
          <w:color w:val="auto"/>
        </w:rPr>
        <w:t>-</w:t>
      </w:r>
      <w:r w:rsidRPr="003809F2">
        <w:rPr>
          <w:color w:val="auto"/>
        </w:rPr>
        <w:t xml:space="preserve">mediated rejection (AMR) episode is the consequence of an immune response of the host attacking the transplanted organ or cells. Imlifidase acts to lower DSA levels over the initial period of a transplantation to avoid hyperacute rejection. As imlifidase is not expected to impact other rejection events, </w:t>
      </w:r>
      <w:r w:rsidR="003711BF">
        <w:rPr>
          <w:color w:val="auto"/>
        </w:rPr>
        <w:t xml:space="preserve">AMR </w:t>
      </w:r>
      <w:r w:rsidRPr="003809F2">
        <w:rPr>
          <w:color w:val="auto"/>
        </w:rPr>
        <w:t>was not considered to be a study primary efficacy outcome</w:t>
      </w:r>
      <w:r w:rsidR="0026077D">
        <w:rPr>
          <w:color w:val="auto"/>
        </w:rPr>
        <w:t>.</w:t>
      </w:r>
      <w:r w:rsidRPr="003809F2">
        <w:rPr>
          <w:color w:val="auto"/>
        </w:rPr>
        <w:t xml:space="preserve"> </w:t>
      </w:r>
    </w:p>
    <w:p w14:paraId="482FAC4B" w14:textId="48D77C7B" w:rsidR="001F5497" w:rsidRPr="006D1797" w:rsidRDefault="00676E44" w:rsidP="00E76AE0">
      <w:pPr>
        <w:pStyle w:val="Instructionaltext"/>
        <w:rPr>
          <w:color w:val="auto"/>
        </w:rPr>
      </w:pPr>
      <w:r w:rsidRPr="00676E44">
        <w:rPr>
          <w:color w:val="auto"/>
        </w:rPr>
        <w:t>AMR</w:t>
      </w:r>
      <w:r w:rsidR="009C4296">
        <w:rPr>
          <w:color w:val="auto"/>
        </w:rPr>
        <w:t xml:space="preserve"> </w:t>
      </w:r>
      <w:r w:rsidRPr="00676E44">
        <w:rPr>
          <w:color w:val="auto"/>
        </w:rPr>
        <w:t xml:space="preserve">was reported in 10 patients in the AUS-UTT-A, UTT-A and UTT populations, with all patients successfully treated according to local practice </w:t>
      </w:r>
      <w:r w:rsidR="00BE16C9">
        <w:rPr>
          <w:color w:val="auto"/>
        </w:rPr>
        <w:t>with</w:t>
      </w:r>
      <w:r w:rsidRPr="00676E44">
        <w:rPr>
          <w:color w:val="auto"/>
        </w:rPr>
        <w:t xml:space="preserve"> no grafts lost.</w:t>
      </w:r>
    </w:p>
    <w:p w14:paraId="1D1318D4" w14:textId="431C4E85" w:rsidR="004B4F60" w:rsidRPr="006D1797" w:rsidRDefault="004B4F60" w:rsidP="009C4296">
      <w:pPr>
        <w:pStyle w:val="Heading3"/>
      </w:pPr>
      <w:r w:rsidRPr="006D1797">
        <w:t>Kidney function by glomerular filtration rate</w:t>
      </w:r>
    </w:p>
    <w:p w14:paraId="67E9F78F" w14:textId="50045E90" w:rsidR="004B4F60" w:rsidRPr="006D1797" w:rsidRDefault="00650179" w:rsidP="00E76AE0">
      <w:pPr>
        <w:pStyle w:val="Instructionaltext"/>
        <w:rPr>
          <w:color w:val="auto"/>
        </w:rPr>
      </w:pPr>
      <w:r w:rsidRPr="00650179">
        <w:rPr>
          <w:color w:val="auto"/>
        </w:rPr>
        <w:t xml:space="preserve">Estimated glomerular filtration rate (eGFR) calculated from serum creatinine was used as an outcome measure for kidney function and was assessed for </w:t>
      </w:r>
      <w:r w:rsidR="00FE50E3">
        <w:rPr>
          <w:color w:val="auto"/>
        </w:rPr>
        <w:t>a</w:t>
      </w:r>
      <w:r w:rsidRPr="00650179">
        <w:rPr>
          <w:color w:val="auto"/>
        </w:rPr>
        <w:t>ll-</w:t>
      </w:r>
      <w:r w:rsidR="00FE50E3">
        <w:rPr>
          <w:color w:val="auto"/>
        </w:rPr>
        <w:t>t</w:t>
      </w:r>
      <w:r w:rsidRPr="00650179">
        <w:rPr>
          <w:color w:val="auto"/>
        </w:rPr>
        <w:t>ransplanted patients. Overall, the kidney function was satisfactory 6 months after transplantation for the great majority of patients</w:t>
      </w:r>
      <w:r>
        <w:rPr>
          <w:color w:val="auto"/>
        </w:rPr>
        <w:t xml:space="preserve">. </w:t>
      </w:r>
      <w:r w:rsidR="00EE52A3">
        <w:rPr>
          <w:color w:val="auto"/>
        </w:rPr>
        <w:t xml:space="preserve">Satisfactory has been </w:t>
      </w:r>
      <w:r w:rsidR="004F58FC">
        <w:rPr>
          <w:color w:val="auto"/>
        </w:rPr>
        <w:t xml:space="preserve">described as </w:t>
      </w:r>
      <w:r w:rsidR="00566799">
        <w:rPr>
          <w:color w:val="auto"/>
        </w:rPr>
        <w:t>having a</w:t>
      </w:r>
      <w:r w:rsidR="008A1024">
        <w:rPr>
          <w:color w:val="auto"/>
        </w:rPr>
        <w:t>n</w:t>
      </w:r>
      <w:r w:rsidR="00566799">
        <w:rPr>
          <w:color w:val="auto"/>
        </w:rPr>
        <w:t xml:space="preserve"> </w:t>
      </w:r>
      <w:r w:rsidR="00566799" w:rsidRPr="00566799">
        <w:rPr>
          <w:color w:val="auto"/>
        </w:rPr>
        <w:t>eGFR ≥30 mL/min/1.73 m</w:t>
      </w:r>
      <w:r w:rsidR="00566799" w:rsidRPr="003F0375">
        <w:rPr>
          <w:color w:val="auto"/>
          <w:vertAlign w:val="superscript"/>
        </w:rPr>
        <w:t>2</w:t>
      </w:r>
      <w:r w:rsidR="00566799">
        <w:rPr>
          <w:color w:val="auto"/>
        </w:rPr>
        <w:t xml:space="preserve">. </w:t>
      </w:r>
    </w:p>
    <w:p w14:paraId="1959CF12" w14:textId="23546D0E" w:rsidR="001F5497" w:rsidRPr="006D1797" w:rsidRDefault="00061F3B" w:rsidP="00E76AE0">
      <w:pPr>
        <w:pStyle w:val="Instructionaltext"/>
        <w:rPr>
          <w:color w:val="auto"/>
        </w:rPr>
      </w:pPr>
      <w:r>
        <w:rPr>
          <w:color w:val="auto"/>
        </w:rPr>
        <w:t>In</w:t>
      </w:r>
      <w:r w:rsidR="000C5D3C" w:rsidRPr="000C5D3C">
        <w:rPr>
          <w:color w:val="auto"/>
        </w:rPr>
        <w:t xml:space="preserve"> the UTT subgroup</w:t>
      </w:r>
      <w:r w:rsidR="00400975">
        <w:rPr>
          <w:color w:val="auto"/>
        </w:rPr>
        <w:t>,</w:t>
      </w:r>
      <w:r w:rsidR="000C5D3C" w:rsidRPr="000C5D3C">
        <w:rPr>
          <w:color w:val="auto"/>
        </w:rPr>
        <w:t xml:space="preserve"> </w:t>
      </w:r>
      <w:r>
        <w:rPr>
          <w:color w:val="auto"/>
        </w:rPr>
        <w:t>90%</w:t>
      </w:r>
      <w:r w:rsidR="000C5D3C" w:rsidRPr="000C5D3C">
        <w:rPr>
          <w:color w:val="auto"/>
        </w:rPr>
        <w:t xml:space="preserve"> of </w:t>
      </w:r>
      <w:r>
        <w:rPr>
          <w:color w:val="auto"/>
        </w:rPr>
        <w:t>patients</w:t>
      </w:r>
      <w:r w:rsidR="000C5D3C" w:rsidRPr="000C5D3C">
        <w:rPr>
          <w:color w:val="auto"/>
        </w:rPr>
        <w:t xml:space="preserve"> had an eGFR ≥30 mL/min/1.73m</w:t>
      </w:r>
      <w:r w:rsidR="000C5D3C" w:rsidRPr="003F0375">
        <w:rPr>
          <w:color w:val="auto"/>
          <w:vertAlign w:val="superscript"/>
        </w:rPr>
        <w:t>2</w:t>
      </w:r>
      <w:r w:rsidR="000C5D3C" w:rsidRPr="000C5D3C">
        <w:rPr>
          <w:color w:val="auto"/>
        </w:rPr>
        <w:t xml:space="preserve"> at 6 months, compared to 92% for the UTT-A subgroup. Similarly, during the long-term </w:t>
      </w:r>
      <w:r w:rsidR="006162D9" w:rsidRPr="000C5D3C">
        <w:rPr>
          <w:color w:val="auto"/>
        </w:rPr>
        <w:t>follow-up</w:t>
      </w:r>
      <w:r w:rsidR="000C5D3C" w:rsidRPr="000C5D3C">
        <w:rPr>
          <w:color w:val="auto"/>
        </w:rPr>
        <w:t>, the kidney function was comparable between the UTT and the UTT-A subgroups.</w:t>
      </w:r>
      <w:r w:rsidR="00F41C6A">
        <w:rPr>
          <w:color w:val="auto"/>
        </w:rPr>
        <w:t xml:space="preserve"> </w:t>
      </w:r>
      <w:r w:rsidR="000C5D3C" w:rsidRPr="000C5D3C">
        <w:rPr>
          <w:color w:val="auto"/>
        </w:rPr>
        <w:t xml:space="preserve">For </w:t>
      </w:r>
      <w:r w:rsidR="00E60EA1">
        <w:rPr>
          <w:color w:val="auto"/>
        </w:rPr>
        <w:t xml:space="preserve">the </w:t>
      </w:r>
      <w:r w:rsidR="000C5D3C" w:rsidRPr="000C5D3C">
        <w:rPr>
          <w:color w:val="auto"/>
        </w:rPr>
        <w:t>AUS-UTT-A,</w:t>
      </w:r>
      <w:r w:rsidR="00E60EA1">
        <w:rPr>
          <w:color w:val="auto"/>
        </w:rPr>
        <w:t xml:space="preserve"> subgroup</w:t>
      </w:r>
      <w:r w:rsidR="00400975">
        <w:rPr>
          <w:color w:val="auto"/>
        </w:rPr>
        <w:t>,</w:t>
      </w:r>
      <w:r w:rsidR="000C5D3C" w:rsidRPr="000C5D3C">
        <w:rPr>
          <w:color w:val="auto"/>
        </w:rPr>
        <w:t xml:space="preserve"> the proportion of patients with eGFR ≥30 mL/min/1.73 m</w:t>
      </w:r>
      <w:r w:rsidR="000C5D3C" w:rsidRPr="00527717">
        <w:rPr>
          <w:color w:val="auto"/>
          <w:vertAlign w:val="superscript"/>
        </w:rPr>
        <w:t>2</w:t>
      </w:r>
      <w:r w:rsidR="000C5D3C" w:rsidRPr="000C5D3C">
        <w:rPr>
          <w:color w:val="auto"/>
        </w:rPr>
        <w:t xml:space="preserve"> was 78% at month 1, and gradually increased to 89% at month 6, 93% at year 1 and year 2, </w:t>
      </w:r>
      <w:r w:rsidR="00CB03DC">
        <w:rPr>
          <w:color w:val="auto"/>
        </w:rPr>
        <w:t>but</w:t>
      </w:r>
      <w:r w:rsidR="000C5D3C" w:rsidRPr="000C5D3C">
        <w:rPr>
          <w:color w:val="auto"/>
        </w:rPr>
        <w:t xml:space="preserve"> reduced to 85% at year 3 and 84% at year 5.</w:t>
      </w:r>
    </w:p>
    <w:p w14:paraId="2CCB9C4B" w14:textId="670252E8" w:rsidR="004B4F60" w:rsidRPr="006D1797" w:rsidRDefault="004B4F60" w:rsidP="009C4296">
      <w:pPr>
        <w:pStyle w:val="Heading3"/>
      </w:pPr>
      <w:r w:rsidRPr="006D1797">
        <w:t>Delayed graft function</w:t>
      </w:r>
    </w:p>
    <w:p w14:paraId="4D5D7A19" w14:textId="2D2A8BC0" w:rsidR="006A1411" w:rsidRPr="006A1411" w:rsidRDefault="002672B6" w:rsidP="006A1411">
      <w:pPr>
        <w:pStyle w:val="Instructionaltext"/>
        <w:rPr>
          <w:color w:val="auto"/>
        </w:rPr>
      </w:pPr>
      <w:r w:rsidRPr="002672B6">
        <w:rPr>
          <w:color w:val="auto"/>
        </w:rPr>
        <w:t xml:space="preserve">Delayed graft function (DGF) </w:t>
      </w:r>
      <w:r w:rsidR="000165AF">
        <w:rPr>
          <w:color w:val="auto"/>
        </w:rPr>
        <w:t>is</w:t>
      </w:r>
      <w:r w:rsidRPr="002672B6">
        <w:rPr>
          <w:color w:val="auto"/>
        </w:rPr>
        <w:t xml:space="preserve"> defined in the study as the need for dialysis within 7 days of transplantation</w:t>
      </w:r>
      <w:r w:rsidR="000165AF">
        <w:rPr>
          <w:color w:val="auto"/>
        </w:rPr>
        <w:t>. A</w:t>
      </w:r>
      <w:r w:rsidR="006A1411" w:rsidRPr="006A1411">
        <w:rPr>
          <w:color w:val="auto"/>
        </w:rPr>
        <w:t>mong 43 patients from the all-transplant group with a functioning graft at 6</w:t>
      </w:r>
      <w:r w:rsidR="00872152">
        <w:rPr>
          <w:color w:val="auto"/>
        </w:rPr>
        <w:t> </w:t>
      </w:r>
      <w:r w:rsidR="006A1411" w:rsidRPr="006A1411">
        <w:rPr>
          <w:color w:val="auto"/>
        </w:rPr>
        <w:t>months, 19 (44%) had experienced DGF after transplantation, with persistence varying from 1</w:t>
      </w:r>
      <w:r w:rsidR="00872152">
        <w:rPr>
          <w:color w:val="auto"/>
        </w:rPr>
        <w:t> </w:t>
      </w:r>
      <w:r w:rsidR="006A1411" w:rsidRPr="006A1411">
        <w:rPr>
          <w:color w:val="auto"/>
        </w:rPr>
        <w:t xml:space="preserve">day to several weeks and </w:t>
      </w:r>
      <w:r w:rsidR="001F27A2" w:rsidRPr="006A1411">
        <w:rPr>
          <w:color w:val="auto"/>
        </w:rPr>
        <w:t>months</w:t>
      </w:r>
      <w:r w:rsidR="006A1411" w:rsidRPr="006A1411">
        <w:rPr>
          <w:color w:val="auto"/>
        </w:rPr>
        <w:t xml:space="preserve">. </w:t>
      </w:r>
      <w:r w:rsidR="007927FB" w:rsidRPr="007927FB">
        <w:rPr>
          <w:color w:val="auto"/>
        </w:rPr>
        <w:t xml:space="preserve">In the AUS-UTT-A subgroup, 11 out of 24 (46%) patients experienced DGF, consistent with the incidence in the </w:t>
      </w:r>
      <w:r w:rsidR="000A0436">
        <w:rPr>
          <w:color w:val="auto"/>
        </w:rPr>
        <w:t>a</w:t>
      </w:r>
      <w:r w:rsidR="007927FB" w:rsidRPr="007927FB">
        <w:rPr>
          <w:color w:val="auto"/>
        </w:rPr>
        <w:t>ll-transplanted population</w:t>
      </w:r>
      <w:r w:rsidR="007927FB">
        <w:rPr>
          <w:color w:val="auto"/>
        </w:rPr>
        <w:t xml:space="preserve">. </w:t>
      </w:r>
      <w:r w:rsidR="006A1411" w:rsidRPr="006A1411">
        <w:rPr>
          <w:color w:val="auto"/>
        </w:rPr>
        <w:t xml:space="preserve">There was no </w:t>
      </w:r>
      <w:r w:rsidR="006A1411" w:rsidRPr="006A1411">
        <w:rPr>
          <w:color w:val="auto"/>
        </w:rPr>
        <w:lastRenderedPageBreak/>
        <w:t xml:space="preserve">apparent relationship between the occurrence or length of DGF and cold </w:t>
      </w:r>
      <w:proofErr w:type="spellStart"/>
      <w:r w:rsidR="006A1411" w:rsidRPr="006A1411">
        <w:rPr>
          <w:color w:val="auto"/>
        </w:rPr>
        <w:t>isch</w:t>
      </w:r>
      <w:r w:rsidR="00064DAC">
        <w:rPr>
          <w:color w:val="auto"/>
        </w:rPr>
        <w:t>ae</w:t>
      </w:r>
      <w:r w:rsidR="006A1411" w:rsidRPr="006A1411">
        <w:rPr>
          <w:color w:val="auto"/>
        </w:rPr>
        <w:t>mia</w:t>
      </w:r>
      <w:proofErr w:type="spellEnd"/>
      <w:r w:rsidR="006A1411" w:rsidRPr="006A1411">
        <w:rPr>
          <w:color w:val="auto"/>
        </w:rPr>
        <w:t xml:space="preserve"> time or kidney donor profile index. </w:t>
      </w:r>
    </w:p>
    <w:p w14:paraId="68C6889B" w14:textId="19D07DF9" w:rsidR="00073344" w:rsidRDefault="006A1411" w:rsidP="006A1411">
      <w:pPr>
        <w:pStyle w:val="Instructionaltext"/>
        <w:rPr>
          <w:color w:val="auto"/>
        </w:rPr>
      </w:pPr>
      <w:r w:rsidRPr="00672CBD">
        <w:rPr>
          <w:color w:val="auto"/>
        </w:rPr>
        <w:t>In the literature, the incidence of DGF can greatly vary among centres from 3.2% to 63.3% (</w:t>
      </w:r>
      <w:proofErr w:type="spellStart"/>
      <w:r w:rsidRPr="00672CBD">
        <w:rPr>
          <w:color w:val="auto"/>
        </w:rPr>
        <w:t>Orandi</w:t>
      </w:r>
      <w:proofErr w:type="spellEnd"/>
      <w:r w:rsidRPr="00672CBD">
        <w:rPr>
          <w:color w:val="auto"/>
        </w:rPr>
        <w:t xml:space="preserve"> et al</w:t>
      </w:r>
      <w:r w:rsidR="002025B0">
        <w:rPr>
          <w:color w:val="auto"/>
        </w:rPr>
        <w:t>.</w:t>
      </w:r>
      <w:r w:rsidRPr="00672CBD">
        <w:rPr>
          <w:color w:val="auto"/>
        </w:rPr>
        <w:t xml:space="preserve"> 2015)</w:t>
      </w:r>
      <w:r w:rsidR="002025B0">
        <w:rPr>
          <w:color w:val="auto"/>
        </w:rPr>
        <w:t>.</w:t>
      </w:r>
      <w:r w:rsidR="00B55AF1" w:rsidRPr="00672CBD">
        <w:rPr>
          <w:rStyle w:val="FootnoteReference"/>
          <w:color w:val="auto"/>
        </w:rPr>
        <w:footnoteReference w:id="12"/>
      </w:r>
      <w:r w:rsidRPr="00672CBD">
        <w:rPr>
          <w:color w:val="auto"/>
        </w:rPr>
        <w:t xml:space="preserve"> One US study found that the duration of DGF, rather than DGF itself, was associated with graft survival (</w:t>
      </w:r>
      <w:proofErr w:type="spellStart"/>
      <w:r w:rsidRPr="00672CBD">
        <w:rPr>
          <w:color w:val="auto"/>
        </w:rPr>
        <w:t>Budhiraja</w:t>
      </w:r>
      <w:proofErr w:type="spellEnd"/>
      <w:r w:rsidRPr="00672CBD">
        <w:rPr>
          <w:color w:val="auto"/>
        </w:rPr>
        <w:t xml:space="preserve"> et al</w:t>
      </w:r>
      <w:r w:rsidR="00722E32">
        <w:rPr>
          <w:color w:val="auto"/>
        </w:rPr>
        <w:t>.</w:t>
      </w:r>
      <w:r w:rsidR="00672CBD">
        <w:rPr>
          <w:color w:val="auto"/>
        </w:rPr>
        <w:t xml:space="preserve"> </w:t>
      </w:r>
      <w:r w:rsidRPr="00672CBD">
        <w:rPr>
          <w:color w:val="auto"/>
        </w:rPr>
        <w:t>2022)</w:t>
      </w:r>
      <w:r w:rsidR="00722E32">
        <w:rPr>
          <w:color w:val="auto"/>
        </w:rPr>
        <w:t>.</w:t>
      </w:r>
      <w:r w:rsidR="00672CBD" w:rsidRPr="00672CBD">
        <w:rPr>
          <w:rStyle w:val="FootnoteReference"/>
          <w:color w:val="auto"/>
        </w:rPr>
        <w:footnoteReference w:id="13"/>
      </w:r>
    </w:p>
    <w:p w14:paraId="225C5E5C" w14:textId="27757798" w:rsidR="007B1B69" w:rsidRPr="006D1797" w:rsidRDefault="00073344" w:rsidP="00E76AE0">
      <w:pPr>
        <w:pStyle w:val="Instructionaltext"/>
        <w:rPr>
          <w:color w:val="auto"/>
        </w:rPr>
      </w:pPr>
      <w:r w:rsidRPr="00073344">
        <w:rPr>
          <w:color w:val="auto"/>
        </w:rPr>
        <w:t xml:space="preserve">The </w:t>
      </w:r>
      <w:r w:rsidR="00272E71">
        <w:rPr>
          <w:color w:val="auto"/>
        </w:rPr>
        <w:t>commentary</w:t>
      </w:r>
      <w:r w:rsidR="007570A1">
        <w:rPr>
          <w:color w:val="auto"/>
        </w:rPr>
        <w:t xml:space="preserve"> o</w:t>
      </w:r>
      <w:r w:rsidR="0085422B">
        <w:rPr>
          <w:color w:val="auto"/>
        </w:rPr>
        <w:t>f</w:t>
      </w:r>
      <w:r w:rsidR="007570A1">
        <w:rPr>
          <w:color w:val="auto"/>
        </w:rPr>
        <w:t xml:space="preserve"> the previous submission (MSAC 1732)</w:t>
      </w:r>
      <w:r w:rsidRPr="00073344">
        <w:rPr>
          <w:color w:val="auto"/>
        </w:rPr>
        <w:t xml:space="preserve"> noted that no clinical justification was provided for the clinical experts’ view</w:t>
      </w:r>
      <w:r w:rsidR="005D640B">
        <w:rPr>
          <w:color w:val="auto"/>
        </w:rPr>
        <w:t xml:space="preserve"> in the ADAR</w:t>
      </w:r>
      <w:r w:rsidRPr="00073344">
        <w:rPr>
          <w:color w:val="auto"/>
        </w:rPr>
        <w:t xml:space="preserve"> that the duration of DGF is shorter on average in Australia than in the US where many of the trial patients were transplanted. The</w:t>
      </w:r>
      <w:r w:rsidR="007570A1">
        <w:rPr>
          <w:color w:val="auto"/>
        </w:rPr>
        <w:t xml:space="preserve"> previous</w:t>
      </w:r>
      <w:r w:rsidRPr="00073344">
        <w:rPr>
          <w:color w:val="auto"/>
        </w:rPr>
        <w:t xml:space="preserve"> </w:t>
      </w:r>
      <w:r w:rsidR="00272E71">
        <w:rPr>
          <w:color w:val="auto"/>
        </w:rPr>
        <w:t>commentary</w:t>
      </w:r>
      <w:r w:rsidRPr="00073344">
        <w:rPr>
          <w:color w:val="auto"/>
        </w:rPr>
        <w:t xml:space="preserve"> stated that it is unclear whether such a general country comparison is appropriate, given that the incidence rate of DGF varies greatly between centres (3.2</w:t>
      </w:r>
      <w:r w:rsidR="0067716E">
        <w:rPr>
          <w:color w:val="auto"/>
        </w:rPr>
        <w:t>%</w:t>
      </w:r>
      <w:r w:rsidRPr="00073344">
        <w:rPr>
          <w:color w:val="auto"/>
        </w:rPr>
        <w:t>–63.3%).</w:t>
      </w:r>
    </w:p>
    <w:p w14:paraId="30336274" w14:textId="67FA89FA" w:rsidR="007B1B69" w:rsidRPr="006D1797" w:rsidRDefault="007B1B69" w:rsidP="009C4296">
      <w:pPr>
        <w:pStyle w:val="Heading3"/>
      </w:pPr>
      <w:r w:rsidRPr="006D1797">
        <w:t>Quality of life</w:t>
      </w:r>
    </w:p>
    <w:p w14:paraId="5027DB4E" w14:textId="1455587F" w:rsidR="004F5154" w:rsidRDefault="002152D7" w:rsidP="00E76AE0">
      <w:pPr>
        <w:pStyle w:val="Instructionaltext"/>
        <w:rPr>
          <w:color w:val="auto"/>
        </w:rPr>
      </w:pPr>
      <w:r w:rsidRPr="002152D7">
        <w:rPr>
          <w:color w:val="auto"/>
        </w:rPr>
        <w:t xml:space="preserve">The imlifidase phase </w:t>
      </w:r>
      <w:r w:rsidR="00ED029D">
        <w:rPr>
          <w:color w:val="auto"/>
        </w:rPr>
        <w:t>II</w:t>
      </w:r>
      <w:r w:rsidRPr="002152D7">
        <w:rPr>
          <w:color w:val="auto"/>
        </w:rPr>
        <w:t xml:space="preserve"> studies did not collect </w:t>
      </w:r>
      <w:r w:rsidR="006D2578">
        <w:rPr>
          <w:color w:val="auto"/>
        </w:rPr>
        <w:t>health-related quality of life (</w:t>
      </w:r>
      <w:proofErr w:type="spellStart"/>
      <w:r w:rsidRPr="002152D7">
        <w:rPr>
          <w:color w:val="auto"/>
        </w:rPr>
        <w:t>HRQoL</w:t>
      </w:r>
      <w:proofErr w:type="spellEnd"/>
      <w:r w:rsidR="006D2578">
        <w:rPr>
          <w:color w:val="auto"/>
        </w:rPr>
        <w:t>)</w:t>
      </w:r>
      <w:r w:rsidRPr="002152D7">
        <w:rPr>
          <w:color w:val="auto"/>
        </w:rPr>
        <w:t xml:space="preserve"> data. In the long-term follow-up </w:t>
      </w:r>
      <w:r w:rsidR="000B2F17">
        <w:rPr>
          <w:color w:val="auto"/>
        </w:rPr>
        <w:t>s</w:t>
      </w:r>
      <w:r w:rsidRPr="002152D7">
        <w:rPr>
          <w:color w:val="auto"/>
        </w:rPr>
        <w:t>tudy 17-HMedIdeS-14</w:t>
      </w:r>
      <w:r w:rsidR="006D2578">
        <w:rPr>
          <w:color w:val="auto"/>
        </w:rPr>
        <w:t>,</w:t>
      </w:r>
      <w:r w:rsidRPr="002152D7">
        <w:rPr>
          <w:color w:val="auto"/>
        </w:rPr>
        <w:t xml:space="preserve"> </w:t>
      </w:r>
      <w:proofErr w:type="spellStart"/>
      <w:r w:rsidRPr="002152D7">
        <w:rPr>
          <w:color w:val="auto"/>
        </w:rPr>
        <w:t>HRQoL</w:t>
      </w:r>
      <w:proofErr w:type="spellEnd"/>
      <w:r w:rsidRPr="002152D7">
        <w:rPr>
          <w:color w:val="auto"/>
        </w:rPr>
        <w:t xml:space="preserve"> was assessed by means of the general </w:t>
      </w:r>
      <w:r w:rsidR="000B2F17">
        <w:rPr>
          <w:color w:val="auto"/>
        </w:rPr>
        <w:t xml:space="preserve">5-level </w:t>
      </w:r>
      <w:proofErr w:type="spellStart"/>
      <w:r w:rsidR="000B2F17">
        <w:rPr>
          <w:color w:val="auto"/>
        </w:rPr>
        <w:t>EuroQol</w:t>
      </w:r>
      <w:proofErr w:type="spellEnd"/>
      <w:r w:rsidR="000B2F17">
        <w:rPr>
          <w:color w:val="auto"/>
        </w:rPr>
        <w:t xml:space="preserve"> 5-dimension</w:t>
      </w:r>
      <w:r w:rsidR="002E3598">
        <w:rPr>
          <w:color w:val="auto"/>
        </w:rPr>
        <w:t xml:space="preserve"> </w:t>
      </w:r>
      <w:r w:rsidRPr="002152D7">
        <w:rPr>
          <w:color w:val="auto"/>
        </w:rPr>
        <w:t>questionnaire</w:t>
      </w:r>
      <w:r w:rsidR="002E3598">
        <w:rPr>
          <w:color w:val="auto"/>
        </w:rPr>
        <w:t xml:space="preserve"> (EQ-5D-5L)</w:t>
      </w:r>
      <w:r w:rsidRPr="002152D7">
        <w:rPr>
          <w:color w:val="auto"/>
        </w:rPr>
        <w:t xml:space="preserve"> and the </w:t>
      </w:r>
      <w:r w:rsidR="00A878FA">
        <w:rPr>
          <w:color w:val="auto"/>
        </w:rPr>
        <w:t>disease-specific</w:t>
      </w:r>
      <w:r w:rsidRPr="002152D7">
        <w:rPr>
          <w:color w:val="auto"/>
        </w:rPr>
        <w:t xml:space="preserve"> Kidney Disease Quality of Life Questionnaire</w:t>
      </w:r>
      <w:r w:rsidR="00E14146">
        <w:rPr>
          <w:color w:val="auto"/>
        </w:rPr>
        <w:t xml:space="preserve"> – </w:t>
      </w:r>
      <w:r w:rsidRPr="002152D7">
        <w:rPr>
          <w:color w:val="auto"/>
        </w:rPr>
        <w:t>short form</w:t>
      </w:r>
      <w:r w:rsidR="00776140">
        <w:rPr>
          <w:color w:val="auto"/>
        </w:rPr>
        <w:t xml:space="preserve"> 36</w:t>
      </w:r>
      <w:r w:rsidRPr="002152D7">
        <w:rPr>
          <w:color w:val="auto"/>
        </w:rPr>
        <w:t xml:space="preserve"> (KDQOL-SF</w:t>
      </w:r>
      <w:r w:rsidR="00776140">
        <w:rPr>
          <w:color w:val="auto"/>
        </w:rPr>
        <w:t xml:space="preserve"> 36</w:t>
      </w:r>
      <w:r w:rsidRPr="002152D7">
        <w:rPr>
          <w:color w:val="auto"/>
        </w:rPr>
        <w:t>), with data collection intended at 1, 2, 3 and 5 years.</w:t>
      </w:r>
      <w:r w:rsidR="003C68B6">
        <w:rPr>
          <w:color w:val="auto"/>
        </w:rPr>
        <w:t xml:space="preserve"> </w:t>
      </w:r>
    </w:p>
    <w:p w14:paraId="12A6D157" w14:textId="4BA9A83E" w:rsidR="00DD01C7" w:rsidRDefault="003C68B6" w:rsidP="00E76AE0">
      <w:pPr>
        <w:pStyle w:val="Instructionaltext"/>
        <w:rPr>
          <w:color w:val="auto"/>
        </w:rPr>
      </w:pPr>
      <w:r w:rsidRPr="003C68B6">
        <w:rPr>
          <w:color w:val="auto"/>
        </w:rPr>
        <w:t xml:space="preserve">Although it appears from the results of both instruments that </w:t>
      </w:r>
      <w:proofErr w:type="spellStart"/>
      <w:r w:rsidR="004F5154">
        <w:rPr>
          <w:color w:val="auto"/>
        </w:rPr>
        <w:t>HR</w:t>
      </w:r>
      <w:r w:rsidRPr="003C68B6">
        <w:rPr>
          <w:color w:val="auto"/>
        </w:rPr>
        <w:t>QoL</w:t>
      </w:r>
      <w:proofErr w:type="spellEnd"/>
      <w:r w:rsidRPr="003C68B6">
        <w:rPr>
          <w:color w:val="auto"/>
        </w:rPr>
        <w:t xml:space="preserve"> improves over time, the data collected should be interpreted with caution since only </w:t>
      </w:r>
      <w:r w:rsidR="005F376B">
        <w:rPr>
          <w:color w:val="auto"/>
        </w:rPr>
        <w:t xml:space="preserve">a </w:t>
      </w:r>
      <w:r w:rsidRPr="003C68B6">
        <w:rPr>
          <w:color w:val="auto"/>
        </w:rPr>
        <w:t>few patients had more than one visit</w:t>
      </w:r>
      <w:r w:rsidR="003C14B5">
        <w:rPr>
          <w:color w:val="auto"/>
        </w:rPr>
        <w:t>.</w:t>
      </w:r>
      <w:r w:rsidR="009D0285" w:rsidRPr="009D0285">
        <w:rPr>
          <w:color w:val="auto"/>
        </w:rPr>
        <w:t xml:space="preserve"> </w:t>
      </w:r>
      <w:r w:rsidR="003C14B5">
        <w:rPr>
          <w:color w:val="auto"/>
        </w:rPr>
        <w:t xml:space="preserve">The mean </w:t>
      </w:r>
      <w:r w:rsidR="009B0736" w:rsidRPr="009B0736">
        <w:rPr>
          <w:color w:val="auto"/>
        </w:rPr>
        <w:t>EQ-5D-5L values</w:t>
      </w:r>
      <w:r w:rsidR="003C14B5">
        <w:rPr>
          <w:color w:val="auto"/>
        </w:rPr>
        <w:t xml:space="preserve"> (</w:t>
      </w:r>
      <w:r w:rsidR="003C14B5" w:rsidRPr="00776140">
        <w:rPr>
          <w:color w:val="auto"/>
        </w:rPr>
        <w:t>valued using a Danish tariff)</w:t>
      </w:r>
      <w:r w:rsidR="009B0736" w:rsidRPr="00776140">
        <w:rPr>
          <w:color w:val="auto"/>
        </w:rPr>
        <w:t xml:space="preserve"> were 0.82, 0.89, 0.85</w:t>
      </w:r>
      <w:r w:rsidR="006151E5">
        <w:rPr>
          <w:color w:val="auto"/>
        </w:rPr>
        <w:t xml:space="preserve"> and</w:t>
      </w:r>
      <w:r w:rsidR="00B34D68">
        <w:rPr>
          <w:color w:val="auto"/>
        </w:rPr>
        <w:t xml:space="preserve"> </w:t>
      </w:r>
      <w:r w:rsidR="009B0736" w:rsidRPr="00776140">
        <w:rPr>
          <w:color w:val="auto"/>
        </w:rPr>
        <w:t xml:space="preserve">0.84 at 1 year, 2 years, 3 </w:t>
      </w:r>
      <w:proofErr w:type="gramStart"/>
      <w:r w:rsidR="009B0736" w:rsidRPr="00776140">
        <w:rPr>
          <w:color w:val="auto"/>
        </w:rPr>
        <w:t>years</w:t>
      </w:r>
      <w:proofErr w:type="gramEnd"/>
      <w:r w:rsidR="009B0736" w:rsidRPr="00776140">
        <w:rPr>
          <w:color w:val="auto"/>
        </w:rPr>
        <w:t xml:space="preserve"> and 5 years respectively</w:t>
      </w:r>
      <w:r w:rsidR="000D27E6">
        <w:rPr>
          <w:color w:val="auto"/>
        </w:rPr>
        <w:t xml:space="preserve"> (a higher score corresponds to better health)</w:t>
      </w:r>
      <w:r w:rsidR="009B0736" w:rsidRPr="00776140">
        <w:rPr>
          <w:color w:val="auto"/>
        </w:rPr>
        <w:t xml:space="preserve">. </w:t>
      </w:r>
    </w:p>
    <w:p w14:paraId="344A8C1D" w14:textId="3D2DB849" w:rsidR="00F228EB" w:rsidRDefault="009B0736" w:rsidP="00E76AE0">
      <w:pPr>
        <w:pStyle w:val="Instructionaltext"/>
        <w:rPr>
          <w:color w:val="auto"/>
        </w:rPr>
      </w:pPr>
      <w:r w:rsidRPr="00776140">
        <w:rPr>
          <w:color w:val="auto"/>
        </w:rPr>
        <w:t>KDQOL-</w:t>
      </w:r>
      <w:r w:rsidR="00776140" w:rsidRPr="00776140">
        <w:rPr>
          <w:color w:val="auto"/>
        </w:rPr>
        <w:t xml:space="preserve">SF </w:t>
      </w:r>
      <w:r w:rsidRPr="00776140">
        <w:rPr>
          <w:color w:val="auto"/>
        </w:rPr>
        <w:t>36</w:t>
      </w:r>
      <w:r w:rsidR="00DD01C7">
        <w:rPr>
          <w:color w:val="auto"/>
        </w:rPr>
        <w:t xml:space="preserve"> </w:t>
      </w:r>
      <w:r w:rsidRPr="00776140">
        <w:rPr>
          <w:color w:val="auto"/>
        </w:rPr>
        <w:t>mean scores on burden of kidney disease, effects of kidney disease, overall health rating, cognitive function, physical functioning, and work status were 79.4, 89.0, 76.0, 86.9, 86.0 and 74.0, respectively, among patients who responded at 5-year</w:t>
      </w:r>
      <w:r w:rsidR="00DF5B74">
        <w:rPr>
          <w:color w:val="auto"/>
        </w:rPr>
        <w:t>s</w:t>
      </w:r>
      <w:r w:rsidRPr="00776140">
        <w:rPr>
          <w:color w:val="auto"/>
        </w:rPr>
        <w:t xml:space="preserve"> after transplantation</w:t>
      </w:r>
      <w:r w:rsidR="00DD01C7">
        <w:rPr>
          <w:color w:val="auto"/>
        </w:rPr>
        <w:t xml:space="preserve"> (reported over a </w:t>
      </w:r>
      <w:r w:rsidR="00DD01C7" w:rsidRPr="00DD01C7">
        <w:rPr>
          <w:color w:val="auto"/>
        </w:rPr>
        <w:t xml:space="preserve">0 to 100 range, higher scores reflecting better </w:t>
      </w:r>
      <w:r w:rsidR="00DD01C7">
        <w:rPr>
          <w:color w:val="auto"/>
        </w:rPr>
        <w:t>health)</w:t>
      </w:r>
      <w:r w:rsidRPr="00776140">
        <w:rPr>
          <w:color w:val="auto"/>
        </w:rPr>
        <w:t xml:space="preserve">. </w:t>
      </w:r>
      <w:r w:rsidR="00DF0A79" w:rsidRPr="00776140">
        <w:rPr>
          <w:color w:val="auto"/>
        </w:rPr>
        <w:t>In general, KDQOL-</w:t>
      </w:r>
      <w:r w:rsidR="00776140" w:rsidRPr="00776140">
        <w:rPr>
          <w:color w:val="auto"/>
        </w:rPr>
        <w:t xml:space="preserve">SF </w:t>
      </w:r>
      <w:r w:rsidR="00DF0A79" w:rsidRPr="00776140">
        <w:rPr>
          <w:color w:val="auto"/>
        </w:rPr>
        <w:t>36 mean scores at 5</w:t>
      </w:r>
      <w:r w:rsidR="008467D2">
        <w:rPr>
          <w:color w:val="auto"/>
        </w:rPr>
        <w:t xml:space="preserve"> </w:t>
      </w:r>
      <w:r w:rsidR="00DF0A79" w:rsidRPr="00776140">
        <w:rPr>
          <w:color w:val="auto"/>
        </w:rPr>
        <w:t>years after transplantation were above 70</w:t>
      </w:r>
      <w:r w:rsidR="00EE55C7">
        <w:rPr>
          <w:color w:val="auto"/>
        </w:rPr>
        <w:t xml:space="preserve"> (out of 100)</w:t>
      </w:r>
      <w:r w:rsidR="00DF0A79" w:rsidRPr="00776140">
        <w:rPr>
          <w:color w:val="auto"/>
        </w:rPr>
        <w:t xml:space="preserve"> with only the parameters general health, energy/fatigue and sleep having lower scores (53.0, 61.4 and 67.6). </w:t>
      </w:r>
    </w:p>
    <w:p w14:paraId="19B6FADB" w14:textId="175CC860" w:rsidR="00F228EB" w:rsidRPr="009C5BE4" w:rsidRDefault="00772829" w:rsidP="00871D11">
      <w:pPr>
        <w:pStyle w:val="Heading3"/>
        <w:rPr>
          <w:b/>
        </w:rPr>
      </w:pPr>
      <w:r w:rsidRPr="00776140">
        <w:t>Clinical claim</w:t>
      </w:r>
    </w:p>
    <w:p w14:paraId="310F0D56" w14:textId="66EC5343" w:rsidR="00381E35" w:rsidRPr="00533F1E" w:rsidRDefault="00381E35" w:rsidP="00381E35">
      <w:pPr>
        <w:pStyle w:val="Instructionaltext"/>
        <w:rPr>
          <w:color w:val="auto"/>
        </w:rPr>
      </w:pPr>
      <w:r w:rsidRPr="00533F1E">
        <w:rPr>
          <w:color w:val="auto"/>
        </w:rPr>
        <w:t>The clinical claim made by the ADAR</w:t>
      </w:r>
      <w:r w:rsidR="00607CA1">
        <w:rPr>
          <w:color w:val="auto"/>
        </w:rPr>
        <w:t xml:space="preserve"> is as follows</w:t>
      </w:r>
      <w:r w:rsidRPr="00533F1E">
        <w:rPr>
          <w:color w:val="auto"/>
        </w:rPr>
        <w:t xml:space="preserve">: </w:t>
      </w:r>
    </w:p>
    <w:p w14:paraId="08AD3645" w14:textId="0AB24988" w:rsidR="00381E35" w:rsidRPr="00533F1E" w:rsidRDefault="00B526E2" w:rsidP="00381E35">
      <w:pPr>
        <w:pStyle w:val="Instructionaltext"/>
        <w:numPr>
          <w:ilvl w:val="0"/>
          <w:numId w:val="33"/>
        </w:numPr>
        <w:rPr>
          <w:color w:val="auto"/>
        </w:rPr>
      </w:pPr>
      <w:r>
        <w:rPr>
          <w:color w:val="auto"/>
        </w:rPr>
        <w:t>U</w:t>
      </w:r>
      <w:r w:rsidR="00381E35" w:rsidRPr="00533F1E">
        <w:rPr>
          <w:color w:val="auto"/>
        </w:rPr>
        <w:t xml:space="preserve">se of imlifidase results in superior effectiveness compared with current care (absence of imlifidase, which includes remaining on the transplant list, ongoing </w:t>
      </w:r>
      <w:proofErr w:type="gramStart"/>
      <w:r w:rsidR="00381E35" w:rsidRPr="00533F1E">
        <w:rPr>
          <w:color w:val="auto"/>
        </w:rPr>
        <w:t>dialysis</w:t>
      </w:r>
      <w:proofErr w:type="gramEnd"/>
      <w:r w:rsidR="00381E35" w:rsidRPr="00533F1E">
        <w:rPr>
          <w:color w:val="auto"/>
        </w:rPr>
        <w:t xml:space="preserve"> and possibility of delayed transplantation, which may or may not occur, and if it does occur will be at a decreased rate compared with the intervention).</w:t>
      </w:r>
    </w:p>
    <w:p w14:paraId="08C0D4F9" w14:textId="5BD1C75C" w:rsidR="00F228EB" w:rsidRPr="00533F1E" w:rsidRDefault="004B7C16" w:rsidP="00381E35">
      <w:pPr>
        <w:pStyle w:val="Instructionaltext"/>
        <w:numPr>
          <w:ilvl w:val="0"/>
          <w:numId w:val="33"/>
        </w:numPr>
        <w:rPr>
          <w:color w:val="auto"/>
        </w:rPr>
      </w:pPr>
      <w:r>
        <w:rPr>
          <w:color w:val="auto"/>
        </w:rPr>
        <w:t>U</w:t>
      </w:r>
      <w:r w:rsidR="00381E35" w:rsidRPr="00533F1E">
        <w:rPr>
          <w:color w:val="auto"/>
        </w:rPr>
        <w:t>se of imlifidase results in at least non-inferior safety</w:t>
      </w:r>
      <w:r w:rsidR="00A07C27">
        <w:rPr>
          <w:color w:val="auto"/>
        </w:rPr>
        <w:t xml:space="preserve"> </w:t>
      </w:r>
      <w:r w:rsidR="000E67A2">
        <w:rPr>
          <w:color w:val="auto"/>
        </w:rPr>
        <w:t>compared to standard care (dialysis)</w:t>
      </w:r>
      <w:r w:rsidR="00381E35" w:rsidRPr="00533F1E">
        <w:rPr>
          <w:color w:val="auto"/>
        </w:rPr>
        <w:t>.</w:t>
      </w:r>
    </w:p>
    <w:p w14:paraId="03A12729" w14:textId="19D9F3A9" w:rsidR="00F228EB" w:rsidRPr="00533F1E" w:rsidRDefault="00B413EA" w:rsidP="00E76AE0">
      <w:pPr>
        <w:pStyle w:val="Instructionaltext"/>
        <w:rPr>
          <w:color w:val="auto"/>
        </w:rPr>
      </w:pPr>
      <w:r>
        <w:rPr>
          <w:color w:val="auto"/>
        </w:rPr>
        <w:t xml:space="preserve">The </w:t>
      </w:r>
      <w:r w:rsidR="0029233C">
        <w:rPr>
          <w:color w:val="auto"/>
        </w:rPr>
        <w:t>commentary</w:t>
      </w:r>
      <w:r w:rsidR="00821740">
        <w:rPr>
          <w:color w:val="auto"/>
        </w:rPr>
        <w:t xml:space="preserve"> agrees with </w:t>
      </w:r>
      <w:r>
        <w:rPr>
          <w:color w:val="auto"/>
        </w:rPr>
        <w:t xml:space="preserve">previous </w:t>
      </w:r>
      <w:r w:rsidR="00593C17">
        <w:rPr>
          <w:color w:val="auto"/>
        </w:rPr>
        <w:t>commentary</w:t>
      </w:r>
      <w:r>
        <w:rPr>
          <w:color w:val="auto"/>
        </w:rPr>
        <w:t xml:space="preserve"> </w:t>
      </w:r>
      <w:r w:rsidR="00314B03" w:rsidRPr="00314B03">
        <w:rPr>
          <w:color w:val="auto"/>
        </w:rPr>
        <w:t>that the efficacy evidence presented sufficiently supports the claim that imlifidase results in superior effectiveness compared with current care in the absence of imlifidase.</w:t>
      </w:r>
      <w:r w:rsidR="00146CC6">
        <w:rPr>
          <w:color w:val="auto"/>
        </w:rPr>
        <w:t xml:space="preserve"> </w:t>
      </w:r>
    </w:p>
    <w:p w14:paraId="5731BEA7" w14:textId="3CB72BBC" w:rsidR="00F228EB" w:rsidRPr="00BB26C5" w:rsidRDefault="00BB26C5" w:rsidP="00E76AE0">
      <w:pPr>
        <w:pStyle w:val="Instructionaltext"/>
        <w:rPr>
          <w:color w:val="auto"/>
        </w:rPr>
      </w:pPr>
      <w:r w:rsidRPr="00BB26C5">
        <w:rPr>
          <w:color w:val="auto"/>
        </w:rPr>
        <w:lastRenderedPageBreak/>
        <w:t xml:space="preserve">The ADAR (and </w:t>
      </w:r>
      <w:r w:rsidR="0029233C">
        <w:rPr>
          <w:color w:val="auto"/>
        </w:rPr>
        <w:t>commentary</w:t>
      </w:r>
      <w:r w:rsidRPr="00BB26C5">
        <w:rPr>
          <w:color w:val="auto"/>
        </w:rPr>
        <w:t xml:space="preserve">) recognises that assessing the adverse effect profile is difficult, given that patients in both arms experience AEs of different types and frequencies. Moreover, the </w:t>
      </w:r>
      <w:r w:rsidR="00E63030">
        <w:rPr>
          <w:color w:val="auto"/>
        </w:rPr>
        <w:t xml:space="preserve">commentary </w:t>
      </w:r>
      <w:r w:rsidR="00EB0BE8">
        <w:rPr>
          <w:color w:val="auto"/>
        </w:rPr>
        <w:t>o</w:t>
      </w:r>
      <w:r w:rsidR="0085422B">
        <w:rPr>
          <w:color w:val="auto"/>
        </w:rPr>
        <w:t>f</w:t>
      </w:r>
      <w:r w:rsidR="00EB0BE8">
        <w:rPr>
          <w:color w:val="auto"/>
        </w:rPr>
        <w:t xml:space="preserve"> the previous submission (MSAC 1732) </w:t>
      </w:r>
      <w:r w:rsidRPr="00BB26C5">
        <w:rPr>
          <w:color w:val="auto"/>
        </w:rPr>
        <w:t>recognised that obtaining long-term data on graft survival can be challenging, as it requires ongoing monitoring of patients over many years and may be subject to various confounding factors</w:t>
      </w:r>
      <w:r w:rsidR="001E2D95">
        <w:rPr>
          <w:color w:val="auto"/>
        </w:rPr>
        <w:t>.</w:t>
      </w:r>
    </w:p>
    <w:p w14:paraId="59E2D167" w14:textId="65815687" w:rsidR="00DA0E49" w:rsidRPr="00DA0E49" w:rsidRDefault="00DA0E49" w:rsidP="00DA0E49">
      <w:pPr>
        <w:pStyle w:val="Instructionaltext"/>
        <w:rPr>
          <w:color w:val="auto"/>
        </w:rPr>
      </w:pPr>
      <w:r w:rsidRPr="00DA0E49">
        <w:rPr>
          <w:color w:val="auto"/>
        </w:rPr>
        <w:t>The ADAR state</w:t>
      </w:r>
      <w:r w:rsidR="00A07C27">
        <w:rPr>
          <w:color w:val="auto"/>
        </w:rPr>
        <w:t>d</w:t>
      </w:r>
      <w:r w:rsidRPr="00DA0E49">
        <w:rPr>
          <w:color w:val="auto"/>
        </w:rPr>
        <w:t xml:space="preserve"> that data reported in the </w:t>
      </w:r>
      <w:r w:rsidR="00981D2C" w:rsidRPr="00DA0E49">
        <w:rPr>
          <w:color w:val="auto"/>
        </w:rPr>
        <w:t>na</w:t>
      </w:r>
      <w:r w:rsidR="00981D2C">
        <w:rPr>
          <w:color w:val="auto"/>
        </w:rPr>
        <w:t>i</w:t>
      </w:r>
      <w:r w:rsidR="00981D2C" w:rsidRPr="00DA0E49">
        <w:rPr>
          <w:color w:val="auto"/>
        </w:rPr>
        <w:t>ve</w:t>
      </w:r>
      <w:r w:rsidR="00981D2C" w:rsidRPr="00DA0E49" w:rsidDel="00981D2C">
        <w:rPr>
          <w:color w:val="auto"/>
        </w:rPr>
        <w:t xml:space="preserve"> </w:t>
      </w:r>
      <w:r w:rsidRPr="00DA0E49">
        <w:rPr>
          <w:color w:val="auto"/>
        </w:rPr>
        <w:t>indirect</w:t>
      </w:r>
      <w:r w:rsidR="009343C1">
        <w:rPr>
          <w:color w:val="auto"/>
        </w:rPr>
        <w:t xml:space="preserve"> treatment</w:t>
      </w:r>
      <w:r w:rsidRPr="00DA0E49">
        <w:rPr>
          <w:color w:val="auto"/>
        </w:rPr>
        <w:t xml:space="preserve"> comparison</w:t>
      </w:r>
      <w:r w:rsidR="009343C1">
        <w:rPr>
          <w:color w:val="auto"/>
        </w:rPr>
        <w:t xml:space="preserve"> (ITC)</w:t>
      </w:r>
      <w:r w:rsidRPr="00DA0E49">
        <w:rPr>
          <w:color w:val="auto"/>
        </w:rPr>
        <w:t xml:space="preserve"> is used in the comparative modelled evaluation to support a claim of superior effectiveness over current care. The ADAR further report</w:t>
      </w:r>
      <w:r w:rsidR="00A07C27">
        <w:rPr>
          <w:color w:val="auto"/>
        </w:rPr>
        <w:t>ed</w:t>
      </w:r>
      <w:r w:rsidRPr="00DA0E49">
        <w:rPr>
          <w:color w:val="auto"/>
        </w:rPr>
        <w:t xml:space="preserve"> that the </w:t>
      </w:r>
      <w:r w:rsidR="0038198F">
        <w:rPr>
          <w:color w:val="auto"/>
        </w:rPr>
        <w:t xml:space="preserve">overall risk of bias resulting from </w:t>
      </w:r>
      <w:r w:rsidRPr="00DA0E49">
        <w:rPr>
          <w:color w:val="auto"/>
        </w:rPr>
        <w:t xml:space="preserve">the ITC </w:t>
      </w:r>
      <w:r w:rsidR="0038198F">
        <w:rPr>
          <w:color w:val="auto"/>
        </w:rPr>
        <w:t>was</w:t>
      </w:r>
      <w:r w:rsidRPr="00DA0E49">
        <w:rPr>
          <w:color w:val="auto"/>
        </w:rPr>
        <w:t xml:space="preserve"> assessed as moderate (GRADE criteria)</w:t>
      </w:r>
      <w:r w:rsidR="00687852">
        <w:rPr>
          <w:color w:val="auto"/>
        </w:rPr>
        <w:t>.</w:t>
      </w:r>
    </w:p>
    <w:p w14:paraId="0E785282" w14:textId="0C27D8FC" w:rsidR="00F228EB" w:rsidRPr="009C5BE4" w:rsidRDefault="00DA0E49" w:rsidP="00E76AE0">
      <w:pPr>
        <w:pStyle w:val="Instructionaltext"/>
        <w:rPr>
          <w:color w:val="auto"/>
        </w:rPr>
      </w:pPr>
      <w:r w:rsidRPr="00DA0E49">
        <w:rPr>
          <w:color w:val="auto"/>
        </w:rPr>
        <w:t>The</w:t>
      </w:r>
      <w:r w:rsidR="00991F50">
        <w:rPr>
          <w:color w:val="auto"/>
        </w:rPr>
        <w:t xml:space="preserve"> commentary</w:t>
      </w:r>
      <w:r w:rsidR="00EB0BE8">
        <w:rPr>
          <w:color w:val="auto"/>
        </w:rPr>
        <w:t xml:space="preserve"> o</w:t>
      </w:r>
      <w:r w:rsidR="0085422B">
        <w:rPr>
          <w:color w:val="auto"/>
        </w:rPr>
        <w:t>f</w:t>
      </w:r>
      <w:r w:rsidR="00EB0BE8">
        <w:rPr>
          <w:color w:val="auto"/>
        </w:rPr>
        <w:t xml:space="preserve"> the </w:t>
      </w:r>
      <w:r w:rsidR="00D5186F">
        <w:rPr>
          <w:color w:val="auto"/>
        </w:rPr>
        <w:t>previous submission (MSAC 1732)</w:t>
      </w:r>
      <w:r w:rsidR="00991F50">
        <w:rPr>
          <w:color w:val="auto"/>
        </w:rPr>
        <w:t xml:space="preserve"> </w:t>
      </w:r>
      <w:r w:rsidRPr="00DA0E49">
        <w:rPr>
          <w:color w:val="auto"/>
        </w:rPr>
        <w:t xml:space="preserve">accepted the rationale for a </w:t>
      </w:r>
      <w:r w:rsidR="00797A32" w:rsidRPr="00DA0E49">
        <w:rPr>
          <w:color w:val="auto"/>
        </w:rPr>
        <w:t>na</w:t>
      </w:r>
      <w:r w:rsidR="00797A32">
        <w:rPr>
          <w:color w:val="auto"/>
        </w:rPr>
        <w:t>i</w:t>
      </w:r>
      <w:r w:rsidR="00797A32" w:rsidRPr="00DA0E49">
        <w:rPr>
          <w:color w:val="auto"/>
        </w:rPr>
        <w:t>ve</w:t>
      </w:r>
      <w:r w:rsidR="00797A32" w:rsidRPr="00DA0E49" w:rsidDel="00797A32">
        <w:rPr>
          <w:color w:val="auto"/>
        </w:rPr>
        <w:t xml:space="preserve"> </w:t>
      </w:r>
      <w:r w:rsidR="0000106B">
        <w:rPr>
          <w:color w:val="auto"/>
        </w:rPr>
        <w:t>ITC</w:t>
      </w:r>
      <w:r w:rsidRPr="00DA0E49">
        <w:rPr>
          <w:color w:val="auto"/>
        </w:rPr>
        <w:t>; however, th</w:t>
      </w:r>
      <w:r w:rsidR="00991F50">
        <w:rPr>
          <w:color w:val="auto"/>
        </w:rPr>
        <w:t xml:space="preserve">at commentary </w:t>
      </w:r>
      <w:r w:rsidRPr="00DA0E49">
        <w:rPr>
          <w:color w:val="auto"/>
        </w:rPr>
        <w:t>disagreed with the conclusion drawn by the ADAR that the patient characteristics are generally homogeneous between the imlifidase study population and the Australian comparator population.</w:t>
      </w:r>
      <w:r w:rsidR="000F77D5">
        <w:rPr>
          <w:color w:val="auto"/>
        </w:rPr>
        <w:t xml:space="preserve"> </w:t>
      </w:r>
      <w:r w:rsidR="002844A7">
        <w:rPr>
          <w:color w:val="auto"/>
        </w:rPr>
        <w:t xml:space="preserve">Additionally, </w:t>
      </w:r>
      <w:r w:rsidR="001F387B">
        <w:rPr>
          <w:color w:val="auto"/>
        </w:rPr>
        <w:t>t</w:t>
      </w:r>
      <w:r w:rsidR="001F387B" w:rsidRPr="001F387B">
        <w:rPr>
          <w:color w:val="auto"/>
        </w:rPr>
        <w:t>h</w:t>
      </w:r>
      <w:r w:rsidR="004F43E8">
        <w:rPr>
          <w:color w:val="auto"/>
        </w:rPr>
        <w:t xml:space="preserve">at commentary </w:t>
      </w:r>
      <w:r w:rsidR="001F387B" w:rsidRPr="001F387B">
        <w:rPr>
          <w:color w:val="auto"/>
        </w:rPr>
        <w:t>considered the evidence for comparative clinical effectiveness to be at high risk of bias due to residual confounding, equivalent to evidence from observational studies typically assessed as low quality (GRADE criteria</w:t>
      </w:r>
      <w:r w:rsidR="009C5BE4" w:rsidRPr="001F387B">
        <w:rPr>
          <w:color w:val="auto"/>
        </w:rPr>
        <w:t>).</w:t>
      </w:r>
      <w:r w:rsidR="009C5BE4">
        <w:rPr>
          <w:color w:val="auto"/>
        </w:rPr>
        <w:t xml:space="preserve"> </w:t>
      </w:r>
      <w:r w:rsidR="00D976A2">
        <w:rPr>
          <w:color w:val="auto"/>
        </w:rPr>
        <w:t xml:space="preserve">The current </w:t>
      </w:r>
      <w:r w:rsidR="004F43E8">
        <w:rPr>
          <w:color w:val="auto"/>
        </w:rPr>
        <w:t>commentary</w:t>
      </w:r>
      <w:r w:rsidR="00D976A2">
        <w:rPr>
          <w:color w:val="auto"/>
        </w:rPr>
        <w:t xml:space="preserve"> agrees with these conclusions</w:t>
      </w:r>
      <w:r w:rsidR="00337A01">
        <w:rPr>
          <w:color w:val="auto"/>
        </w:rPr>
        <w:t>,</w:t>
      </w:r>
      <w:r w:rsidR="00D976A2">
        <w:rPr>
          <w:color w:val="auto"/>
        </w:rPr>
        <w:t xml:space="preserve"> </w:t>
      </w:r>
      <w:r w:rsidR="00F07A27">
        <w:rPr>
          <w:color w:val="auto"/>
        </w:rPr>
        <w:t xml:space="preserve">which also apply to the evidence supplied in this </w:t>
      </w:r>
      <w:proofErr w:type="gramStart"/>
      <w:r w:rsidR="00F07A27">
        <w:rPr>
          <w:color w:val="auto"/>
        </w:rPr>
        <w:t>ADAR</w:t>
      </w:r>
      <w:r w:rsidR="00BA04A6">
        <w:rPr>
          <w:color w:val="auto"/>
        </w:rPr>
        <w:t>,</w:t>
      </w:r>
      <w:r w:rsidR="00D976A2">
        <w:rPr>
          <w:color w:val="auto"/>
        </w:rPr>
        <w:t xml:space="preserve"> and</w:t>
      </w:r>
      <w:proofErr w:type="gramEnd"/>
      <w:r w:rsidR="00D976A2">
        <w:rPr>
          <w:color w:val="auto"/>
        </w:rPr>
        <w:t xml:space="preserve"> </w:t>
      </w:r>
      <w:r w:rsidR="000A4026">
        <w:rPr>
          <w:color w:val="auto"/>
        </w:rPr>
        <w:t xml:space="preserve">has </w:t>
      </w:r>
      <w:r w:rsidR="00D976A2">
        <w:rPr>
          <w:color w:val="auto"/>
        </w:rPr>
        <w:t xml:space="preserve">no further discussion to add. </w:t>
      </w:r>
    </w:p>
    <w:p w14:paraId="0D09C9E4" w14:textId="7E9CD54C" w:rsidR="00772829" w:rsidRPr="00CE28E3" w:rsidRDefault="00B27795" w:rsidP="002A18BE">
      <w:pPr>
        <w:pStyle w:val="Heading2"/>
        <w:numPr>
          <w:ilvl w:val="0"/>
          <w:numId w:val="0"/>
        </w:numPr>
      </w:pPr>
      <w:bookmarkStart w:id="28" w:name="_Toc69491425"/>
      <w:r>
        <w:t>1</w:t>
      </w:r>
      <w:r w:rsidR="00F84BA7">
        <w:t>3</w:t>
      </w:r>
      <w:r w:rsidR="00C36633">
        <w:t>.</w:t>
      </w:r>
      <w:r w:rsidR="00C36633">
        <w:tab/>
      </w:r>
      <w:r w:rsidR="00772829" w:rsidRPr="00CE28E3">
        <w:t>Economic evaluation</w:t>
      </w:r>
      <w:bookmarkEnd w:id="28"/>
    </w:p>
    <w:p w14:paraId="4BE9EAB7" w14:textId="4F303A5E" w:rsidR="00A57536" w:rsidRDefault="00FA31D0" w:rsidP="00FA31D0">
      <w:r>
        <w:t>The ADAR present</w:t>
      </w:r>
      <w:r w:rsidR="00B26690">
        <w:t>ed</w:t>
      </w:r>
      <w:r>
        <w:t xml:space="preserve"> a cost-utility analysis to quantify the incremental costs and benefits of treatment with imlifidase </w:t>
      </w:r>
      <w:r w:rsidR="00507FD8">
        <w:t>prior to kidney transplant</w:t>
      </w:r>
      <w:r w:rsidR="00CA459A">
        <w:t xml:space="preserve"> </w:t>
      </w:r>
      <w:r w:rsidR="00507FD8">
        <w:t>in HS patients</w:t>
      </w:r>
      <w:r w:rsidR="00D21F2C">
        <w:t>, relative to current care</w:t>
      </w:r>
      <w:r w:rsidR="00507FD8">
        <w:t>.</w:t>
      </w:r>
      <w:r>
        <w:t xml:space="preserve"> </w:t>
      </w:r>
      <w:r w:rsidR="003C31B8">
        <w:t xml:space="preserve">A cost-utility analysis is appropriate, </w:t>
      </w:r>
      <w:r w:rsidR="00B540E9">
        <w:t xml:space="preserve">given evidence of superior effectiveness. </w:t>
      </w:r>
      <w:r w:rsidR="008F589D">
        <w:t xml:space="preserve">While </w:t>
      </w:r>
      <w:r w:rsidR="005F39E5">
        <w:t xml:space="preserve">the </w:t>
      </w:r>
      <w:r w:rsidR="008F589D">
        <w:t>lifetime horizon</w:t>
      </w:r>
      <w:r w:rsidR="005F39E5">
        <w:t xml:space="preserve"> used in the ADAR’s economic model</w:t>
      </w:r>
      <w:r w:rsidR="008F589D">
        <w:t xml:space="preserve"> is appropriate, </w:t>
      </w:r>
      <w:r w:rsidR="00837AB9">
        <w:t>it is associated with inherent uncertai</w:t>
      </w:r>
      <w:r w:rsidR="005C1A9F">
        <w:t xml:space="preserve">nty due to </w:t>
      </w:r>
      <w:r w:rsidR="00A326FF">
        <w:t xml:space="preserve">the </w:t>
      </w:r>
      <w:r w:rsidR="005C1A9F">
        <w:t>need for extrapolation beyond available clinical evidence.</w:t>
      </w:r>
    </w:p>
    <w:p w14:paraId="2CAA1801" w14:textId="27609513" w:rsidR="00B832BB" w:rsidRPr="002C4FF3" w:rsidRDefault="00046F5B" w:rsidP="00B832BB">
      <w:r w:rsidRPr="00046F5B">
        <w:t xml:space="preserve">The population has been amended per MSAC advice to be limited to patients with a </w:t>
      </w:r>
      <w:proofErr w:type="spellStart"/>
      <w:r w:rsidRPr="00046F5B">
        <w:t>cPRA</w:t>
      </w:r>
      <w:proofErr w:type="spellEnd"/>
      <w:r w:rsidRPr="00046F5B">
        <w:t xml:space="preserve"> </w:t>
      </w:r>
      <w:r w:rsidR="00B61CBB">
        <w:t>≥</w:t>
      </w:r>
      <w:r w:rsidRPr="00046F5B">
        <w:t>99%.</w:t>
      </w:r>
      <w:r w:rsidRPr="00046F5B" w:rsidDel="00E252A1">
        <w:t xml:space="preserve"> </w:t>
      </w:r>
      <w:r w:rsidR="00B61CBB">
        <w:t>While time on the</w:t>
      </w:r>
      <w:r w:rsidR="00B832BB" w:rsidRPr="00B832BB">
        <w:t xml:space="preserve"> </w:t>
      </w:r>
      <w:r w:rsidR="004A2E3F">
        <w:t>waitlist</w:t>
      </w:r>
      <w:r w:rsidR="00B832BB" w:rsidRPr="00B832BB">
        <w:t xml:space="preserve"> </w:t>
      </w:r>
      <w:r w:rsidR="00B61CBB">
        <w:t>was removed as a criterion</w:t>
      </w:r>
      <w:r w:rsidR="00B832BB" w:rsidRPr="00B832BB">
        <w:t xml:space="preserve"> for patients with a</w:t>
      </w:r>
      <w:r w:rsidR="001C7FC4">
        <w:t>n available</w:t>
      </w:r>
      <w:r w:rsidR="00B832BB" w:rsidRPr="00B832BB">
        <w:t xml:space="preserve"> </w:t>
      </w:r>
      <w:r w:rsidR="001C7FC4">
        <w:t>LD</w:t>
      </w:r>
      <w:r w:rsidR="00620882">
        <w:t xml:space="preserve">, the </w:t>
      </w:r>
      <w:r w:rsidR="00B832BB" w:rsidRPr="00B832BB">
        <w:t xml:space="preserve">criterion </w:t>
      </w:r>
      <w:r w:rsidR="00517DDC">
        <w:t>has</w:t>
      </w:r>
      <w:r w:rsidR="00B832BB" w:rsidRPr="00B832BB">
        <w:t xml:space="preserve"> been maintained through the economic and financial </w:t>
      </w:r>
      <w:r w:rsidR="00B832BB" w:rsidRPr="002C4FF3">
        <w:t>calculations</w:t>
      </w:r>
      <w:r w:rsidR="00517DDC">
        <w:t xml:space="preserve"> presented in the ADAR</w:t>
      </w:r>
      <w:r w:rsidR="00B832BB" w:rsidRPr="002C4FF3">
        <w:t>.</w:t>
      </w:r>
      <w:r w:rsidR="007C3354">
        <w:t xml:space="preserve"> </w:t>
      </w:r>
      <w:r w:rsidR="00D94E6C">
        <w:t>For the economic analysis</w:t>
      </w:r>
      <w:r w:rsidR="00F22E3B">
        <w:t>,</w:t>
      </w:r>
      <w:r w:rsidR="00D94E6C">
        <w:t xml:space="preserve"> clinical data </w:t>
      </w:r>
      <w:r w:rsidR="00CB5A5F">
        <w:t>were</w:t>
      </w:r>
      <w:r w:rsidR="00D94E6C">
        <w:t xml:space="preserve"> sourced from the AUS-UTT-A population</w:t>
      </w:r>
      <w:r w:rsidR="004A4EE8">
        <w:t>,</w:t>
      </w:r>
      <w:r w:rsidR="00500FB0">
        <w:t xml:space="preserve"> </w:t>
      </w:r>
      <w:r w:rsidR="00726A42">
        <w:t>thus there</w:t>
      </w:r>
      <w:r w:rsidR="004F7AF8">
        <w:t xml:space="preserve"> </w:t>
      </w:r>
      <w:r w:rsidR="00AF69E8">
        <w:t>is</w:t>
      </w:r>
      <w:r w:rsidR="004F7AF8">
        <w:t xml:space="preserve"> </w:t>
      </w:r>
      <w:r w:rsidR="00FB1CF0">
        <w:t>a</w:t>
      </w:r>
      <w:r w:rsidR="004F7AF8">
        <w:t xml:space="preserve"> </w:t>
      </w:r>
      <w:r w:rsidR="006F78CE">
        <w:t>discrepancy</w:t>
      </w:r>
      <w:r w:rsidR="004F7AF8">
        <w:t xml:space="preserve"> between the </w:t>
      </w:r>
      <w:r w:rsidR="00391546">
        <w:t>model population (</w:t>
      </w:r>
      <w:r w:rsidR="00FB1CF0">
        <w:t>patients</w:t>
      </w:r>
      <w:r w:rsidR="00055520">
        <w:t xml:space="preserve"> with an LD</w:t>
      </w:r>
      <w:r w:rsidR="00FB1CF0">
        <w:t xml:space="preserve"> </w:t>
      </w:r>
      <w:r w:rsidR="006D442A">
        <w:t>required to have received</w:t>
      </w:r>
      <w:r w:rsidR="00FB1CF0">
        <w:t xml:space="preserve"> dialysis for </w:t>
      </w:r>
      <w:r w:rsidR="00FB1CF0" w:rsidRPr="00500FB0">
        <w:t>≥2 years</w:t>
      </w:r>
      <w:r w:rsidR="00FB1CF0">
        <w:t>) and the population</w:t>
      </w:r>
      <w:r w:rsidR="00E032BE">
        <w:t xml:space="preserve"> proposed </w:t>
      </w:r>
      <w:r w:rsidR="00A63D55">
        <w:t>to be treated in</w:t>
      </w:r>
      <w:r w:rsidR="00FB1CF0">
        <w:t xml:space="preserve"> Australian clinical practice (</w:t>
      </w:r>
      <w:r w:rsidR="00185A06">
        <w:t xml:space="preserve">no restriction on wait time for </w:t>
      </w:r>
      <w:r w:rsidR="00E032BE">
        <w:t>patients with an LD</w:t>
      </w:r>
      <w:r w:rsidR="00185A06">
        <w:t>)</w:t>
      </w:r>
      <w:r w:rsidR="00D44E8C">
        <w:t xml:space="preserve">. </w:t>
      </w:r>
      <w:r w:rsidR="00616C9C">
        <w:t>Overall,</w:t>
      </w:r>
      <w:r w:rsidR="002D579E">
        <w:t xml:space="preserve"> the</w:t>
      </w:r>
      <w:r w:rsidR="00D73F1D">
        <w:t xml:space="preserve"> </w:t>
      </w:r>
      <w:r w:rsidR="00616C9C">
        <w:t>generalisability</w:t>
      </w:r>
      <w:r w:rsidR="00D73F1D">
        <w:t xml:space="preserve"> </w:t>
      </w:r>
      <w:r w:rsidR="007A51B9">
        <w:t xml:space="preserve">of the clinical data </w:t>
      </w:r>
      <w:r w:rsidR="00DC63C9">
        <w:t xml:space="preserve">used in </w:t>
      </w:r>
      <w:r w:rsidR="007A51B9">
        <w:t xml:space="preserve">the </w:t>
      </w:r>
      <w:r w:rsidR="00DC63C9">
        <w:t xml:space="preserve">economic model to </w:t>
      </w:r>
      <w:r w:rsidR="007A51B9">
        <w:t xml:space="preserve">Australian </w:t>
      </w:r>
      <w:r w:rsidR="00DC63C9">
        <w:t>practice is uncertain.</w:t>
      </w:r>
      <w:r w:rsidR="00190300">
        <w:t xml:space="preserve"> </w:t>
      </w:r>
      <w:r w:rsidR="002D1D12">
        <w:t>Similarly, i</w:t>
      </w:r>
      <w:r w:rsidR="00190300">
        <w:t xml:space="preserve">n the financial analysis, patients transplanted within 2 years of listing in the ANZKX program </w:t>
      </w:r>
      <w:r w:rsidR="00AB3182">
        <w:t>were</w:t>
      </w:r>
      <w:r w:rsidR="00190300">
        <w:t xml:space="preserve"> excluded from the eligible population.</w:t>
      </w:r>
    </w:p>
    <w:p w14:paraId="3786B619" w14:textId="3F43C3A2" w:rsidR="00B832BB" w:rsidRDefault="003D0A82" w:rsidP="00FA31D0">
      <w:r w:rsidRPr="00B02CE7">
        <w:t>MSAC advised the applicant</w:t>
      </w:r>
      <w:r>
        <w:t xml:space="preserve"> </w:t>
      </w:r>
      <w:r w:rsidR="00986FA3">
        <w:t xml:space="preserve">to </w:t>
      </w:r>
      <w:r w:rsidR="00967F0C">
        <w:t>amend</w:t>
      </w:r>
      <w:r w:rsidRPr="00B02CE7">
        <w:t xml:space="preserve"> the economic model</w:t>
      </w:r>
      <w:r>
        <w:t xml:space="preserve"> before resubmission</w:t>
      </w:r>
      <w:r w:rsidRPr="00B02CE7">
        <w:t xml:space="preserve"> using revised comparators</w:t>
      </w:r>
      <w:r w:rsidR="00620882">
        <w:t xml:space="preserve"> </w:t>
      </w:r>
      <w:r w:rsidR="00620882" w:rsidRPr="00B02CE7">
        <w:t>(MSAC 1732</w:t>
      </w:r>
      <w:r w:rsidR="00CE7BDF">
        <w:t xml:space="preserve"> PSD</w:t>
      </w:r>
      <w:r w:rsidR="00620882" w:rsidRPr="00B02CE7">
        <w:t>)</w:t>
      </w:r>
      <w:r w:rsidRPr="00B02CE7">
        <w:t>.</w:t>
      </w:r>
      <w:r>
        <w:t xml:space="preserve"> </w:t>
      </w:r>
      <w:r w:rsidR="00620882">
        <w:t>While t</w:t>
      </w:r>
      <w:r w:rsidRPr="00AE0301">
        <w:t>he applicant acknowledged MSAC’s recommendation</w:t>
      </w:r>
      <w:r w:rsidR="00620882">
        <w:t xml:space="preserve">, they </w:t>
      </w:r>
      <w:r w:rsidRPr="00AE0301">
        <w:t xml:space="preserve">argued </w:t>
      </w:r>
      <w:r w:rsidR="00167F05">
        <w:t xml:space="preserve">for the retention of </w:t>
      </w:r>
      <w:r w:rsidRPr="00AE0301">
        <w:t>dialysis until a transplant becomes available</w:t>
      </w:r>
      <w:r w:rsidR="00167F05">
        <w:t xml:space="preserve"> as the comparator</w:t>
      </w:r>
      <w:r w:rsidR="00620882">
        <w:t xml:space="preserve">, </w:t>
      </w:r>
      <w:r w:rsidRPr="00AE0301">
        <w:t>provid</w:t>
      </w:r>
      <w:r w:rsidR="00620882">
        <w:t>ing</w:t>
      </w:r>
      <w:r w:rsidRPr="00AE0301">
        <w:t xml:space="preserve"> evidence from a survey of adult kidney transplant centres in support of their position</w:t>
      </w:r>
      <w:r w:rsidR="000450CA">
        <w:t>.</w:t>
      </w:r>
      <w:r w:rsidR="003442A3">
        <w:t xml:space="preserve"> </w:t>
      </w:r>
    </w:p>
    <w:p w14:paraId="3867EFF2" w14:textId="75969051" w:rsidR="00BF197E" w:rsidRDefault="00E178B4" w:rsidP="001D4FE7">
      <w:r>
        <w:t xml:space="preserve">The same model structure </w:t>
      </w:r>
      <w:r w:rsidR="005B022B">
        <w:t>is used in the resubmission as originally presented in ADAR 1732</w:t>
      </w:r>
      <w:r w:rsidR="00BE6269">
        <w:t>:</w:t>
      </w:r>
      <w:r w:rsidR="00F223D9">
        <w:t xml:space="preserve"> </w:t>
      </w:r>
      <w:r w:rsidR="00BE6269">
        <w:t>a</w:t>
      </w:r>
      <w:r w:rsidR="00F223D9">
        <w:t xml:space="preserve"> cohort-level Markov model</w:t>
      </w:r>
      <w:r w:rsidR="00274862">
        <w:t xml:space="preserve">, </w:t>
      </w:r>
      <w:r w:rsidR="00A67061">
        <w:t>including</w:t>
      </w:r>
      <w:r w:rsidR="00274862">
        <w:t xml:space="preserve"> </w:t>
      </w:r>
      <w:r w:rsidR="002C6652">
        <w:t>health states describing patients receiving dialysis</w:t>
      </w:r>
      <w:r w:rsidR="00444036">
        <w:t xml:space="preserve"> </w:t>
      </w:r>
      <w:r w:rsidR="00A67061">
        <w:t xml:space="preserve">who are on a kidney transplant </w:t>
      </w:r>
      <w:r w:rsidR="004A2E3F">
        <w:t>waitlist</w:t>
      </w:r>
      <w:r w:rsidR="00A67061">
        <w:t xml:space="preserve">, patients receiving dialysis who are not on a </w:t>
      </w:r>
      <w:r w:rsidR="004A2E3F">
        <w:t>waitlist</w:t>
      </w:r>
      <w:r w:rsidR="00A67061">
        <w:t xml:space="preserve">, </w:t>
      </w:r>
      <w:r w:rsidR="008E1C47">
        <w:t>patients with a function</w:t>
      </w:r>
      <w:r w:rsidR="00A67061">
        <w:t>ing</w:t>
      </w:r>
      <w:r w:rsidR="008E1C47">
        <w:t xml:space="preserve"> graft, and death. </w:t>
      </w:r>
    </w:p>
    <w:p w14:paraId="55E4E4A7" w14:textId="697B48E2" w:rsidR="001F09CC" w:rsidRDefault="001F09CC" w:rsidP="001D4FE7">
      <w:r w:rsidRPr="001F09CC">
        <w:t>MSAC</w:t>
      </w:r>
      <w:r>
        <w:t xml:space="preserve"> raised concerns the model</w:t>
      </w:r>
      <w:r w:rsidRPr="001F09CC">
        <w:t xml:space="preserve"> did not properly consider the different comparators and corresponding different clinical pathways for potential recipients of LD and DD kidneys</w:t>
      </w:r>
      <w:r w:rsidR="00160331">
        <w:t xml:space="preserve"> (MSAC 1732 PSD)</w:t>
      </w:r>
      <w:r w:rsidRPr="001F09CC">
        <w:t xml:space="preserve">. </w:t>
      </w:r>
      <w:r w:rsidR="000C595B">
        <w:t>MSAC considered</w:t>
      </w:r>
      <w:r w:rsidR="00ED5E7E">
        <w:t xml:space="preserve"> that after adjusting the model for displacement </w:t>
      </w:r>
      <w:r w:rsidR="00F529A4">
        <w:t>effects on non-HS patients and the higher costs and inferior outcomes</w:t>
      </w:r>
      <w:r w:rsidR="006E7088">
        <w:t xml:space="preserve">, the </w:t>
      </w:r>
      <w:r w:rsidR="000C595B">
        <w:t>ICERs</w:t>
      </w:r>
      <w:r w:rsidR="006E7088">
        <w:t xml:space="preserve"> of DD </w:t>
      </w:r>
      <w:r w:rsidR="000C595B">
        <w:t xml:space="preserve">and LD </w:t>
      </w:r>
      <w:r w:rsidR="006E7088">
        <w:t xml:space="preserve">transplants </w:t>
      </w:r>
      <w:r w:rsidR="006E7088">
        <w:lastRenderedPageBreak/>
        <w:t xml:space="preserve">facilitated by imlifidase </w:t>
      </w:r>
      <w:r w:rsidR="000C595B">
        <w:t>are</w:t>
      </w:r>
      <w:r w:rsidR="006E7088">
        <w:t xml:space="preserve"> likely to be in </w:t>
      </w:r>
      <w:r w:rsidR="000C595B">
        <w:t xml:space="preserve">different quadrants of </w:t>
      </w:r>
      <w:r w:rsidR="006E7088">
        <w:t xml:space="preserve">the </w:t>
      </w:r>
      <w:r w:rsidR="000C595B">
        <w:t xml:space="preserve">cost-effectiveness plane. </w:t>
      </w:r>
      <w:r w:rsidR="006B62B4">
        <w:t>Separate</w:t>
      </w:r>
      <w:r w:rsidR="008F78E1">
        <w:t xml:space="preserve"> ICERs for LD and DD </w:t>
      </w:r>
      <w:r w:rsidR="0062351A">
        <w:t>kidney transplant recipients are not presented</w:t>
      </w:r>
      <w:r w:rsidR="000C595B">
        <w:t xml:space="preserve"> in the </w:t>
      </w:r>
      <w:r w:rsidR="00371D65">
        <w:t>ADAR</w:t>
      </w:r>
      <w:r w:rsidR="0062351A">
        <w:t>.</w:t>
      </w:r>
      <w:r w:rsidR="00DE4419">
        <w:t xml:space="preserve"> </w:t>
      </w:r>
      <w:r w:rsidR="009C0D53">
        <w:t>Instead, t</w:t>
      </w:r>
      <w:r w:rsidR="00047B56">
        <w:t>he ADAR</w:t>
      </w:r>
      <w:r w:rsidR="005C0BC4">
        <w:t xml:space="preserve"> assumes 24.0% of </w:t>
      </w:r>
      <w:r w:rsidR="00A946D6">
        <w:t xml:space="preserve">imlifidase-enabled transplants are </w:t>
      </w:r>
      <w:r w:rsidR="0053321F">
        <w:t>LD transplants</w:t>
      </w:r>
      <w:r w:rsidR="00EB1E63">
        <w:t xml:space="preserve">. </w:t>
      </w:r>
      <w:r w:rsidR="00003162">
        <w:t xml:space="preserve">Additional </w:t>
      </w:r>
      <w:r w:rsidR="00015994">
        <w:t>s</w:t>
      </w:r>
      <w:r w:rsidR="00EB1E63">
        <w:t>cenario analysis setting this parameter to 0%</w:t>
      </w:r>
      <w:r w:rsidR="00003162">
        <w:t xml:space="preserve"> and 100%</w:t>
      </w:r>
      <w:r w:rsidR="00743DBA">
        <w:t>—that is, assuming</w:t>
      </w:r>
      <w:r w:rsidR="00003162">
        <w:t xml:space="preserve"> only DD or LD transplants, respectively</w:t>
      </w:r>
      <w:r w:rsidR="00743DBA">
        <w:t>—</w:t>
      </w:r>
      <w:r w:rsidR="00C32A83">
        <w:t>was</w:t>
      </w:r>
      <w:r w:rsidR="00003162">
        <w:t xml:space="preserve"> undertaken by the commentary</w:t>
      </w:r>
      <w:r w:rsidR="00743DBA">
        <w:t xml:space="preserve"> (results below)</w:t>
      </w:r>
      <w:r w:rsidR="00003162">
        <w:t>.</w:t>
      </w:r>
      <w:r w:rsidR="00EB1E63">
        <w:t xml:space="preserve"> </w:t>
      </w:r>
    </w:p>
    <w:p w14:paraId="6DDABB10" w14:textId="0CB4B3F9" w:rsidR="0000570A" w:rsidRDefault="00C55ABE" w:rsidP="00517DDC">
      <w:r>
        <w:t xml:space="preserve">Table 7 </w:t>
      </w:r>
      <w:r w:rsidR="00367F64">
        <w:t>provides a summary of the economic evaluation presented in the ADAR.</w:t>
      </w:r>
    </w:p>
    <w:p w14:paraId="67F0094E" w14:textId="565F954F" w:rsidR="001255BA" w:rsidRDefault="001255BA" w:rsidP="008811EE">
      <w:pPr>
        <w:pStyle w:val="Caption"/>
        <w:tabs>
          <w:tab w:val="left" w:pos="1134"/>
        </w:tabs>
        <w:ind w:left="1134" w:hanging="1134"/>
      </w:pPr>
      <w:bookmarkStart w:id="29" w:name="_Ref163647929"/>
      <w:bookmarkStart w:id="30" w:name="_Ref163647908"/>
      <w:r>
        <w:t xml:space="preserve">Table </w:t>
      </w:r>
      <w:bookmarkEnd w:id="29"/>
      <w:r w:rsidR="00C55ABE">
        <w:t xml:space="preserve">7 </w:t>
      </w:r>
      <w:r w:rsidRPr="007B1070">
        <w:t>Summary of the economic evaluation</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697"/>
        <w:gridCol w:w="7319"/>
      </w:tblGrid>
      <w:tr w:rsidR="00553E8A" w:rsidRPr="00CE28E3" w14:paraId="3C0DF1BD" w14:textId="2726922C" w:rsidTr="008A644D">
        <w:trPr>
          <w:cantSplit/>
          <w:tblHeader/>
        </w:trPr>
        <w:tc>
          <w:tcPr>
            <w:tcW w:w="941" w:type="pct"/>
          </w:tcPr>
          <w:p w14:paraId="57632985" w14:textId="77777777" w:rsidR="00553E8A" w:rsidRPr="000449D1" w:rsidRDefault="00553E8A" w:rsidP="00670650">
            <w:pPr>
              <w:pStyle w:val="TableHeading"/>
              <w:rPr>
                <w:szCs w:val="20"/>
              </w:rPr>
            </w:pPr>
            <w:bookmarkStart w:id="31" w:name="Title_Table5"/>
            <w:bookmarkStart w:id="32" w:name="_Hlk68276446"/>
            <w:bookmarkEnd w:id="31"/>
            <w:r w:rsidRPr="000449D1">
              <w:rPr>
                <w:szCs w:val="20"/>
              </w:rPr>
              <w:t>Component</w:t>
            </w:r>
          </w:p>
        </w:tc>
        <w:tc>
          <w:tcPr>
            <w:tcW w:w="4059" w:type="pct"/>
          </w:tcPr>
          <w:p w14:paraId="123CA837" w14:textId="77777777" w:rsidR="00553E8A" w:rsidRPr="000449D1" w:rsidRDefault="00553E8A" w:rsidP="00670650">
            <w:pPr>
              <w:pStyle w:val="TableHeading"/>
              <w:rPr>
                <w:szCs w:val="20"/>
              </w:rPr>
            </w:pPr>
            <w:r w:rsidRPr="000449D1">
              <w:rPr>
                <w:szCs w:val="20"/>
              </w:rPr>
              <w:t>Description</w:t>
            </w:r>
          </w:p>
        </w:tc>
      </w:tr>
      <w:tr w:rsidR="00553E8A" w:rsidRPr="000449D1" w14:paraId="31113E27" w14:textId="755DAA21" w:rsidTr="008A644D">
        <w:trPr>
          <w:cantSplit/>
        </w:trPr>
        <w:tc>
          <w:tcPr>
            <w:tcW w:w="941" w:type="pct"/>
          </w:tcPr>
          <w:p w14:paraId="7DFFBC7E" w14:textId="77777777" w:rsidR="00553E8A" w:rsidRPr="000449D1" w:rsidRDefault="00553E8A" w:rsidP="00EA50B7">
            <w:pPr>
              <w:pStyle w:val="TableText"/>
              <w:rPr>
                <w:szCs w:val="20"/>
              </w:rPr>
            </w:pPr>
            <w:r w:rsidRPr="000449D1">
              <w:rPr>
                <w:szCs w:val="20"/>
              </w:rPr>
              <w:t>Perspective</w:t>
            </w:r>
          </w:p>
        </w:tc>
        <w:tc>
          <w:tcPr>
            <w:tcW w:w="4059" w:type="pct"/>
          </w:tcPr>
          <w:p w14:paraId="56EF2FFF" w14:textId="3CA86D2A" w:rsidR="00553E8A" w:rsidRPr="000449D1" w:rsidRDefault="00553E8A" w:rsidP="00EA50B7">
            <w:pPr>
              <w:pStyle w:val="TableText"/>
              <w:rPr>
                <w:szCs w:val="20"/>
              </w:rPr>
            </w:pPr>
            <w:r w:rsidRPr="000449D1">
              <w:rPr>
                <w:szCs w:val="20"/>
              </w:rPr>
              <w:t>Healthcare system perspective</w:t>
            </w:r>
          </w:p>
        </w:tc>
      </w:tr>
      <w:tr w:rsidR="00553E8A" w:rsidRPr="000449D1" w14:paraId="3AE7C53E" w14:textId="3AF3CBC2" w:rsidTr="008A644D">
        <w:trPr>
          <w:cantSplit/>
          <w:tblHeader/>
        </w:trPr>
        <w:tc>
          <w:tcPr>
            <w:tcW w:w="941" w:type="pct"/>
          </w:tcPr>
          <w:p w14:paraId="7D8A22F3" w14:textId="2D6EF9C6" w:rsidR="00553E8A" w:rsidRPr="000449D1" w:rsidRDefault="00553E8A" w:rsidP="00EA50B7">
            <w:pPr>
              <w:pStyle w:val="TableText"/>
              <w:rPr>
                <w:szCs w:val="20"/>
              </w:rPr>
            </w:pPr>
            <w:r w:rsidRPr="000449D1">
              <w:rPr>
                <w:szCs w:val="20"/>
              </w:rPr>
              <w:t>Population</w:t>
            </w:r>
          </w:p>
        </w:tc>
        <w:tc>
          <w:tcPr>
            <w:tcW w:w="4059" w:type="pct"/>
          </w:tcPr>
          <w:p w14:paraId="0EC481F1" w14:textId="15A6A655" w:rsidR="00553E8A" w:rsidRPr="00F812FC" w:rsidRDefault="00553E8A" w:rsidP="00EA50B7">
            <w:pPr>
              <w:spacing w:before="40" w:after="40" w:line="240" w:lineRule="auto"/>
              <w:rPr>
                <w:rFonts w:ascii="Arial Narrow" w:hAnsi="Arial Narrow"/>
                <w:sz w:val="20"/>
                <w:szCs w:val="20"/>
              </w:rPr>
            </w:pPr>
            <w:r>
              <w:rPr>
                <w:rFonts w:ascii="Arial Narrow" w:hAnsi="Arial Narrow"/>
                <w:sz w:val="20"/>
                <w:szCs w:val="20"/>
              </w:rPr>
              <w:t xml:space="preserve">Adult patients with </w:t>
            </w:r>
            <w:r w:rsidR="00B722F6">
              <w:rPr>
                <w:rFonts w:ascii="Arial Narrow" w:hAnsi="Arial Narrow"/>
                <w:sz w:val="20"/>
                <w:szCs w:val="20"/>
              </w:rPr>
              <w:t>end-stage kidney disease</w:t>
            </w:r>
            <w:r>
              <w:rPr>
                <w:rFonts w:ascii="Arial Narrow" w:hAnsi="Arial Narrow"/>
                <w:sz w:val="20"/>
                <w:szCs w:val="20"/>
              </w:rPr>
              <w:t xml:space="preserve"> who are </w:t>
            </w:r>
            <w:r w:rsidR="00EF3EC7">
              <w:rPr>
                <w:rFonts w:ascii="Arial Narrow" w:hAnsi="Arial Narrow"/>
                <w:sz w:val="20"/>
                <w:szCs w:val="20"/>
              </w:rPr>
              <w:t>HS</w:t>
            </w:r>
            <w:r w:rsidRPr="00F812FC">
              <w:rPr>
                <w:rFonts w:ascii="Arial Narrow" w:hAnsi="Arial Narrow"/>
                <w:sz w:val="20"/>
                <w:szCs w:val="20"/>
              </w:rPr>
              <w:t xml:space="preserve"> </w:t>
            </w:r>
            <w:r>
              <w:rPr>
                <w:rFonts w:ascii="Arial Narrow" w:hAnsi="Arial Narrow"/>
                <w:sz w:val="20"/>
                <w:szCs w:val="20"/>
              </w:rPr>
              <w:t>and</w:t>
            </w:r>
            <w:r w:rsidRPr="00F812FC">
              <w:rPr>
                <w:rFonts w:ascii="Arial Narrow" w:hAnsi="Arial Narrow"/>
                <w:sz w:val="20"/>
                <w:szCs w:val="20"/>
              </w:rPr>
              <w:t xml:space="preserve"> unlikely to be otherwise </w:t>
            </w:r>
            <w:proofErr w:type="gramStart"/>
            <w:r w:rsidRPr="00F812FC">
              <w:rPr>
                <w:rFonts w:ascii="Arial Narrow" w:hAnsi="Arial Narrow"/>
                <w:sz w:val="20"/>
                <w:szCs w:val="20"/>
              </w:rPr>
              <w:t>transplanted</w:t>
            </w:r>
            <w:proofErr w:type="gramEnd"/>
          </w:p>
          <w:p w14:paraId="51CB2C3F" w14:textId="2A07740B" w:rsidR="00553E8A" w:rsidRPr="00F812FC" w:rsidRDefault="00553E8A" w:rsidP="00EA50B7">
            <w:pPr>
              <w:spacing w:before="40" w:after="40" w:line="240" w:lineRule="auto"/>
              <w:rPr>
                <w:rFonts w:ascii="Arial Narrow" w:hAnsi="Arial Narrow"/>
                <w:sz w:val="20"/>
                <w:szCs w:val="20"/>
              </w:rPr>
            </w:pPr>
            <w:r w:rsidRPr="00F812FC">
              <w:rPr>
                <w:rFonts w:ascii="Arial Narrow" w:hAnsi="Arial Narrow"/>
                <w:sz w:val="20"/>
                <w:szCs w:val="20"/>
              </w:rPr>
              <w:t xml:space="preserve">For patients waiting for a </w:t>
            </w:r>
            <w:r w:rsidR="000450CA">
              <w:rPr>
                <w:rFonts w:ascii="Arial Narrow" w:hAnsi="Arial Narrow"/>
                <w:sz w:val="20"/>
                <w:szCs w:val="20"/>
              </w:rPr>
              <w:t>DD</w:t>
            </w:r>
            <w:r w:rsidRPr="00F812FC">
              <w:rPr>
                <w:rFonts w:ascii="Arial Narrow" w:hAnsi="Arial Narrow"/>
                <w:sz w:val="20"/>
                <w:szCs w:val="20"/>
              </w:rPr>
              <w:t xml:space="preserve"> kidney: </w:t>
            </w:r>
          </w:p>
          <w:p w14:paraId="395B0B77" w14:textId="768FF939" w:rsidR="00553E8A" w:rsidRDefault="00553E8A" w:rsidP="00FC0389">
            <w:pPr>
              <w:pStyle w:val="ListParagraph"/>
              <w:numPr>
                <w:ilvl w:val="0"/>
                <w:numId w:val="13"/>
              </w:numPr>
              <w:spacing w:before="40" w:after="40" w:line="240" w:lineRule="auto"/>
              <w:rPr>
                <w:rFonts w:ascii="Arial Narrow" w:hAnsi="Arial Narrow"/>
                <w:sz w:val="20"/>
                <w:szCs w:val="20"/>
              </w:rPr>
            </w:pPr>
            <w:r w:rsidRPr="003B7E96">
              <w:rPr>
                <w:rFonts w:ascii="Arial Narrow" w:hAnsi="Arial Narrow"/>
                <w:sz w:val="20"/>
                <w:szCs w:val="20"/>
              </w:rPr>
              <w:t xml:space="preserve">Have a </w:t>
            </w:r>
            <w:proofErr w:type="spellStart"/>
            <w:r w:rsidRPr="003B7E96">
              <w:rPr>
                <w:rFonts w:ascii="Arial Narrow" w:hAnsi="Arial Narrow"/>
                <w:sz w:val="20"/>
                <w:szCs w:val="20"/>
              </w:rPr>
              <w:t>cPRA</w:t>
            </w:r>
            <w:proofErr w:type="spellEnd"/>
            <w:r w:rsidRPr="003B7E96">
              <w:rPr>
                <w:rFonts w:ascii="Arial Narrow" w:hAnsi="Arial Narrow"/>
                <w:sz w:val="20"/>
                <w:szCs w:val="20"/>
              </w:rPr>
              <w:t xml:space="preserve"> </w:t>
            </w:r>
            <w:r>
              <w:rPr>
                <w:rFonts w:ascii="Arial Narrow" w:hAnsi="Arial Narrow"/>
                <w:sz w:val="20"/>
                <w:szCs w:val="20"/>
              </w:rPr>
              <w:t>≥</w:t>
            </w:r>
            <w:r w:rsidRPr="003B7E96">
              <w:rPr>
                <w:rFonts w:ascii="Arial Narrow" w:hAnsi="Arial Narrow"/>
                <w:sz w:val="20"/>
                <w:szCs w:val="20"/>
              </w:rPr>
              <w:t>99%; AND</w:t>
            </w:r>
          </w:p>
          <w:p w14:paraId="5A27FBFE" w14:textId="161DDF40" w:rsidR="00553E8A" w:rsidRDefault="00553E8A" w:rsidP="00FC0389">
            <w:pPr>
              <w:pStyle w:val="ListParagraph"/>
              <w:numPr>
                <w:ilvl w:val="0"/>
                <w:numId w:val="13"/>
              </w:numPr>
              <w:spacing w:before="40" w:after="40" w:line="240" w:lineRule="auto"/>
              <w:rPr>
                <w:rFonts w:ascii="Arial Narrow" w:hAnsi="Arial Narrow"/>
                <w:sz w:val="20"/>
                <w:szCs w:val="20"/>
              </w:rPr>
            </w:pPr>
            <w:r w:rsidRPr="003B7E96">
              <w:rPr>
                <w:rFonts w:ascii="Arial Narrow" w:hAnsi="Arial Narrow"/>
                <w:sz w:val="20"/>
                <w:szCs w:val="20"/>
              </w:rPr>
              <w:t xml:space="preserve">With a positive </w:t>
            </w:r>
            <w:r w:rsidR="00B92702" w:rsidRPr="00B92702">
              <w:rPr>
                <w:rFonts w:ascii="Arial Narrow" w:hAnsi="Arial Narrow"/>
                <w:sz w:val="20"/>
                <w:szCs w:val="20"/>
              </w:rPr>
              <w:t>crossmatch</w:t>
            </w:r>
            <w:r w:rsidR="00B92702" w:rsidRPr="00B92702" w:rsidDel="00B92702">
              <w:rPr>
                <w:rFonts w:ascii="Arial Narrow" w:hAnsi="Arial Narrow"/>
                <w:sz w:val="20"/>
                <w:szCs w:val="20"/>
              </w:rPr>
              <w:t xml:space="preserve"> </w:t>
            </w:r>
            <w:r w:rsidRPr="003B7E96">
              <w:rPr>
                <w:rFonts w:ascii="Arial Narrow" w:hAnsi="Arial Narrow"/>
                <w:sz w:val="20"/>
                <w:szCs w:val="20"/>
              </w:rPr>
              <w:t xml:space="preserve">against an available donor; AND </w:t>
            </w:r>
          </w:p>
          <w:p w14:paraId="2E749545" w14:textId="7BD540D6" w:rsidR="00553E8A" w:rsidRPr="000802DF" w:rsidRDefault="00553E8A" w:rsidP="00FC0389">
            <w:pPr>
              <w:pStyle w:val="ListParagraph"/>
              <w:numPr>
                <w:ilvl w:val="0"/>
                <w:numId w:val="13"/>
              </w:numPr>
              <w:spacing w:before="40" w:after="40" w:line="240" w:lineRule="auto"/>
              <w:rPr>
                <w:rFonts w:ascii="Arial Narrow" w:hAnsi="Arial Narrow"/>
                <w:sz w:val="20"/>
                <w:szCs w:val="20"/>
              </w:rPr>
            </w:pPr>
            <w:r w:rsidRPr="00553E8A">
              <w:rPr>
                <w:rFonts w:ascii="Arial Narrow" w:hAnsi="Arial Narrow"/>
                <w:sz w:val="20"/>
                <w:szCs w:val="20"/>
              </w:rPr>
              <w:t xml:space="preserve">Have been active on the donor transplant list for at least </w:t>
            </w:r>
            <w:r w:rsidR="000450CA">
              <w:rPr>
                <w:rFonts w:ascii="Arial Narrow" w:hAnsi="Arial Narrow"/>
                <w:sz w:val="20"/>
                <w:szCs w:val="20"/>
              </w:rPr>
              <w:t>2</w:t>
            </w:r>
            <w:r w:rsidRPr="00553E8A">
              <w:rPr>
                <w:rFonts w:ascii="Arial Narrow" w:hAnsi="Arial Narrow"/>
                <w:sz w:val="20"/>
                <w:szCs w:val="20"/>
              </w:rPr>
              <w:t xml:space="preserve"> years.</w:t>
            </w:r>
          </w:p>
          <w:p w14:paraId="498F55A7" w14:textId="2D7BE158" w:rsidR="00553E8A" w:rsidRPr="00F812FC" w:rsidRDefault="00553E8A" w:rsidP="00EA50B7">
            <w:pPr>
              <w:spacing w:before="40" w:after="40" w:line="240" w:lineRule="auto"/>
              <w:rPr>
                <w:rFonts w:ascii="Arial Narrow" w:hAnsi="Arial Narrow"/>
                <w:sz w:val="20"/>
                <w:szCs w:val="20"/>
              </w:rPr>
            </w:pPr>
            <w:r w:rsidRPr="00F812FC">
              <w:rPr>
                <w:rFonts w:ascii="Arial Narrow" w:hAnsi="Arial Narrow"/>
                <w:sz w:val="20"/>
                <w:szCs w:val="20"/>
              </w:rPr>
              <w:t xml:space="preserve">For patients with </w:t>
            </w:r>
            <w:r w:rsidR="001C7FC4">
              <w:rPr>
                <w:rFonts w:ascii="Arial Narrow" w:hAnsi="Arial Narrow"/>
                <w:sz w:val="20"/>
                <w:szCs w:val="20"/>
              </w:rPr>
              <w:t>an available LD</w:t>
            </w:r>
            <w:r w:rsidRPr="00F812FC">
              <w:rPr>
                <w:rFonts w:ascii="Arial Narrow" w:hAnsi="Arial Narrow"/>
                <w:sz w:val="20"/>
                <w:szCs w:val="20"/>
              </w:rPr>
              <w:t xml:space="preserve">: </w:t>
            </w:r>
          </w:p>
          <w:p w14:paraId="15425AFB" w14:textId="3547CB9E" w:rsidR="00553E8A" w:rsidRPr="00B0464E" w:rsidRDefault="00553E8A" w:rsidP="00FC0389">
            <w:pPr>
              <w:pStyle w:val="ListParagraph"/>
              <w:numPr>
                <w:ilvl w:val="0"/>
                <w:numId w:val="14"/>
              </w:numPr>
              <w:spacing w:before="40" w:after="40" w:line="240" w:lineRule="auto"/>
              <w:rPr>
                <w:rFonts w:ascii="Arial Narrow" w:hAnsi="Arial Narrow"/>
                <w:sz w:val="20"/>
                <w:szCs w:val="20"/>
              </w:rPr>
            </w:pPr>
            <w:r w:rsidRPr="00B0464E">
              <w:rPr>
                <w:rFonts w:ascii="Arial Narrow" w:hAnsi="Arial Narrow"/>
                <w:sz w:val="20"/>
                <w:szCs w:val="20"/>
              </w:rPr>
              <w:t xml:space="preserve">Have a </w:t>
            </w:r>
            <w:proofErr w:type="spellStart"/>
            <w:r w:rsidRPr="00B0464E">
              <w:rPr>
                <w:rFonts w:ascii="Arial Narrow" w:hAnsi="Arial Narrow"/>
                <w:sz w:val="20"/>
                <w:szCs w:val="20"/>
              </w:rPr>
              <w:t>cPRA</w:t>
            </w:r>
            <w:proofErr w:type="spellEnd"/>
            <w:r w:rsidRPr="00B0464E">
              <w:rPr>
                <w:rFonts w:ascii="Arial Narrow" w:hAnsi="Arial Narrow"/>
                <w:sz w:val="20"/>
                <w:szCs w:val="20"/>
              </w:rPr>
              <w:t xml:space="preserve"> ≥99%</w:t>
            </w:r>
            <w:r w:rsidR="003F6124">
              <w:rPr>
                <w:rFonts w:ascii="Arial Narrow" w:hAnsi="Arial Narrow"/>
                <w:sz w:val="20"/>
                <w:szCs w:val="20"/>
              </w:rPr>
              <w:t>;</w:t>
            </w:r>
            <w:r w:rsidRPr="00B0464E">
              <w:rPr>
                <w:rFonts w:ascii="Arial Narrow" w:hAnsi="Arial Narrow"/>
                <w:sz w:val="20"/>
                <w:szCs w:val="20"/>
              </w:rPr>
              <w:t xml:space="preserve"> AND </w:t>
            </w:r>
          </w:p>
          <w:p w14:paraId="76AC1248" w14:textId="1E5B43D8" w:rsidR="00F30D61" w:rsidRPr="00B0464E" w:rsidRDefault="00553E8A" w:rsidP="00FC0389">
            <w:pPr>
              <w:pStyle w:val="ListParagraph"/>
              <w:numPr>
                <w:ilvl w:val="0"/>
                <w:numId w:val="14"/>
              </w:numPr>
              <w:spacing w:before="40" w:after="40" w:line="240" w:lineRule="auto"/>
              <w:rPr>
                <w:rFonts w:ascii="Arial Narrow" w:hAnsi="Arial Narrow"/>
                <w:sz w:val="20"/>
                <w:szCs w:val="20"/>
              </w:rPr>
            </w:pPr>
            <w:r w:rsidRPr="00B0464E">
              <w:rPr>
                <w:rFonts w:ascii="Arial Narrow" w:hAnsi="Arial Narrow"/>
                <w:sz w:val="20"/>
                <w:szCs w:val="20"/>
              </w:rPr>
              <w:t xml:space="preserve">With a positive crossmatch against an available </w:t>
            </w:r>
            <w:r w:rsidR="001C7FC4">
              <w:rPr>
                <w:rFonts w:ascii="Arial Narrow" w:hAnsi="Arial Narrow"/>
                <w:sz w:val="20"/>
                <w:szCs w:val="20"/>
              </w:rPr>
              <w:t>LD</w:t>
            </w:r>
            <w:r w:rsidR="003F6124">
              <w:rPr>
                <w:rFonts w:ascii="Arial Narrow" w:hAnsi="Arial Narrow"/>
                <w:sz w:val="20"/>
                <w:szCs w:val="20"/>
              </w:rPr>
              <w:t>;</w:t>
            </w:r>
            <w:r w:rsidRPr="00B0464E">
              <w:rPr>
                <w:rFonts w:ascii="Arial Narrow" w:hAnsi="Arial Narrow"/>
                <w:sz w:val="20"/>
                <w:szCs w:val="20"/>
              </w:rPr>
              <w:t xml:space="preserve"> AND</w:t>
            </w:r>
          </w:p>
          <w:p w14:paraId="043A3E4D" w14:textId="2E4667F9" w:rsidR="00E43B6F" w:rsidRPr="00B0464E" w:rsidRDefault="00553E8A" w:rsidP="00FC0389">
            <w:pPr>
              <w:pStyle w:val="ListParagraph"/>
              <w:numPr>
                <w:ilvl w:val="0"/>
                <w:numId w:val="14"/>
              </w:numPr>
              <w:spacing w:before="40" w:after="40" w:line="240" w:lineRule="auto"/>
              <w:rPr>
                <w:rFonts w:ascii="Arial Narrow" w:hAnsi="Arial Narrow"/>
                <w:sz w:val="20"/>
                <w:szCs w:val="20"/>
              </w:rPr>
            </w:pPr>
            <w:r w:rsidRPr="00B0464E">
              <w:rPr>
                <w:rFonts w:ascii="Arial Narrow" w:hAnsi="Arial Narrow"/>
                <w:sz w:val="20"/>
                <w:szCs w:val="20"/>
              </w:rPr>
              <w:t xml:space="preserve">Active on the donor transplant (ANZKX) list for at least </w:t>
            </w:r>
            <w:r w:rsidR="00EE135E" w:rsidRPr="00B0464E">
              <w:rPr>
                <w:rFonts w:ascii="Arial Narrow" w:hAnsi="Arial Narrow"/>
                <w:sz w:val="20"/>
                <w:szCs w:val="20"/>
              </w:rPr>
              <w:t>2</w:t>
            </w:r>
            <w:r w:rsidRPr="00B0464E">
              <w:rPr>
                <w:rFonts w:ascii="Arial Narrow" w:hAnsi="Arial Narrow"/>
                <w:sz w:val="20"/>
                <w:szCs w:val="20"/>
              </w:rPr>
              <w:t xml:space="preserve"> years</w:t>
            </w:r>
            <w:r w:rsidR="00EE135E" w:rsidRPr="00B0464E">
              <w:rPr>
                <w:rFonts w:ascii="Arial Narrow" w:hAnsi="Arial Narrow"/>
                <w:sz w:val="20"/>
                <w:szCs w:val="20"/>
              </w:rPr>
              <w:t>*</w:t>
            </w:r>
            <w:r w:rsidR="003F6124">
              <w:rPr>
                <w:rFonts w:ascii="Arial Narrow" w:hAnsi="Arial Narrow"/>
                <w:sz w:val="20"/>
                <w:szCs w:val="20"/>
              </w:rPr>
              <w:t>;</w:t>
            </w:r>
            <w:r w:rsidRPr="00B0464E">
              <w:rPr>
                <w:rFonts w:ascii="Arial Narrow" w:hAnsi="Arial Narrow"/>
                <w:sz w:val="20"/>
                <w:szCs w:val="20"/>
              </w:rPr>
              <w:t xml:space="preserve"> AND</w:t>
            </w:r>
          </w:p>
          <w:p w14:paraId="6F3EFF0C" w14:textId="13923C4E" w:rsidR="00E43B6F" w:rsidRPr="000332BE" w:rsidRDefault="003F6124" w:rsidP="000332BE">
            <w:pPr>
              <w:pStyle w:val="ListParagraph"/>
              <w:numPr>
                <w:ilvl w:val="0"/>
                <w:numId w:val="14"/>
              </w:numPr>
              <w:spacing w:before="40" w:after="40" w:line="240" w:lineRule="auto"/>
              <w:rPr>
                <w:rFonts w:ascii="Arial Narrow" w:hAnsi="Arial Narrow"/>
                <w:sz w:val="20"/>
                <w:szCs w:val="20"/>
              </w:rPr>
            </w:pPr>
            <w:r>
              <w:rPr>
                <w:rFonts w:ascii="Arial Narrow" w:hAnsi="Arial Narrow"/>
                <w:sz w:val="20"/>
                <w:szCs w:val="20"/>
              </w:rPr>
              <w:t>For w</w:t>
            </w:r>
            <w:r w:rsidR="00553E8A" w:rsidRPr="00B0464E">
              <w:rPr>
                <w:rFonts w:ascii="Arial Narrow" w:hAnsi="Arial Narrow"/>
                <w:sz w:val="20"/>
                <w:szCs w:val="20"/>
              </w:rPr>
              <w:t xml:space="preserve">hom desensitisation regimens for organ transplantation have failed or are </w:t>
            </w:r>
            <w:proofErr w:type="gramStart"/>
            <w:r w:rsidR="00553E8A" w:rsidRPr="00B0464E">
              <w:rPr>
                <w:rFonts w:ascii="Arial Narrow" w:hAnsi="Arial Narrow"/>
                <w:sz w:val="20"/>
                <w:szCs w:val="20"/>
              </w:rPr>
              <w:t>contraindicated</w:t>
            </w:r>
            <w:r>
              <w:rPr>
                <w:rFonts w:ascii="Arial Narrow" w:hAnsi="Arial Narrow"/>
                <w:sz w:val="20"/>
                <w:szCs w:val="20"/>
              </w:rPr>
              <w:t>;</w:t>
            </w:r>
            <w:proofErr w:type="gramEnd"/>
            <w:r w:rsidR="000332BE">
              <w:rPr>
                <w:rFonts w:ascii="Arial Narrow" w:hAnsi="Arial Narrow"/>
                <w:sz w:val="20"/>
                <w:szCs w:val="20"/>
              </w:rPr>
              <w:t xml:space="preserve"> </w:t>
            </w:r>
            <w:r w:rsidR="00553E8A" w:rsidRPr="000332BE">
              <w:rPr>
                <w:rFonts w:ascii="Arial Narrow" w:hAnsi="Arial Narrow"/>
                <w:sz w:val="20"/>
                <w:szCs w:val="20"/>
              </w:rPr>
              <w:t>OR</w:t>
            </w:r>
          </w:p>
          <w:p w14:paraId="35B4207C" w14:textId="04E200A7" w:rsidR="00E43B6F" w:rsidRPr="000332BE" w:rsidRDefault="003F6124" w:rsidP="000332BE">
            <w:pPr>
              <w:pStyle w:val="ListParagraph"/>
              <w:numPr>
                <w:ilvl w:val="0"/>
                <w:numId w:val="14"/>
              </w:numPr>
              <w:spacing w:before="40" w:after="40" w:line="240" w:lineRule="auto"/>
              <w:rPr>
                <w:rFonts w:ascii="Arial Narrow" w:hAnsi="Arial Narrow"/>
                <w:sz w:val="20"/>
                <w:szCs w:val="20"/>
              </w:rPr>
            </w:pPr>
            <w:r>
              <w:rPr>
                <w:rFonts w:ascii="Arial Narrow" w:hAnsi="Arial Narrow"/>
                <w:sz w:val="20"/>
                <w:szCs w:val="20"/>
              </w:rPr>
              <w:t>B</w:t>
            </w:r>
            <w:r w:rsidR="00553E8A" w:rsidRPr="008036E4">
              <w:rPr>
                <w:rFonts w:ascii="Arial Narrow" w:hAnsi="Arial Narrow"/>
                <w:sz w:val="20"/>
                <w:szCs w:val="20"/>
              </w:rPr>
              <w:t xml:space="preserve">ased on clinical judgement and experience, plasmapheresis/IVIG/rituximab-based desensitisation regimens are considered unlikely to provide a sufficient decrease in antibodies to enable </w:t>
            </w:r>
            <w:proofErr w:type="gramStart"/>
            <w:r w:rsidR="00553E8A" w:rsidRPr="008036E4">
              <w:rPr>
                <w:rFonts w:ascii="Arial Narrow" w:hAnsi="Arial Narrow"/>
                <w:sz w:val="20"/>
                <w:szCs w:val="20"/>
              </w:rPr>
              <w:t>transplantation</w:t>
            </w:r>
            <w:r w:rsidR="006E283B">
              <w:rPr>
                <w:rFonts w:ascii="Arial Narrow" w:hAnsi="Arial Narrow"/>
                <w:sz w:val="20"/>
                <w:szCs w:val="20"/>
              </w:rPr>
              <w:t>;</w:t>
            </w:r>
            <w:proofErr w:type="gramEnd"/>
            <w:r w:rsidR="000332BE">
              <w:rPr>
                <w:rFonts w:ascii="Arial Narrow" w:hAnsi="Arial Narrow"/>
                <w:sz w:val="20"/>
                <w:szCs w:val="20"/>
              </w:rPr>
              <w:t xml:space="preserve"> </w:t>
            </w:r>
            <w:r w:rsidR="00E43B6F" w:rsidRPr="000332BE">
              <w:rPr>
                <w:rFonts w:ascii="Arial Narrow" w:hAnsi="Arial Narrow"/>
                <w:sz w:val="20"/>
                <w:szCs w:val="20"/>
              </w:rPr>
              <w:t>OR</w:t>
            </w:r>
          </w:p>
          <w:p w14:paraId="376BBABD" w14:textId="3EAB9802" w:rsidR="00553E8A" w:rsidRPr="008036E4" w:rsidRDefault="003F6124" w:rsidP="00FC0389">
            <w:pPr>
              <w:pStyle w:val="ListParagraph"/>
              <w:numPr>
                <w:ilvl w:val="0"/>
                <w:numId w:val="14"/>
              </w:numPr>
              <w:spacing w:before="40" w:after="40" w:line="240" w:lineRule="auto"/>
              <w:rPr>
                <w:rFonts w:ascii="Arial Narrow" w:hAnsi="Arial Narrow"/>
                <w:sz w:val="20"/>
                <w:szCs w:val="20"/>
              </w:rPr>
            </w:pPr>
            <w:r>
              <w:rPr>
                <w:rFonts w:ascii="Arial Narrow" w:hAnsi="Arial Narrow"/>
                <w:sz w:val="20"/>
                <w:szCs w:val="20"/>
              </w:rPr>
              <w:t>P</w:t>
            </w:r>
            <w:r w:rsidR="00553E8A" w:rsidRPr="008036E4">
              <w:rPr>
                <w:rFonts w:ascii="Arial Narrow" w:hAnsi="Arial Narrow"/>
                <w:sz w:val="20"/>
                <w:szCs w:val="20"/>
              </w:rPr>
              <w:t>lasmapheresis/IVIG/rituximab-based desensitisation regimens are not logistically compatible with the patient’s circumstance or the organisation of the transplant centre.</w:t>
            </w:r>
          </w:p>
        </w:tc>
      </w:tr>
      <w:tr w:rsidR="00553E8A" w:rsidRPr="000449D1" w14:paraId="35DC265A" w14:textId="6A15DD17" w:rsidTr="008A644D">
        <w:trPr>
          <w:cantSplit/>
        </w:trPr>
        <w:tc>
          <w:tcPr>
            <w:tcW w:w="941" w:type="pct"/>
          </w:tcPr>
          <w:p w14:paraId="6886BA88" w14:textId="77777777" w:rsidR="00553E8A" w:rsidRPr="000449D1" w:rsidRDefault="00553E8A" w:rsidP="00EA50B7">
            <w:pPr>
              <w:pStyle w:val="TableText"/>
              <w:rPr>
                <w:szCs w:val="20"/>
              </w:rPr>
            </w:pPr>
            <w:r w:rsidRPr="000449D1">
              <w:rPr>
                <w:szCs w:val="20"/>
              </w:rPr>
              <w:t>Prior testing</w:t>
            </w:r>
          </w:p>
        </w:tc>
        <w:tc>
          <w:tcPr>
            <w:tcW w:w="4059" w:type="pct"/>
          </w:tcPr>
          <w:p w14:paraId="13AED989" w14:textId="40747963" w:rsidR="00553E8A" w:rsidRPr="000449D1" w:rsidRDefault="00553E8A" w:rsidP="00EA50B7">
            <w:pPr>
              <w:pStyle w:val="TableText"/>
              <w:rPr>
                <w:szCs w:val="20"/>
              </w:rPr>
            </w:pPr>
            <w:r w:rsidRPr="00FF509A">
              <w:rPr>
                <w:szCs w:val="20"/>
              </w:rPr>
              <w:t xml:space="preserve">A Luminex single antigen bead testing or flow cytometry </w:t>
            </w:r>
            <w:r w:rsidR="00B92702" w:rsidRPr="00B92702">
              <w:rPr>
                <w:szCs w:val="20"/>
              </w:rPr>
              <w:t>crossmatch</w:t>
            </w:r>
          </w:p>
        </w:tc>
      </w:tr>
      <w:tr w:rsidR="00553E8A" w:rsidRPr="000449D1" w14:paraId="750830A5" w14:textId="33978BE8" w:rsidTr="008A644D">
        <w:trPr>
          <w:cantSplit/>
        </w:trPr>
        <w:tc>
          <w:tcPr>
            <w:tcW w:w="941" w:type="pct"/>
          </w:tcPr>
          <w:p w14:paraId="59B80C68" w14:textId="77777777" w:rsidR="00553E8A" w:rsidRPr="000449D1" w:rsidRDefault="00553E8A" w:rsidP="00EA50B7">
            <w:pPr>
              <w:pStyle w:val="TableText"/>
              <w:rPr>
                <w:szCs w:val="20"/>
              </w:rPr>
            </w:pPr>
            <w:r w:rsidRPr="000449D1">
              <w:rPr>
                <w:szCs w:val="20"/>
              </w:rPr>
              <w:t>Comparator</w:t>
            </w:r>
          </w:p>
        </w:tc>
        <w:tc>
          <w:tcPr>
            <w:tcW w:w="4059" w:type="pct"/>
          </w:tcPr>
          <w:p w14:paraId="04C0D717" w14:textId="6671696B" w:rsidR="00553E8A" w:rsidRPr="000449D1" w:rsidRDefault="00553E8A" w:rsidP="00EA50B7">
            <w:pPr>
              <w:pStyle w:val="TableText"/>
              <w:rPr>
                <w:szCs w:val="20"/>
              </w:rPr>
            </w:pPr>
            <w:r w:rsidRPr="00440A88">
              <w:rPr>
                <w:szCs w:val="20"/>
              </w:rPr>
              <w:t>Current care in the absence of imlifidase</w:t>
            </w:r>
          </w:p>
        </w:tc>
      </w:tr>
      <w:tr w:rsidR="00553E8A" w:rsidRPr="000449D1" w14:paraId="352DFBB5" w14:textId="23E331A7" w:rsidTr="008A644D">
        <w:trPr>
          <w:cantSplit/>
        </w:trPr>
        <w:tc>
          <w:tcPr>
            <w:tcW w:w="941" w:type="pct"/>
          </w:tcPr>
          <w:p w14:paraId="563F18FC" w14:textId="77777777" w:rsidR="00553E8A" w:rsidRPr="000449D1" w:rsidRDefault="00553E8A" w:rsidP="00EA50B7">
            <w:pPr>
              <w:pStyle w:val="TableText"/>
              <w:rPr>
                <w:szCs w:val="20"/>
              </w:rPr>
            </w:pPr>
            <w:r w:rsidRPr="000449D1">
              <w:rPr>
                <w:szCs w:val="20"/>
              </w:rPr>
              <w:t>Type(s) of analysis</w:t>
            </w:r>
          </w:p>
        </w:tc>
        <w:tc>
          <w:tcPr>
            <w:tcW w:w="4059" w:type="pct"/>
          </w:tcPr>
          <w:p w14:paraId="4DAE5CE1" w14:textId="465FE935" w:rsidR="00553E8A" w:rsidRPr="000449D1" w:rsidRDefault="00553E8A" w:rsidP="00EA50B7">
            <w:pPr>
              <w:pStyle w:val="TableText"/>
              <w:rPr>
                <w:szCs w:val="20"/>
              </w:rPr>
            </w:pPr>
            <w:r>
              <w:rPr>
                <w:szCs w:val="20"/>
              </w:rPr>
              <w:t>C</w:t>
            </w:r>
            <w:r w:rsidRPr="000449D1">
              <w:rPr>
                <w:szCs w:val="20"/>
              </w:rPr>
              <w:t>ost-utility analysis</w:t>
            </w:r>
          </w:p>
        </w:tc>
      </w:tr>
      <w:tr w:rsidR="00553E8A" w:rsidRPr="000449D1" w14:paraId="6CB6FA6B" w14:textId="0CFF196E" w:rsidTr="008A644D">
        <w:trPr>
          <w:cantSplit/>
        </w:trPr>
        <w:tc>
          <w:tcPr>
            <w:tcW w:w="941" w:type="pct"/>
          </w:tcPr>
          <w:p w14:paraId="401E0BAC" w14:textId="77777777" w:rsidR="00553E8A" w:rsidRPr="000449D1" w:rsidRDefault="00553E8A" w:rsidP="00EA50B7">
            <w:pPr>
              <w:pStyle w:val="TableText"/>
              <w:rPr>
                <w:szCs w:val="20"/>
              </w:rPr>
            </w:pPr>
            <w:r w:rsidRPr="000449D1">
              <w:rPr>
                <w:szCs w:val="20"/>
              </w:rPr>
              <w:t>Outcomes</w:t>
            </w:r>
          </w:p>
        </w:tc>
        <w:tc>
          <w:tcPr>
            <w:tcW w:w="4059" w:type="pct"/>
          </w:tcPr>
          <w:p w14:paraId="5BB292CF" w14:textId="30C2E90F" w:rsidR="00553E8A" w:rsidRPr="000449D1" w:rsidRDefault="00553E8A" w:rsidP="00EA50B7">
            <w:pPr>
              <w:pStyle w:val="TableText"/>
              <w:rPr>
                <w:szCs w:val="20"/>
              </w:rPr>
            </w:pPr>
            <w:r>
              <w:rPr>
                <w:szCs w:val="20"/>
              </w:rPr>
              <w:t>Q</w:t>
            </w:r>
            <w:r w:rsidRPr="000449D1">
              <w:rPr>
                <w:szCs w:val="20"/>
              </w:rPr>
              <w:t>uality-adjusted life years</w:t>
            </w:r>
          </w:p>
        </w:tc>
      </w:tr>
      <w:tr w:rsidR="00553E8A" w:rsidRPr="000449D1" w14:paraId="643C0794" w14:textId="7BA4E085" w:rsidTr="008A644D">
        <w:trPr>
          <w:cantSplit/>
        </w:trPr>
        <w:tc>
          <w:tcPr>
            <w:tcW w:w="941" w:type="pct"/>
          </w:tcPr>
          <w:p w14:paraId="42B1D84D" w14:textId="77777777" w:rsidR="00553E8A" w:rsidRPr="000449D1" w:rsidRDefault="00553E8A" w:rsidP="00EA50B7">
            <w:pPr>
              <w:pStyle w:val="TableText"/>
              <w:rPr>
                <w:szCs w:val="20"/>
              </w:rPr>
            </w:pPr>
            <w:r w:rsidRPr="000449D1">
              <w:rPr>
                <w:szCs w:val="20"/>
              </w:rPr>
              <w:t>Time horizon</w:t>
            </w:r>
          </w:p>
        </w:tc>
        <w:tc>
          <w:tcPr>
            <w:tcW w:w="4059" w:type="pct"/>
          </w:tcPr>
          <w:p w14:paraId="3BC3DE82" w14:textId="12FBE8A9" w:rsidR="00553E8A" w:rsidRPr="000449D1" w:rsidRDefault="00553E8A" w:rsidP="00EA50B7">
            <w:pPr>
              <w:pStyle w:val="TableText"/>
              <w:rPr>
                <w:szCs w:val="20"/>
              </w:rPr>
            </w:pPr>
            <w:r>
              <w:rPr>
                <w:szCs w:val="20"/>
              </w:rPr>
              <w:t>Lifetime (58 years in model base case)</w:t>
            </w:r>
          </w:p>
        </w:tc>
      </w:tr>
      <w:tr w:rsidR="00553E8A" w:rsidRPr="000449D1" w14:paraId="0949BCCC" w14:textId="4456977C" w:rsidTr="008A644D">
        <w:trPr>
          <w:cantSplit/>
        </w:trPr>
        <w:tc>
          <w:tcPr>
            <w:tcW w:w="941" w:type="pct"/>
          </w:tcPr>
          <w:p w14:paraId="6DFB973F" w14:textId="77777777" w:rsidR="00553E8A" w:rsidRPr="000449D1" w:rsidRDefault="00553E8A" w:rsidP="00EA50B7">
            <w:pPr>
              <w:pStyle w:val="TableText"/>
              <w:rPr>
                <w:szCs w:val="20"/>
              </w:rPr>
            </w:pPr>
            <w:r w:rsidRPr="000449D1">
              <w:rPr>
                <w:szCs w:val="20"/>
              </w:rPr>
              <w:t>Computational method</w:t>
            </w:r>
          </w:p>
        </w:tc>
        <w:tc>
          <w:tcPr>
            <w:tcW w:w="4059" w:type="pct"/>
          </w:tcPr>
          <w:p w14:paraId="67E64DF6" w14:textId="57F36502" w:rsidR="00553E8A" w:rsidRPr="000449D1" w:rsidRDefault="00553E8A" w:rsidP="00EA50B7">
            <w:pPr>
              <w:pStyle w:val="TableText"/>
              <w:rPr>
                <w:szCs w:val="20"/>
              </w:rPr>
            </w:pPr>
            <w:r>
              <w:rPr>
                <w:szCs w:val="20"/>
              </w:rPr>
              <w:t>Cohort</w:t>
            </w:r>
            <w:r w:rsidR="00CF0911">
              <w:rPr>
                <w:szCs w:val="20"/>
              </w:rPr>
              <w:t>-</w:t>
            </w:r>
            <w:r>
              <w:rPr>
                <w:szCs w:val="20"/>
              </w:rPr>
              <w:t>level Markov state-transition model</w:t>
            </w:r>
          </w:p>
        </w:tc>
      </w:tr>
      <w:tr w:rsidR="00553E8A" w:rsidRPr="000449D1" w14:paraId="780AB6C6" w14:textId="5D51678D" w:rsidTr="008A644D">
        <w:trPr>
          <w:cantSplit/>
        </w:trPr>
        <w:tc>
          <w:tcPr>
            <w:tcW w:w="941" w:type="pct"/>
          </w:tcPr>
          <w:p w14:paraId="6CDC9D32" w14:textId="77777777" w:rsidR="00553E8A" w:rsidRPr="000449D1" w:rsidRDefault="00553E8A" w:rsidP="00EA50B7">
            <w:pPr>
              <w:pStyle w:val="TableText"/>
              <w:rPr>
                <w:szCs w:val="20"/>
              </w:rPr>
            </w:pPr>
            <w:r w:rsidRPr="000449D1">
              <w:rPr>
                <w:szCs w:val="20"/>
              </w:rPr>
              <w:t>Generation of the base case</w:t>
            </w:r>
          </w:p>
        </w:tc>
        <w:tc>
          <w:tcPr>
            <w:tcW w:w="4059" w:type="pct"/>
          </w:tcPr>
          <w:p w14:paraId="6687851E" w14:textId="49707C64" w:rsidR="00553E8A" w:rsidRPr="000449D1" w:rsidRDefault="00553E8A" w:rsidP="00EA50B7">
            <w:pPr>
              <w:pStyle w:val="TableText"/>
              <w:rPr>
                <w:szCs w:val="20"/>
              </w:rPr>
            </w:pPr>
            <w:r>
              <w:rPr>
                <w:szCs w:val="20"/>
              </w:rPr>
              <w:t>Trial-base evaluation</w:t>
            </w:r>
          </w:p>
        </w:tc>
      </w:tr>
      <w:tr w:rsidR="00553E8A" w:rsidRPr="000449D1" w14:paraId="03A3B794" w14:textId="3A58F192" w:rsidTr="008A644D">
        <w:trPr>
          <w:cantSplit/>
        </w:trPr>
        <w:tc>
          <w:tcPr>
            <w:tcW w:w="941" w:type="pct"/>
          </w:tcPr>
          <w:p w14:paraId="4E12B2D4" w14:textId="77777777" w:rsidR="00553E8A" w:rsidRPr="000449D1" w:rsidRDefault="00553E8A" w:rsidP="00B0464E">
            <w:pPr>
              <w:pStyle w:val="TableText"/>
              <w:rPr>
                <w:szCs w:val="20"/>
              </w:rPr>
            </w:pPr>
            <w:r w:rsidRPr="000449D1">
              <w:rPr>
                <w:szCs w:val="20"/>
              </w:rPr>
              <w:t>Health states</w:t>
            </w:r>
          </w:p>
        </w:tc>
        <w:tc>
          <w:tcPr>
            <w:tcW w:w="4059" w:type="pct"/>
          </w:tcPr>
          <w:p w14:paraId="76B05F5B" w14:textId="77777777" w:rsidR="00553E8A" w:rsidRPr="00B71BA6" w:rsidRDefault="00553E8A" w:rsidP="00527717">
            <w:pPr>
              <w:pStyle w:val="Tabletext0"/>
              <w:numPr>
                <w:ilvl w:val="0"/>
                <w:numId w:val="12"/>
              </w:numPr>
              <w:jc w:val="left"/>
            </w:pPr>
            <w:r w:rsidRPr="00B71BA6">
              <w:t>Dialysis/</w:t>
            </w:r>
            <w:r>
              <w:t>waitlist</w:t>
            </w:r>
            <w:r w:rsidRPr="00B71BA6">
              <w:t xml:space="preserve">ed: </w:t>
            </w:r>
            <w:r>
              <w:t>p</w:t>
            </w:r>
            <w:r w:rsidRPr="00B71BA6">
              <w:t xml:space="preserve">atients on the DD transplant </w:t>
            </w:r>
            <w:r>
              <w:t>waitlist</w:t>
            </w:r>
            <w:r w:rsidRPr="00B71BA6">
              <w:t xml:space="preserve"> or ANZKX program and on dialysis</w:t>
            </w:r>
          </w:p>
          <w:p w14:paraId="674710E7" w14:textId="77777777" w:rsidR="00553E8A" w:rsidRPr="00B71BA6" w:rsidRDefault="00553E8A" w:rsidP="00527717">
            <w:pPr>
              <w:pStyle w:val="Tabletext0"/>
              <w:numPr>
                <w:ilvl w:val="0"/>
                <w:numId w:val="12"/>
              </w:numPr>
              <w:jc w:val="left"/>
            </w:pPr>
            <w:r w:rsidRPr="00B71BA6">
              <w:t>Dialysis/</w:t>
            </w:r>
            <w:r>
              <w:t>n</w:t>
            </w:r>
            <w:r w:rsidRPr="00B71BA6">
              <w:t xml:space="preserve">ot </w:t>
            </w:r>
            <w:r>
              <w:t>waitlist</w:t>
            </w:r>
            <w:r w:rsidRPr="00B71BA6">
              <w:t xml:space="preserve">ed: </w:t>
            </w:r>
            <w:r>
              <w:t>p</w:t>
            </w:r>
            <w:r w:rsidRPr="00B71BA6">
              <w:t xml:space="preserve">atients still on dialysis but no longer on the DD transplant </w:t>
            </w:r>
            <w:r>
              <w:t>waitlist</w:t>
            </w:r>
            <w:r w:rsidRPr="00B71BA6">
              <w:t xml:space="preserve"> or ANZKX </w:t>
            </w:r>
            <w:proofErr w:type="gramStart"/>
            <w:r w:rsidRPr="00B71BA6">
              <w:t>program</w:t>
            </w:r>
            <w:proofErr w:type="gramEnd"/>
          </w:p>
          <w:p w14:paraId="6001E3CC" w14:textId="77777777" w:rsidR="00553E8A" w:rsidRDefault="00553E8A" w:rsidP="00527717">
            <w:pPr>
              <w:pStyle w:val="Tabletext0"/>
              <w:numPr>
                <w:ilvl w:val="0"/>
                <w:numId w:val="12"/>
              </w:numPr>
              <w:jc w:val="left"/>
            </w:pPr>
            <w:r w:rsidRPr="00B71BA6">
              <w:t xml:space="preserve">Functioning graft: </w:t>
            </w:r>
            <w:r>
              <w:t>p</w:t>
            </w:r>
            <w:r w:rsidRPr="00B71BA6">
              <w:t xml:space="preserve">atients </w:t>
            </w:r>
            <w:r>
              <w:t>with</w:t>
            </w:r>
            <w:r w:rsidRPr="00B71BA6">
              <w:t xml:space="preserve"> a functioning kidney graft</w:t>
            </w:r>
          </w:p>
          <w:p w14:paraId="3E63543F" w14:textId="7F078EE5" w:rsidR="00553E8A" w:rsidRPr="009F571C" w:rsidRDefault="00553E8A" w:rsidP="00527717">
            <w:pPr>
              <w:pStyle w:val="Tabletext0"/>
              <w:numPr>
                <w:ilvl w:val="0"/>
                <w:numId w:val="12"/>
              </w:numPr>
              <w:jc w:val="left"/>
            </w:pPr>
            <w:r w:rsidRPr="00B71BA6">
              <w:t>Death</w:t>
            </w:r>
          </w:p>
        </w:tc>
      </w:tr>
      <w:tr w:rsidR="00553E8A" w:rsidRPr="000449D1" w14:paraId="0212C695" w14:textId="63F9F923" w:rsidTr="008A644D">
        <w:trPr>
          <w:cantSplit/>
        </w:trPr>
        <w:tc>
          <w:tcPr>
            <w:tcW w:w="941" w:type="pct"/>
          </w:tcPr>
          <w:p w14:paraId="3AC64F34" w14:textId="77777777" w:rsidR="00553E8A" w:rsidRPr="000449D1" w:rsidRDefault="00553E8A" w:rsidP="00B0464E">
            <w:pPr>
              <w:pStyle w:val="TableText"/>
              <w:rPr>
                <w:szCs w:val="20"/>
              </w:rPr>
            </w:pPr>
            <w:r w:rsidRPr="000449D1">
              <w:rPr>
                <w:szCs w:val="20"/>
              </w:rPr>
              <w:t>Cycle length</w:t>
            </w:r>
          </w:p>
        </w:tc>
        <w:tc>
          <w:tcPr>
            <w:tcW w:w="4059" w:type="pct"/>
          </w:tcPr>
          <w:p w14:paraId="64D95EB2" w14:textId="09B0B7D8" w:rsidR="00553E8A" w:rsidRPr="000449D1" w:rsidRDefault="00553E8A" w:rsidP="00B0464E">
            <w:pPr>
              <w:pStyle w:val="TableText"/>
              <w:rPr>
                <w:szCs w:val="20"/>
              </w:rPr>
            </w:pPr>
            <w:r>
              <w:rPr>
                <w:szCs w:val="20"/>
              </w:rPr>
              <w:t>6 months</w:t>
            </w:r>
          </w:p>
        </w:tc>
      </w:tr>
      <w:tr w:rsidR="00553E8A" w:rsidRPr="000449D1" w14:paraId="2976544F" w14:textId="76387CDF" w:rsidTr="008A644D">
        <w:trPr>
          <w:cantSplit/>
        </w:trPr>
        <w:tc>
          <w:tcPr>
            <w:tcW w:w="941" w:type="pct"/>
          </w:tcPr>
          <w:p w14:paraId="2558F588" w14:textId="17042BED" w:rsidR="00553E8A" w:rsidRPr="000449D1" w:rsidRDefault="00553E8A" w:rsidP="00B0464E">
            <w:pPr>
              <w:pStyle w:val="TableText"/>
              <w:rPr>
                <w:szCs w:val="20"/>
              </w:rPr>
            </w:pPr>
            <w:r w:rsidRPr="000449D1">
              <w:rPr>
                <w:szCs w:val="20"/>
              </w:rPr>
              <w:lastRenderedPageBreak/>
              <w:t>Transition probabilities</w:t>
            </w:r>
          </w:p>
        </w:tc>
        <w:tc>
          <w:tcPr>
            <w:tcW w:w="4059" w:type="pct"/>
          </w:tcPr>
          <w:p w14:paraId="08EBB8A5" w14:textId="08F54DE0" w:rsidR="00F45C39" w:rsidRPr="00F45C39" w:rsidRDefault="008068C9" w:rsidP="00F45C39">
            <w:pPr>
              <w:pStyle w:val="TableText"/>
              <w:numPr>
                <w:ilvl w:val="0"/>
                <w:numId w:val="31"/>
              </w:numPr>
              <w:rPr>
                <w:szCs w:val="20"/>
              </w:rPr>
            </w:pPr>
            <w:r>
              <w:t>Probability of transplant following administration of imlifidase based on clinical trial data for the pooled safety population (</w:t>
            </w:r>
            <w:r w:rsidR="006A1289">
              <w:t>N</w:t>
            </w:r>
            <w:r>
              <w:t>=54)</w:t>
            </w:r>
          </w:p>
          <w:p w14:paraId="2497CCEF" w14:textId="6D0B36F0" w:rsidR="00B249C0" w:rsidRPr="00B249C0" w:rsidRDefault="007B1AB3" w:rsidP="00F45C39">
            <w:pPr>
              <w:pStyle w:val="TableText"/>
              <w:numPr>
                <w:ilvl w:val="0"/>
                <w:numId w:val="31"/>
              </w:numPr>
              <w:rPr>
                <w:szCs w:val="20"/>
              </w:rPr>
            </w:pPr>
            <w:r>
              <w:t xml:space="preserve">Graft and patient survival for patients with a functioning graft based on extrapolations </w:t>
            </w:r>
            <w:r w:rsidR="00B76523">
              <w:t>of</w:t>
            </w:r>
            <w:r>
              <w:t xml:space="preserve"> </w:t>
            </w:r>
            <w:r w:rsidR="00556C5C">
              <w:t>clinical trial data</w:t>
            </w:r>
            <w:r w:rsidR="00AC1DD8">
              <w:t xml:space="preserve"> (data </w:t>
            </w:r>
            <w:r w:rsidR="00556C5C">
              <w:t>for the AUS-UTT-A population</w:t>
            </w:r>
            <w:r w:rsidR="00AC1DD8">
              <w:t xml:space="preserve"> [</w:t>
            </w:r>
            <w:r w:rsidR="006A1289">
              <w:t>N</w:t>
            </w:r>
            <w:r w:rsidR="00AC1DD8">
              <w:t>=24]</w:t>
            </w:r>
            <w:r w:rsidR="00556C5C">
              <w:t xml:space="preserve"> used in base case</w:t>
            </w:r>
            <w:r w:rsidR="00243E6F">
              <w:t>)</w:t>
            </w:r>
          </w:p>
          <w:p w14:paraId="30FED2BD" w14:textId="62477578" w:rsidR="00B249C0" w:rsidRPr="00B249C0" w:rsidRDefault="007B1AB3" w:rsidP="00F45C39">
            <w:pPr>
              <w:pStyle w:val="TableText"/>
              <w:numPr>
                <w:ilvl w:val="0"/>
                <w:numId w:val="31"/>
              </w:numPr>
              <w:rPr>
                <w:szCs w:val="20"/>
              </w:rPr>
            </w:pPr>
            <w:r>
              <w:t>P</w:t>
            </w:r>
            <w:r w:rsidRPr="0099217C">
              <w:t xml:space="preserve">robability of transplant without imlifidase </w:t>
            </w:r>
            <w:r w:rsidR="009A7289">
              <w:t xml:space="preserve">based on data provided by </w:t>
            </w:r>
            <w:proofErr w:type="gramStart"/>
            <w:r w:rsidR="009A7289">
              <w:t>OrganMatch</w:t>
            </w:r>
            <w:proofErr w:type="gramEnd"/>
          </w:p>
          <w:p w14:paraId="43B247B9" w14:textId="6A72662A" w:rsidR="00553E8A" w:rsidRPr="000449D1" w:rsidRDefault="007B1AB3" w:rsidP="00F45C39">
            <w:pPr>
              <w:pStyle w:val="TableText"/>
              <w:numPr>
                <w:ilvl w:val="0"/>
                <w:numId w:val="31"/>
              </w:numPr>
              <w:rPr>
                <w:szCs w:val="20"/>
              </w:rPr>
            </w:pPr>
            <w:r>
              <w:t xml:space="preserve">Probability of death in patients receiving dialysis is based on </w:t>
            </w:r>
            <w:r w:rsidRPr="0099217C">
              <w:t>ANZDATA 4</w:t>
            </w:r>
            <w:r w:rsidR="00D07909">
              <w:t>6</w:t>
            </w:r>
            <w:r w:rsidRPr="0099217C">
              <w:t xml:space="preserve">th </w:t>
            </w:r>
            <w:r w:rsidR="00AC62F2">
              <w:t>A</w:t>
            </w:r>
            <w:r w:rsidRPr="0099217C">
              <w:t xml:space="preserve">nnual </w:t>
            </w:r>
            <w:r w:rsidR="00AC62F2">
              <w:t>R</w:t>
            </w:r>
            <w:r w:rsidRPr="0099217C">
              <w:t>eport</w:t>
            </w:r>
          </w:p>
        </w:tc>
      </w:tr>
      <w:tr w:rsidR="00553E8A" w:rsidRPr="000449D1" w14:paraId="0619B77B" w14:textId="65D0CC25" w:rsidTr="008A644D">
        <w:trPr>
          <w:cantSplit/>
        </w:trPr>
        <w:tc>
          <w:tcPr>
            <w:tcW w:w="941" w:type="pct"/>
          </w:tcPr>
          <w:p w14:paraId="3B8D14D8" w14:textId="77777777" w:rsidR="00553E8A" w:rsidRPr="00F358B2" w:rsidRDefault="00553E8A" w:rsidP="00B0464E">
            <w:pPr>
              <w:pStyle w:val="TableText"/>
              <w:rPr>
                <w:szCs w:val="20"/>
              </w:rPr>
            </w:pPr>
            <w:r w:rsidRPr="00F358B2">
              <w:rPr>
                <w:szCs w:val="20"/>
              </w:rPr>
              <w:t>Discount rate</w:t>
            </w:r>
          </w:p>
        </w:tc>
        <w:tc>
          <w:tcPr>
            <w:tcW w:w="4059" w:type="pct"/>
          </w:tcPr>
          <w:p w14:paraId="2E657A83" w14:textId="426493EF" w:rsidR="00553E8A" w:rsidRPr="00F358B2" w:rsidRDefault="00553E8A" w:rsidP="00B0464E">
            <w:pPr>
              <w:pStyle w:val="TableText"/>
              <w:rPr>
                <w:szCs w:val="20"/>
              </w:rPr>
            </w:pPr>
            <w:r w:rsidRPr="009E2F9F">
              <w:rPr>
                <w:szCs w:val="20"/>
              </w:rPr>
              <w:t>5</w:t>
            </w:r>
            <w:r w:rsidRPr="00F358B2">
              <w:rPr>
                <w:szCs w:val="20"/>
              </w:rPr>
              <w:t>% for both costs and outcomes</w:t>
            </w:r>
          </w:p>
        </w:tc>
      </w:tr>
      <w:tr w:rsidR="00553E8A" w:rsidRPr="000449D1" w14:paraId="507E6356" w14:textId="7BFC4306" w:rsidTr="008A644D">
        <w:trPr>
          <w:cantSplit/>
        </w:trPr>
        <w:tc>
          <w:tcPr>
            <w:tcW w:w="941" w:type="pct"/>
          </w:tcPr>
          <w:p w14:paraId="23A08C87" w14:textId="77777777" w:rsidR="00553E8A" w:rsidRPr="000449D1" w:rsidRDefault="00553E8A" w:rsidP="00B0464E">
            <w:pPr>
              <w:pStyle w:val="TableText"/>
              <w:rPr>
                <w:szCs w:val="20"/>
              </w:rPr>
            </w:pPr>
            <w:r w:rsidRPr="000449D1">
              <w:rPr>
                <w:szCs w:val="20"/>
              </w:rPr>
              <w:t>Software</w:t>
            </w:r>
          </w:p>
        </w:tc>
        <w:tc>
          <w:tcPr>
            <w:tcW w:w="4059" w:type="pct"/>
          </w:tcPr>
          <w:p w14:paraId="613BDC46" w14:textId="703A2A43" w:rsidR="00553E8A" w:rsidRPr="000449D1" w:rsidRDefault="00553E8A" w:rsidP="00B0464E">
            <w:pPr>
              <w:pStyle w:val="TableText"/>
              <w:rPr>
                <w:szCs w:val="20"/>
              </w:rPr>
            </w:pPr>
            <w:r>
              <w:rPr>
                <w:szCs w:val="20"/>
              </w:rPr>
              <w:t>Microsoft</w:t>
            </w:r>
            <w:r w:rsidRPr="000449D1">
              <w:rPr>
                <w:szCs w:val="20"/>
              </w:rPr>
              <w:t xml:space="preserve"> Exce</w:t>
            </w:r>
            <w:r>
              <w:rPr>
                <w:szCs w:val="20"/>
              </w:rPr>
              <w:t>l</w:t>
            </w:r>
          </w:p>
        </w:tc>
      </w:tr>
    </w:tbl>
    <w:p w14:paraId="0274FCEB" w14:textId="1ADB8617" w:rsidR="00A07528" w:rsidRPr="00527717" w:rsidRDefault="00A07528" w:rsidP="003B7E96">
      <w:pPr>
        <w:pStyle w:val="Tablenotes0"/>
        <w:rPr>
          <w:b/>
          <w:bCs/>
          <w:u w:val="single"/>
        </w:rPr>
      </w:pPr>
      <w:bookmarkStart w:id="33" w:name="_Hlk68276459"/>
      <w:bookmarkEnd w:id="32"/>
      <w:r w:rsidRPr="00527717">
        <w:rPr>
          <w:b/>
          <w:bCs/>
          <w:u w:val="single"/>
        </w:rPr>
        <w:t>Abbreviations</w:t>
      </w:r>
    </w:p>
    <w:p w14:paraId="1E7580DF" w14:textId="4763B299" w:rsidR="003B7E96" w:rsidRDefault="000450CA" w:rsidP="003B7E96">
      <w:pPr>
        <w:pStyle w:val="Tablenotes0"/>
      </w:pPr>
      <w:r>
        <w:t xml:space="preserve">ANZDATA = Australia </w:t>
      </w:r>
      <w:r w:rsidR="00A07528">
        <w:t>and</w:t>
      </w:r>
      <w:r>
        <w:t xml:space="preserve"> New Zealand Dialysis </w:t>
      </w:r>
      <w:r w:rsidR="00FA5151">
        <w:t>and</w:t>
      </w:r>
      <w:r>
        <w:t xml:space="preserve"> Transplant R</w:t>
      </w:r>
      <w:r w:rsidR="00EE135E">
        <w:t xml:space="preserve">egistry, ANZKX = Australian and New Zealand Paired Kidney Exchange, </w:t>
      </w:r>
      <w:r w:rsidR="00556C5C">
        <w:t xml:space="preserve">AUS-UTT-A = Australia – </w:t>
      </w:r>
      <w:r w:rsidR="00FA5151">
        <w:t>u</w:t>
      </w:r>
      <w:r w:rsidR="00556C5C">
        <w:t xml:space="preserve">nlikely to </w:t>
      </w:r>
      <w:r w:rsidR="00FA5151">
        <w:t>t</w:t>
      </w:r>
      <w:r w:rsidR="00556C5C">
        <w:t xml:space="preserve">ransplant – </w:t>
      </w:r>
      <w:r w:rsidR="00FA5151">
        <w:t>a</w:t>
      </w:r>
      <w:r w:rsidR="00556C5C">
        <w:t xml:space="preserve">gnostic (includes both LD and DD grafts), </w:t>
      </w:r>
      <w:proofErr w:type="spellStart"/>
      <w:r w:rsidR="003B7E96" w:rsidRPr="003B7E96">
        <w:t>cPRA</w:t>
      </w:r>
      <w:proofErr w:type="spellEnd"/>
      <w:r w:rsidR="003B7E96" w:rsidRPr="003B7E96">
        <w:t xml:space="preserve"> = calculated </w:t>
      </w:r>
      <w:r w:rsidR="00FA5151">
        <w:t>p</w:t>
      </w:r>
      <w:r w:rsidR="003B7E96" w:rsidRPr="003B7E96">
        <w:t xml:space="preserve">anel </w:t>
      </w:r>
      <w:r w:rsidR="00FA5151">
        <w:t>r</w:t>
      </w:r>
      <w:r w:rsidR="003B7E96" w:rsidRPr="003B7E96">
        <w:t xml:space="preserve">eactive </w:t>
      </w:r>
      <w:r w:rsidR="00FA5151">
        <w:t>a</w:t>
      </w:r>
      <w:r w:rsidR="003B7E96" w:rsidRPr="003B7E96">
        <w:t>ntibody test</w:t>
      </w:r>
      <w:r w:rsidR="00374A09">
        <w:t>,</w:t>
      </w:r>
      <w:r>
        <w:t xml:space="preserve"> DD = deceased donor,</w:t>
      </w:r>
      <w:r w:rsidR="009E3E91" w:rsidRPr="009E3E91">
        <w:t xml:space="preserve"> </w:t>
      </w:r>
      <w:r w:rsidR="009E3E91">
        <w:t>HS = highly sensitised,</w:t>
      </w:r>
      <w:r w:rsidR="00374A09">
        <w:t xml:space="preserve"> </w:t>
      </w:r>
      <w:r w:rsidR="00073195">
        <w:t>IVIG = intravenous immunoglobulin</w:t>
      </w:r>
    </w:p>
    <w:p w14:paraId="4A2D897D" w14:textId="1377A217" w:rsidR="00216780" w:rsidRPr="00527717" w:rsidRDefault="00216780" w:rsidP="00EE135E">
      <w:pPr>
        <w:pStyle w:val="Tablenotes0"/>
        <w:rPr>
          <w:b/>
          <w:bCs/>
          <w:u w:val="single"/>
        </w:rPr>
      </w:pPr>
      <w:r>
        <w:rPr>
          <w:b/>
          <w:bCs/>
          <w:u w:val="single"/>
        </w:rPr>
        <w:t>Note</w:t>
      </w:r>
    </w:p>
    <w:p w14:paraId="4F2BDA9B" w14:textId="3E5996C2" w:rsidR="00EE135E" w:rsidRDefault="00EE135E" w:rsidP="00EE135E">
      <w:pPr>
        <w:pStyle w:val="Tablenotes0"/>
      </w:pPr>
      <w:r w:rsidRPr="00EE135E">
        <w:t>*</w:t>
      </w:r>
      <w:r>
        <w:t xml:space="preserve"> The criterion for patients with a living donor needing to have been active on the ANZKX </w:t>
      </w:r>
      <w:r w:rsidR="00073195">
        <w:t>donor transplant</w:t>
      </w:r>
      <w:r w:rsidR="007A5765">
        <w:t xml:space="preserve"> list for at least 2 years was removed </w:t>
      </w:r>
      <w:r w:rsidR="00B0464E">
        <w:t>from the proposed population descriptor, per RTAC advice.</w:t>
      </w:r>
      <w:r w:rsidR="00C53957">
        <w:t>; h</w:t>
      </w:r>
      <w:r w:rsidR="00B0464E">
        <w:t xml:space="preserve">owever, this criterion has been retained for the </w:t>
      </w:r>
      <w:r w:rsidR="00121537">
        <w:t>economic and</w:t>
      </w:r>
      <w:r w:rsidR="00B0464E">
        <w:t xml:space="preserve"> financial analys</w:t>
      </w:r>
      <w:r w:rsidR="00121537">
        <w:t>e</w:t>
      </w:r>
      <w:r w:rsidR="00B0464E">
        <w:t xml:space="preserve">s. </w:t>
      </w:r>
    </w:p>
    <w:p w14:paraId="2031D0E9" w14:textId="77777777" w:rsidR="00216780" w:rsidRDefault="00C378BA" w:rsidP="00EE135E">
      <w:pPr>
        <w:pStyle w:val="Tablenotes0"/>
        <w:rPr>
          <w:b/>
          <w:u w:val="single"/>
        </w:rPr>
      </w:pPr>
      <w:r w:rsidRPr="00527717">
        <w:rPr>
          <w:b/>
          <w:bCs/>
          <w:u w:val="single"/>
        </w:rPr>
        <w:t>Source</w:t>
      </w:r>
    </w:p>
    <w:p w14:paraId="494A081C" w14:textId="082CCF84" w:rsidR="00C53957" w:rsidRDefault="00ED7642" w:rsidP="00EE135E">
      <w:pPr>
        <w:pStyle w:val="Tablenotes0"/>
      </w:pPr>
      <w:r>
        <w:t xml:space="preserve">Adapted from </w:t>
      </w:r>
      <w:r w:rsidRPr="00ED7642">
        <w:t xml:space="preserve">Table </w:t>
      </w:r>
      <w:r>
        <w:t>41</w:t>
      </w:r>
      <w:r w:rsidRPr="00ED7642">
        <w:t>, pp</w:t>
      </w:r>
      <w:r w:rsidR="00C53957">
        <w:t>.</w:t>
      </w:r>
      <w:r w:rsidRPr="00ED7642">
        <w:t xml:space="preserve"> </w:t>
      </w:r>
      <w:r w:rsidR="005E4846">
        <w:t>169</w:t>
      </w:r>
      <w:r w:rsidR="00042839" w:rsidRPr="00042839">
        <w:t>–</w:t>
      </w:r>
      <w:r w:rsidR="005E4846">
        <w:t>172</w:t>
      </w:r>
      <w:r w:rsidRPr="00ED7642">
        <w:t xml:space="preserve"> of the MSAC 1732.1 </w:t>
      </w:r>
      <w:proofErr w:type="spellStart"/>
      <w:r w:rsidRPr="00ED7642">
        <w:t>ADAR+in-line</w:t>
      </w:r>
      <w:proofErr w:type="spellEnd"/>
      <w:r w:rsidRPr="00ED7642">
        <w:t xml:space="preserve"> </w:t>
      </w:r>
      <w:proofErr w:type="gramStart"/>
      <w:r w:rsidRPr="00ED7642">
        <w:t>commentary</w:t>
      </w:r>
      <w:proofErr w:type="gramEnd"/>
      <w:r w:rsidRPr="00ED7642">
        <w:t xml:space="preserve"> </w:t>
      </w:r>
    </w:p>
    <w:p w14:paraId="2C61BEBC" w14:textId="79278048" w:rsidR="00DD160F" w:rsidRDefault="005175E6" w:rsidP="005175E6">
      <w:r>
        <w:t xml:space="preserve">The </w:t>
      </w:r>
      <w:r w:rsidR="00E252A1">
        <w:t>commentary of the previous submission</w:t>
      </w:r>
      <w:r>
        <w:t xml:space="preserve"> raised concerns that the applicant had not considered all relevant costs and benefits from a healthcare system perspective</w:t>
      </w:r>
      <w:r w:rsidR="006F6A61">
        <w:t xml:space="preserve"> (MSAC 1732</w:t>
      </w:r>
      <w:r w:rsidR="00CE7BDF">
        <w:t xml:space="preserve"> PSD</w:t>
      </w:r>
      <w:r w:rsidR="006F6A61">
        <w:t>)</w:t>
      </w:r>
      <w:r>
        <w:t xml:space="preserve">. </w:t>
      </w:r>
      <w:r w:rsidR="00370978">
        <w:t xml:space="preserve">The </w:t>
      </w:r>
      <w:r w:rsidR="00305DD7">
        <w:t>resubmission has maint</w:t>
      </w:r>
      <w:r w:rsidR="00DD160F">
        <w:t xml:space="preserve">ained </w:t>
      </w:r>
      <w:r w:rsidR="00035839">
        <w:t>a</w:t>
      </w:r>
      <w:r w:rsidR="00DD160F">
        <w:t xml:space="preserve"> more limited perspective </w:t>
      </w:r>
      <w:r w:rsidR="000139C8">
        <w:t xml:space="preserve">focused on costs and outcomes within the target population. </w:t>
      </w:r>
    </w:p>
    <w:p w14:paraId="7A6FBC67" w14:textId="05B5D9E7" w:rsidR="005175E6" w:rsidRDefault="00F80EF9" w:rsidP="005175E6">
      <w:r>
        <w:t xml:space="preserve">In contrast to the original submission, the base case defined in this resubmission does not consider spillover benefits associated with completing </w:t>
      </w:r>
      <w:r w:rsidR="00734FD3">
        <w:t>LD</w:t>
      </w:r>
      <w:r>
        <w:t xml:space="preserve"> chains. In the original ADAR, </w:t>
      </w:r>
      <w:r w:rsidR="005175E6" w:rsidRPr="00BF197E">
        <w:t xml:space="preserve">inclusion of </w:t>
      </w:r>
      <w:r w:rsidR="00AA0EBB">
        <w:t>positive</w:t>
      </w:r>
      <w:r w:rsidR="00AA0EBB" w:rsidRPr="00BF197E">
        <w:t xml:space="preserve"> </w:t>
      </w:r>
      <w:r w:rsidR="00E85044">
        <w:t>spillovers</w:t>
      </w:r>
      <w:r w:rsidR="005175E6" w:rsidRPr="00BF197E">
        <w:t xml:space="preserve"> associated with completion of LD chains contrasted with the exclusion of the potential negative </w:t>
      </w:r>
      <w:r w:rsidR="00E85044">
        <w:t>spillovers</w:t>
      </w:r>
      <w:r w:rsidR="005175E6" w:rsidRPr="00BF197E">
        <w:t xml:space="preserve"> associated with not providing a DD kidney to a non-HS patient on the </w:t>
      </w:r>
      <w:r w:rsidR="004A2E3F">
        <w:t>waitlist</w:t>
      </w:r>
      <w:r w:rsidR="005175E6" w:rsidRPr="00BF197E">
        <w:t xml:space="preserve">. Exclusion of both potential positive and negative </w:t>
      </w:r>
      <w:r w:rsidR="00E85044">
        <w:t>spillovers</w:t>
      </w:r>
      <w:r w:rsidR="005175E6" w:rsidRPr="00BF197E">
        <w:t xml:space="preserve"> from the base case adds consistency relative to the original submission. </w:t>
      </w:r>
      <w:r>
        <w:t xml:space="preserve">The applicant has included a scenario analysis considering both </w:t>
      </w:r>
      <w:r w:rsidR="00B702B4">
        <w:t xml:space="preserve">positive and negative </w:t>
      </w:r>
      <w:r w:rsidR="00E85044">
        <w:t>spillovers</w:t>
      </w:r>
      <w:r w:rsidR="00B702B4">
        <w:t>.</w:t>
      </w:r>
    </w:p>
    <w:p w14:paraId="0047A3A4" w14:textId="32FFC4E2" w:rsidR="00066E8B" w:rsidRDefault="00066E8B" w:rsidP="00527717">
      <w:pPr>
        <w:pStyle w:val="Heading4"/>
      </w:pPr>
      <w:r w:rsidRPr="0033392D">
        <w:t xml:space="preserve">Model </w:t>
      </w:r>
      <w:proofErr w:type="gramStart"/>
      <w:r w:rsidRPr="0033392D">
        <w:t>inputs</w:t>
      </w:r>
      <w:proofErr w:type="gramEnd"/>
    </w:p>
    <w:p w14:paraId="0A0D785A" w14:textId="1828B14F" w:rsidR="00C00F44" w:rsidRDefault="007306AE" w:rsidP="00527717">
      <w:pPr>
        <w:pStyle w:val="Heading5"/>
      </w:pPr>
      <w:r>
        <w:t xml:space="preserve">Transplant rates under current </w:t>
      </w:r>
      <w:proofErr w:type="gramStart"/>
      <w:r>
        <w:t>care</w:t>
      </w:r>
      <w:proofErr w:type="gramEnd"/>
    </w:p>
    <w:p w14:paraId="11157561" w14:textId="212841FB" w:rsidR="007306AE" w:rsidRPr="008013ED" w:rsidRDefault="00146562" w:rsidP="004D7467">
      <w:r w:rsidRPr="003F7204">
        <w:t xml:space="preserve">The </w:t>
      </w:r>
      <w:r w:rsidR="009B28F0">
        <w:t>commentary of the previous submission</w:t>
      </w:r>
      <w:r w:rsidRPr="003F7204">
        <w:t xml:space="preserve"> raised concerns </w:t>
      </w:r>
      <w:r>
        <w:t xml:space="preserve">with the current care transplant rates used in the original submission. The applicant has since sought data from OrganMatch to better inform this input. </w:t>
      </w:r>
      <w:r w:rsidR="0033392D">
        <w:t>Based on these data,</w:t>
      </w:r>
      <w:r w:rsidR="00A10DF1">
        <w:t xml:space="preserve"> a constant annual transplant rate of 13% </w:t>
      </w:r>
      <w:r w:rsidR="0033392D">
        <w:t xml:space="preserve">was adopted </w:t>
      </w:r>
      <w:r w:rsidR="00295196">
        <w:t>in the current care arm of the model.</w:t>
      </w:r>
      <w:r w:rsidR="004D7467">
        <w:t xml:space="preserve"> </w:t>
      </w:r>
      <w:r w:rsidR="0033392D">
        <w:t xml:space="preserve">These data were specific to </w:t>
      </w:r>
      <w:r w:rsidR="00FC56D8">
        <w:t>DD</w:t>
      </w:r>
      <w:r w:rsidR="0033392D">
        <w:t xml:space="preserve"> </w:t>
      </w:r>
      <w:r w:rsidR="004A2E3F">
        <w:t>waitlist</w:t>
      </w:r>
      <w:r w:rsidR="0033392D">
        <w:t xml:space="preserve"> transplant rates. </w:t>
      </w:r>
      <w:r w:rsidR="004D7467">
        <w:t>A</w:t>
      </w:r>
      <w:r w:rsidR="007F4B8C" w:rsidRPr="008013ED">
        <w:t xml:space="preserve">n assumption was made to equate current care transplant rates across LD and DD </w:t>
      </w:r>
      <w:r w:rsidR="004A2E3F">
        <w:t>waitlist</w:t>
      </w:r>
      <w:r w:rsidR="007F4B8C" w:rsidRPr="008013ED">
        <w:t>s</w:t>
      </w:r>
      <w:r w:rsidR="008013ED" w:rsidRPr="008013ED">
        <w:t xml:space="preserve">. </w:t>
      </w:r>
      <w:r w:rsidR="004D7467">
        <w:t>S</w:t>
      </w:r>
      <w:r w:rsidR="008013ED" w:rsidRPr="008013ED">
        <w:t xml:space="preserve">cenario analysis testing an alternate source suggested </w:t>
      </w:r>
      <w:r w:rsidR="004D7467">
        <w:t xml:space="preserve">this assumption </w:t>
      </w:r>
      <w:r w:rsidR="00FE6D0D">
        <w:t xml:space="preserve">had </w:t>
      </w:r>
      <w:r w:rsidR="00D11AF8">
        <w:t>minimal impact</w:t>
      </w:r>
      <w:r w:rsidR="005D2237">
        <w:t>.</w:t>
      </w:r>
    </w:p>
    <w:p w14:paraId="288151E0" w14:textId="369F23D1" w:rsidR="007306AE" w:rsidRPr="008013ED" w:rsidRDefault="00761636" w:rsidP="00527717">
      <w:pPr>
        <w:pStyle w:val="Heading5"/>
      </w:pPr>
      <w:r w:rsidRPr="008013ED">
        <w:t>Treatment efficacy, graft survival and mortality</w:t>
      </w:r>
    </w:p>
    <w:p w14:paraId="58BC9106" w14:textId="35FD10EA" w:rsidR="00D20C47" w:rsidRDefault="00D20C47" w:rsidP="00C00F44">
      <w:pPr>
        <w:rPr>
          <w:color w:val="000000" w:themeColor="text1"/>
        </w:rPr>
      </w:pPr>
      <w:r>
        <w:rPr>
          <w:color w:val="000000" w:themeColor="text1"/>
        </w:rPr>
        <w:t>Efficacy of imlifidase in the economic evaluation is based on the pooled safety population of 54</w:t>
      </w:r>
      <w:r w:rsidR="00872152">
        <w:rPr>
          <w:color w:val="000000" w:themeColor="text1"/>
        </w:rPr>
        <w:t> </w:t>
      </w:r>
      <w:r>
        <w:rPr>
          <w:color w:val="000000" w:themeColor="text1"/>
        </w:rPr>
        <w:t>patients. In this population, 2 patients did not receive a full dose of imlifidase (due to infusion-related reactions) and were therefore not successfully converted to crossmatch negative, leading to a model base case efficacy of 96.3% successful conversion following treatment with imlifidase.</w:t>
      </w:r>
      <w:r w:rsidR="002803A2">
        <w:rPr>
          <w:color w:val="000000" w:themeColor="text1"/>
        </w:rPr>
        <w:t xml:space="preserve"> The </w:t>
      </w:r>
      <w:r w:rsidR="00A97341">
        <w:t>commentary of the previous submission</w:t>
      </w:r>
      <w:r w:rsidR="002803A2">
        <w:t xml:space="preserve"> </w:t>
      </w:r>
      <w:r w:rsidR="00E025D9">
        <w:rPr>
          <w:color w:val="000000" w:themeColor="text1"/>
        </w:rPr>
        <w:t>agreed with the base case efficacy estimate of 96.3% used in the ADAR.</w:t>
      </w:r>
    </w:p>
    <w:p w14:paraId="65E952B9" w14:textId="7932AA09" w:rsidR="003E354E" w:rsidRDefault="002433AE" w:rsidP="00C00F44">
      <w:pPr>
        <w:rPr>
          <w:color w:val="000000" w:themeColor="text1"/>
        </w:rPr>
      </w:pPr>
      <w:r w:rsidRPr="003E354E">
        <w:rPr>
          <w:color w:val="000000" w:themeColor="text1"/>
        </w:rPr>
        <w:lastRenderedPageBreak/>
        <w:t xml:space="preserve">Patient survival with a functioning graft and death-censored graft survival were estimated based on parametric survival analysis of clinical trial data. </w:t>
      </w:r>
      <w:r w:rsidR="003E354E" w:rsidRPr="003E354E">
        <w:rPr>
          <w:color w:val="000000" w:themeColor="text1"/>
        </w:rPr>
        <w:t xml:space="preserve">The original submission used data from the </w:t>
      </w:r>
      <w:r w:rsidR="00E025D9">
        <w:rPr>
          <w:color w:val="000000" w:themeColor="text1"/>
        </w:rPr>
        <w:t>a</w:t>
      </w:r>
      <w:r w:rsidR="003E354E" w:rsidRPr="003E354E">
        <w:rPr>
          <w:color w:val="000000" w:themeColor="text1"/>
        </w:rPr>
        <w:t xml:space="preserve">ll-transplanted population to inform base case extrapolations. MSAC advised the applicant </w:t>
      </w:r>
      <w:r w:rsidR="00523C28" w:rsidRPr="003E354E">
        <w:rPr>
          <w:color w:val="000000" w:themeColor="text1"/>
        </w:rPr>
        <w:t>to</w:t>
      </w:r>
      <w:r w:rsidR="003E354E" w:rsidRPr="003E354E">
        <w:rPr>
          <w:color w:val="000000" w:themeColor="text1"/>
        </w:rPr>
        <w:t xml:space="preserve"> revise the extrapolation</w:t>
      </w:r>
      <w:r w:rsidR="00CF0F9D">
        <w:rPr>
          <w:color w:val="000000" w:themeColor="text1"/>
        </w:rPr>
        <w:t>s</w:t>
      </w:r>
      <w:r w:rsidR="003E354E" w:rsidRPr="003E354E">
        <w:rPr>
          <w:color w:val="000000" w:themeColor="text1"/>
        </w:rPr>
        <w:t xml:space="preserve"> from clinical data to fit the new proposed population </w:t>
      </w:r>
      <w:r w:rsidR="003E354E">
        <w:rPr>
          <w:color w:val="000000" w:themeColor="text1"/>
        </w:rPr>
        <w:t>(MSAC 1732 PSD</w:t>
      </w:r>
      <w:r w:rsidR="003E354E" w:rsidRPr="003E354E">
        <w:rPr>
          <w:color w:val="000000" w:themeColor="text1"/>
        </w:rPr>
        <w:t xml:space="preserve">). Data from the pooled AUS-UTT-A population has been used to inform the base case modelling. </w:t>
      </w:r>
      <w:r w:rsidR="007642B1" w:rsidRPr="007642B1">
        <w:rPr>
          <w:color w:val="000000" w:themeColor="text1"/>
        </w:rPr>
        <w:t>Despite the smaller sample size (</w:t>
      </w:r>
      <w:r w:rsidR="007642B1">
        <w:rPr>
          <w:color w:val="000000" w:themeColor="text1"/>
        </w:rPr>
        <w:t>n</w:t>
      </w:r>
      <w:r w:rsidR="0052762A">
        <w:rPr>
          <w:color w:val="000000" w:themeColor="text1"/>
        </w:rPr>
        <w:t xml:space="preserve"> </w:t>
      </w:r>
      <w:r w:rsidR="007642B1">
        <w:rPr>
          <w:color w:val="000000" w:themeColor="text1"/>
        </w:rPr>
        <w:t>=</w:t>
      </w:r>
      <w:r w:rsidR="0052762A">
        <w:rPr>
          <w:color w:val="000000" w:themeColor="text1"/>
        </w:rPr>
        <w:t xml:space="preserve"> </w:t>
      </w:r>
      <w:r w:rsidR="007642B1" w:rsidRPr="007642B1">
        <w:rPr>
          <w:color w:val="000000" w:themeColor="text1"/>
        </w:rPr>
        <w:t xml:space="preserve">24 vs </w:t>
      </w:r>
      <w:r w:rsidR="007642B1">
        <w:rPr>
          <w:color w:val="000000" w:themeColor="text1"/>
        </w:rPr>
        <w:t>n</w:t>
      </w:r>
      <w:r w:rsidR="0052762A">
        <w:rPr>
          <w:color w:val="000000" w:themeColor="text1"/>
        </w:rPr>
        <w:t xml:space="preserve"> </w:t>
      </w:r>
      <w:r w:rsidR="007642B1">
        <w:rPr>
          <w:color w:val="000000" w:themeColor="text1"/>
        </w:rPr>
        <w:t>=</w:t>
      </w:r>
      <w:r w:rsidR="0052762A">
        <w:rPr>
          <w:color w:val="000000" w:themeColor="text1"/>
        </w:rPr>
        <w:t xml:space="preserve"> </w:t>
      </w:r>
      <w:r w:rsidR="007642B1" w:rsidRPr="007642B1">
        <w:rPr>
          <w:color w:val="000000" w:themeColor="text1"/>
        </w:rPr>
        <w:t>46), this group better reflects the proposed population</w:t>
      </w:r>
      <w:r w:rsidR="008250F4">
        <w:rPr>
          <w:color w:val="000000" w:themeColor="text1"/>
        </w:rPr>
        <w:t xml:space="preserve"> and is aligned with MSAC advice.</w:t>
      </w:r>
      <w:r w:rsidR="003E354E" w:rsidRPr="003E354E">
        <w:rPr>
          <w:color w:val="000000" w:themeColor="text1"/>
        </w:rPr>
        <w:t xml:space="preserve"> </w:t>
      </w:r>
    </w:p>
    <w:p w14:paraId="55E1AF6E" w14:textId="7E84AE67" w:rsidR="00FF604C" w:rsidRDefault="002433AE" w:rsidP="00C00F44">
      <w:pPr>
        <w:rPr>
          <w:color w:val="000000" w:themeColor="text1"/>
        </w:rPr>
      </w:pPr>
      <w:r>
        <w:rPr>
          <w:color w:val="000000" w:themeColor="text1"/>
        </w:rPr>
        <w:t>Parametric models were fit</w:t>
      </w:r>
      <w:r w:rsidR="0052762A">
        <w:rPr>
          <w:color w:val="000000" w:themeColor="text1"/>
        </w:rPr>
        <w:t>ted</w:t>
      </w:r>
      <w:r>
        <w:rPr>
          <w:color w:val="000000" w:themeColor="text1"/>
        </w:rPr>
        <w:t xml:space="preserve"> </w:t>
      </w:r>
      <w:r w:rsidR="00F1583F">
        <w:rPr>
          <w:color w:val="000000" w:themeColor="text1"/>
        </w:rPr>
        <w:t>to clinical trial data to</w:t>
      </w:r>
      <w:r w:rsidR="008250F4">
        <w:rPr>
          <w:color w:val="000000" w:themeColor="text1"/>
        </w:rPr>
        <w:t xml:space="preserve"> extrapolate</w:t>
      </w:r>
      <w:r w:rsidR="0005062C" w:rsidRPr="0005062C">
        <w:rPr>
          <w:color w:val="000000" w:themeColor="text1"/>
        </w:rPr>
        <w:t xml:space="preserve"> </w:t>
      </w:r>
      <w:r w:rsidR="0005062C">
        <w:rPr>
          <w:color w:val="000000" w:themeColor="text1"/>
        </w:rPr>
        <w:t>graft survival and</w:t>
      </w:r>
      <w:r w:rsidR="008250F4">
        <w:rPr>
          <w:color w:val="000000" w:themeColor="text1"/>
        </w:rPr>
        <w:t xml:space="preserve"> </w:t>
      </w:r>
      <w:r w:rsidR="0005062C">
        <w:rPr>
          <w:color w:val="000000" w:themeColor="text1"/>
        </w:rPr>
        <w:t xml:space="preserve">patient </w:t>
      </w:r>
      <w:r w:rsidR="00732662">
        <w:rPr>
          <w:color w:val="000000" w:themeColor="text1"/>
        </w:rPr>
        <w:t>survival with a functioning graft</w:t>
      </w:r>
      <w:r w:rsidR="0005062C">
        <w:rPr>
          <w:color w:val="000000" w:themeColor="text1"/>
        </w:rPr>
        <w:t xml:space="preserve"> over the model time horizon</w:t>
      </w:r>
      <w:r>
        <w:rPr>
          <w:color w:val="000000" w:themeColor="text1"/>
        </w:rPr>
        <w:t>. The ADAR explored different parametric distributions including exponential, Weibull, log-logistic, log-normal, Gompertz and generalised gamma distributions as candidates.</w:t>
      </w:r>
      <w:r w:rsidR="002850B6">
        <w:rPr>
          <w:color w:val="000000" w:themeColor="text1"/>
        </w:rPr>
        <w:t xml:space="preserve"> </w:t>
      </w:r>
      <w:r w:rsidR="00B329AC">
        <w:rPr>
          <w:color w:val="000000" w:themeColor="text1"/>
        </w:rPr>
        <w:t>Both p</w:t>
      </w:r>
      <w:r w:rsidR="002850B6">
        <w:rPr>
          <w:color w:val="000000" w:themeColor="text1"/>
        </w:rPr>
        <w:t>atient survival with a functioning graft and graft survival were modelled using an exponential distribution</w:t>
      </w:r>
      <w:r w:rsidR="00B329AC">
        <w:rPr>
          <w:color w:val="000000" w:themeColor="text1"/>
        </w:rPr>
        <w:t xml:space="preserve"> in the base case</w:t>
      </w:r>
      <w:r w:rsidR="002850B6">
        <w:rPr>
          <w:color w:val="000000" w:themeColor="text1"/>
        </w:rPr>
        <w:t xml:space="preserve">. The </w:t>
      </w:r>
      <w:r w:rsidR="00EC2088">
        <w:t>commentary of the previous submission</w:t>
      </w:r>
      <w:r w:rsidR="002850B6">
        <w:t xml:space="preserve"> </w:t>
      </w:r>
      <w:r w:rsidR="00470AAF">
        <w:rPr>
          <w:color w:val="000000" w:themeColor="text1"/>
        </w:rPr>
        <w:t>(MSAC 1732)</w:t>
      </w:r>
      <w:r w:rsidR="00897989">
        <w:rPr>
          <w:color w:val="000000" w:themeColor="text1"/>
        </w:rPr>
        <w:t xml:space="preserve"> noted </w:t>
      </w:r>
      <w:r w:rsidR="00897989" w:rsidRPr="00897989">
        <w:rPr>
          <w:color w:val="000000" w:themeColor="text1"/>
        </w:rPr>
        <w:t>the</w:t>
      </w:r>
      <w:r w:rsidR="00897989">
        <w:rPr>
          <w:color w:val="000000" w:themeColor="text1"/>
        </w:rPr>
        <w:t xml:space="preserve"> exponential</w:t>
      </w:r>
      <w:r w:rsidR="00897989" w:rsidRPr="00897989">
        <w:rPr>
          <w:color w:val="000000" w:themeColor="text1"/>
        </w:rPr>
        <w:t xml:space="preserve"> distribution </w:t>
      </w:r>
      <w:r w:rsidR="00491908">
        <w:rPr>
          <w:color w:val="000000" w:themeColor="text1"/>
        </w:rPr>
        <w:t>implies</w:t>
      </w:r>
      <w:r w:rsidR="00897989" w:rsidRPr="00897989">
        <w:rPr>
          <w:color w:val="000000" w:themeColor="text1"/>
        </w:rPr>
        <w:t xml:space="preserve"> a constant risk of graft failure</w:t>
      </w:r>
      <w:r w:rsidR="00491908">
        <w:rPr>
          <w:color w:val="000000" w:themeColor="text1"/>
        </w:rPr>
        <w:t xml:space="preserve">, which </w:t>
      </w:r>
      <w:r w:rsidR="00897989" w:rsidRPr="00897989">
        <w:rPr>
          <w:color w:val="000000" w:themeColor="text1"/>
        </w:rPr>
        <w:t>lacks clinical face validity</w:t>
      </w:r>
      <w:r w:rsidR="00491908">
        <w:rPr>
          <w:color w:val="000000" w:themeColor="text1"/>
        </w:rPr>
        <w:t xml:space="preserve">. </w:t>
      </w:r>
      <w:r w:rsidR="008231D9" w:rsidRPr="008231D9">
        <w:rPr>
          <w:color w:val="000000" w:themeColor="text1"/>
        </w:rPr>
        <w:t>No changes have been made in this resubmission to help readers better understand whether the chosen distributions are aligned with clinical experience in Australia</w:t>
      </w:r>
      <w:r w:rsidR="00B329AC">
        <w:rPr>
          <w:color w:val="000000" w:themeColor="text1"/>
        </w:rPr>
        <w:t>.</w:t>
      </w:r>
      <w:r w:rsidR="00FF604C">
        <w:rPr>
          <w:color w:val="000000" w:themeColor="text1"/>
        </w:rPr>
        <w:t xml:space="preserve"> </w:t>
      </w:r>
    </w:p>
    <w:p w14:paraId="6DD7FF90" w14:textId="46681B08" w:rsidR="002433AE" w:rsidRPr="00C00F44" w:rsidRDefault="00FF604C" w:rsidP="00C00F44">
      <w:r>
        <w:rPr>
          <w:color w:val="000000" w:themeColor="text1"/>
        </w:rPr>
        <w:t xml:space="preserve">The </w:t>
      </w:r>
      <w:r w:rsidR="006F4B96">
        <w:rPr>
          <w:color w:val="000000" w:themeColor="text1"/>
        </w:rPr>
        <w:t xml:space="preserve">ADAR </w:t>
      </w:r>
      <w:r>
        <w:rPr>
          <w:color w:val="000000" w:themeColor="text1"/>
        </w:rPr>
        <w:t>note</w:t>
      </w:r>
      <w:r w:rsidR="006F4B96">
        <w:rPr>
          <w:color w:val="000000" w:themeColor="text1"/>
        </w:rPr>
        <w:t>d</w:t>
      </w:r>
      <w:r>
        <w:rPr>
          <w:color w:val="000000" w:themeColor="text1"/>
        </w:rPr>
        <w:t xml:space="preserve"> th</w:t>
      </w:r>
      <w:r w:rsidR="00087A02">
        <w:rPr>
          <w:color w:val="000000" w:themeColor="text1"/>
        </w:rPr>
        <w:t xml:space="preserve">e exponential </w:t>
      </w:r>
      <w:r w:rsidR="00A37763">
        <w:rPr>
          <w:color w:val="000000" w:themeColor="text1"/>
        </w:rPr>
        <w:t>distribution provides the most conservative extrapolations among the candidate distributions.</w:t>
      </w:r>
    </w:p>
    <w:p w14:paraId="6A53D4DC" w14:textId="1B0316AF" w:rsidR="00A35429" w:rsidRPr="00B329AC" w:rsidRDefault="00F43FAA" w:rsidP="00A35429">
      <w:pPr>
        <w:rPr>
          <w:color w:val="000000" w:themeColor="text1"/>
        </w:rPr>
      </w:pPr>
      <w:r w:rsidRPr="00B329AC">
        <w:rPr>
          <w:color w:val="000000" w:themeColor="text1"/>
        </w:rPr>
        <w:t>D</w:t>
      </w:r>
      <w:r w:rsidR="00C91A1B" w:rsidRPr="00B329AC">
        <w:rPr>
          <w:color w:val="000000" w:themeColor="text1"/>
        </w:rPr>
        <w:t xml:space="preserve">ata informing dialysis survival in the model were sourced from the ANZDATA </w:t>
      </w:r>
      <w:r w:rsidR="00AC52B2">
        <w:rPr>
          <w:color w:val="000000" w:themeColor="text1"/>
        </w:rPr>
        <w:t>46</w:t>
      </w:r>
      <w:r w:rsidR="00AC52B2" w:rsidRPr="00527717">
        <w:rPr>
          <w:color w:val="000000" w:themeColor="text1"/>
        </w:rPr>
        <w:t>th</w:t>
      </w:r>
      <w:r w:rsidR="00AC52B2">
        <w:rPr>
          <w:color w:val="000000" w:themeColor="text1"/>
        </w:rPr>
        <w:t xml:space="preserve"> A</w:t>
      </w:r>
      <w:r w:rsidR="00C91A1B" w:rsidRPr="00B329AC">
        <w:rPr>
          <w:color w:val="000000" w:themeColor="text1"/>
        </w:rPr>
        <w:t xml:space="preserve">nnual </w:t>
      </w:r>
      <w:r w:rsidR="00AC52B2">
        <w:rPr>
          <w:color w:val="000000" w:themeColor="text1"/>
        </w:rPr>
        <w:t>R</w:t>
      </w:r>
      <w:r w:rsidR="00C91A1B" w:rsidRPr="00B329AC">
        <w:rPr>
          <w:color w:val="000000" w:themeColor="text1"/>
        </w:rPr>
        <w:t>eport.</w:t>
      </w:r>
      <w:r w:rsidR="00AC52B2">
        <w:rPr>
          <w:rStyle w:val="FootnoteReference"/>
          <w:color w:val="000000" w:themeColor="text1"/>
        </w:rPr>
        <w:footnoteReference w:id="14"/>
      </w:r>
      <w:r w:rsidR="00C91A1B" w:rsidRPr="00B329AC">
        <w:rPr>
          <w:color w:val="000000" w:themeColor="text1"/>
        </w:rPr>
        <w:t xml:space="preserve"> </w:t>
      </w:r>
      <w:r w:rsidR="00E00865" w:rsidRPr="00B329AC">
        <w:rPr>
          <w:color w:val="000000" w:themeColor="text1"/>
        </w:rPr>
        <w:t xml:space="preserve">Reported death </w:t>
      </w:r>
      <w:r w:rsidR="00D831BE" w:rsidRPr="00B329AC">
        <w:rPr>
          <w:color w:val="000000" w:themeColor="text1"/>
        </w:rPr>
        <w:t>rates were converted into transition probabilities</w:t>
      </w:r>
      <w:r w:rsidR="00F80A55" w:rsidRPr="00B329AC">
        <w:rPr>
          <w:color w:val="000000" w:themeColor="text1"/>
        </w:rPr>
        <w:t>. U</w:t>
      </w:r>
      <w:r w:rsidR="00A35429" w:rsidRPr="00B329AC">
        <w:rPr>
          <w:color w:val="000000" w:themeColor="text1"/>
        </w:rPr>
        <w:t>ncertainties remain due the na</w:t>
      </w:r>
      <w:r w:rsidR="0089117B">
        <w:rPr>
          <w:color w:val="000000" w:themeColor="text1"/>
        </w:rPr>
        <w:t>i</w:t>
      </w:r>
      <w:r w:rsidR="00A35429" w:rsidRPr="00B329AC">
        <w:rPr>
          <w:color w:val="000000" w:themeColor="text1"/>
        </w:rPr>
        <w:t>ve ITC that underpins the comparison. There is a high risk of bias (and resulting uncertainty) due to differences in observed and unobserved prognostic and treatment</w:t>
      </w:r>
      <w:r w:rsidR="007D29B0">
        <w:rPr>
          <w:color w:val="000000" w:themeColor="text1"/>
        </w:rPr>
        <w:t>-</w:t>
      </w:r>
      <w:r w:rsidR="00A35429" w:rsidRPr="00B329AC">
        <w:rPr>
          <w:color w:val="000000" w:themeColor="text1"/>
        </w:rPr>
        <w:t>effect</w:t>
      </w:r>
      <w:r w:rsidR="007D29B0">
        <w:rPr>
          <w:color w:val="000000" w:themeColor="text1"/>
        </w:rPr>
        <w:t>-</w:t>
      </w:r>
      <w:r w:rsidR="00DD15A9" w:rsidRPr="00B329AC">
        <w:rPr>
          <w:color w:val="000000" w:themeColor="text1"/>
        </w:rPr>
        <w:t xml:space="preserve">modifying </w:t>
      </w:r>
      <w:r w:rsidR="00A35429" w:rsidRPr="00B329AC">
        <w:rPr>
          <w:color w:val="000000" w:themeColor="text1"/>
        </w:rPr>
        <w:t xml:space="preserve">variables between patients enrolled in the imlifidase trial program and HS patients in Australia. </w:t>
      </w:r>
    </w:p>
    <w:p w14:paraId="25D072E0" w14:textId="38201078" w:rsidR="003F7994" w:rsidRPr="00F80A55" w:rsidRDefault="009A1E6B" w:rsidP="00527717">
      <w:pPr>
        <w:pStyle w:val="Heading5"/>
      </w:pPr>
      <w:r>
        <w:t>Treatment costs</w:t>
      </w:r>
    </w:p>
    <w:p w14:paraId="4986FB94" w14:textId="467B56A9" w:rsidR="00AC519D" w:rsidRDefault="00A35429" w:rsidP="000333B0">
      <w:r w:rsidRPr="00367F02">
        <w:t xml:space="preserve">MSAC </w:t>
      </w:r>
      <w:r w:rsidRPr="00DE65C3">
        <w:t>advised the applicant would need to restrict payment to a single dose (2 vials only) before resubmission (MSAC 1732 PSD). This advice has been adopted, with a price per patient</w:t>
      </w:r>
      <w:r w:rsidR="004D25B3" w:rsidRPr="00DE65C3">
        <w:t>—</w:t>
      </w:r>
      <w:r w:rsidRPr="00DE65C3">
        <w:t xml:space="preserve">estimated at the cost of 2 vials </w:t>
      </w:r>
      <w:r w:rsidR="004D25B3" w:rsidRPr="00DE65C3">
        <w:t>and incorporating</w:t>
      </w:r>
      <w:r w:rsidRPr="00DE65C3">
        <w:t xml:space="preserve"> a</w:t>
      </w:r>
      <w:r w:rsidR="000333B0" w:rsidRPr="00DE65C3">
        <w:t xml:space="preserve"> </w:t>
      </w:r>
      <w:r w:rsidR="00B13B4F" w:rsidRPr="009E2F9F">
        <w:rPr>
          <w:b/>
          <w:bCs/>
        </w:rPr>
        <w:t>redacted</w:t>
      </w:r>
      <w:r w:rsidRPr="00DE65C3">
        <w:t>% discount</w:t>
      </w:r>
      <w:r w:rsidR="000333B0" w:rsidRPr="00DE65C3">
        <w:t xml:space="preserve"> on the</w:t>
      </w:r>
      <w:r w:rsidR="004D25B3" w:rsidRPr="00DE65C3">
        <w:t xml:space="preserve"> $</w:t>
      </w:r>
      <w:r w:rsidR="00B13B4F" w:rsidRPr="00DE65C3">
        <w:rPr>
          <w:b/>
          <w:bCs/>
        </w:rPr>
        <w:t>redacted</w:t>
      </w:r>
      <w:r w:rsidR="004D25B3" w:rsidRPr="00DE65C3">
        <w:t>/vial</w:t>
      </w:r>
      <w:r w:rsidR="000333B0" w:rsidRPr="00DE65C3">
        <w:t xml:space="preserve"> price</w:t>
      </w:r>
      <w:r w:rsidR="00736453" w:rsidRPr="00DE65C3">
        <w:t xml:space="preserve"> (irrespective of the number of vials or doses received in </w:t>
      </w:r>
      <w:r w:rsidR="003811F6" w:rsidRPr="00DE65C3">
        <w:t>practice)</w:t>
      </w:r>
      <w:r w:rsidRPr="00DE65C3">
        <w:t xml:space="preserve">. </w:t>
      </w:r>
      <w:r w:rsidR="004D25B3" w:rsidRPr="00DE65C3">
        <w:t>The per</w:t>
      </w:r>
      <w:r w:rsidR="00767C2C" w:rsidRPr="00DE65C3">
        <w:t>-</w:t>
      </w:r>
      <w:r w:rsidR="004D25B3" w:rsidRPr="00DE65C3">
        <w:t>patient</w:t>
      </w:r>
      <w:r w:rsidRPr="00DE65C3">
        <w:t xml:space="preserve"> cost </w:t>
      </w:r>
      <w:r w:rsidR="004D25B3" w:rsidRPr="00DE65C3">
        <w:t>of</w:t>
      </w:r>
      <w:r w:rsidRPr="00DE65C3">
        <w:t xml:space="preserve"> $</w:t>
      </w:r>
      <w:r w:rsidR="00B13B4F" w:rsidRPr="00DE65C3">
        <w:rPr>
          <w:b/>
          <w:bCs/>
        </w:rPr>
        <w:t>redacted</w:t>
      </w:r>
      <w:r w:rsidR="00B13B4F" w:rsidRPr="009E2F9F" w:rsidDel="00B13B4F">
        <w:t xml:space="preserve"> </w:t>
      </w:r>
      <w:r w:rsidRPr="00DE65C3">
        <w:t xml:space="preserve">is </w:t>
      </w:r>
      <w:r w:rsidR="00B13B4F" w:rsidRPr="00DE65C3">
        <w:rPr>
          <w:b/>
          <w:bCs/>
        </w:rPr>
        <w:t>redacted</w:t>
      </w:r>
      <w:r w:rsidRPr="00DE65C3">
        <w:t>% lower than the cost proposed in the original submission (</w:t>
      </w:r>
      <w:r w:rsidR="004D25B3" w:rsidRPr="00DE65C3">
        <w:t xml:space="preserve">average of </w:t>
      </w:r>
      <w:r w:rsidRPr="00DE65C3">
        <w:t>$</w:t>
      </w:r>
      <w:r w:rsidR="00B13B4F" w:rsidRPr="00DE65C3">
        <w:rPr>
          <w:b/>
          <w:bCs/>
        </w:rPr>
        <w:t>redacted</w:t>
      </w:r>
      <w:r w:rsidR="00B13B4F" w:rsidRPr="009E2F9F" w:rsidDel="00B13B4F">
        <w:t xml:space="preserve"> </w:t>
      </w:r>
      <w:r w:rsidR="004D25B3" w:rsidRPr="00DE65C3">
        <w:t>per patient</w:t>
      </w:r>
      <w:r w:rsidRPr="00367F02">
        <w:t xml:space="preserve">). </w:t>
      </w:r>
    </w:p>
    <w:p w14:paraId="3AA2C0CD" w14:textId="1C77031C" w:rsidR="00583064" w:rsidRPr="00367F02" w:rsidRDefault="004540DF" w:rsidP="000333B0">
      <w:r>
        <w:t>The recommended dose of imlifidase is 0.25</w:t>
      </w:r>
      <w:r w:rsidR="00C727B3">
        <w:t> </w:t>
      </w:r>
      <w:r>
        <w:t>mg/kg; each vial contains 11</w:t>
      </w:r>
      <w:r w:rsidR="00C727B3">
        <w:t> </w:t>
      </w:r>
      <w:r>
        <w:t>mg.</w:t>
      </w:r>
      <w:r w:rsidR="000B3AE0">
        <w:rPr>
          <w:rStyle w:val="FootnoteReference"/>
        </w:rPr>
        <w:footnoteReference w:id="15"/>
      </w:r>
      <w:r>
        <w:t xml:space="preserve"> </w:t>
      </w:r>
      <w:r w:rsidR="00FD7590">
        <w:t>For context, t</w:t>
      </w:r>
      <w:r>
        <w:t>he</w:t>
      </w:r>
      <w:r w:rsidR="00A02EB3">
        <w:t xml:space="preserve"> original ADAR used a weight-based costing approach informed by patient weight in the pooled imlifidase trial </w:t>
      </w:r>
      <w:r w:rsidR="00A02EB3" w:rsidRPr="00DE65C3">
        <w:t>population (</w:t>
      </w:r>
      <w:r w:rsidR="00CE0C46" w:rsidRPr="00DE65C3">
        <w:t>weighted average of 2.09 vials</w:t>
      </w:r>
      <w:r w:rsidR="00923A5E" w:rsidRPr="00DE65C3">
        <w:t>/patient</w:t>
      </w:r>
      <w:r w:rsidR="00AD6284" w:rsidRPr="00DE65C3">
        <w:t>/</w:t>
      </w:r>
      <w:r w:rsidR="00923A5E" w:rsidRPr="00DE65C3">
        <w:t>dose</w:t>
      </w:r>
      <w:r w:rsidR="00A02EB3" w:rsidRPr="00DE65C3">
        <w:t xml:space="preserve">). It also considered that 6.5% of patients require a second dose before transplant. </w:t>
      </w:r>
      <w:r w:rsidR="00C220DA" w:rsidRPr="00DE65C3">
        <w:t xml:space="preserve">The </w:t>
      </w:r>
      <w:r w:rsidR="00192DC1" w:rsidRPr="00DE65C3">
        <w:t xml:space="preserve">amended costing structure </w:t>
      </w:r>
      <w:r w:rsidR="00C220DA" w:rsidRPr="00DE65C3">
        <w:t xml:space="preserve">presented in the ADAR </w:t>
      </w:r>
      <w:r w:rsidR="002F1FD2" w:rsidRPr="00DE65C3">
        <w:t>is driven by changes to the</w:t>
      </w:r>
      <w:r w:rsidR="00192DC1" w:rsidRPr="00DE65C3">
        <w:t xml:space="preserve"> proposed funding arrangements but should not impact</w:t>
      </w:r>
      <w:r w:rsidR="004821CA" w:rsidRPr="00DE65C3">
        <w:t xml:space="preserve"> </w:t>
      </w:r>
      <w:r w:rsidR="004821CA" w:rsidRPr="009E2F9F">
        <w:rPr>
          <w:b/>
          <w:bCs/>
        </w:rPr>
        <w:t>redacted</w:t>
      </w:r>
      <w:r w:rsidR="00192DC1" w:rsidRPr="009E2F9F">
        <w:t>.</w:t>
      </w:r>
    </w:p>
    <w:p w14:paraId="510ED5E3" w14:textId="1CBF1620" w:rsidR="00495ABF" w:rsidRPr="001E3DB1" w:rsidRDefault="00184CB2" w:rsidP="00F80A55">
      <w:r w:rsidRPr="001E3DB1">
        <w:t xml:space="preserve">For comparative purposes, the </w:t>
      </w:r>
      <w:r w:rsidR="00FC0389">
        <w:t xml:space="preserve">assessment group </w:t>
      </w:r>
      <w:r w:rsidRPr="001E3DB1">
        <w:t xml:space="preserve">has estimated the ICER using the original weight-based dosing </w:t>
      </w:r>
      <w:r w:rsidR="00A35429" w:rsidRPr="001E3DB1">
        <w:t>approach (</w:t>
      </w:r>
      <w:r w:rsidRPr="001E3DB1">
        <w:t>incorporating the</w:t>
      </w:r>
      <w:r w:rsidR="00A35429" w:rsidRPr="001E3DB1">
        <w:t xml:space="preserve"> </w:t>
      </w:r>
      <w:r w:rsidR="007110CD" w:rsidRPr="009E2F9F">
        <w:rPr>
          <w:b/>
        </w:rPr>
        <w:t>redacted</w:t>
      </w:r>
      <w:r w:rsidR="00A35429" w:rsidRPr="001E3DB1">
        <w:t>% discount on the price/vial)</w:t>
      </w:r>
      <w:r w:rsidRPr="001E3DB1">
        <w:t>.</w:t>
      </w:r>
      <w:r w:rsidR="002B775E">
        <w:t xml:space="preserve"> </w:t>
      </w:r>
    </w:p>
    <w:p w14:paraId="0CA6CFAE" w14:textId="3FD03425" w:rsidR="0098068F" w:rsidRPr="001E3DB1" w:rsidRDefault="0098068F" w:rsidP="00F80A55">
      <w:r>
        <w:t xml:space="preserve">A small percentage of patients may be unable to proceed with treatment due to infusion-related reactions and </w:t>
      </w:r>
      <w:r w:rsidR="00363FA8">
        <w:t xml:space="preserve">may </w:t>
      </w:r>
      <w:r>
        <w:t xml:space="preserve">not be administered a full dose. In the </w:t>
      </w:r>
      <w:r>
        <w:rPr>
          <w:color w:val="000000" w:themeColor="text1"/>
        </w:rPr>
        <w:t>pooled safety population (</w:t>
      </w:r>
      <w:r w:rsidR="00B42CCC">
        <w:rPr>
          <w:color w:val="000000" w:themeColor="text1"/>
        </w:rPr>
        <w:t>N</w:t>
      </w:r>
      <w:r w:rsidR="00884ADB">
        <w:rPr>
          <w:color w:val="000000" w:themeColor="text1"/>
        </w:rPr>
        <w:t> = </w:t>
      </w:r>
      <w:r>
        <w:rPr>
          <w:color w:val="000000" w:themeColor="text1"/>
        </w:rPr>
        <w:t>54)</w:t>
      </w:r>
      <w:r>
        <w:t xml:space="preserve">, </w:t>
      </w:r>
      <w:r>
        <w:rPr>
          <w:color w:val="000000" w:themeColor="text1"/>
        </w:rPr>
        <w:lastRenderedPageBreak/>
        <w:t>2</w:t>
      </w:r>
      <w:r w:rsidR="00872152">
        <w:rPr>
          <w:color w:val="000000" w:themeColor="text1"/>
        </w:rPr>
        <w:t> </w:t>
      </w:r>
      <w:r>
        <w:rPr>
          <w:color w:val="000000" w:themeColor="text1"/>
        </w:rPr>
        <w:t>(3.7%) patients did not receive a full dose of imlifidase due to infusion-related reactions</w:t>
      </w:r>
      <w:r>
        <w:t>. The number of vials that would be reimbursed should a patient only be administered 1 vial is unclear.</w:t>
      </w:r>
    </w:p>
    <w:p w14:paraId="459FCCB7" w14:textId="15FD36DD" w:rsidR="00DB7DB3" w:rsidRDefault="0052072D" w:rsidP="00DB7DB3">
      <w:r w:rsidRPr="001E3DB1">
        <w:t>MSAC advised that before resubmission, the applicant would need to include costs of additional immunological testing and other implementation challenges</w:t>
      </w:r>
      <w:r w:rsidR="001E3DB1" w:rsidRPr="001E3DB1">
        <w:t xml:space="preserve"> (MSAC 17</w:t>
      </w:r>
      <w:r w:rsidR="00321F2F">
        <w:t>32</w:t>
      </w:r>
      <w:r w:rsidR="001E3DB1" w:rsidRPr="001E3DB1">
        <w:t xml:space="preserve"> PSD)</w:t>
      </w:r>
      <w:r w:rsidRPr="001E3DB1">
        <w:t xml:space="preserve">. The </w:t>
      </w:r>
      <w:r w:rsidR="0098068F">
        <w:t>ADAR</w:t>
      </w:r>
      <w:r w:rsidRPr="001E3DB1">
        <w:t xml:space="preserve"> has considered this by adding costs for an additional 8 Luminex tests. No additional changes have been made to the administration or monitoring costs. It is unclear whether this change is sufficient to address MSAC’s concerns. The </w:t>
      </w:r>
      <w:r w:rsidR="0053548C">
        <w:t>commentary</w:t>
      </w:r>
      <w:r w:rsidR="00FC0389">
        <w:t xml:space="preserve"> </w:t>
      </w:r>
      <w:r w:rsidRPr="001E3DB1">
        <w:t>notes that the impact of increasing the number of Luminex tests has a small impact on the ICER</w:t>
      </w:r>
      <w:r w:rsidR="003E287B">
        <w:t xml:space="preserve">. </w:t>
      </w:r>
    </w:p>
    <w:p w14:paraId="02A0684D" w14:textId="5DCBF292" w:rsidR="002F6E06" w:rsidRPr="00F54190" w:rsidRDefault="00C10FC8" w:rsidP="00527717">
      <w:r>
        <w:t xml:space="preserve">Alternate costing approaches for both transplant costs and dialysis costs were explored in the ADAR. </w:t>
      </w:r>
      <w:r w:rsidR="008306F4" w:rsidRPr="008306F4">
        <w:t xml:space="preserve">The </w:t>
      </w:r>
      <w:r w:rsidR="0053548C">
        <w:t>commentary of the previous submission</w:t>
      </w:r>
      <w:r w:rsidR="008306F4" w:rsidRPr="008306F4">
        <w:t xml:space="preserve"> (MSAC 1732) noted that the choice between the applicant’s micro-costing approach and </w:t>
      </w:r>
      <w:r w:rsidR="008306F4">
        <w:t>inflation-adjusted</w:t>
      </w:r>
      <w:r w:rsidR="008306F4" w:rsidRPr="008306F4">
        <w:t xml:space="preserve"> Kidney Health Australia (KHA) estimated costs has a material impact on the ICER. The micro-costing </w:t>
      </w:r>
      <w:r w:rsidR="001734F5">
        <w:t xml:space="preserve">approaches </w:t>
      </w:r>
      <w:r w:rsidR="00EE15F4">
        <w:t>were</w:t>
      </w:r>
      <w:r w:rsidR="001734F5">
        <w:t xml:space="preserve"> selected for the base case model. The micro-costing </w:t>
      </w:r>
      <w:r w:rsidR="00896656">
        <w:t>calculations</w:t>
      </w:r>
      <w:r>
        <w:t xml:space="preserve"> </w:t>
      </w:r>
      <w:r w:rsidR="008306F4" w:rsidRPr="008306F4">
        <w:t>for transplant costs and dialysis costs both favour imlifidase relative to the inflation-adjusted KHA costs</w:t>
      </w:r>
      <w:r w:rsidR="00896656">
        <w:t>.</w:t>
      </w:r>
      <w:r w:rsidR="002F6E06">
        <w:t xml:space="preserve"> </w:t>
      </w:r>
    </w:p>
    <w:p w14:paraId="5ECE0A3E" w14:textId="16275E06" w:rsidR="002F6E06" w:rsidRPr="00F54190" w:rsidRDefault="002F6E06" w:rsidP="002F6E06">
      <w:pPr>
        <w:jc w:val="both"/>
      </w:pPr>
      <w:r w:rsidRPr="004A76B4">
        <w:t xml:space="preserve">With respect to post-transplant care, the </w:t>
      </w:r>
      <w:r w:rsidR="0053548C" w:rsidRPr="004A76B4">
        <w:t>ADAR’s</w:t>
      </w:r>
      <w:r w:rsidRPr="004A76B4">
        <w:t xml:space="preserve"> micro-costing approach only include</w:t>
      </w:r>
      <w:r w:rsidR="00516C3F" w:rsidRPr="004A76B4">
        <w:t>d</w:t>
      </w:r>
      <w:r w:rsidRPr="004A76B4">
        <w:t xml:space="preserve"> costs for post-transplant nephrologist visits (MBS item 116, $</w:t>
      </w:r>
      <w:r w:rsidRPr="009E2F9F">
        <w:t>84.35</w:t>
      </w:r>
      <w:r w:rsidRPr="004A76B4">
        <w:t>). The inflation-adjusted KHA post-transplant care costs are considerably higher: $</w:t>
      </w:r>
      <w:r w:rsidRPr="009E2F9F">
        <w:t>22,928</w:t>
      </w:r>
      <w:r w:rsidRPr="004A76B4">
        <w:t xml:space="preserve"> over the first 12 months and $</w:t>
      </w:r>
      <w:r w:rsidRPr="009E2F9F">
        <w:t>2,384</w:t>
      </w:r>
      <w:r w:rsidRPr="004A76B4">
        <w:t xml:space="preserve"> per year subsequently ($</w:t>
      </w:r>
      <w:r w:rsidRPr="009E2F9F">
        <w:t>1,192</w:t>
      </w:r>
      <w:r w:rsidRPr="004A76B4">
        <w:t xml:space="preserve"> per cycle) relative to $</w:t>
      </w:r>
      <w:r w:rsidRPr="009E2F9F">
        <w:t>2,868</w:t>
      </w:r>
      <w:r w:rsidRPr="004A76B4">
        <w:t xml:space="preserve"> over the first 12 months and $</w:t>
      </w:r>
      <w:r w:rsidRPr="009E2F9F">
        <w:t>254</w:t>
      </w:r>
      <w:r w:rsidRPr="004A76B4">
        <w:t xml:space="preserve"> per year thereafter ($</w:t>
      </w:r>
      <w:r w:rsidRPr="009E2F9F">
        <w:t>127</w:t>
      </w:r>
      <w:r w:rsidRPr="004A76B4">
        <w:t xml:space="preserve"> per cycle) (</w:t>
      </w:r>
      <w:proofErr w:type="spellStart"/>
      <w:r w:rsidRPr="004A76B4">
        <w:t>ADAR</w:t>
      </w:r>
      <w:r w:rsidR="00A73B1E">
        <w:t>+in</w:t>
      </w:r>
      <w:r w:rsidR="005277BD">
        <w:t>-line</w:t>
      </w:r>
      <w:proofErr w:type="spellEnd"/>
      <w:r w:rsidR="005277BD">
        <w:t xml:space="preserve"> commentary</w:t>
      </w:r>
      <w:r w:rsidRPr="00F54190">
        <w:t xml:space="preserve"> Table 68).</w:t>
      </w:r>
      <w:r w:rsidR="009442BD">
        <w:t xml:space="preserve"> An</w:t>
      </w:r>
      <w:r w:rsidR="009442BD" w:rsidRPr="00F54190">
        <w:t xml:space="preserve"> additional scenario in which the number of post-transplant visits is doubled in the first 6 months post transplantation</w:t>
      </w:r>
      <w:r w:rsidR="009442BD">
        <w:t xml:space="preserve"> was added </w:t>
      </w:r>
      <w:r w:rsidR="007122E6">
        <w:t>in</w:t>
      </w:r>
      <w:r w:rsidR="009442BD">
        <w:t xml:space="preserve"> the resubmission</w:t>
      </w:r>
      <w:r w:rsidR="009442BD" w:rsidRPr="00F54190">
        <w:t>. This increased the ICER only slightly (</w:t>
      </w:r>
      <w:proofErr w:type="spellStart"/>
      <w:r w:rsidR="009442BD" w:rsidRPr="00F54190">
        <w:t>ADAR</w:t>
      </w:r>
      <w:r w:rsidR="00271DE3">
        <w:t>+in-line</w:t>
      </w:r>
      <w:proofErr w:type="spellEnd"/>
      <w:r w:rsidR="00271DE3">
        <w:t xml:space="preserve"> commentary</w:t>
      </w:r>
      <w:r w:rsidR="009442BD" w:rsidRPr="00F54190">
        <w:t xml:space="preserve"> Table 84).</w:t>
      </w:r>
    </w:p>
    <w:p w14:paraId="03BE000D" w14:textId="38A31BAD" w:rsidR="00D25EB4" w:rsidRDefault="00DD5825" w:rsidP="00527717">
      <w:pPr>
        <w:pStyle w:val="Heading4"/>
      </w:pPr>
      <w:r>
        <w:t xml:space="preserve">Model </w:t>
      </w:r>
      <w:proofErr w:type="gramStart"/>
      <w:r w:rsidR="009E009E">
        <w:t>v</w:t>
      </w:r>
      <w:r w:rsidR="005C1A9F">
        <w:t>alidation</w:t>
      </w:r>
      <w:proofErr w:type="gramEnd"/>
    </w:p>
    <w:p w14:paraId="58FD5E58" w14:textId="6704E418" w:rsidR="009162C1" w:rsidRDefault="009162C1" w:rsidP="00275F81">
      <w:r w:rsidRPr="00296FD5">
        <w:t xml:space="preserve">The </w:t>
      </w:r>
      <w:r w:rsidR="00F872E2">
        <w:t xml:space="preserve">commentary of the previous submission </w:t>
      </w:r>
      <w:r w:rsidR="00D56A23">
        <w:t>(MSAC 1732)</w:t>
      </w:r>
      <w:r w:rsidR="00A66D02">
        <w:t xml:space="preserve"> </w:t>
      </w:r>
      <w:r>
        <w:t xml:space="preserve">noted that no validation demonstrating that predicted outcomes align with clinical expectations or registry data were provided. The </w:t>
      </w:r>
      <w:r w:rsidR="003A10E5">
        <w:t>previous commentary</w:t>
      </w:r>
      <w:r w:rsidR="00FC0389">
        <w:t xml:space="preserve"> </w:t>
      </w:r>
      <w:r>
        <w:t>questioned why the applicant based the economic model on uncertain extrapolations of potentially biased clinical trial data (following from a na</w:t>
      </w:r>
      <w:r w:rsidR="00E532F3">
        <w:t>i</w:t>
      </w:r>
      <w:r>
        <w:t xml:space="preserve">ve ITC) rather than using Australian registry data. </w:t>
      </w:r>
    </w:p>
    <w:p w14:paraId="0B19471D" w14:textId="101AD22D" w:rsidR="009162C1" w:rsidRDefault="009162C1" w:rsidP="00275F81">
      <w:r>
        <w:t>The applicant has responded by adding 2 external validations</w:t>
      </w:r>
      <w:r w:rsidR="008438C4">
        <w:t xml:space="preserve"> to the resubmission comparing</w:t>
      </w:r>
      <w:r>
        <w:t>:</w:t>
      </w:r>
    </w:p>
    <w:p w14:paraId="63C9E1A6" w14:textId="41AF47E8" w:rsidR="009162C1" w:rsidRDefault="00EB360A" w:rsidP="00FC0389">
      <w:pPr>
        <w:pStyle w:val="ListParagraph"/>
        <w:numPr>
          <w:ilvl w:val="0"/>
          <w:numId w:val="16"/>
        </w:numPr>
      </w:pPr>
      <w:r>
        <w:t>t</w:t>
      </w:r>
      <w:r w:rsidR="009162C1">
        <w:t>he proportion of patients alive (not in the ‘dead</w:t>
      </w:r>
      <w:r w:rsidR="008438C4">
        <w:t xml:space="preserve">’ </w:t>
      </w:r>
      <w:r w:rsidR="009162C1">
        <w:t xml:space="preserve">health state) </w:t>
      </w:r>
      <w:r w:rsidR="008438C4">
        <w:t>in</w:t>
      </w:r>
      <w:r w:rsidR="009162C1">
        <w:t xml:space="preserve"> the imlifidase model arm vs ANZDATA overall patient survival data for patients receiving a second or subsequent transplant</w:t>
      </w:r>
      <w:r w:rsidR="00275F81">
        <w:t xml:space="preserve"> (up to 20 years)</w:t>
      </w:r>
    </w:p>
    <w:p w14:paraId="52E28D66" w14:textId="7C666B4A" w:rsidR="009162C1" w:rsidRDefault="00EB360A" w:rsidP="00FC0389">
      <w:pPr>
        <w:pStyle w:val="ListParagraph"/>
        <w:numPr>
          <w:ilvl w:val="0"/>
          <w:numId w:val="16"/>
        </w:numPr>
      </w:pPr>
      <w:r>
        <w:t>t</w:t>
      </w:r>
      <w:r w:rsidR="009162C1">
        <w:t>he proportion of patients in the functioning graft health state (post-imlifidase-enabled transplant) vs ANZDATA graft survival data for patients receiving a second or subsequent transplant</w:t>
      </w:r>
      <w:r w:rsidR="00275F81">
        <w:t xml:space="preserve"> (up to 20 years).</w:t>
      </w:r>
    </w:p>
    <w:p w14:paraId="15E43FE2" w14:textId="24F3F81F" w:rsidR="004902C4" w:rsidRDefault="00622715" w:rsidP="00275F81">
      <w:r>
        <w:t xml:space="preserve">The </w:t>
      </w:r>
      <w:r w:rsidR="003A10E5">
        <w:t>ADAR</w:t>
      </w:r>
      <w:r>
        <w:t xml:space="preserve"> explained </w:t>
      </w:r>
      <w:r w:rsidR="00275F81">
        <w:t>that</w:t>
      </w:r>
      <w:r>
        <w:t xml:space="preserve"> </w:t>
      </w:r>
      <w:r w:rsidR="00275F81">
        <w:t>the</w:t>
      </w:r>
      <w:r>
        <w:t xml:space="preserve"> ANZDATA could not inform model transitions </w:t>
      </w:r>
      <w:r w:rsidR="00275F81">
        <w:t xml:space="preserve">because </w:t>
      </w:r>
      <w:r>
        <w:t>published graft survival is not death censored</w:t>
      </w:r>
      <w:r w:rsidR="00723EA1">
        <w:t>,</w:t>
      </w:r>
      <w:r w:rsidR="00275F81">
        <w:t xml:space="preserve"> and</w:t>
      </w:r>
      <w:r>
        <w:t xml:space="preserve"> published patient survival reflects overall survival not survival with a functioning graft. </w:t>
      </w:r>
      <w:r w:rsidR="00D42976">
        <w:t xml:space="preserve">The validations performed showed the model predictions </w:t>
      </w:r>
      <w:r w:rsidR="0057417F">
        <w:t>to be realistic (</w:t>
      </w:r>
      <w:r w:rsidR="00BF5A54">
        <w:t>modelled patient</w:t>
      </w:r>
      <w:r w:rsidR="0057417F">
        <w:t xml:space="preserve"> survival</w:t>
      </w:r>
      <w:r w:rsidR="002F0671">
        <w:t xml:space="preserve"> and graft survival</w:t>
      </w:r>
      <w:r w:rsidR="0057417F">
        <w:t xml:space="preserve"> </w:t>
      </w:r>
      <w:r w:rsidR="00961CE1">
        <w:t xml:space="preserve">equal to or below </w:t>
      </w:r>
      <w:r w:rsidR="008D78D5">
        <w:t xml:space="preserve">the </w:t>
      </w:r>
      <w:r w:rsidR="00A90A6C">
        <w:t>data</w:t>
      </w:r>
      <w:r w:rsidR="008D78D5">
        <w:t xml:space="preserve"> reported by ANZDATA with one exception—at 20 years</w:t>
      </w:r>
      <w:r w:rsidR="00723EA1">
        <w:t>,</w:t>
      </w:r>
      <w:r w:rsidR="008D78D5">
        <w:t xml:space="preserve"> modelled graft survival exceeded </w:t>
      </w:r>
      <w:r w:rsidR="007C10F2">
        <w:t>ANZDATA survival data for DD transplants).</w:t>
      </w:r>
      <w:r w:rsidR="00D42976">
        <w:t xml:space="preserve"> </w:t>
      </w:r>
    </w:p>
    <w:p w14:paraId="428E4A55" w14:textId="4879D65D" w:rsidR="005C1A9F" w:rsidRPr="00275F81" w:rsidRDefault="00275F81" w:rsidP="00275F81">
      <w:r>
        <w:t>The approaches taken and</w:t>
      </w:r>
      <w:r w:rsidR="00F768D7">
        <w:t xml:space="preserve"> the</w:t>
      </w:r>
      <w:r>
        <w:t xml:space="preserve"> rationale for using these data for validation (</w:t>
      </w:r>
      <w:r w:rsidR="001F743D">
        <w:t>compared</w:t>
      </w:r>
      <w:r>
        <w:t xml:space="preserve"> to informing model inputs) are reasonable.</w:t>
      </w:r>
      <w:r w:rsidR="00120C8A">
        <w:t xml:space="preserve"> As noted </w:t>
      </w:r>
      <w:r w:rsidR="003A10E5">
        <w:t>in the ADAR</w:t>
      </w:r>
      <w:r w:rsidR="00120C8A">
        <w:t xml:space="preserve">, </w:t>
      </w:r>
      <w:r w:rsidR="009C0E0B">
        <w:t xml:space="preserve">the reported </w:t>
      </w:r>
      <w:r w:rsidR="004902C4">
        <w:t>20-year</w:t>
      </w:r>
      <w:r w:rsidR="009C0E0B">
        <w:t xml:space="preserve"> data are based on a cohort who were transplanted in 2000</w:t>
      </w:r>
      <w:r w:rsidR="00967994">
        <w:t>–</w:t>
      </w:r>
      <w:r w:rsidR="009C0E0B">
        <w:t>2004</w:t>
      </w:r>
      <w:r w:rsidR="009067DA">
        <w:t xml:space="preserve">, potentially explaining the higher </w:t>
      </w:r>
      <w:r w:rsidR="00566F1B">
        <w:t>graft survival observed in the model at 20 years (transplant outcomes may have improved over time).</w:t>
      </w:r>
    </w:p>
    <w:p w14:paraId="3DB73566" w14:textId="3D221315" w:rsidR="00D97FAC" w:rsidRDefault="00D97FAC" w:rsidP="00527717">
      <w:pPr>
        <w:pStyle w:val="Heading4"/>
      </w:pPr>
      <w:r>
        <w:lastRenderedPageBreak/>
        <w:t>Results</w:t>
      </w:r>
    </w:p>
    <w:p w14:paraId="2C2B8291" w14:textId="26AD7296" w:rsidR="008811EE" w:rsidRDefault="00C55ABE" w:rsidP="00DD4F0A">
      <w:r>
        <w:t xml:space="preserve">Table </w:t>
      </w:r>
      <w:r w:rsidR="00DF5FAF">
        <w:t xml:space="preserve">8 </w:t>
      </w:r>
      <w:r w:rsidR="0027531C">
        <w:t xml:space="preserve">presents </w:t>
      </w:r>
      <w:r w:rsidR="00275F81">
        <w:t xml:space="preserve">an abridged summary of </w:t>
      </w:r>
      <w:r w:rsidR="008C2398">
        <w:t>disaggregated cost outcomes</w:t>
      </w:r>
      <w:r w:rsidR="00F57062">
        <w:t>, as estimated by the ADAR.</w:t>
      </w:r>
    </w:p>
    <w:p w14:paraId="577F80BC" w14:textId="6711B9D5" w:rsidR="00DD4F0A" w:rsidRDefault="00DD4F0A" w:rsidP="00DD4F0A">
      <w:pPr>
        <w:pStyle w:val="Caption"/>
      </w:pPr>
      <w:bookmarkStart w:id="34" w:name="_Ref163648410"/>
      <w:r>
        <w:t xml:space="preserve">Table </w:t>
      </w:r>
      <w:r w:rsidR="00DF5FAF">
        <w:t>8</w:t>
      </w:r>
      <w:bookmarkEnd w:id="34"/>
      <w:r>
        <w:t xml:space="preserve"> </w:t>
      </w:r>
      <w:r w:rsidR="007428B4">
        <w:t xml:space="preserve">Disaggregated cost outcomes by health state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7"/>
        <w:gridCol w:w="1560"/>
        <w:gridCol w:w="1275"/>
        <w:gridCol w:w="1650"/>
      </w:tblGrid>
      <w:tr w:rsidR="00C44C40" w:rsidRPr="00D70A9F" w14:paraId="3A5C318A" w14:textId="77777777" w:rsidTr="00D70A9F">
        <w:trPr>
          <w:tblHeader/>
        </w:trPr>
        <w:tc>
          <w:tcPr>
            <w:tcW w:w="1727" w:type="pct"/>
            <w:shd w:val="clear" w:color="auto" w:fill="auto"/>
          </w:tcPr>
          <w:p w14:paraId="3B904213" w14:textId="77777777" w:rsidR="00C44C40" w:rsidRPr="004A76B4" w:rsidRDefault="00C44C40" w:rsidP="00D70A9F">
            <w:pPr>
              <w:pStyle w:val="TableText"/>
              <w:rPr>
                <w:b/>
                <w:bCs/>
              </w:rPr>
            </w:pPr>
            <w:r w:rsidRPr="004A76B4">
              <w:rPr>
                <w:b/>
                <w:bCs/>
              </w:rPr>
              <w:t>Health state in model</w:t>
            </w:r>
          </w:p>
        </w:tc>
        <w:tc>
          <w:tcPr>
            <w:tcW w:w="786" w:type="pct"/>
            <w:shd w:val="clear" w:color="auto" w:fill="auto"/>
          </w:tcPr>
          <w:p w14:paraId="484C5AED" w14:textId="48930C8D" w:rsidR="00C44C40" w:rsidRPr="004A76B4" w:rsidRDefault="00C44C40" w:rsidP="00D70A9F">
            <w:pPr>
              <w:pStyle w:val="TableText"/>
              <w:rPr>
                <w:b/>
                <w:bCs/>
              </w:rPr>
            </w:pPr>
            <w:r w:rsidRPr="004A76B4">
              <w:rPr>
                <w:b/>
                <w:bCs/>
              </w:rPr>
              <w:t>Imlifidase</w:t>
            </w:r>
          </w:p>
        </w:tc>
        <w:tc>
          <w:tcPr>
            <w:tcW w:w="865" w:type="pct"/>
            <w:shd w:val="clear" w:color="auto" w:fill="auto"/>
          </w:tcPr>
          <w:p w14:paraId="3449181B" w14:textId="36A6397F" w:rsidR="00C44C40" w:rsidRPr="004A76B4" w:rsidRDefault="00C44C40" w:rsidP="00D70A9F">
            <w:pPr>
              <w:pStyle w:val="TableText"/>
              <w:rPr>
                <w:b/>
                <w:bCs/>
              </w:rPr>
            </w:pPr>
            <w:r w:rsidRPr="004A76B4">
              <w:rPr>
                <w:b/>
                <w:bCs/>
              </w:rPr>
              <w:t>Current care</w:t>
            </w:r>
          </w:p>
        </w:tc>
        <w:tc>
          <w:tcPr>
            <w:tcW w:w="707" w:type="pct"/>
            <w:shd w:val="clear" w:color="auto" w:fill="auto"/>
          </w:tcPr>
          <w:p w14:paraId="732E8DC3" w14:textId="05BF64D8" w:rsidR="00C44C40" w:rsidRPr="004A76B4" w:rsidRDefault="00C44C40" w:rsidP="00D70A9F">
            <w:pPr>
              <w:pStyle w:val="TableText"/>
              <w:rPr>
                <w:b/>
                <w:bCs/>
              </w:rPr>
            </w:pPr>
            <w:r w:rsidRPr="004A76B4">
              <w:rPr>
                <w:b/>
                <w:bCs/>
              </w:rPr>
              <w:t>Incremental cost</w:t>
            </w:r>
          </w:p>
        </w:tc>
        <w:tc>
          <w:tcPr>
            <w:tcW w:w="915" w:type="pct"/>
            <w:shd w:val="clear" w:color="auto" w:fill="auto"/>
          </w:tcPr>
          <w:p w14:paraId="5C015664" w14:textId="25DDDAA1" w:rsidR="00C44C40" w:rsidRPr="004A76B4" w:rsidRDefault="00C44C40" w:rsidP="00D70A9F">
            <w:pPr>
              <w:pStyle w:val="TableText"/>
              <w:rPr>
                <w:b/>
                <w:bCs/>
              </w:rPr>
            </w:pPr>
            <w:r w:rsidRPr="004A76B4">
              <w:rPr>
                <w:b/>
                <w:bCs/>
              </w:rPr>
              <w:t>Total incremental cost</w:t>
            </w:r>
            <w:r w:rsidR="004B0BAF" w:rsidRPr="004A76B4">
              <w:rPr>
                <w:b/>
                <w:bCs/>
              </w:rPr>
              <w:t xml:space="preserve"> (%)</w:t>
            </w:r>
          </w:p>
        </w:tc>
      </w:tr>
      <w:tr w:rsidR="00C44C40" w:rsidRPr="00D70A9F" w14:paraId="12A7CB4B" w14:textId="77777777" w:rsidTr="00D70A9F">
        <w:tc>
          <w:tcPr>
            <w:tcW w:w="1727" w:type="pct"/>
            <w:shd w:val="clear" w:color="auto" w:fill="auto"/>
          </w:tcPr>
          <w:p w14:paraId="482345BA" w14:textId="3F751BCE" w:rsidR="00C44C40" w:rsidRPr="004A76B4" w:rsidRDefault="00C44C40" w:rsidP="00D70A9F">
            <w:pPr>
              <w:pStyle w:val="TableText"/>
            </w:pPr>
            <w:r w:rsidRPr="004A76B4">
              <w:t>Model entry: cost of imlifidase treatment (including AEs)</w:t>
            </w:r>
          </w:p>
        </w:tc>
        <w:tc>
          <w:tcPr>
            <w:tcW w:w="786" w:type="pct"/>
            <w:shd w:val="clear" w:color="auto" w:fill="auto"/>
          </w:tcPr>
          <w:p w14:paraId="2DD4A63F" w14:textId="69C09201" w:rsidR="00C44C40" w:rsidRPr="009E2F9F" w:rsidRDefault="002363A4" w:rsidP="00D70A9F">
            <w:pPr>
              <w:pStyle w:val="TableText"/>
              <w:rPr>
                <w:b/>
              </w:rPr>
            </w:pPr>
            <w:r w:rsidRPr="009E2F9F">
              <w:rPr>
                <w:b/>
              </w:rPr>
              <w:t>$</w:t>
            </w:r>
            <w:r w:rsidR="00007BD8" w:rsidRPr="009E2F9F">
              <w:rPr>
                <w:b/>
              </w:rPr>
              <w:t>redacted</w:t>
            </w:r>
          </w:p>
        </w:tc>
        <w:tc>
          <w:tcPr>
            <w:tcW w:w="865" w:type="pct"/>
            <w:shd w:val="clear" w:color="auto" w:fill="auto"/>
          </w:tcPr>
          <w:p w14:paraId="51FA9A39" w14:textId="63DEF5F3" w:rsidR="00C44C40" w:rsidRPr="009E2F9F" w:rsidRDefault="002363A4" w:rsidP="00D70A9F">
            <w:pPr>
              <w:pStyle w:val="TableText"/>
            </w:pPr>
            <w:r w:rsidRPr="009E2F9F">
              <w:t>$</w:t>
            </w:r>
            <w:r w:rsidR="00C44C40" w:rsidRPr="009E2F9F">
              <w:t>0</w:t>
            </w:r>
          </w:p>
        </w:tc>
        <w:tc>
          <w:tcPr>
            <w:tcW w:w="707" w:type="pct"/>
            <w:shd w:val="clear" w:color="auto" w:fill="auto"/>
          </w:tcPr>
          <w:p w14:paraId="15FB66A9" w14:textId="01765FC9" w:rsidR="00C44C40" w:rsidRPr="009E2F9F" w:rsidRDefault="002363A4" w:rsidP="00D70A9F">
            <w:pPr>
              <w:pStyle w:val="TableText"/>
              <w:rPr>
                <w:b/>
              </w:rPr>
            </w:pPr>
            <w:r w:rsidRPr="009E2F9F">
              <w:rPr>
                <w:b/>
              </w:rPr>
              <w:t>$</w:t>
            </w:r>
            <w:r w:rsidR="00007BD8" w:rsidRPr="009E2F9F">
              <w:rPr>
                <w:b/>
              </w:rPr>
              <w:t>redacted</w:t>
            </w:r>
          </w:p>
        </w:tc>
        <w:tc>
          <w:tcPr>
            <w:tcW w:w="915" w:type="pct"/>
            <w:shd w:val="clear" w:color="auto" w:fill="auto"/>
          </w:tcPr>
          <w:p w14:paraId="689E0EB9" w14:textId="425A9EE0" w:rsidR="00C44C40" w:rsidRPr="009E2F9F" w:rsidRDefault="00007BD8" w:rsidP="00D70A9F">
            <w:pPr>
              <w:pStyle w:val="TableText"/>
              <w:rPr>
                <w:b/>
              </w:rPr>
            </w:pPr>
            <w:r w:rsidRPr="009E2F9F">
              <w:rPr>
                <w:b/>
              </w:rPr>
              <w:t>redacted</w:t>
            </w:r>
            <w:r w:rsidR="00C44C40" w:rsidRPr="009E2F9F">
              <w:rPr>
                <w:b/>
              </w:rPr>
              <w:t>%</w:t>
            </w:r>
          </w:p>
        </w:tc>
      </w:tr>
      <w:tr w:rsidR="00C44C40" w:rsidRPr="00D70A9F" w14:paraId="0FD5C0E2" w14:textId="77777777" w:rsidTr="00D70A9F">
        <w:tc>
          <w:tcPr>
            <w:tcW w:w="1727" w:type="pct"/>
            <w:shd w:val="clear" w:color="auto" w:fill="auto"/>
          </w:tcPr>
          <w:p w14:paraId="7D40883E" w14:textId="5ADA6B52" w:rsidR="00C44C40" w:rsidRPr="004A76B4" w:rsidRDefault="00C44C40" w:rsidP="00D70A9F">
            <w:pPr>
              <w:pStyle w:val="TableText"/>
            </w:pPr>
            <w:r w:rsidRPr="004A76B4">
              <w:t>Functioning graft</w:t>
            </w:r>
          </w:p>
        </w:tc>
        <w:tc>
          <w:tcPr>
            <w:tcW w:w="786" w:type="pct"/>
            <w:shd w:val="clear" w:color="auto" w:fill="auto"/>
          </w:tcPr>
          <w:p w14:paraId="33A40EAA" w14:textId="0A4ECD65" w:rsidR="00C44C40" w:rsidRPr="009E2F9F" w:rsidRDefault="002363A4" w:rsidP="00D70A9F">
            <w:pPr>
              <w:pStyle w:val="TableText"/>
            </w:pPr>
            <w:r w:rsidRPr="009E2F9F">
              <w:t>$</w:t>
            </w:r>
            <w:r w:rsidR="00C44C40" w:rsidRPr="009E2F9F" w:rsidDel="00007BD8">
              <w:t>128,330</w:t>
            </w:r>
          </w:p>
        </w:tc>
        <w:tc>
          <w:tcPr>
            <w:tcW w:w="865" w:type="pct"/>
            <w:shd w:val="clear" w:color="auto" w:fill="auto"/>
          </w:tcPr>
          <w:p w14:paraId="37D350F2" w14:textId="7B8E529A" w:rsidR="00C44C40" w:rsidRPr="009E2F9F" w:rsidRDefault="002363A4" w:rsidP="00D70A9F">
            <w:pPr>
              <w:pStyle w:val="TableText"/>
            </w:pPr>
            <w:r w:rsidRPr="009E2F9F">
              <w:t>$</w:t>
            </w:r>
            <w:r w:rsidR="00C44C40" w:rsidRPr="009E2F9F">
              <w:t>39,845</w:t>
            </w:r>
          </w:p>
        </w:tc>
        <w:tc>
          <w:tcPr>
            <w:tcW w:w="707" w:type="pct"/>
            <w:shd w:val="clear" w:color="auto" w:fill="auto"/>
          </w:tcPr>
          <w:p w14:paraId="40D52ECD" w14:textId="5A59DE97" w:rsidR="00C44C40" w:rsidRPr="009E2F9F" w:rsidRDefault="002363A4" w:rsidP="00D70A9F">
            <w:pPr>
              <w:pStyle w:val="TableText"/>
            </w:pPr>
            <w:r w:rsidRPr="009E2F9F">
              <w:t>$</w:t>
            </w:r>
            <w:r w:rsidR="00C44C40" w:rsidRPr="009E2F9F" w:rsidDel="00007BD8">
              <w:t>88,485</w:t>
            </w:r>
          </w:p>
        </w:tc>
        <w:tc>
          <w:tcPr>
            <w:tcW w:w="915" w:type="pct"/>
            <w:shd w:val="clear" w:color="auto" w:fill="auto"/>
          </w:tcPr>
          <w:p w14:paraId="4D7154F9" w14:textId="1EDC9FC4" w:rsidR="00C44C40" w:rsidRPr="009E2F9F" w:rsidRDefault="00C44C40" w:rsidP="00D70A9F">
            <w:pPr>
              <w:pStyle w:val="TableText"/>
            </w:pPr>
            <w:r w:rsidRPr="009E2F9F">
              <w:rPr>
                <w:bCs/>
              </w:rPr>
              <w:t>112%</w:t>
            </w:r>
          </w:p>
        </w:tc>
      </w:tr>
      <w:tr w:rsidR="00C44C40" w:rsidRPr="00D70A9F" w14:paraId="536B6ACE" w14:textId="77777777" w:rsidTr="00D70A9F">
        <w:tc>
          <w:tcPr>
            <w:tcW w:w="1727" w:type="pct"/>
            <w:shd w:val="clear" w:color="auto" w:fill="auto"/>
          </w:tcPr>
          <w:p w14:paraId="20F4E196" w14:textId="0608210C" w:rsidR="00C44C40" w:rsidRPr="004A76B4" w:rsidRDefault="00C44C40" w:rsidP="00D70A9F">
            <w:pPr>
              <w:pStyle w:val="TableText"/>
            </w:pPr>
            <w:r w:rsidRPr="004A76B4">
              <w:t>Dialysis (</w:t>
            </w:r>
            <w:r w:rsidR="00D70A9F" w:rsidRPr="004A76B4">
              <w:t>w</w:t>
            </w:r>
            <w:r w:rsidRPr="004A76B4">
              <w:t>aitlisted or not)</w:t>
            </w:r>
          </w:p>
        </w:tc>
        <w:tc>
          <w:tcPr>
            <w:tcW w:w="786" w:type="pct"/>
            <w:shd w:val="clear" w:color="auto" w:fill="auto"/>
          </w:tcPr>
          <w:p w14:paraId="3C2DD98E" w14:textId="788787CB" w:rsidR="00C44C40" w:rsidRPr="009E2F9F" w:rsidRDefault="002363A4" w:rsidP="00D70A9F">
            <w:pPr>
              <w:pStyle w:val="TableText"/>
            </w:pPr>
            <w:r w:rsidRPr="009E2F9F">
              <w:t>$</w:t>
            </w:r>
            <w:r w:rsidR="00C44C40" w:rsidRPr="009E2F9F" w:rsidDel="00007BD8">
              <w:t>160,554</w:t>
            </w:r>
          </w:p>
        </w:tc>
        <w:tc>
          <w:tcPr>
            <w:tcW w:w="865" w:type="pct"/>
            <w:shd w:val="clear" w:color="auto" w:fill="auto"/>
          </w:tcPr>
          <w:p w14:paraId="45FFF321" w14:textId="1E03CA4B" w:rsidR="00C44C40" w:rsidRPr="009E2F9F" w:rsidRDefault="002363A4" w:rsidP="00D70A9F">
            <w:pPr>
              <w:pStyle w:val="TableText"/>
            </w:pPr>
            <w:r w:rsidRPr="009E2F9F">
              <w:t>$</w:t>
            </w:r>
            <w:r w:rsidR="00C44C40" w:rsidRPr="009E2F9F">
              <w:t>634,497</w:t>
            </w:r>
          </w:p>
        </w:tc>
        <w:tc>
          <w:tcPr>
            <w:tcW w:w="707" w:type="pct"/>
            <w:shd w:val="clear" w:color="auto" w:fill="auto"/>
          </w:tcPr>
          <w:p w14:paraId="071F0AF7" w14:textId="74CAB339" w:rsidR="00C44C40" w:rsidRPr="009E2F9F" w:rsidRDefault="00C44C40" w:rsidP="00D70A9F">
            <w:pPr>
              <w:pStyle w:val="TableText"/>
            </w:pPr>
            <w:r w:rsidRPr="009E2F9F">
              <w:t>-</w:t>
            </w:r>
            <w:r w:rsidR="002363A4" w:rsidRPr="009E2F9F">
              <w:t>$</w:t>
            </w:r>
            <w:r w:rsidRPr="009E2F9F" w:rsidDel="00007BD8">
              <w:t>473,944</w:t>
            </w:r>
          </w:p>
        </w:tc>
        <w:tc>
          <w:tcPr>
            <w:tcW w:w="915" w:type="pct"/>
            <w:shd w:val="clear" w:color="auto" w:fill="auto"/>
          </w:tcPr>
          <w:p w14:paraId="4CF44E44" w14:textId="0A118837" w:rsidR="00C44C40" w:rsidRPr="009E2F9F" w:rsidRDefault="00C44C40" w:rsidP="00D70A9F">
            <w:pPr>
              <w:pStyle w:val="TableText"/>
            </w:pPr>
            <w:r w:rsidRPr="009E2F9F" w:rsidDel="00007BD8">
              <w:t>-602</w:t>
            </w:r>
            <w:r w:rsidRPr="009E2F9F">
              <w:t>%</w:t>
            </w:r>
          </w:p>
        </w:tc>
      </w:tr>
      <w:tr w:rsidR="00C44C40" w:rsidRPr="00D70A9F" w14:paraId="086D8847" w14:textId="77777777" w:rsidTr="00D70A9F">
        <w:tc>
          <w:tcPr>
            <w:tcW w:w="1727" w:type="pct"/>
            <w:shd w:val="clear" w:color="auto" w:fill="auto"/>
          </w:tcPr>
          <w:p w14:paraId="5AED5473" w14:textId="77777777" w:rsidR="00C44C40" w:rsidRPr="004A76B4" w:rsidRDefault="00C44C40" w:rsidP="00D70A9F">
            <w:pPr>
              <w:pStyle w:val="TableText"/>
              <w:rPr>
                <w:rStyle w:val="Strong"/>
                <w:b w:val="0"/>
                <w:bCs w:val="0"/>
              </w:rPr>
            </w:pPr>
            <w:r w:rsidRPr="004A76B4">
              <w:rPr>
                <w:rStyle w:val="Strong"/>
                <w:b w:val="0"/>
                <w:bCs w:val="0"/>
              </w:rPr>
              <w:t>Total</w:t>
            </w:r>
          </w:p>
        </w:tc>
        <w:tc>
          <w:tcPr>
            <w:tcW w:w="786" w:type="pct"/>
            <w:shd w:val="clear" w:color="auto" w:fill="auto"/>
          </w:tcPr>
          <w:p w14:paraId="351AA218" w14:textId="411D0710" w:rsidR="00C44C40" w:rsidRPr="009E2F9F" w:rsidRDefault="002363A4" w:rsidP="00D70A9F">
            <w:pPr>
              <w:pStyle w:val="TableText"/>
              <w:rPr>
                <w:b/>
              </w:rPr>
            </w:pPr>
            <w:r w:rsidRPr="009E2F9F">
              <w:rPr>
                <w:b/>
              </w:rPr>
              <w:t>$</w:t>
            </w:r>
            <w:r w:rsidR="00007BD8" w:rsidRPr="009E2F9F">
              <w:rPr>
                <w:b/>
              </w:rPr>
              <w:t>redacted</w:t>
            </w:r>
          </w:p>
        </w:tc>
        <w:tc>
          <w:tcPr>
            <w:tcW w:w="865" w:type="pct"/>
            <w:shd w:val="clear" w:color="auto" w:fill="auto"/>
          </w:tcPr>
          <w:p w14:paraId="59C94EBB" w14:textId="12746BE7" w:rsidR="00C44C40" w:rsidRPr="009E2F9F" w:rsidRDefault="002363A4" w:rsidP="00D70A9F">
            <w:pPr>
              <w:pStyle w:val="TableText"/>
            </w:pPr>
            <w:r w:rsidRPr="009E2F9F">
              <w:t>$</w:t>
            </w:r>
            <w:r w:rsidR="00C44C40" w:rsidRPr="009E2F9F">
              <w:t>674,343</w:t>
            </w:r>
          </w:p>
        </w:tc>
        <w:tc>
          <w:tcPr>
            <w:tcW w:w="707" w:type="pct"/>
            <w:shd w:val="clear" w:color="auto" w:fill="auto"/>
          </w:tcPr>
          <w:p w14:paraId="1ADE37E0" w14:textId="7C551F70" w:rsidR="00C44C40" w:rsidRPr="009E2F9F" w:rsidRDefault="002363A4" w:rsidP="00D70A9F">
            <w:pPr>
              <w:pStyle w:val="TableText"/>
              <w:rPr>
                <w:b/>
              </w:rPr>
            </w:pPr>
            <w:r w:rsidRPr="009E2F9F">
              <w:rPr>
                <w:b/>
              </w:rPr>
              <w:t>$</w:t>
            </w:r>
            <w:r w:rsidR="00007BD8" w:rsidRPr="009E2F9F">
              <w:rPr>
                <w:b/>
              </w:rPr>
              <w:t>redacted</w:t>
            </w:r>
          </w:p>
        </w:tc>
        <w:tc>
          <w:tcPr>
            <w:tcW w:w="915" w:type="pct"/>
            <w:shd w:val="clear" w:color="auto" w:fill="auto"/>
          </w:tcPr>
          <w:p w14:paraId="5A123AFB" w14:textId="765DD31C" w:rsidR="00C44C40" w:rsidRPr="009E2F9F" w:rsidRDefault="00007BD8" w:rsidP="00D70A9F">
            <w:pPr>
              <w:pStyle w:val="TableText"/>
              <w:rPr>
                <w:b/>
              </w:rPr>
            </w:pPr>
            <w:r w:rsidRPr="009E2F9F">
              <w:rPr>
                <w:b/>
              </w:rPr>
              <w:t>redacted</w:t>
            </w:r>
            <w:r w:rsidR="00C44C40" w:rsidRPr="009E2F9F">
              <w:rPr>
                <w:b/>
              </w:rPr>
              <w:t>%</w:t>
            </w:r>
          </w:p>
        </w:tc>
      </w:tr>
    </w:tbl>
    <w:p w14:paraId="66584065" w14:textId="7E196E29" w:rsidR="00E305F7" w:rsidRPr="00527717" w:rsidRDefault="00E305F7" w:rsidP="009669F0">
      <w:pPr>
        <w:pStyle w:val="Tablenotes"/>
        <w:rPr>
          <w:b/>
          <w:bCs/>
          <w:u w:val="single"/>
        </w:rPr>
      </w:pPr>
      <w:r>
        <w:rPr>
          <w:b/>
          <w:bCs/>
          <w:u w:val="single"/>
        </w:rPr>
        <w:t>Abbreviations</w:t>
      </w:r>
    </w:p>
    <w:p w14:paraId="222AC241" w14:textId="0152F39B" w:rsidR="002363A4" w:rsidRDefault="002363A4" w:rsidP="009669F0">
      <w:pPr>
        <w:pStyle w:val="Tablenotes"/>
      </w:pPr>
      <w:r>
        <w:t>AE = adverse event</w:t>
      </w:r>
    </w:p>
    <w:p w14:paraId="5F474248" w14:textId="05218322" w:rsidR="00E305F7" w:rsidRPr="00527717" w:rsidRDefault="00F57062" w:rsidP="004902C4">
      <w:pPr>
        <w:pStyle w:val="Tablenotes"/>
        <w:rPr>
          <w:b/>
          <w:bCs/>
          <w:u w:val="single"/>
        </w:rPr>
      </w:pPr>
      <w:r w:rsidRPr="00527717">
        <w:rPr>
          <w:b/>
          <w:bCs/>
          <w:u w:val="single"/>
        </w:rPr>
        <w:t xml:space="preserve">Source </w:t>
      </w:r>
    </w:p>
    <w:p w14:paraId="6C73FAE3" w14:textId="020EBFA3" w:rsidR="004902C4" w:rsidRDefault="005E4846" w:rsidP="004902C4">
      <w:pPr>
        <w:pStyle w:val="Tablenotes"/>
      </w:pPr>
      <w:r w:rsidRPr="005E4846">
        <w:t xml:space="preserve">Adapted from Table </w:t>
      </w:r>
      <w:r>
        <w:t>80</w:t>
      </w:r>
      <w:r w:rsidRPr="005E4846">
        <w:t>, p</w:t>
      </w:r>
      <w:r w:rsidR="00831565">
        <w:t>.</w:t>
      </w:r>
      <w:r w:rsidRPr="005E4846">
        <w:t xml:space="preserve"> </w:t>
      </w:r>
      <w:r w:rsidR="00E97D6C">
        <w:t>240</w:t>
      </w:r>
      <w:r w:rsidR="00AD5677">
        <w:t xml:space="preserve"> </w:t>
      </w:r>
      <w:r w:rsidRPr="005E4846">
        <w:t xml:space="preserve">of the MSAC 1732.1 </w:t>
      </w:r>
      <w:proofErr w:type="spellStart"/>
      <w:r w:rsidRPr="005E4846">
        <w:t>ADAR+in-line</w:t>
      </w:r>
      <w:proofErr w:type="spellEnd"/>
      <w:r w:rsidRPr="005E4846">
        <w:t xml:space="preserve"> </w:t>
      </w:r>
      <w:proofErr w:type="gramStart"/>
      <w:r w:rsidRPr="005E4846">
        <w:t>commentary</w:t>
      </w:r>
      <w:proofErr w:type="gramEnd"/>
      <w:r w:rsidRPr="005E4846">
        <w:t xml:space="preserve"> </w:t>
      </w:r>
    </w:p>
    <w:p w14:paraId="45BCBCE7" w14:textId="30540639" w:rsidR="00275F81" w:rsidRPr="00CE28E3" w:rsidRDefault="00275F81" w:rsidP="00275F81">
      <w:pPr>
        <w:rPr>
          <w:rFonts w:eastAsia="Calibri"/>
        </w:rPr>
      </w:pPr>
      <w:r>
        <w:rPr>
          <w:lang w:val="en-GB"/>
        </w:rPr>
        <w:t xml:space="preserve">Cost offsets within the target population realised through reduced time on dialysis remains a significant contributor to the incremental costs (incremental cost </w:t>
      </w:r>
      <w:r w:rsidRPr="004A76B4">
        <w:rPr>
          <w:lang w:val="en-GB"/>
        </w:rPr>
        <w:t>dialysis: -$</w:t>
      </w:r>
      <w:r w:rsidRPr="009E2F9F" w:rsidDel="00007BD8">
        <w:rPr>
          <w:lang w:val="en-GB"/>
        </w:rPr>
        <w:t>473,944</w:t>
      </w:r>
      <w:r w:rsidR="00894AFC" w:rsidRPr="004A76B4">
        <w:rPr>
          <w:lang w:val="en-GB"/>
        </w:rPr>
        <w:t>)</w:t>
      </w:r>
      <w:r w:rsidRPr="004A76B4">
        <w:rPr>
          <w:lang w:val="en-GB"/>
        </w:rPr>
        <w:t xml:space="preserve">. </w:t>
      </w:r>
      <w:r w:rsidR="00FA0628" w:rsidRPr="004A76B4">
        <w:rPr>
          <w:lang w:val="en-GB"/>
        </w:rPr>
        <w:t>While a</w:t>
      </w:r>
      <w:r w:rsidR="007776EA" w:rsidRPr="004A76B4">
        <w:rPr>
          <w:lang w:val="en-GB"/>
        </w:rPr>
        <w:t>n</w:t>
      </w:r>
      <w:r w:rsidR="00FA0628" w:rsidRPr="004A76B4">
        <w:rPr>
          <w:lang w:val="en-GB"/>
        </w:rPr>
        <w:t xml:space="preserve"> HS patient receiving an imlifidase-enabled DD transplant can stop dialysis, another patient</w:t>
      </w:r>
      <w:r w:rsidR="00FA0628">
        <w:rPr>
          <w:lang w:val="en-GB"/>
        </w:rPr>
        <w:t xml:space="preserve"> on the </w:t>
      </w:r>
      <w:r w:rsidR="004A2E3F">
        <w:rPr>
          <w:lang w:val="en-GB"/>
        </w:rPr>
        <w:t>waitlist</w:t>
      </w:r>
      <w:r w:rsidR="00FA0628">
        <w:rPr>
          <w:lang w:val="en-GB"/>
        </w:rPr>
        <w:t xml:space="preserve"> who may otherwise have received the kidney remains on dialysis longer.</w:t>
      </w:r>
      <w:r>
        <w:rPr>
          <w:lang w:val="en-GB"/>
        </w:rPr>
        <w:t xml:space="preserve"> T</w:t>
      </w:r>
      <w:r w:rsidR="00FA0628">
        <w:rPr>
          <w:lang w:val="en-GB"/>
        </w:rPr>
        <w:t>hus, t</w:t>
      </w:r>
      <w:r>
        <w:rPr>
          <w:lang w:val="en-GB"/>
        </w:rPr>
        <w:t xml:space="preserve">he </w:t>
      </w:r>
      <w:r w:rsidR="00F74887">
        <w:t>commentary</w:t>
      </w:r>
      <w:r w:rsidR="00FC0389">
        <w:t xml:space="preserve"> </w:t>
      </w:r>
      <w:r>
        <w:rPr>
          <w:lang w:val="en-GB"/>
        </w:rPr>
        <w:t>reiterates</w:t>
      </w:r>
      <w:r w:rsidR="00894AFC">
        <w:rPr>
          <w:lang w:val="en-GB"/>
        </w:rPr>
        <w:t xml:space="preserve"> </w:t>
      </w:r>
      <w:r>
        <w:rPr>
          <w:lang w:val="en-GB"/>
        </w:rPr>
        <w:t>that s</w:t>
      </w:r>
      <w:r w:rsidRPr="007D406B">
        <w:rPr>
          <w:lang w:val="en-GB"/>
        </w:rPr>
        <w:t>uch cost offsets are unlikely to be fully realised when considering a broader Australian healthcare system perspective</w:t>
      </w:r>
      <w:r>
        <w:rPr>
          <w:lang w:val="en-GB"/>
        </w:rPr>
        <w:t>.</w:t>
      </w:r>
      <w:r w:rsidR="009A3139">
        <w:rPr>
          <w:lang w:val="en-GB"/>
        </w:rPr>
        <w:t xml:space="preserve"> </w:t>
      </w:r>
    </w:p>
    <w:p w14:paraId="32F3958B" w14:textId="25B4ED81" w:rsidR="00275F81" w:rsidRDefault="00275F81" w:rsidP="005C0C9A">
      <w:r w:rsidRPr="0008413A">
        <w:t xml:space="preserve">The </w:t>
      </w:r>
      <w:r w:rsidR="00F74887">
        <w:t>previous</w:t>
      </w:r>
      <w:r w:rsidRPr="0008413A">
        <w:t xml:space="preserve"> commentary noted opportunity costs incurred outside the target patient population are routine when deciding allocation of healthcare resources. They are not typically included in cost-utility analysis</w:t>
      </w:r>
      <w:r w:rsidR="00F25C41">
        <w:t>;</w:t>
      </w:r>
      <w:r w:rsidRPr="0008413A">
        <w:t xml:space="preserve"> however, in this case the scarcity of donor kidneys means there is a direct and tangible impact on other non-HS patients waiting to receive a donor kidney</w:t>
      </w:r>
      <w:r>
        <w:t xml:space="preserve">. </w:t>
      </w:r>
      <w:r w:rsidR="00D70A9F">
        <w:t>The</w:t>
      </w:r>
      <w:r>
        <w:t xml:space="preserve"> </w:t>
      </w:r>
      <w:r w:rsidR="00F74887">
        <w:t>ADAR</w:t>
      </w:r>
      <w:r>
        <w:t xml:space="preserve"> justified their approach to limit the perspective </w:t>
      </w:r>
      <w:r w:rsidR="003A23A8">
        <w:t>to considering the costs and benefits for the</w:t>
      </w:r>
      <w:r>
        <w:t xml:space="preserve"> target population</w:t>
      </w:r>
      <w:r w:rsidR="0078161D">
        <w:t>, noting</w:t>
      </w:r>
      <w:r w:rsidR="00C508EE">
        <w:t xml:space="preserve"> that</w:t>
      </w:r>
      <w:r w:rsidR="006C0B36">
        <w:t xml:space="preserve"> the inclusion</w:t>
      </w:r>
      <w:r w:rsidR="007B4E3E">
        <w:t xml:space="preserve"> of opp</w:t>
      </w:r>
      <w:r w:rsidR="00405DD5">
        <w:t>ortunity costs incurred outside this target population</w:t>
      </w:r>
      <w:r w:rsidR="006C0B36">
        <w:t xml:space="preserve"> would contravene equity principles of organ allocation.</w:t>
      </w:r>
    </w:p>
    <w:p w14:paraId="1B770181" w14:textId="2A7DF2E3" w:rsidR="002F32FB" w:rsidRPr="004A76B4" w:rsidRDefault="00F17C5C" w:rsidP="00D57B74">
      <w:r>
        <w:t xml:space="preserve">The </w:t>
      </w:r>
      <w:r w:rsidRPr="004A76B4">
        <w:t xml:space="preserve">lifetime ICER for treatment with </w:t>
      </w:r>
      <w:r w:rsidR="00541106" w:rsidRPr="004A76B4">
        <w:t>imlifidase</w:t>
      </w:r>
      <w:r w:rsidRPr="004A76B4">
        <w:t>, relative to current care, estimated by the ADAR was $</w:t>
      </w:r>
      <w:r w:rsidR="007D2232" w:rsidRPr="009E2F9F">
        <w:rPr>
          <w:b/>
        </w:rPr>
        <w:t>redacted</w:t>
      </w:r>
      <w:r w:rsidRPr="004A76B4">
        <w:t>/QALY (</w:t>
      </w:r>
      <w:bookmarkEnd w:id="33"/>
      <w:r w:rsidR="00DF5FAF" w:rsidRPr="004A76B4">
        <w:t>Table 9</w:t>
      </w:r>
      <w:r w:rsidR="00C12E06" w:rsidRPr="004A76B4">
        <w:t>)</w:t>
      </w:r>
      <w:r w:rsidRPr="004A76B4">
        <w:t>.</w:t>
      </w:r>
    </w:p>
    <w:p w14:paraId="0AFC2F8C" w14:textId="056F7248" w:rsidR="008811EE" w:rsidRPr="004A76B4" w:rsidRDefault="008811EE" w:rsidP="00D57B74">
      <w:pPr>
        <w:pStyle w:val="Caption"/>
      </w:pPr>
      <w:bookmarkStart w:id="35" w:name="_Ref163648651"/>
      <w:r w:rsidRPr="004A76B4">
        <w:t xml:space="preserve">Table </w:t>
      </w:r>
      <w:bookmarkEnd w:id="35"/>
      <w:r w:rsidR="00DF5FAF" w:rsidRPr="004A76B4">
        <w:t xml:space="preserve">9 </w:t>
      </w:r>
      <w:r w:rsidRPr="004A76B4">
        <w:t xml:space="preserve">Results of the economic evaluation for imlifidase relative to current care presented in the </w:t>
      </w:r>
      <w:proofErr w:type="gramStart"/>
      <w:r w:rsidRPr="004A76B4">
        <w:t>ADAR</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99"/>
        <w:gridCol w:w="2440"/>
        <w:gridCol w:w="2378"/>
        <w:gridCol w:w="2499"/>
      </w:tblGrid>
      <w:tr w:rsidR="002F32FB" w:rsidRPr="004A76B4" w14:paraId="6C9AAE3F" w14:textId="77777777" w:rsidTr="0012054E">
        <w:trPr>
          <w:cantSplit/>
          <w:tblHeader/>
        </w:trPr>
        <w:tc>
          <w:tcPr>
            <w:tcW w:w="942" w:type="pct"/>
            <w:shd w:val="clear" w:color="auto" w:fill="FFFFFF"/>
          </w:tcPr>
          <w:p w14:paraId="3F81650A" w14:textId="250DA9C9" w:rsidR="002F32FB" w:rsidRPr="004A76B4" w:rsidRDefault="00037302" w:rsidP="003F1843">
            <w:pPr>
              <w:pStyle w:val="TableText"/>
              <w:rPr>
                <w:b/>
                <w:bCs/>
              </w:rPr>
            </w:pPr>
            <w:bookmarkStart w:id="36" w:name="Title_Table9" w:colFirst="0" w:colLast="0"/>
            <w:bookmarkStart w:id="37" w:name="_Hlk68276590"/>
            <w:r w:rsidRPr="004A76B4">
              <w:rPr>
                <w:b/>
                <w:bCs/>
              </w:rPr>
              <w:t>Parameter</w:t>
            </w:r>
            <w:r w:rsidR="00B8535F" w:rsidRPr="004A76B4">
              <w:rPr>
                <w:b/>
                <w:bCs/>
              </w:rPr>
              <w:t xml:space="preserve"> </w:t>
            </w:r>
          </w:p>
        </w:tc>
        <w:tc>
          <w:tcPr>
            <w:tcW w:w="1353" w:type="pct"/>
            <w:shd w:val="clear" w:color="auto" w:fill="FFFFFF"/>
          </w:tcPr>
          <w:p w14:paraId="620E0CCB" w14:textId="1BE0BB66" w:rsidR="002F32FB" w:rsidRPr="004A76B4" w:rsidRDefault="00CF326B" w:rsidP="003F1843">
            <w:pPr>
              <w:pStyle w:val="TableText"/>
              <w:rPr>
                <w:b/>
                <w:bCs/>
              </w:rPr>
            </w:pPr>
            <w:r w:rsidRPr="004A76B4">
              <w:rPr>
                <w:b/>
                <w:bCs/>
              </w:rPr>
              <w:t>Imlifidase</w:t>
            </w:r>
          </w:p>
        </w:tc>
        <w:tc>
          <w:tcPr>
            <w:tcW w:w="1319" w:type="pct"/>
            <w:shd w:val="clear" w:color="auto" w:fill="FFFFFF"/>
          </w:tcPr>
          <w:p w14:paraId="500DB19E" w14:textId="71FF614F" w:rsidR="002F32FB" w:rsidRPr="004A76B4" w:rsidRDefault="00CF326B" w:rsidP="003F1843">
            <w:pPr>
              <w:pStyle w:val="TableText"/>
              <w:rPr>
                <w:b/>
                <w:bCs/>
              </w:rPr>
            </w:pPr>
            <w:r w:rsidRPr="004A76B4">
              <w:rPr>
                <w:b/>
                <w:bCs/>
              </w:rPr>
              <w:t>Current care</w:t>
            </w:r>
          </w:p>
        </w:tc>
        <w:tc>
          <w:tcPr>
            <w:tcW w:w="1386" w:type="pct"/>
            <w:shd w:val="clear" w:color="auto" w:fill="FFFFFF"/>
            <w:vAlign w:val="center"/>
          </w:tcPr>
          <w:p w14:paraId="3863ED7D" w14:textId="77777777" w:rsidR="002F32FB" w:rsidRPr="004A76B4" w:rsidRDefault="002F32FB" w:rsidP="003F1843">
            <w:pPr>
              <w:pStyle w:val="TableText"/>
              <w:rPr>
                <w:b/>
                <w:bCs/>
              </w:rPr>
            </w:pPr>
            <w:r w:rsidRPr="004A76B4">
              <w:rPr>
                <w:b/>
                <w:bCs/>
              </w:rPr>
              <w:t>Increment</w:t>
            </w:r>
          </w:p>
        </w:tc>
      </w:tr>
      <w:bookmarkEnd w:id="36"/>
      <w:tr w:rsidR="002F32FB" w:rsidRPr="004A76B4" w14:paraId="369EE6BC" w14:textId="77777777" w:rsidTr="0012054E">
        <w:trPr>
          <w:cantSplit/>
        </w:trPr>
        <w:tc>
          <w:tcPr>
            <w:tcW w:w="942" w:type="pct"/>
            <w:shd w:val="clear" w:color="auto" w:fill="auto"/>
          </w:tcPr>
          <w:p w14:paraId="051B9EED" w14:textId="77777777" w:rsidR="002F32FB" w:rsidRPr="004A76B4" w:rsidRDefault="002F32FB" w:rsidP="003F1843">
            <w:pPr>
              <w:pStyle w:val="TableText"/>
            </w:pPr>
            <w:r w:rsidRPr="004A76B4">
              <w:t>Costs</w:t>
            </w:r>
          </w:p>
        </w:tc>
        <w:tc>
          <w:tcPr>
            <w:tcW w:w="1353" w:type="pct"/>
            <w:shd w:val="clear" w:color="auto" w:fill="auto"/>
          </w:tcPr>
          <w:p w14:paraId="0FAC9D47" w14:textId="1F887D64" w:rsidR="002F32FB" w:rsidRPr="009E2F9F" w:rsidRDefault="002F32FB" w:rsidP="003F1843">
            <w:pPr>
              <w:pStyle w:val="TableText"/>
            </w:pPr>
            <w:r w:rsidRPr="009E2F9F">
              <w:t>$</w:t>
            </w:r>
            <w:r w:rsidR="00604DDF" w:rsidRPr="009E2F9F">
              <w:rPr>
                <w:b/>
              </w:rPr>
              <w:t>redacted</w:t>
            </w:r>
          </w:p>
        </w:tc>
        <w:tc>
          <w:tcPr>
            <w:tcW w:w="1319" w:type="pct"/>
            <w:shd w:val="clear" w:color="auto" w:fill="auto"/>
          </w:tcPr>
          <w:p w14:paraId="6C1A6297" w14:textId="66905595" w:rsidR="002F32FB" w:rsidRPr="009E2F9F" w:rsidRDefault="002F32FB" w:rsidP="003F1843">
            <w:pPr>
              <w:pStyle w:val="TableText"/>
            </w:pPr>
            <w:r w:rsidRPr="009E2F9F">
              <w:t>$</w:t>
            </w:r>
            <w:r w:rsidR="00CF326B" w:rsidRPr="009E2F9F">
              <w:t>674,343</w:t>
            </w:r>
          </w:p>
        </w:tc>
        <w:tc>
          <w:tcPr>
            <w:tcW w:w="1386" w:type="pct"/>
            <w:shd w:val="clear" w:color="auto" w:fill="auto"/>
          </w:tcPr>
          <w:p w14:paraId="4B4524BB" w14:textId="5D9B3AFC" w:rsidR="002F32FB" w:rsidRPr="009E2F9F" w:rsidRDefault="002F32FB" w:rsidP="003F1843">
            <w:pPr>
              <w:pStyle w:val="TableText"/>
            </w:pPr>
            <w:r w:rsidRPr="009E2F9F">
              <w:t>$</w:t>
            </w:r>
            <w:r w:rsidR="00604DDF" w:rsidRPr="009E2F9F">
              <w:rPr>
                <w:b/>
              </w:rPr>
              <w:t>redacted</w:t>
            </w:r>
          </w:p>
        </w:tc>
      </w:tr>
      <w:tr w:rsidR="002F32FB" w:rsidRPr="004A76B4" w14:paraId="6A9B9196" w14:textId="77777777" w:rsidTr="0012054E">
        <w:trPr>
          <w:cantSplit/>
        </w:trPr>
        <w:tc>
          <w:tcPr>
            <w:tcW w:w="942" w:type="pct"/>
            <w:shd w:val="clear" w:color="auto" w:fill="auto"/>
          </w:tcPr>
          <w:p w14:paraId="09069B1C" w14:textId="77777777" w:rsidR="002F32FB" w:rsidRPr="004A76B4" w:rsidRDefault="002F32FB" w:rsidP="003F1843">
            <w:pPr>
              <w:pStyle w:val="TableText"/>
            </w:pPr>
            <w:r w:rsidRPr="004A76B4">
              <w:t>Life years</w:t>
            </w:r>
          </w:p>
        </w:tc>
        <w:tc>
          <w:tcPr>
            <w:tcW w:w="1353" w:type="pct"/>
            <w:shd w:val="clear" w:color="auto" w:fill="auto"/>
          </w:tcPr>
          <w:p w14:paraId="5D79285C" w14:textId="2057B99A" w:rsidR="002F32FB" w:rsidRPr="009E2F9F" w:rsidRDefault="00CF326B" w:rsidP="003F1843">
            <w:pPr>
              <w:pStyle w:val="TableText"/>
            </w:pPr>
            <w:r w:rsidRPr="009E2F9F">
              <w:t>10.11</w:t>
            </w:r>
          </w:p>
        </w:tc>
        <w:tc>
          <w:tcPr>
            <w:tcW w:w="1319" w:type="pct"/>
            <w:shd w:val="clear" w:color="auto" w:fill="auto"/>
          </w:tcPr>
          <w:p w14:paraId="0C0E2B31" w14:textId="3840CAEF" w:rsidR="002F32FB" w:rsidRPr="009E2F9F" w:rsidRDefault="00CF326B" w:rsidP="003F1843">
            <w:pPr>
              <w:pStyle w:val="TableText"/>
            </w:pPr>
            <w:r w:rsidRPr="009E2F9F">
              <w:t>8.23</w:t>
            </w:r>
          </w:p>
        </w:tc>
        <w:tc>
          <w:tcPr>
            <w:tcW w:w="1386" w:type="pct"/>
            <w:shd w:val="clear" w:color="auto" w:fill="auto"/>
          </w:tcPr>
          <w:p w14:paraId="169B9B25" w14:textId="34C1C208" w:rsidR="002F32FB" w:rsidRPr="009E2F9F" w:rsidRDefault="00CF326B" w:rsidP="003F1843">
            <w:pPr>
              <w:pStyle w:val="TableText"/>
            </w:pPr>
            <w:r w:rsidRPr="009E2F9F">
              <w:t>1.88</w:t>
            </w:r>
          </w:p>
        </w:tc>
      </w:tr>
      <w:tr w:rsidR="002F32FB" w:rsidRPr="004A76B4" w14:paraId="24736DA2" w14:textId="77777777" w:rsidTr="0012054E">
        <w:trPr>
          <w:cantSplit/>
        </w:trPr>
        <w:tc>
          <w:tcPr>
            <w:tcW w:w="942" w:type="pct"/>
            <w:shd w:val="clear" w:color="auto" w:fill="auto"/>
          </w:tcPr>
          <w:p w14:paraId="6D2D1BB4" w14:textId="73189CB3" w:rsidR="002F32FB" w:rsidRPr="004A76B4" w:rsidRDefault="002F32FB" w:rsidP="003F1843">
            <w:pPr>
              <w:pStyle w:val="TableText"/>
            </w:pPr>
            <w:r w:rsidRPr="004A76B4">
              <w:t>QALY</w:t>
            </w:r>
            <w:r w:rsidR="002363A4" w:rsidRPr="004A76B4">
              <w:t>s</w:t>
            </w:r>
          </w:p>
        </w:tc>
        <w:tc>
          <w:tcPr>
            <w:tcW w:w="1353" w:type="pct"/>
            <w:shd w:val="clear" w:color="auto" w:fill="auto"/>
          </w:tcPr>
          <w:p w14:paraId="768CBE06" w14:textId="3BD3E65A" w:rsidR="002F32FB" w:rsidRPr="009E2F9F" w:rsidRDefault="00CF326B" w:rsidP="003F1843">
            <w:pPr>
              <w:pStyle w:val="TableText"/>
            </w:pPr>
            <w:r w:rsidRPr="009E2F9F">
              <w:t>8.07</w:t>
            </w:r>
          </w:p>
        </w:tc>
        <w:tc>
          <w:tcPr>
            <w:tcW w:w="1319" w:type="pct"/>
            <w:shd w:val="clear" w:color="auto" w:fill="auto"/>
          </w:tcPr>
          <w:p w14:paraId="1062F347" w14:textId="5FB26F39" w:rsidR="002F32FB" w:rsidRPr="009E2F9F" w:rsidRDefault="00CF326B" w:rsidP="003F1843">
            <w:pPr>
              <w:pStyle w:val="TableText"/>
            </w:pPr>
            <w:r w:rsidRPr="009E2F9F">
              <w:t>5.81</w:t>
            </w:r>
          </w:p>
        </w:tc>
        <w:tc>
          <w:tcPr>
            <w:tcW w:w="1386" w:type="pct"/>
            <w:shd w:val="clear" w:color="auto" w:fill="auto"/>
          </w:tcPr>
          <w:p w14:paraId="3F1BB173" w14:textId="2A353E78" w:rsidR="002F32FB" w:rsidRPr="009E2F9F" w:rsidRDefault="00CF326B" w:rsidP="003F1843">
            <w:pPr>
              <w:pStyle w:val="TableText"/>
            </w:pPr>
            <w:r w:rsidRPr="009E2F9F">
              <w:t>2.26</w:t>
            </w:r>
          </w:p>
        </w:tc>
      </w:tr>
      <w:tr w:rsidR="002F32FB" w:rsidRPr="00CE28E3" w14:paraId="4C386061" w14:textId="77777777" w:rsidTr="0012054E">
        <w:trPr>
          <w:cantSplit/>
        </w:trPr>
        <w:tc>
          <w:tcPr>
            <w:tcW w:w="3614" w:type="pct"/>
            <w:gridSpan w:val="3"/>
            <w:tcBorders>
              <w:right w:val="single" w:sz="4" w:space="0" w:color="000000"/>
            </w:tcBorders>
            <w:shd w:val="clear" w:color="auto" w:fill="auto"/>
          </w:tcPr>
          <w:p w14:paraId="10510EF0" w14:textId="77777777" w:rsidR="002F32FB" w:rsidRPr="004A76B4" w:rsidRDefault="002F32FB" w:rsidP="003F1843">
            <w:pPr>
              <w:pStyle w:val="TableText"/>
              <w:rPr>
                <w:b/>
                <w:bCs/>
              </w:rPr>
            </w:pPr>
            <w:r w:rsidRPr="004A76B4">
              <w:rPr>
                <w:b/>
                <w:bCs/>
              </w:rPr>
              <w:t>Incremental cost per QALY gained</w:t>
            </w:r>
          </w:p>
        </w:tc>
        <w:tc>
          <w:tcPr>
            <w:tcW w:w="1386" w:type="pct"/>
            <w:tcBorders>
              <w:left w:val="single" w:sz="4" w:space="0" w:color="000000"/>
            </w:tcBorders>
            <w:shd w:val="clear" w:color="auto" w:fill="auto"/>
          </w:tcPr>
          <w:p w14:paraId="10B6B487" w14:textId="16BA92C4" w:rsidR="002F32FB" w:rsidRPr="003F1843" w:rsidRDefault="002F32FB" w:rsidP="003F1843">
            <w:pPr>
              <w:pStyle w:val="TableText"/>
              <w:rPr>
                <w:rFonts w:eastAsia="Calibri"/>
                <w:b/>
                <w:bCs/>
                <w:szCs w:val="20"/>
              </w:rPr>
            </w:pPr>
            <w:r w:rsidRPr="004A76B4">
              <w:rPr>
                <w:rFonts w:eastAsia="Calibri"/>
                <w:b/>
                <w:bCs/>
                <w:szCs w:val="20"/>
              </w:rPr>
              <w:t>$</w:t>
            </w:r>
            <w:r w:rsidR="00604DDF" w:rsidRPr="009E2F9F">
              <w:rPr>
                <w:b/>
              </w:rPr>
              <w:t>redacted</w:t>
            </w:r>
            <w:r w:rsidR="00FC719A" w:rsidRPr="004A76B4">
              <w:rPr>
                <w:rFonts w:eastAsia="Calibri"/>
                <w:b/>
                <w:bCs/>
                <w:szCs w:val="20"/>
              </w:rPr>
              <w:t>/QALY</w:t>
            </w:r>
          </w:p>
        </w:tc>
      </w:tr>
    </w:tbl>
    <w:p w14:paraId="4A3BBC25" w14:textId="60385674" w:rsidR="007D6290" w:rsidRPr="00527717" w:rsidRDefault="007D6290" w:rsidP="00137FAE">
      <w:pPr>
        <w:pStyle w:val="Tablenotes"/>
        <w:rPr>
          <w:rFonts w:eastAsia="Calibri"/>
          <w:b/>
          <w:bCs/>
          <w:u w:val="single"/>
        </w:rPr>
      </w:pPr>
      <w:bookmarkStart w:id="38" w:name="_Hlk68276600"/>
      <w:bookmarkEnd w:id="37"/>
      <w:r>
        <w:rPr>
          <w:rFonts w:eastAsia="Calibri"/>
          <w:b/>
          <w:bCs/>
          <w:u w:val="single"/>
        </w:rPr>
        <w:t>Abbreviations</w:t>
      </w:r>
    </w:p>
    <w:p w14:paraId="2B1517B5" w14:textId="75941280" w:rsidR="003F1843" w:rsidRDefault="00B454D9" w:rsidP="00137FAE">
      <w:pPr>
        <w:pStyle w:val="Tablenotes"/>
        <w:rPr>
          <w:rFonts w:eastAsia="Calibri"/>
        </w:rPr>
      </w:pPr>
      <w:r>
        <w:rPr>
          <w:rFonts w:eastAsia="Calibri"/>
        </w:rPr>
        <w:t xml:space="preserve">ADAR = applicant developed assessment report, </w:t>
      </w:r>
      <w:r w:rsidR="002F32FB" w:rsidRPr="00CE28E3">
        <w:rPr>
          <w:rFonts w:eastAsia="Calibri"/>
        </w:rPr>
        <w:t>QALY = quality</w:t>
      </w:r>
      <w:r w:rsidR="0045093D">
        <w:rPr>
          <w:rFonts w:eastAsia="Calibri"/>
        </w:rPr>
        <w:t>-</w:t>
      </w:r>
      <w:r w:rsidR="002F32FB" w:rsidRPr="00CE28E3">
        <w:rPr>
          <w:rFonts w:eastAsia="Calibri"/>
        </w:rPr>
        <w:t>adjusted life year</w:t>
      </w:r>
    </w:p>
    <w:p w14:paraId="1268F908" w14:textId="4C96ADB0" w:rsidR="007D6290" w:rsidRPr="00527717" w:rsidRDefault="009669F0" w:rsidP="00137FAE">
      <w:pPr>
        <w:pStyle w:val="Tablenotes"/>
        <w:rPr>
          <w:rFonts w:eastAsia="Calibri"/>
          <w:b/>
          <w:bCs/>
          <w:u w:val="single"/>
        </w:rPr>
      </w:pPr>
      <w:r w:rsidRPr="00527717">
        <w:rPr>
          <w:rFonts w:eastAsia="Calibri"/>
          <w:b/>
          <w:bCs/>
          <w:u w:val="single"/>
        </w:rPr>
        <w:t>Source</w:t>
      </w:r>
    </w:p>
    <w:p w14:paraId="3030DC73" w14:textId="4B921613" w:rsidR="00CC521B" w:rsidRDefault="00CD6EEC" w:rsidP="00527717">
      <w:pPr>
        <w:pStyle w:val="Tablenotes"/>
        <w:rPr>
          <w:rFonts w:eastAsia="Calibri"/>
        </w:rPr>
      </w:pPr>
      <w:r w:rsidRPr="00CD6EEC">
        <w:rPr>
          <w:rFonts w:eastAsia="Calibri"/>
        </w:rPr>
        <w:t xml:space="preserve">Adapted from Table </w:t>
      </w:r>
      <w:r>
        <w:rPr>
          <w:rFonts w:eastAsia="Calibri"/>
        </w:rPr>
        <w:t>82</w:t>
      </w:r>
      <w:r w:rsidRPr="00CD6EEC">
        <w:rPr>
          <w:rFonts w:eastAsia="Calibri"/>
        </w:rPr>
        <w:t>, p</w:t>
      </w:r>
      <w:r w:rsidR="00CC521B">
        <w:rPr>
          <w:rFonts w:eastAsia="Calibri"/>
        </w:rPr>
        <w:t>.</w:t>
      </w:r>
      <w:r w:rsidRPr="00CD6EEC">
        <w:rPr>
          <w:rFonts w:eastAsia="Calibri"/>
        </w:rPr>
        <w:t xml:space="preserve"> </w:t>
      </w:r>
      <w:r>
        <w:rPr>
          <w:rFonts w:eastAsia="Calibri"/>
        </w:rPr>
        <w:t>243</w:t>
      </w:r>
      <w:r w:rsidRPr="00CD6EEC">
        <w:rPr>
          <w:rFonts w:eastAsia="Calibri"/>
        </w:rPr>
        <w:t xml:space="preserve"> of the MSAC 1732.1 </w:t>
      </w:r>
      <w:proofErr w:type="spellStart"/>
      <w:r w:rsidRPr="00CD6EEC">
        <w:rPr>
          <w:rFonts w:eastAsia="Calibri"/>
        </w:rPr>
        <w:t>ADAR+in-line</w:t>
      </w:r>
      <w:proofErr w:type="spellEnd"/>
      <w:r w:rsidRPr="00CD6EEC">
        <w:rPr>
          <w:rFonts w:eastAsia="Calibri"/>
        </w:rPr>
        <w:t xml:space="preserve"> </w:t>
      </w:r>
      <w:proofErr w:type="gramStart"/>
      <w:r w:rsidRPr="00CD6EEC">
        <w:rPr>
          <w:rFonts w:eastAsia="Calibri"/>
        </w:rPr>
        <w:t>commentary</w:t>
      </w:r>
      <w:proofErr w:type="gramEnd"/>
    </w:p>
    <w:p w14:paraId="2CE29150" w14:textId="42C714E4" w:rsidR="00645D96" w:rsidRDefault="00956E9E" w:rsidP="00527717">
      <w:pPr>
        <w:pStyle w:val="Heading4"/>
      </w:pPr>
      <w:r w:rsidRPr="00956E9E">
        <w:t>U</w:t>
      </w:r>
      <w:r w:rsidR="007D4AF1" w:rsidRPr="00956E9E">
        <w:t>ncertainty analysis</w:t>
      </w:r>
    </w:p>
    <w:bookmarkEnd w:id="38"/>
    <w:p w14:paraId="452BCFB6" w14:textId="06D51B53" w:rsidR="00C12E06" w:rsidRPr="00CE28E3" w:rsidRDefault="00DF5FAF" w:rsidP="00C12E06">
      <w:r>
        <w:t xml:space="preserve">Table 10 </w:t>
      </w:r>
      <w:r w:rsidR="0069225E">
        <w:t xml:space="preserve">presents </w:t>
      </w:r>
      <w:r w:rsidR="0069225E" w:rsidRPr="003251C2">
        <w:t>the key drivers of the model that are uncertain.</w:t>
      </w:r>
    </w:p>
    <w:p w14:paraId="5EDC8BC6" w14:textId="6DEF8A90" w:rsidR="008811EE" w:rsidRDefault="008811EE" w:rsidP="00C12E06">
      <w:pPr>
        <w:pStyle w:val="Caption"/>
      </w:pPr>
      <w:bookmarkStart w:id="39" w:name="_Ref163648660"/>
      <w:r>
        <w:lastRenderedPageBreak/>
        <w:t xml:space="preserve">Table </w:t>
      </w:r>
      <w:bookmarkEnd w:id="39"/>
      <w:r w:rsidR="00DF5FAF">
        <w:t xml:space="preserve">10 </w:t>
      </w:r>
      <w:r w:rsidRPr="0053158B">
        <w:t>Exploration of key uncertainties and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8"/>
        <w:gridCol w:w="5246"/>
        <w:gridCol w:w="2642"/>
      </w:tblGrid>
      <w:tr w:rsidR="0069225E" w:rsidRPr="00197208" w14:paraId="54B58803" w14:textId="77777777" w:rsidTr="00527717">
        <w:trPr>
          <w:cantSplit/>
          <w:tblHeader/>
        </w:trPr>
        <w:tc>
          <w:tcPr>
            <w:tcW w:w="626" w:type="pct"/>
            <w:shd w:val="clear" w:color="auto" w:fill="auto"/>
          </w:tcPr>
          <w:p w14:paraId="58D3ADB1" w14:textId="77777777" w:rsidR="0069225E" w:rsidRPr="00197208" w:rsidRDefault="0069225E" w:rsidP="00CC0445">
            <w:pPr>
              <w:pStyle w:val="TableText"/>
              <w:rPr>
                <w:b/>
                <w:bCs/>
              </w:rPr>
            </w:pPr>
            <w:bookmarkStart w:id="40" w:name="Title_Table10" w:colFirst="0" w:colLast="0"/>
            <w:bookmarkStart w:id="41" w:name="_Hlk68276626"/>
            <w:r w:rsidRPr="00197208">
              <w:rPr>
                <w:b/>
                <w:bCs/>
              </w:rPr>
              <w:t>Description</w:t>
            </w:r>
          </w:p>
        </w:tc>
        <w:tc>
          <w:tcPr>
            <w:tcW w:w="2909" w:type="pct"/>
            <w:shd w:val="clear" w:color="auto" w:fill="auto"/>
          </w:tcPr>
          <w:p w14:paraId="4BBB4A5F" w14:textId="5A0C1980" w:rsidR="0069225E" w:rsidRPr="00197208" w:rsidRDefault="0069225E" w:rsidP="00CC0445">
            <w:pPr>
              <w:pStyle w:val="TableText"/>
              <w:rPr>
                <w:b/>
                <w:bCs/>
              </w:rPr>
            </w:pPr>
            <w:r w:rsidRPr="00197208">
              <w:rPr>
                <w:b/>
                <w:bCs/>
              </w:rPr>
              <w:t>Method/</w:t>
            </w:r>
            <w:r w:rsidR="003F0AF1">
              <w:rPr>
                <w:b/>
                <w:bCs/>
              </w:rPr>
              <w:t>v</w:t>
            </w:r>
            <w:r w:rsidRPr="00197208">
              <w:rPr>
                <w:b/>
                <w:bCs/>
              </w:rPr>
              <w:t>alue</w:t>
            </w:r>
          </w:p>
        </w:tc>
        <w:tc>
          <w:tcPr>
            <w:tcW w:w="1465" w:type="pct"/>
            <w:shd w:val="clear" w:color="auto" w:fill="auto"/>
          </w:tcPr>
          <w:p w14:paraId="6B210E01" w14:textId="77777777" w:rsidR="0069225E" w:rsidRPr="00197208" w:rsidRDefault="0069225E" w:rsidP="00CC0445">
            <w:pPr>
              <w:pStyle w:val="TableText"/>
              <w:rPr>
                <w:b/>
                <w:bCs/>
              </w:rPr>
            </w:pPr>
            <w:r w:rsidRPr="00197208">
              <w:rPr>
                <w:b/>
                <w:bCs/>
              </w:rPr>
              <w:t>Impact</w:t>
            </w:r>
          </w:p>
          <w:p w14:paraId="6E2320FD" w14:textId="16E3C37F" w:rsidR="0069225E" w:rsidRPr="00197208" w:rsidRDefault="0069225E" w:rsidP="00CC0445">
            <w:pPr>
              <w:pStyle w:val="TableText"/>
              <w:rPr>
                <w:b/>
                <w:bCs/>
              </w:rPr>
            </w:pPr>
            <w:r w:rsidRPr="00197208">
              <w:rPr>
                <w:rFonts w:cs="Arial"/>
                <w:b/>
                <w:bCs/>
                <w:szCs w:val="20"/>
              </w:rPr>
              <w:t>Base case: $</w:t>
            </w:r>
            <w:r w:rsidR="00604DDF" w:rsidRPr="009E2F9F">
              <w:rPr>
                <w:b/>
              </w:rPr>
              <w:t>redacted</w:t>
            </w:r>
            <w:r w:rsidR="00604DDF" w:rsidRPr="009E2F9F" w:rsidDel="00604DDF">
              <w:rPr>
                <w:rFonts w:cs="Arial"/>
                <w:b/>
                <w:szCs w:val="20"/>
              </w:rPr>
              <w:t xml:space="preserve"> </w:t>
            </w:r>
            <w:r w:rsidRPr="00197208">
              <w:rPr>
                <w:rFonts w:cs="Arial"/>
                <w:b/>
                <w:bCs/>
                <w:szCs w:val="20"/>
              </w:rPr>
              <w:t>/QALY gained</w:t>
            </w:r>
          </w:p>
        </w:tc>
      </w:tr>
      <w:bookmarkEnd w:id="40"/>
      <w:tr w:rsidR="0069225E" w:rsidRPr="00CE28E3" w14:paraId="4E9D9B5F" w14:textId="77777777" w:rsidTr="00527717">
        <w:trPr>
          <w:cantSplit/>
        </w:trPr>
        <w:tc>
          <w:tcPr>
            <w:tcW w:w="626" w:type="pct"/>
            <w:shd w:val="clear" w:color="auto" w:fill="auto"/>
          </w:tcPr>
          <w:p w14:paraId="532FCFE7" w14:textId="484DAF45" w:rsidR="0069225E" w:rsidRPr="00CE28E3" w:rsidRDefault="00C352A2" w:rsidP="00CC0445">
            <w:pPr>
              <w:pStyle w:val="TableText"/>
              <w:rPr>
                <w:lang w:val="en-US"/>
              </w:rPr>
            </w:pPr>
            <w:r>
              <w:rPr>
                <w:lang w:val="en-US"/>
              </w:rPr>
              <w:t>Inclusion of spillover effects</w:t>
            </w:r>
          </w:p>
        </w:tc>
        <w:tc>
          <w:tcPr>
            <w:tcW w:w="2909" w:type="pct"/>
            <w:shd w:val="clear" w:color="auto" w:fill="auto"/>
          </w:tcPr>
          <w:p w14:paraId="2B871D72" w14:textId="1D3B2522" w:rsidR="005302CE" w:rsidRDefault="005302CE" w:rsidP="00CC0445">
            <w:pPr>
              <w:pStyle w:val="TableText"/>
              <w:rPr>
                <w:lang w:val="en-US"/>
              </w:rPr>
            </w:pPr>
            <w:r>
              <w:rPr>
                <w:lang w:val="en-US"/>
              </w:rPr>
              <w:t>The evaluation presented in the ADAR consider</w:t>
            </w:r>
            <w:r w:rsidR="00516C3F">
              <w:rPr>
                <w:lang w:val="en-US"/>
              </w:rPr>
              <w:t>ed</w:t>
            </w:r>
            <w:r>
              <w:rPr>
                <w:lang w:val="en-US"/>
              </w:rPr>
              <w:t xml:space="preserve"> a limited perspective focused on costs and benefits within the target population. </w:t>
            </w:r>
          </w:p>
          <w:p w14:paraId="6A82D523" w14:textId="761CCD90" w:rsidR="0069225E" w:rsidRDefault="00853AEB" w:rsidP="00CC0445">
            <w:pPr>
              <w:pStyle w:val="TableText"/>
            </w:pPr>
            <w:r>
              <w:t xml:space="preserve">While </w:t>
            </w:r>
            <w:r w:rsidRPr="0008413A">
              <w:t xml:space="preserve">opportunity costs incurred outside the target patient population are not typically included in </w:t>
            </w:r>
            <w:r>
              <w:t>CUA</w:t>
            </w:r>
            <w:r w:rsidRPr="0008413A">
              <w:t xml:space="preserve">, the scarcity of donor kidneys means there is a direct and tangible impact on other non-HS patients waiting to receive a </w:t>
            </w:r>
            <w:r w:rsidR="00E2545D">
              <w:t>DD</w:t>
            </w:r>
            <w:r w:rsidR="00E2545D" w:rsidRPr="0008413A">
              <w:t xml:space="preserve"> </w:t>
            </w:r>
            <w:r w:rsidRPr="0008413A">
              <w:t>kidney</w:t>
            </w:r>
            <w:r>
              <w:t>.</w:t>
            </w:r>
          </w:p>
          <w:p w14:paraId="26F07D52" w14:textId="19A39E8A" w:rsidR="00853AEB" w:rsidRPr="00D25B4A" w:rsidRDefault="00D25B4A" w:rsidP="00CC0445">
            <w:pPr>
              <w:pStyle w:val="TableText"/>
            </w:pPr>
            <w:r>
              <w:t xml:space="preserve">The ADAR presents a scenario analysis which includes both positive and negative </w:t>
            </w:r>
            <w:r w:rsidR="00E85044">
              <w:t>spillovers</w:t>
            </w:r>
            <w:r>
              <w:t>.</w:t>
            </w:r>
            <w:r w:rsidR="00FF6B70">
              <w:t xml:space="preserve"> </w:t>
            </w:r>
          </w:p>
        </w:tc>
        <w:tc>
          <w:tcPr>
            <w:tcW w:w="1465" w:type="pct"/>
            <w:shd w:val="clear" w:color="auto" w:fill="auto"/>
          </w:tcPr>
          <w:p w14:paraId="0F3DBD8E" w14:textId="47105007" w:rsidR="0069225E" w:rsidRPr="00CE28E3" w:rsidRDefault="00597372" w:rsidP="00CC0445">
            <w:pPr>
              <w:pStyle w:val="TableText"/>
              <w:rPr>
                <w:i/>
                <w:lang w:val="en-US"/>
              </w:rPr>
            </w:pPr>
            <w:r>
              <w:rPr>
                <w:i/>
                <w:lang w:val="en-US"/>
              </w:rPr>
              <w:t>Moderate</w:t>
            </w:r>
            <w:r w:rsidR="000B400D">
              <w:rPr>
                <w:i/>
                <w:lang w:val="en-US"/>
              </w:rPr>
              <w:t>:</w:t>
            </w:r>
            <w:r w:rsidR="0069225E" w:rsidRPr="00CE28E3">
              <w:rPr>
                <w:i/>
                <w:lang w:val="en-US"/>
              </w:rPr>
              <w:t xml:space="preserve"> </w:t>
            </w:r>
            <w:r>
              <w:rPr>
                <w:i/>
                <w:lang w:val="en-US"/>
              </w:rPr>
              <w:t xml:space="preserve">exclusion of spillover benefits </w:t>
            </w:r>
            <w:proofErr w:type="spellStart"/>
            <w:r w:rsidR="00541106">
              <w:rPr>
                <w:i/>
                <w:lang w:val="en-US"/>
              </w:rPr>
              <w:t>favo</w:t>
            </w:r>
            <w:r w:rsidR="000B400D">
              <w:rPr>
                <w:i/>
                <w:lang w:val="en-US"/>
              </w:rPr>
              <w:t>u</w:t>
            </w:r>
            <w:r w:rsidR="00541106">
              <w:rPr>
                <w:i/>
                <w:lang w:val="en-US"/>
              </w:rPr>
              <w:t>rs</w:t>
            </w:r>
            <w:proofErr w:type="spellEnd"/>
            <w:r>
              <w:rPr>
                <w:i/>
                <w:lang w:val="en-US"/>
              </w:rPr>
              <w:t xml:space="preserve"> intervention. Their inclusion </w:t>
            </w:r>
            <w:r w:rsidR="0069225E" w:rsidRPr="00CE28E3">
              <w:rPr>
                <w:i/>
                <w:lang w:val="en-US"/>
              </w:rPr>
              <w:t>increased the ICER to</w:t>
            </w:r>
            <w:r w:rsidR="00461D73">
              <w:rPr>
                <w:i/>
                <w:lang w:val="en-US"/>
              </w:rPr>
              <w:t xml:space="preserve"> </w:t>
            </w:r>
            <w:r w:rsidR="0069225E" w:rsidRPr="00CE28E3">
              <w:rPr>
                <w:i/>
                <w:lang w:val="en-US"/>
              </w:rPr>
              <w:t>$</w:t>
            </w:r>
            <w:r w:rsidR="00604DDF" w:rsidRPr="009E2F9F">
              <w:rPr>
                <w:b/>
              </w:rPr>
              <w:t>redacted</w:t>
            </w:r>
            <w:r w:rsidR="00604DDF" w:rsidRPr="009E2F9F" w:rsidDel="00604DDF">
              <w:rPr>
                <w:i/>
                <w:lang w:val="en-US"/>
              </w:rPr>
              <w:t xml:space="preserve"> </w:t>
            </w:r>
            <w:r w:rsidR="0069225E" w:rsidRPr="00CE28E3">
              <w:rPr>
                <w:i/>
                <w:lang w:val="en-US"/>
              </w:rPr>
              <w:t xml:space="preserve">/QALY gained. </w:t>
            </w:r>
          </w:p>
        </w:tc>
      </w:tr>
      <w:tr w:rsidR="0069225E" w:rsidRPr="00CE28E3" w14:paraId="2E5246AC" w14:textId="77777777" w:rsidTr="00527717">
        <w:trPr>
          <w:cantSplit/>
        </w:trPr>
        <w:tc>
          <w:tcPr>
            <w:tcW w:w="626" w:type="pct"/>
            <w:shd w:val="clear" w:color="auto" w:fill="auto"/>
          </w:tcPr>
          <w:p w14:paraId="0F5E5A7D" w14:textId="69E6A43C" w:rsidR="0069225E" w:rsidRPr="00CE28E3" w:rsidRDefault="00283ED3" w:rsidP="00CC0445">
            <w:pPr>
              <w:pStyle w:val="TableText"/>
              <w:rPr>
                <w:lang w:val="en-US"/>
              </w:rPr>
            </w:pPr>
            <w:r>
              <w:rPr>
                <w:lang w:val="en-US"/>
              </w:rPr>
              <w:t xml:space="preserve">Dialysis </w:t>
            </w:r>
            <w:r w:rsidR="00533136">
              <w:rPr>
                <w:lang w:val="en-US"/>
              </w:rPr>
              <w:t xml:space="preserve">and transplant </w:t>
            </w:r>
            <w:r>
              <w:rPr>
                <w:lang w:val="en-US"/>
              </w:rPr>
              <w:t>costing</w:t>
            </w:r>
          </w:p>
        </w:tc>
        <w:tc>
          <w:tcPr>
            <w:tcW w:w="2909" w:type="pct"/>
            <w:shd w:val="clear" w:color="auto" w:fill="auto"/>
          </w:tcPr>
          <w:p w14:paraId="38FA9993" w14:textId="77777777" w:rsidR="0069225E" w:rsidRDefault="007055CB" w:rsidP="00CC0445">
            <w:pPr>
              <w:pStyle w:val="TableText"/>
              <w:rPr>
                <w:lang w:val="en-US"/>
              </w:rPr>
            </w:pPr>
            <w:r>
              <w:rPr>
                <w:lang w:val="en-US"/>
              </w:rPr>
              <w:t>The base case model presented the ADAR used micro-costing approaches to cost dialysis and kidney transplant.</w:t>
            </w:r>
          </w:p>
          <w:p w14:paraId="31C2321F" w14:textId="4AD734F9" w:rsidR="007055CB" w:rsidRPr="00CE28E3" w:rsidRDefault="00A50572" w:rsidP="00CC0445">
            <w:pPr>
              <w:pStyle w:val="TableText"/>
              <w:rPr>
                <w:lang w:val="en-US"/>
              </w:rPr>
            </w:pPr>
            <w:r>
              <w:rPr>
                <w:lang w:val="en-US"/>
              </w:rPr>
              <w:t>Scenario analyses using inflation-adjusted KHA values were considered.</w:t>
            </w:r>
          </w:p>
        </w:tc>
        <w:tc>
          <w:tcPr>
            <w:tcW w:w="1465" w:type="pct"/>
            <w:shd w:val="clear" w:color="auto" w:fill="auto"/>
          </w:tcPr>
          <w:p w14:paraId="452818F5" w14:textId="06787BC9" w:rsidR="0069225E" w:rsidRPr="00CE28E3" w:rsidRDefault="0069225E" w:rsidP="00CC0445">
            <w:pPr>
              <w:pStyle w:val="TableText"/>
              <w:rPr>
                <w:i/>
                <w:lang w:val="en-US"/>
              </w:rPr>
            </w:pPr>
            <w:r w:rsidRPr="00CE28E3">
              <w:rPr>
                <w:i/>
                <w:lang w:val="en-US"/>
              </w:rPr>
              <w:t>High</w:t>
            </w:r>
            <w:r w:rsidR="002E32BA">
              <w:rPr>
                <w:i/>
                <w:lang w:val="en-US"/>
              </w:rPr>
              <w:t>:</w:t>
            </w:r>
            <w:r w:rsidRPr="00CE28E3">
              <w:rPr>
                <w:i/>
                <w:lang w:val="en-US"/>
              </w:rPr>
              <w:t xml:space="preserve"> </w:t>
            </w:r>
            <w:r w:rsidR="0091410B">
              <w:rPr>
                <w:i/>
                <w:lang w:val="en-US"/>
              </w:rPr>
              <w:t xml:space="preserve">micro-costing approach </w:t>
            </w:r>
            <w:proofErr w:type="spellStart"/>
            <w:r w:rsidR="00541106" w:rsidRPr="00CE28E3">
              <w:rPr>
                <w:i/>
                <w:lang w:val="en-US"/>
              </w:rPr>
              <w:t>favo</w:t>
            </w:r>
            <w:r w:rsidR="002E32BA">
              <w:rPr>
                <w:i/>
                <w:lang w:val="en-US"/>
              </w:rPr>
              <w:t>u</w:t>
            </w:r>
            <w:r w:rsidR="00541106" w:rsidRPr="00CE28E3">
              <w:rPr>
                <w:i/>
                <w:lang w:val="en-US"/>
              </w:rPr>
              <w:t>rs</w:t>
            </w:r>
            <w:proofErr w:type="spellEnd"/>
            <w:r w:rsidRPr="00CE28E3">
              <w:rPr>
                <w:i/>
                <w:lang w:val="en-US"/>
              </w:rPr>
              <w:t xml:space="preserve"> </w:t>
            </w:r>
            <w:r w:rsidR="0091410B">
              <w:rPr>
                <w:i/>
                <w:lang w:val="en-US"/>
              </w:rPr>
              <w:t xml:space="preserve">intervention. Alternate use of inflation-adjusted KHA estimates increased the ICER to </w:t>
            </w:r>
            <w:r w:rsidRPr="00CE28E3">
              <w:rPr>
                <w:i/>
                <w:lang w:val="en-US"/>
              </w:rPr>
              <w:t>$</w:t>
            </w:r>
            <w:r w:rsidR="00604DDF" w:rsidRPr="009E2F9F">
              <w:rPr>
                <w:b/>
              </w:rPr>
              <w:t>redacted</w:t>
            </w:r>
            <w:r w:rsidR="00604DDF" w:rsidRPr="009E2F9F" w:rsidDel="00604DDF">
              <w:rPr>
                <w:i/>
                <w:lang w:val="en-US"/>
              </w:rPr>
              <w:t xml:space="preserve"> </w:t>
            </w:r>
            <w:r w:rsidRPr="00CE28E3">
              <w:rPr>
                <w:i/>
                <w:lang w:val="en-US"/>
              </w:rPr>
              <w:t>/QALY gained</w:t>
            </w:r>
            <w:r w:rsidR="0091410B">
              <w:rPr>
                <w:i/>
                <w:lang w:val="en-US"/>
              </w:rPr>
              <w:t xml:space="preserve"> in multiway sensitivity analysis.</w:t>
            </w:r>
          </w:p>
        </w:tc>
      </w:tr>
      <w:tr w:rsidR="008025CA" w:rsidRPr="00CE28E3" w14:paraId="7BD0E995" w14:textId="77777777" w:rsidTr="00527717">
        <w:trPr>
          <w:cantSplit/>
        </w:trPr>
        <w:tc>
          <w:tcPr>
            <w:tcW w:w="626" w:type="pct"/>
            <w:shd w:val="clear" w:color="auto" w:fill="auto"/>
          </w:tcPr>
          <w:p w14:paraId="42EBE3D3" w14:textId="65798FC6" w:rsidR="008025CA" w:rsidRDefault="007238C0" w:rsidP="00CC0445">
            <w:pPr>
              <w:pStyle w:val="TableText"/>
              <w:rPr>
                <w:lang w:val="en-US"/>
              </w:rPr>
            </w:pPr>
            <w:r>
              <w:rPr>
                <w:lang w:val="en-US"/>
              </w:rPr>
              <w:t>Choice of model population</w:t>
            </w:r>
          </w:p>
        </w:tc>
        <w:tc>
          <w:tcPr>
            <w:tcW w:w="2909" w:type="pct"/>
            <w:shd w:val="clear" w:color="auto" w:fill="auto"/>
          </w:tcPr>
          <w:p w14:paraId="467FC164" w14:textId="4DDD0F3A" w:rsidR="008025CA" w:rsidRDefault="00D96D27" w:rsidP="00CC0445">
            <w:pPr>
              <w:pStyle w:val="TableText"/>
              <w:rPr>
                <w:lang w:val="en-US"/>
              </w:rPr>
            </w:pPr>
            <w:r>
              <w:rPr>
                <w:lang w:val="en-US"/>
              </w:rPr>
              <w:t xml:space="preserve">In the base case, extrapolations of graft survival and survival with a </w:t>
            </w:r>
            <w:r w:rsidR="00B20DEB">
              <w:rPr>
                <w:lang w:val="en-US"/>
              </w:rPr>
              <w:t>function</w:t>
            </w:r>
            <w:r w:rsidR="00B6686A">
              <w:rPr>
                <w:lang w:val="en-US"/>
              </w:rPr>
              <w:t>ing</w:t>
            </w:r>
            <w:r w:rsidR="00B20DEB">
              <w:rPr>
                <w:lang w:val="en-US"/>
              </w:rPr>
              <w:t xml:space="preserve"> </w:t>
            </w:r>
            <w:r>
              <w:rPr>
                <w:lang w:val="en-US"/>
              </w:rPr>
              <w:t xml:space="preserve">graft </w:t>
            </w:r>
            <w:r w:rsidR="00FF70CC">
              <w:rPr>
                <w:lang w:val="en-US"/>
              </w:rPr>
              <w:t>are made using</w:t>
            </w:r>
            <w:r>
              <w:rPr>
                <w:lang w:val="en-US"/>
              </w:rPr>
              <w:t xml:space="preserve"> clinical trial data for the </w:t>
            </w:r>
            <w:r w:rsidR="007238C0">
              <w:rPr>
                <w:lang w:val="en-US"/>
              </w:rPr>
              <w:t>AUS-UTT-A</w:t>
            </w:r>
            <w:r w:rsidR="00FF70CC">
              <w:rPr>
                <w:lang w:val="en-US"/>
              </w:rPr>
              <w:t xml:space="preserve"> population. </w:t>
            </w:r>
            <w:r w:rsidR="002F6E24">
              <w:rPr>
                <w:lang w:val="en-US"/>
              </w:rPr>
              <w:t>AMR and DGF</w:t>
            </w:r>
            <w:r w:rsidR="007238C0">
              <w:rPr>
                <w:lang w:val="en-US"/>
              </w:rPr>
              <w:t xml:space="preserve"> </w:t>
            </w:r>
            <w:r>
              <w:rPr>
                <w:lang w:val="en-US"/>
              </w:rPr>
              <w:t xml:space="preserve">are </w:t>
            </w:r>
            <w:r w:rsidR="002F6E24">
              <w:rPr>
                <w:lang w:val="en-US"/>
              </w:rPr>
              <w:t>also sourced</w:t>
            </w:r>
            <w:r w:rsidR="00040FD7">
              <w:rPr>
                <w:lang w:val="en-US"/>
              </w:rPr>
              <w:t xml:space="preserve"> from the AUS-UTT-A population.</w:t>
            </w:r>
          </w:p>
          <w:p w14:paraId="6E8FF46F" w14:textId="6C46DEA4" w:rsidR="00040FD7" w:rsidRPr="00CE28E3" w:rsidRDefault="003B1EC3" w:rsidP="00CC0445">
            <w:pPr>
              <w:pStyle w:val="TableText"/>
              <w:rPr>
                <w:lang w:val="en-US"/>
              </w:rPr>
            </w:pPr>
            <w:r>
              <w:rPr>
                <w:lang w:val="en-US"/>
              </w:rPr>
              <w:t>One-</w:t>
            </w:r>
            <w:r w:rsidRPr="0038134A">
              <w:rPr>
                <w:lang w:val="en-US"/>
              </w:rPr>
              <w:t>way scenario</w:t>
            </w:r>
            <w:r w:rsidR="00A851B4" w:rsidRPr="0038134A">
              <w:rPr>
                <w:lang w:val="en-US"/>
              </w:rPr>
              <w:t xml:space="preserve"> analyses altering </w:t>
            </w:r>
            <w:r w:rsidR="006113E0" w:rsidRPr="0038134A">
              <w:rPr>
                <w:lang w:val="en-US"/>
              </w:rPr>
              <w:t xml:space="preserve">the source of each </w:t>
            </w:r>
            <w:r w:rsidRPr="0038134A">
              <w:rPr>
                <w:lang w:val="en-US"/>
              </w:rPr>
              <w:t xml:space="preserve">individually are presented below </w:t>
            </w:r>
            <w:r w:rsidRPr="00986F9A">
              <w:rPr>
                <w:lang w:val="en-US"/>
              </w:rPr>
              <w:t>(</w:t>
            </w:r>
            <w:r w:rsidR="00986F9A" w:rsidRPr="00986F9A">
              <w:rPr>
                <w:lang w:val="en-US"/>
              </w:rPr>
              <w:fldChar w:fldCharType="begin"/>
            </w:r>
            <w:r w:rsidR="00986F9A" w:rsidRPr="00986F9A">
              <w:rPr>
                <w:lang w:val="en-US"/>
              </w:rPr>
              <w:instrText xml:space="preserve"> REF _Ref163648718 \h  \* MERGEFORMAT </w:instrText>
            </w:r>
            <w:r w:rsidR="00986F9A" w:rsidRPr="00986F9A">
              <w:rPr>
                <w:lang w:val="en-US"/>
              </w:rPr>
            </w:r>
            <w:r w:rsidR="00986F9A" w:rsidRPr="00986F9A">
              <w:rPr>
                <w:lang w:val="en-US"/>
              </w:rPr>
              <w:fldChar w:fldCharType="separate"/>
            </w:r>
            <w:r w:rsidR="0073355E">
              <w:t xml:space="preserve">Table </w:t>
            </w:r>
            <w:r w:rsidR="0073355E">
              <w:rPr>
                <w:noProof/>
              </w:rPr>
              <w:t>10</w:t>
            </w:r>
            <w:r w:rsidR="00986F9A" w:rsidRPr="00986F9A">
              <w:rPr>
                <w:lang w:val="en-US"/>
              </w:rPr>
              <w:fldChar w:fldCharType="end"/>
            </w:r>
            <w:r w:rsidRPr="00986F9A">
              <w:rPr>
                <w:lang w:val="en-US"/>
              </w:rPr>
              <w:t>).</w:t>
            </w:r>
            <w:r w:rsidRPr="0038134A">
              <w:rPr>
                <w:lang w:val="en-US"/>
              </w:rPr>
              <w:t xml:space="preserve"> A scenario adjust</w:t>
            </w:r>
            <w:r w:rsidR="0085518C">
              <w:rPr>
                <w:lang w:val="en-US"/>
              </w:rPr>
              <w:t>ing</w:t>
            </w:r>
            <w:r w:rsidRPr="0038134A">
              <w:rPr>
                <w:lang w:val="en-US"/>
              </w:rPr>
              <w:t xml:space="preserve"> all 3 simultaneously was added </w:t>
            </w:r>
            <w:r w:rsidR="0038134A" w:rsidRPr="0038134A">
              <w:rPr>
                <w:lang w:val="en-US"/>
              </w:rPr>
              <w:t>here.</w:t>
            </w:r>
          </w:p>
        </w:tc>
        <w:tc>
          <w:tcPr>
            <w:tcW w:w="1465" w:type="pct"/>
            <w:shd w:val="clear" w:color="auto" w:fill="auto"/>
          </w:tcPr>
          <w:p w14:paraId="23A13DE9" w14:textId="21C310FE" w:rsidR="008025CA" w:rsidRPr="00B36630" w:rsidRDefault="00B36630" w:rsidP="00CC0445">
            <w:pPr>
              <w:pStyle w:val="TableText"/>
              <w:rPr>
                <w:i/>
                <w:iCs/>
                <w:lang w:val="en-US"/>
              </w:rPr>
            </w:pPr>
            <w:r>
              <w:rPr>
                <w:i/>
                <w:iCs/>
                <w:lang w:val="en-US"/>
              </w:rPr>
              <w:t>Low</w:t>
            </w:r>
            <w:r w:rsidR="0085518C">
              <w:rPr>
                <w:i/>
                <w:iCs/>
                <w:lang w:val="en-US"/>
              </w:rPr>
              <w:t>:</w:t>
            </w:r>
            <w:r>
              <w:rPr>
                <w:i/>
                <w:iCs/>
                <w:lang w:val="en-US"/>
              </w:rPr>
              <w:t xml:space="preserve"> use of </w:t>
            </w:r>
            <w:r w:rsidR="00197208">
              <w:rPr>
                <w:i/>
                <w:iCs/>
                <w:lang w:val="en-US"/>
              </w:rPr>
              <w:t xml:space="preserve">AUS-UTT-A population slightly </w:t>
            </w:r>
            <w:proofErr w:type="spellStart"/>
            <w:r w:rsidR="00541106">
              <w:rPr>
                <w:i/>
                <w:iCs/>
                <w:lang w:val="en-US"/>
              </w:rPr>
              <w:t>favo</w:t>
            </w:r>
            <w:r w:rsidR="0085518C">
              <w:rPr>
                <w:i/>
                <w:iCs/>
                <w:lang w:val="en-US"/>
              </w:rPr>
              <w:t>u</w:t>
            </w:r>
            <w:r w:rsidR="00541106">
              <w:rPr>
                <w:i/>
                <w:iCs/>
                <w:lang w:val="en-US"/>
              </w:rPr>
              <w:t>rs</w:t>
            </w:r>
            <w:proofErr w:type="spellEnd"/>
            <w:r w:rsidR="00197208">
              <w:rPr>
                <w:i/>
                <w:iCs/>
                <w:lang w:val="en-US"/>
              </w:rPr>
              <w:t xml:space="preserve"> intervention. Use of </w:t>
            </w:r>
            <w:r w:rsidR="001A777A">
              <w:rPr>
                <w:i/>
                <w:iCs/>
                <w:lang w:val="en-US"/>
              </w:rPr>
              <w:t>a</w:t>
            </w:r>
            <w:r w:rsidR="00197208">
              <w:rPr>
                <w:i/>
                <w:iCs/>
                <w:lang w:val="en-US"/>
              </w:rPr>
              <w:t>ll-transplanted population decreased the ICER to $</w:t>
            </w:r>
            <w:r w:rsidR="00604DDF" w:rsidRPr="009E2F9F">
              <w:rPr>
                <w:b/>
              </w:rPr>
              <w:t>redacted</w:t>
            </w:r>
            <w:r w:rsidR="00604DDF" w:rsidRPr="009E2F9F" w:rsidDel="00604DDF">
              <w:rPr>
                <w:b/>
                <w:i/>
                <w:lang w:val="en-US"/>
              </w:rPr>
              <w:t xml:space="preserve"> </w:t>
            </w:r>
            <w:r w:rsidR="00197208">
              <w:rPr>
                <w:i/>
                <w:iCs/>
                <w:lang w:val="en-US"/>
              </w:rPr>
              <w:t>/QALY gained in multiway sensitivity analysis.</w:t>
            </w:r>
          </w:p>
        </w:tc>
      </w:tr>
      <w:tr w:rsidR="00B508BE" w:rsidRPr="00CE28E3" w14:paraId="67711D9B" w14:textId="77777777" w:rsidTr="00527717">
        <w:trPr>
          <w:cantSplit/>
        </w:trPr>
        <w:tc>
          <w:tcPr>
            <w:tcW w:w="626" w:type="pct"/>
            <w:shd w:val="clear" w:color="auto" w:fill="auto"/>
          </w:tcPr>
          <w:p w14:paraId="5DDE4CB2" w14:textId="74191040" w:rsidR="00B508BE" w:rsidRPr="00CE28E3" w:rsidRDefault="00DF006C" w:rsidP="00CC0445">
            <w:pPr>
              <w:pStyle w:val="TableText"/>
              <w:rPr>
                <w:lang w:val="en-US"/>
              </w:rPr>
            </w:pPr>
            <w:r>
              <w:rPr>
                <w:lang w:val="en-US"/>
              </w:rPr>
              <w:t>Extrapolation of survival outcomes</w:t>
            </w:r>
          </w:p>
        </w:tc>
        <w:tc>
          <w:tcPr>
            <w:tcW w:w="2909" w:type="pct"/>
            <w:shd w:val="clear" w:color="auto" w:fill="auto"/>
          </w:tcPr>
          <w:p w14:paraId="4BD9C665" w14:textId="5C7ED8A2" w:rsidR="00B508BE" w:rsidRDefault="008A7687" w:rsidP="00CC0445">
            <w:pPr>
              <w:pStyle w:val="TableText"/>
              <w:rPr>
                <w:color w:val="000000" w:themeColor="text1"/>
              </w:rPr>
            </w:pPr>
            <w:r>
              <w:rPr>
                <w:color w:val="000000" w:themeColor="text1"/>
              </w:rPr>
              <w:t>Parametric models were fit</w:t>
            </w:r>
            <w:r w:rsidR="00227881">
              <w:rPr>
                <w:color w:val="000000" w:themeColor="text1"/>
              </w:rPr>
              <w:t>ted</w:t>
            </w:r>
            <w:r>
              <w:rPr>
                <w:color w:val="000000" w:themeColor="text1"/>
              </w:rPr>
              <w:t xml:space="preserve"> to clinical trial data to extrapolate</w:t>
            </w:r>
            <w:r w:rsidRPr="0005062C">
              <w:rPr>
                <w:color w:val="000000" w:themeColor="text1"/>
              </w:rPr>
              <w:t xml:space="preserve"> </w:t>
            </w:r>
            <w:r>
              <w:rPr>
                <w:color w:val="000000" w:themeColor="text1"/>
              </w:rPr>
              <w:t>graft survival and patient survival with a functioning graft. Both were modelled using an exponential distribution</w:t>
            </w:r>
            <w:r w:rsidR="005F08FF">
              <w:rPr>
                <w:color w:val="000000" w:themeColor="text1"/>
              </w:rPr>
              <w:t xml:space="preserve">, which implies a constant risk of </w:t>
            </w:r>
            <w:r w:rsidR="00A658D5">
              <w:rPr>
                <w:color w:val="000000" w:themeColor="text1"/>
              </w:rPr>
              <w:t xml:space="preserve">graft failure/death. </w:t>
            </w:r>
          </w:p>
          <w:p w14:paraId="34313563" w14:textId="07386012" w:rsidR="00CD7356" w:rsidRPr="00CE28E3" w:rsidRDefault="00401E66" w:rsidP="00CC0445">
            <w:pPr>
              <w:pStyle w:val="TableText"/>
              <w:rPr>
                <w:lang w:val="en-US"/>
              </w:rPr>
            </w:pPr>
            <w:r>
              <w:rPr>
                <w:lang w:val="en-US"/>
              </w:rPr>
              <w:t>Scenario analyses tested the impact of selected alternate parametric models.</w:t>
            </w:r>
          </w:p>
        </w:tc>
        <w:tc>
          <w:tcPr>
            <w:tcW w:w="1465" w:type="pct"/>
            <w:shd w:val="clear" w:color="auto" w:fill="auto"/>
          </w:tcPr>
          <w:p w14:paraId="5ED9DFF2" w14:textId="1647C02A" w:rsidR="00B508BE" w:rsidRPr="004949DA" w:rsidRDefault="00401E66" w:rsidP="00CC0445">
            <w:pPr>
              <w:pStyle w:val="TableText"/>
              <w:rPr>
                <w:i/>
                <w:iCs/>
                <w:lang w:val="en-US"/>
              </w:rPr>
            </w:pPr>
            <w:r>
              <w:rPr>
                <w:i/>
                <w:iCs/>
                <w:lang w:val="en-US"/>
              </w:rPr>
              <w:t>Moderate</w:t>
            </w:r>
            <w:r w:rsidR="00EE5946">
              <w:rPr>
                <w:i/>
                <w:iCs/>
                <w:lang w:val="en-US"/>
              </w:rPr>
              <w:t>:</w:t>
            </w:r>
            <w:r>
              <w:rPr>
                <w:i/>
                <w:iCs/>
                <w:lang w:val="en-US"/>
              </w:rPr>
              <w:t xml:space="preserve"> choice of exponential distribution </w:t>
            </w:r>
            <w:proofErr w:type="spellStart"/>
            <w:r w:rsidR="00541106">
              <w:rPr>
                <w:i/>
                <w:iCs/>
                <w:lang w:val="en-US"/>
              </w:rPr>
              <w:t>favo</w:t>
            </w:r>
            <w:r w:rsidR="00EE5946">
              <w:rPr>
                <w:i/>
                <w:iCs/>
                <w:lang w:val="en-US"/>
              </w:rPr>
              <w:t>u</w:t>
            </w:r>
            <w:r w:rsidR="00541106">
              <w:rPr>
                <w:i/>
                <w:iCs/>
                <w:lang w:val="en-US"/>
              </w:rPr>
              <w:t>rs</w:t>
            </w:r>
            <w:proofErr w:type="spellEnd"/>
            <w:r>
              <w:rPr>
                <w:i/>
                <w:iCs/>
                <w:lang w:val="en-US"/>
              </w:rPr>
              <w:t xml:space="preserve"> comparator.</w:t>
            </w:r>
            <w:r w:rsidR="00BC5C93">
              <w:rPr>
                <w:i/>
                <w:iCs/>
                <w:lang w:val="en-US"/>
              </w:rPr>
              <w:t xml:space="preserve"> Use of alternate distributions reduced the ICER.</w:t>
            </w:r>
            <w:r>
              <w:rPr>
                <w:i/>
                <w:iCs/>
                <w:lang w:val="en-US"/>
              </w:rPr>
              <w:t xml:space="preserve"> </w:t>
            </w:r>
          </w:p>
        </w:tc>
      </w:tr>
      <w:tr w:rsidR="005E52C6" w:rsidRPr="00CE28E3" w14:paraId="267718BD" w14:textId="77777777" w:rsidTr="00527717">
        <w:trPr>
          <w:cantSplit/>
        </w:trPr>
        <w:tc>
          <w:tcPr>
            <w:tcW w:w="626" w:type="pct"/>
            <w:shd w:val="clear" w:color="auto" w:fill="auto"/>
          </w:tcPr>
          <w:p w14:paraId="025B1D7D" w14:textId="59A3BB10" w:rsidR="005E52C6" w:rsidRDefault="005E52C6" w:rsidP="00CC0445">
            <w:pPr>
              <w:pStyle w:val="TableText"/>
              <w:rPr>
                <w:lang w:val="en-US"/>
              </w:rPr>
            </w:pPr>
            <w:r>
              <w:rPr>
                <w:lang w:val="en-US"/>
              </w:rPr>
              <w:t>Bias resulting from na</w:t>
            </w:r>
            <w:r w:rsidR="00EE5946">
              <w:rPr>
                <w:lang w:val="en-US"/>
              </w:rPr>
              <w:t>i</w:t>
            </w:r>
            <w:r>
              <w:rPr>
                <w:lang w:val="en-US"/>
              </w:rPr>
              <w:t>ve ITC</w:t>
            </w:r>
          </w:p>
        </w:tc>
        <w:tc>
          <w:tcPr>
            <w:tcW w:w="2909" w:type="pct"/>
            <w:shd w:val="clear" w:color="auto" w:fill="auto"/>
          </w:tcPr>
          <w:p w14:paraId="7C86E9CC" w14:textId="794C2A4D" w:rsidR="005E52C6" w:rsidRPr="00CE28E3" w:rsidRDefault="005E52C6" w:rsidP="00CC0445">
            <w:pPr>
              <w:pStyle w:val="TableText"/>
              <w:rPr>
                <w:lang w:val="en-US"/>
              </w:rPr>
            </w:pPr>
            <w:r>
              <w:t>The economic evaluation is based on comparative efficacy estimates derived from a na</w:t>
            </w:r>
            <w:r w:rsidR="00EE5946">
              <w:t>i</w:t>
            </w:r>
            <w:r>
              <w:t>ve ITC</w:t>
            </w:r>
            <w:r w:rsidRPr="00891B6B">
              <w:t xml:space="preserve">. There are material differences </w:t>
            </w:r>
            <w:r>
              <w:t>in patient characteristics between imlifidase clinical trials and the Australian patient population.</w:t>
            </w:r>
            <w:r w:rsidRPr="00891B6B">
              <w:t xml:space="preserve"> </w:t>
            </w:r>
            <w:r>
              <w:t xml:space="preserve">There is also the potential for </w:t>
            </w:r>
            <w:r w:rsidRPr="00891B6B">
              <w:t>further unobserv</w:t>
            </w:r>
            <w:r>
              <w:t>ed</w:t>
            </w:r>
            <w:r w:rsidRPr="00891B6B">
              <w:t xml:space="preserve"> differences in prognostic factors</w:t>
            </w:r>
            <w:r>
              <w:t>.</w:t>
            </w:r>
          </w:p>
        </w:tc>
        <w:tc>
          <w:tcPr>
            <w:tcW w:w="1465" w:type="pct"/>
            <w:shd w:val="clear" w:color="auto" w:fill="auto"/>
          </w:tcPr>
          <w:p w14:paraId="5EC42973" w14:textId="79FFD5D6" w:rsidR="005E52C6" w:rsidRPr="00CE28E3" w:rsidRDefault="005E52C6" w:rsidP="00CC0445">
            <w:pPr>
              <w:pStyle w:val="TableText"/>
              <w:rPr>
                <w:lang w:val="en-US"/>
              </w:rPr>
            </w:pPr>
            <w:r w:rsidRPr="004949DA">
              <w:rPr>
                <w:i/>
                <w:iCs/>
              </w:rPr>
              <w:t>Potential</w:t>
            </w:r>
            <w:r>
              <w:rPr>
                <w:i/>
                <w:iCs/>
              </w:rPr>
              <w:t>ly</w:t>
            </w:r>
            <w:r w:rsidRPr="004949DA">
              <w:rPr>
                <w:i/>
                <w:iCs/>
              </w:rPr>
              <w:t xml:space="preserve"> large impact given the impact on efficacy estimates and outcomes in the modelled patient population. It is uncertain </w:t>
            </w:r>
            <w:r w:rsidR="00461D3B">
              <w:rPr>
                <w:i/>
                <w:iCs/>
              </w:rPr>
              <w:t>whether</w:t>
            </w:r>
            <w:r w:rsidRPr="004949DA">
              <w:rPr>
                <w:i/>
                <w:iCs/>
              </w:rPr>
              <w:t xml:space="preserve"> any bias would favour the intervention or current care.</w:t>
            </w:r>
          </w:p>
        </w:tc>
      </w:tr>
      <w:tr w:rsidR="009E036C" w:rsidRPr="00CE28E3" w14:paraId="064226A3" w14:textId="77777777" w:rsidTr="00CC0445">
        <w:trPr>
          <w:cantSplit/>
        </w:trPr>
        <w:tc>
          <w:tcPr>
            <w:tcW w:w="626" w:type="pct"/>
            <w:shd w:val="clear" w:color="auto" w:fill="auto"/>
          </w:tcPr>
          <w:p w14:paraId="30C66824" w14:textId="1E8D3EDE" w:rsidR="009E036C" w:rsidRDefault="0044054C" w:rsidP="00CC0445">
            <w:pPr>
              <w:pStyle w:val="TableText"/>
              <w:rPr>
                <w:lang w:val="en-US"/>
              </w:rPr>
            </w:pPr>
            <w:r>
              <w:rPr>
                <w:lang w:val="en-US"/>
              </w:rPr>
              <w:t xml:space="preserve">Potentially </w:t>
            </w:r>
            <w:r w:rsidR="007A7F44">
              <w:rPr>
                <w:lang w:val="en-US"/>
              </w:rPr>
              <w:t xml:space="preserve">different economic outcomes for </w:t>
            </w:r>
            <w:r w:rsidR="00E9560F">
              <w:rPr>
                <w:lang w:val="en-US"/>
              </w:rPr>
              <w:t xml:space="preserve">DD </w:t>
            </w:r>
            <w:r w:rsidR="007A7F44">
              <w:rPr>
                <w:lang w:val="en-US"/>
              </w:rPr>
              <w:t>and</w:t>
            </w:r>
            <w:r w:rsidR="00E9560F">
              <w:rPr>
                <w:lang w:val="en-US"/>
              </w:rPr>
              <w:t xml:space="preserve"> LD transplant</w:t>
            </w:r>
            <w:r w:rsidR="007A7F44">
              <w:rPr>
                <w:lang w:val="en-US"/>
              </w:rPr>
              <w:t>s</w:t>
            </w:r>
          </w:p>
        </w:tc>
        <w:tc>
          <w:tcPr>
            <w:tcW w:w="2909" w:type="pct"/>
            <w:shd w:val="clear" w:color="auto" w:fill="auto"/>
          </w:tcPr>
          <w:p w14:paraId="7A959897" w14:textId="5D457310" w:rsidR="0029379C" w:rsidRDefault="00A84ED8" w:rsidP="00A364B9">
            <w:pPr>
              <w:pStyle w:val="TableText"/>
            </w:pPr>
            <w:r>
              <w:t xml:space="preserve">The </w:t>
            </w:r>
            <w:r w:rsidR="0053627E">
              <w:t>base case</w:t>
            </w:r>
            <w:r>
              <w:t xml:space="preserve"> presented in the ADAR </w:t>
            </w:r>
            <w:r w:rsidR="00DB0FC6">
              <w:t xml:space="preserve">assumed </w:t>
            </w:r>
            <w:r w:rsidR="0017254B">
              <w:t>24.0%</w:t>
            </w:r>
            <w:r w:rsidR="0029379C">
              <w:t xml:space="preserve"> </w:t>
            </w:r>
            <w:r w:rsidR="0029379C" w:rsidRPr="0029379C">
              <w:t>of imlifidase-enabled transplants are LD transplants</w:t>
            </w:r>
            <w:r w:rsidR="00A364B9">
              <w:t xml:space="preserve">. </w:t>
            </w:r>
          </w:p>
          <w:p w14:paraId="4695FE86" w14:textId="172E41BB" w:rsidR="009E036C" w:rsidRDefault="0070433B" w:rsidP="00CC0445">
            <w:pPr>
              <w:pStyle w:val="TableText"/>
            </w:pPr>
            <w:r>
              <w:t>The</w:t>
            </w:r>
            <w:r w:rsidR="00ED79C1">
              <w:t xml:space="preserve"> commentary explored separate ICERs for DD and LD transplants </w:t>
            </w:r>
            <w:r w:rsidR="009F6473">
              <w:t xml:space="preserve">by setting this rate to 0% and 100%, respectively. These scenarios were explored </w:t>
            </w:r>
            <w:r w:rsidR="00ED79C1">
              <w:t>under base case assumptions</w:t>
            </w:r>
            <w:r w:rsidR="009F6473">
              <w:t xml:space="preserve"> as well as </w:t>
            </w:r>
            <w:r w:rsidR="009709AB">
              <w:t>under the spillover effects scenario</w:t>
            </w:r>
            <w:r w:rsidR="009F6473">
              <w:t>.</w:t>
            </w:r>
          </w:p>
        </w:tc>
        <w:tc>
          <w:tcPr>
            <w:tcW w:w="1465" w:type="pct"/>
            <w:shd w:val="clear" w:color="auto" w:fill="auto"/>
          </w:tcPr>
          <w:p w14:paraId="74A2FADE" w14:textId="0680A49A" w:rsidR="00AE60F7" w:rsidRPr="0046142F" w:rsidRDefault="00802554" w:rsidP="00CC0445">
            <w:pPr>
              <w:pStyle w:val="TableText"/>
              <w:rPr>
                <w:i/>
                <w:iCs/>
              </w:rPr>
            </w:pPr>
            <w:r>
              <w:rPr>
                <w:i/>
                <w:iCs/>
              </w:rPr>
              <w:t xml:space="preserve">Low under base case assumptions: </w:t>
            </w:r>
            <w:r w:rsidR="000D09E3">
              <w:rPr>
                <w:i/>
                <w:iCs/>
              </w:rPr>
              <w:t xml:space="preserve">LD </w:t>
            </w:r>
            <w:r w:rsidR="000D09E3" w:rsidRPr="0046142F">
              <w:rPr>
                <w:i/>
                <w:iCs/>
              </w:rPr>
              <w:t xml:space="preserve">rates of 0% and 100% varied the ICER from </w:t>
            </w:r>
            <w:r w:rsidR="00AE60F7" w:rsidRPr="0046142F">
              <w:rPr>
                <w:i/>
                <w:iCs/>
              </w:rPr>
              <w:t>$</w:t>
            </w:r>
            <w:r w:rsidR="00604DDF" w:rsidRPr="009E2F9F">
              <w:rPr>
                <w:b/>
              </w:rPr>
              <w:t>redacted</w:t>
            </w:r>
            <w:r w:rsidR="000D09E3" w:rsidRPr="0046142F">
              <w:rPr>
                <w:i/>
                <w:iCs/>
              </w:rPr>
              <w:t xml:space="preserve">/QALY to </w:t>
            </w:r>
            <w:r w:rsidR="00A33F1A" w:rsidRPr="0046142F">
              <w:rPr>
                <w:i/>
                <w:iCs/>
              </w:rPr>
              <w:t>$</w:t>
            </w:r>
            <w:r w:rsidR="00604DDF" w:rsidRPr="009E2F9F">
              <w:rPr>
                <w:b/>
              </w:rPr>
              <w:t>redacted</w:t>
            </w:r>
            <w:r w:rsidR="000D09E3" w:rsidRPr="0046142F">
              <w:rPr>
                <w:i/>
                <w:iCs/>
              </w:rPr>
              <w:t>.</w:t>
            </w:r>
          </w:p>
          <w:p w14:paraId="03524588" w14:textId="4712BCDD" w:rsidR="009E036C" w:rsidRPr="004949DA" w:rsidRDefault="004F071A" w:rsidP="00CC0445">
            <w:pPr>
              <w:pStyle w:val="TableText"/>
              <w:rPr>
                <w:i/>
                <w:iCs/>
              </w:rPr>
            </w:pPr>
            <w:r w:rsidRPr="0046142F">
              <w:rPr>
                <w:i/>
                <w:iCs/>
              </w:rPr>
              <w:t xml:space="preserve">High in the spillover scenario: LD rates of 0% and 100% varied the </w:t>
            </w:r>
            <w:r w:rsidR="003F6BEF" w:rsidRPr="0046142F">
              <w:rPr>
                <w:i/>
                <w:iCs/>
              </w:rPr>
              <w:t>ICER</w:t>
            </w:r>
            <w:r w:rsidRPr="0046142F">
              <w:rPr>
                <w:i/>
                <w:iCs/>
              </w:rPr>
              <w:t xml:space="preserve"> from</w:t>
            </w:r>
            <w:r w:rsidR="003F6BEF" w:rsidRPr="0046142F">
              <w:rPr>
                <w:i/>
                <w:iCs/>
              </w:rPr>
              <w:t xml:space="preserve"> $</w:t>
            </w:r>
            <w:r w:rsidR="00604DDF" w:rsidRPr="009E2F9F">
              <w:rPr>
                <w:b/>
              </w:rPr>
              <w:t>redacted</w:t>
            </w:r>
            <w:r w:rsidRPr="0046142F">
              <w:rPr>
                <w:i/>
                <w:iCs/>
              </w:rPr>
              <w:t xml:space="preserve">/QALY to </w:t>
            </w:r>
            <w:r w:rsidR="000F423F" w:rsidRPr="0046142F">
              <w:rPr>
                <w:i/>
                <w:iCs/>
              </w:rPr>
              <w:t xml:space="preserve">imlifidase </w:t>
            </w:r>
            <w:r w:rsidRPr="0046142F">
              <w:rPr>
                <w:i/>
                <w:iCs/>
              </w:rPr>
              <w:t xml:space="preserve">being </w:t>
            </w:r>
            <w:r w:rsidR="000F423F" w:rsidRPr="0046142F">
              <w:rPr>
                <w:i/>
                <w:iCs/>
              </w:rPr>
              <w:t>dominant</w:t>
            </w:r>
            <w:r w:rsidRPr="0046142F">
              <w:rPr>
                <w:i/>
                <w:iCs/>
              </w:rPr>
              <w:t>.</w:t>
            </w:r>
          </w:p>
        </w:tc>
      </w:tr>
    </w:tbl>
    <w:bookmarkEnd w:id="41"/>
    <w:p w14:paraId="495B6915" w14:textId="34CA1EC1" w:rsidR="00BB1958" w:rsidRPr="00527717" w:rsidRDefault="00BB1958" w:rsidP="00527717">
      <w:pPr>
        <w:pStyle w:val="TableFigureFooter"/>
        <w:contextualSpacing/>
        <w:rPr>
          <w:b/>
          <w:bCs/>
          <w:u w:val="single"/>
        </w:rPr>
      </w:pPr>
      <w:r w:rsidRPr="00527717">
        <w:rPr>
          <w:b/>
          <w:bCs/>
          <w:u w:val="single"/>
        </w:rPr>
        <w:t>Abbreviations</w:t>
      </w:r>
    </w:p>
    <w:p w14:paraId="4724B6F8" w14:textId="2D37DEF0" w:rsidR="0069225E" w:rsidRPr="00CE28E3" w:rsidRDefault="00533136" w:rsidP="0069225E">
      <w:pPr>
        <w:pStyle w:val="TableFigureFooter"/>
      </w:pPr>
      <w:r>
        <w:t xml:space="preserve">ADAR = applicant developed assessment report, </w:t>
      </w:r>
      <w:r w:rsidR="002F6E24">
        <w:t>AMR = antibody</w:t>
      </w:r>
      <w:r w:rsidR="00BB1958">
        <w:t>-</w:t>
      </w:r>
      <w:r w:rsidR="002F6E24">
        <w:t xml:space="preserve">mediated rejection, </w:t>
      </w:r>
      <w:r w:rsidR="00853F36">
        <w:t xml:space="preserve">AUS-UTT-A = Australia – </w:t>
      </w:r>
      <w:r w:rsidR="00BB1958">
        <w:t>u</w:t>
      </w:r>
      <w:r w:rsidR="00853F36">
        <w:t xml:space="preserve">nlikely to </w:t>
      </w:r>
      <w:r w:rsidR="00BB1958">
        <w:t>t</w:t>
      </w:r>
      <w:r w:rsidR="00853F36">
        <w:t xml:space="preserve">ransplant – </w:t>
      </w:r>
      <w:r w:rsidR="00BB1958">
        <w:t>a</w:t>
      </w:r>
      <w:r w:rsidR="00853F36">
        <w:t xml:space="preserve">gnostic, </w:t>
      </w:r>
      <w:r>
        <w:t xml:space="preserve">CUA = cost-utility analysis, </w:t>
      </w:r>
      <w:r w:rsidR="00E2545D">
        <w:t xml:space="preserve">DD = deceased donor, </w:t>
      </w:r>
      <w:r w:rsidR="002F6E24">
        <w:t xml:space="preserve">DGF = delayed graft function, </w:t>
      </w:r>
      <w:r w:rsidR="0069225E" w:rsidRPr="00CE28E3">
        <w:t>ICER = incremental cost-effectiveness ratio</w:t>
      </w:r>
      <w:r w:rsidR="00BB1958">
        <w:t>,</w:t>
      </w:r>
      <w:r w:rsidR="00D066DC">
        <w:t xml:space="preserve"> ITC = indirect treatment comparison, KHA = Kidney Hea</w:t>
      </w:r>
      <w:r w:rsidR="00A82CFA">
        <w:t>l</w:t>
      </w:r>
      <w:r w:rsidR="00D066DC">
        <w:t>th Australia,</w:t>
      </w:r>
      <w:r w:rsidR="0069225E" w:rsidRPr="00CE28E3">
        <w:t xml:space="preserve"> </w:t>
      </w:r>
      <w:r w:rsidR="00E2545D">
        <w:t xml:space="preserve">LD = living donor, </w:t>
      </w:r>
      <w:r w:rsidR="0069225E" w:rsidRPr="00CE28E3">
        <w:t>QALY = quality-adjusted life year</w:t>
      </w:r>
    </w:p>
    <w:p w14:paraId="7570443F" w14:textId="47DBD522" w:rsidR="006956A9" w:rsidRDefault="00413272">
      <w:r>
        <w:t>MSAC suggested</w:t>
      </w:r>
      <w:r w:rsidR="00A12A41">
        <w:t xml:space="preserve"> (1732 PSD)</w:t>
      </w:r>
      <w:r>
        <w:t xml:space="preserve"> </w:t>
      </w:r>
      <w:r w:rsidR="00F27C4D">
        <w:t xml:space="preserve">that, after adjusting the model for the displacement effects on non-HS patients, </w:t>
      </w:r>
      <w:r>
        <w:t xml:space="preserve">the ICER of DD </w:t>
      </w:r>
      <w:r w:rsidR="00F27C4D">
        <w:t>transplants</w:t>
      </w:r>
      <w:r>
        <w:t xml:space="preserve"> facilitated by imlifidase is likely to be in the northwest quadrant</w:t>
      </w:r>
      <w:r w:rsidR="004E1DAB">
        <w:t xml:space="preserve"> of the cost-effectiveness plane</w:t>
      </w:r>
      <w:r w:rsidR="009E0747">
        <w:t xml:space="preserve"> </w:t>
      </w:r>
      <w:r>
        <w:t xml:space="preserve">(i.e. dominated because it is less effective in health </w:t>
      </w:r>
      <w:r>
        <w:lastRenderedPageBreak/>
        <w:t>outcomes but also more expensive)</w:t>
      </w:r>
      <w:r w:rsidR="00DA3370">
        <w:t>; h</w:t>
      </w:r>
      <w:r w:rsidR="004C2330">
        <w:t xml:space="preserve">owever, </w:t>
      </w:r>
      <w:r w:rsidR="00F27C4D">
        <w:t xml:space="preserve">the ICER for DD </w:t>
      </w:r>
      <w:r w:rsidR="00F27C4D" w:rsidRPr="000C2C9D">
        <w:t xml:space="preserve">transplants </w:t>
      </w:r>
      <w:r w:rsidR="006A33DF" w:rsidRPr="000C2C9D">
        <w:t>in the</w:t>
      </w:r>
      <w:r w:rsidR="004C2330">
        <w:t xml:space="preserve"> ADAR’s</w:t>
      </w:r>
      <w:r w:rsidR="006A33DF" w:rsidRPr="000C2C9D">
        <w:t xml:space="preserve"> spillover scenario remain</w:t>
      </w:r>
      <w:r w:rsidR="00536EDC">
        <w:t>ed</w:t>
      </w:r>
      <w:r w:rsidR="006A33DF" w:rsidRPr="000C2C9D">
        <w:t xml:space="preserve"> in the northeast quadrant ($</w:t>
      </w:r>
      <w:r w:rsidR="00604DDF" w:rsidRPr="009E2F9F">
        <w:rPr>
          <w:b/>
        </w:rPr>
        <w:t>redacted</w:t>
      </w:r>
      <w:r w:rsidR="006A33DF" w:rsidRPr="000C2C9D">
        <w:t xml:space="preserve">/QALY). </w:t>
      </w:r>
    </w:p>
    <w:p w14:paraId="20E1D607" w14:textId="3052D12B" w:rsidR="00E7160D" w:rsidRDefault="008B4985">
      <w:r w:rsidRPr="000C2C9D">
        <w:t>The</w:t>
      </w:r>
      <w:r w:rsidR="00413272" w:rsidRPr="000C2C9D">
        <w:t xml:space="preserve"> </w:t>
      </w:r>
      <w:r w:rsidR="00536EDC">
        <w:t xml:space="preserve">ADAR’s </w:t>
      </w:r>
      <w:r w:rsidR="00413272" w:rsidRPr="000C2C9D">
        <w:t xml:space="preserve">spillover model </w:t>
      </w:r>
      <w:r w:rsidR="006A33DF" w:rsidRPr="000C2C9D">
        <w:t>adjusted</w:t>
      </w:r>
      <w:r w:rsidR="00413272" w:rsidRPr="000C2C9D">
        <w:t xml:space="preserve"> for the displacement effects on non-HS patients </w:t>
      </w:r>
      <w:r w:rsidRPr="000C2C9D">
        <w:t xml:space="preserve">by omitting both </w:t>
      </w:r>
      <w:r w:rsidR="000732C1">
        <w:t>transplant</w:t>
      </w:r>
      <w:r w:rsidRPr="0031404E">
        <w:t xml:space="preserve"> costs and dia</w:t>
      </w:r>
      <w:r w:rsidRPr="000C2C9D">
        <w:t>lysis cost offsets</w:t>
      </w:r>
      <w:r w:rsidR="00F35381" w:rsidRPr="000C2C9D">
        <w:t xml:space="preserve"> for DD kidney recipients</w:t>
      </w:r>
      <w:r w:rsidRPr="000C2C9D">
        <w:t xml:space="preserve"> </w:t>
      </w:r>
      <w:r w:rsidR="00E67C59">
        <w:t>while</w:t>
      </w:r>
      <w:r w:rsidRPr="000C2C9D">
        <w:t xml:space="preserve"> including additional costs of administering imlifidase</w:t>
      </w:r>
      <w:r w:rsidR="00E67C59">
        <w:t>; h</w:t>
      </w:r>
      <w:r w:rsidR="00B814A6">
        <w:t xml:space="preserve">owever, </w:t>
      </w:r>
      <w:r w:rsidR="00466300">
        <w:t>the impact</w:t>
      </w:r>
      <w:r w:rsidR="002103E3">
        <w:t xml:space="preserve"> </w:t>
      </w:r>
      <w:r w:rsidR="00A576C0">
        <w:t>on</w:t>
      </w:r>
      <w:r w:rsidR="00466300">
        <w:t xml:space="preserve"> </w:t>
      </w:r>
      <w:r w:rsidR="00B814A6">
        <w:t>h</w:t>
      </w:r>
      <w:r w:rsidR="00A72755">
        <w:t>ealth</w:t>
      </w:r>
      <w:r w:rsidR="00D73843" w:rsidRPr="000C2C9D">
        <w:t xml:space="preserve"> outcomes </w:t>
      </w:r>
      <w:r w:rsidR="002103E3">
        <w:t>of</w:t>
      </w:r>
      <w:r w:rsidR="00D73843" w:rsidRPr="000C2C9D">
        <w:t xml:space="preserve"> allocati</w:t>
      </w:r>
      <w:r w:rsidR="005A1C9F">
        <w:t>ng</w:t>
      </w:r>
      <w:r w:rsidR="00D73843" w:rsidRPr="000C2C9D">
        <w:t xml:space="preserve"> </w:t>
      </w:r>
      <w:r w:rsidR="00462A78">
        <w:t>a DD</w:t>
      </w:r>
      <w:r w:rsidR="00D73843" w:rsidRPr="000C2C9D">
        <w:t xml:space="preserve"> kidney to a</w:t>
      </w:r>
      <w:r w:rsidR="00AA3EE4">
        <w:t>n</w:t>
      </w:r>
      <w:r w:rsidR="00D73843" w:rsidRPr="000C2C9D">
        <w:t xml:space="preserve"> HS patient over a non-HS patient </w:t>
      </w:r>
      <w:r w:rsidR="00462A78">
        <w:t>was</w:t>
      </w:r>
      <w:r w:rsidR="00B128B0">
        <w:t xml:space="preserve"> not </w:t>
      </w:r>
      <w:r w:rsidR="00E21A67">
        <w:t xml:space="preserve">captured in the </w:t>
      </w:r>
      <w:r w:rsidR="00EE1A6F">
        <w:t xml:space="preserve">ADAR’s </w:t>
      </w:r>
      <w:r w:rsidR="00E21A67">
        <w:t>spillover scenario</w:t>
      </w:r>
      <w:r w:rsidR="00B128B0">
        <w:t xml:space="preserve">. </w:t>
      </w:r>
      <w:r w:rsidR="00974D34">
        <w:t xml:space="preserve">While </w:t>
      </w:r>
      <w:r w:rsidR="00D73843" w:rsidRPr="000C2C9D">
        <w:t xml:space="preserve">HS patients could be </w:t>
      </w:r>
      <w:r w:rsidR="00D73843" w:rsidRPr="0046142F">
        <w:t xml:space="preserve">expected to have </w:t>
      </w:r>
      <w:r w:rsidR="00BB2598" w:rsidRPr="0046142F">
        <w:t>inferior</w:t>
      </w:r>
      <w:r w:rsidR="00D73843" w:rsidRPr="0046142F">
        <w:t xml:space="preserve"> health outcomes </w:t>
      </w:r>
      <w:r w:rsidR="009F2960" w:rsidRPr="0046142F">
        <w:t>relative</w:t>
      </w:r>
      <w:r w:rsidR="00BB2598" w:rsidRPr="0046142F">
        <w:t xml:space="preserve"> to non-</w:t>
      </w:r>
      <w:r w:rsidR="00D73843" w:rsidRPr="0046142F">
        <w:t>HS patients</w:t>
      </w:r>
      <w:r w:rsidR="00BB2598" w:rsidRPr="0046142F">
        <w:t xml:space="preserve"> (thus, MSAC’s expectation for an ICER in the </w:t>
      </w:r>
      <w:r w:rsidR="00BB2598" w:rsidRPr="009E2F9F">
        <w:t>northwest</w:t>
      </w:r>
      <w:r w:rsidR="00BB2598" w:rsidRPr="0046142F">
        <w:t xml:space="preserve"> quadrant)</w:t>
      </w:r>
      <w:r w:rsidR="00E97991" w:rsidRPr="0046142F">
        <w:t xml:space="preserve">, the ADAR’s spillover scenario </w:t>
      </w:r>
      <w:r w:rsidR="00B814A6" w:rsidRPr="0046142F">
        <w:t>did</w:t>
      </w:r>
      <w:r w:rsidR="00E97991" w:rsidRPr="0046142F">
        <w:t xml:space="preserve"> not account for </w:t>
      </w:r>
      <w:r w:rsidR="00007C25" w:rsidRPr="0046142F">
        <w:t xml:space="preserve">this </w:t>
      </w:r>
      <w:r w:rsidR="00C45ED9" w:rsidRPr="0046142F">
        <w:t xml:space="preserve">negative </w:t>
      </w:r>
      <w:r w:rsidR="00E85044" w:rsidRPr="0046142F">
        <w:t xml:space="preserve">spillover </w:t>
      </w:r>
      <w:r w:rsidR="008A5233" w:rsidRPr="0046142F">
        <w:t xml:space="preserve">and </w:t>
      </w:r>
      <w:r w:rsidR="004E1DAB" w:rsidRPr="0046142F">
        <w:t xml:space="preserve">the </w:t>
      </w:r>
      <w:r w:rsidR="000C2C9D" w:rsidRPr="0046142F">
        <w:t>ICER</w:t>
      </w:r>
      <w:r w:rsidR="000C2C9D" w:rsidRPr="000C2C9D">
        <w:t xml:space="preserve"> remain</w:t>
      </w:r>
      <w:r w:rsidR="00B814A6">
        <w:t>ed</w:t>
      </w:r>
      <w:r w:rsidR="000C2C9D" w:rsidRPr="000C2C9D">
        <w:t xml:space="preserve"> in the northeast quadrant.</w:t>
      </w:r>
    </w:p>
    <w:p w14:paraId="55B9EDAE" w14:textId="58B372F3" w:rsidR="007F5833" w:rsidRPr="00A12A41" w:rsidRDefault="00A12A41" w:rsidP="00527717">
      <w:r>
        <w:t xml:space="preserve">For LD transplants, MSAC suggested </w:t>
      </w:r>
      <w:r w:rsidR="009E1965">
        <w:t xml:space="preserve">(1732 PSD) </w:t>
      </w:r>
      <w:r w:rsidR="00A570B5">
        <w:t>th</w:t>
      </w:r>
      <w:r w:rsidR="00BB3C1F">
        <w:t xml:space="preserve">e ICER is likely to be in the northeast </w:t>
      </w:r>
      <w:r w:rsidR="009E1965">
        <w:t xml:space="preserve">quadrant (i.e. </w:t>
      </w:r>
      <w:r w:rsidR="00544863" w:rsidRPr="00544863">
        <w:t>more effective in health outcomes but also more expensive</w:t>
      </w:r>
      <w:r w:rsidR="00544863">
        <w:t xml:space="preserve">). </w:t>
      </w:r>
      <w:r w:rsidR="007621C8">
        <w:t xml:space="preserve">In the ADAR’s model, this was observed under base case assumptions (i.e. </w:t>
      </w:r>
      <w:r w:rsidR="00CD3E30">
        <w:t>when no</w:t>
      </w:r>
      <w:r w:rsidR="002863E6">
        <w:t xml:space="preserve"> </w:t>
      </w:r>
      <w:r w:rsidR="00E85044">
        <w:t>spillovers</w:t>
      </w:r>
      <w:r w:rsidR="00892FB2">
        <w:t xml:space="preserve"> included</w:t>
      </w:r>
      <w:r w:rsidR="00F762FB">
        <w:t>)</w:t>
      </w:r>
      <w:r w:rsidR="00F57852">
        <w:t xml:space="preserve"> </w:t>
      </w:r>
      <w:r w:rsidR="00F762FB">
        <w:t>(</w:t>
      </w:r>
      <w:r w:rsidR="00F57852">
        <w:t>ICER: $</w:t>
      </w:r>
      <w:r w:rsidR="007E4204" w:rsidRPr="009E2F9F">
        <w:rPr>
          <w:b/>
        </w:rPr>
        <w:t>redacted</w:t>
      </w:r>
      <w:r w:rsidR="00F57852">
        <w:t>/QALY</w:t>
      </w:r>
      <w:r w:rsidR="00632A17">
        <w:t>)</w:t>
      </w:r>
      <w:r w:rsidR="00282C64">
        <w:t>; h</w:t>
      </w:r>
      <w:r w:rsidR="00632A17">
        <w:t xml:space="preserve">owever, </w:t>
      </w:r>
      <w:r w:rsidR="00715784">
        <w:t xml:space="preserve">when </w:t>
      </w:r>
      <w:r w:rsidR="00B21CE6">
        <w:t>potential</w:t>
      </w:r>
      <w:r w:rsidR="00715784">
        <w:t xml:space="preserve"> positive </w:t>
      </w:r>
      <w:r w:rsidR="00E85044">
        <w:t>spillovers</w:t>
      </w:r>
      <w:r w:rsidR="00715784">
        <w:t xml:space="preserve"> associated with completed LD kidney donation chains</w:t>
      </w:r>
      <w:r w:rsidR="00B21CE6">
        <w:t xml:space="preserve"> were included,</w:t>
      </w:r>
      <w:r w:rsidR="00F57852">
        <w:t xml:space="preserve"> imlifidase </w:t>
      </w:r>
      <w:r w:rsidR="00B21CE6">
        <w:t>was shown to be dominant for LD transplants (</w:t>
      </w:r>
      <w:r w:rsidR="00B21CE6">
        <w:fldChar w:fldCharType="begin"/>
      </w:r>
      <w:r w:rsidR="00B21CE6">
        <w:instrText xml:space="preserve"> REF _Ref163648660 \h </w:instrText>
      </w:r>
      <w:r w:rsidR="00B21CE6">
        <w:fldChar w:fldCharType="separate"/>
      </w:r>
      <w:r w:rsidR="0073355E">
        <w:t xml:space="preserve">Table </w:t>
      </w:r>
      <w:r w:rsidR="0073355E">
        <w:rPr>
          <w:noProof/>
        </w:rPr>
        <w:t>9</w:t>
      </w:r>
      <w:r w:rsidR="00B21CE6">
        <w:fldChar w:fldCharType="end"/>
      </w:r>
      <w:r w:rsidR="00B21CE6">
        <w:t>).</w:t>
      </w:r>
      <w:r w:rsidR="00442522">
        <w:t xml:space="preserve"> The commentary notes significant uncertainty surrounding the </w:t>
      </w:r>
      <w:r w:rsidR="00442522" w:rsidRPr="00442522">
        <w:t>inclusion of spillover population benefits associated with completing LD chains</w:t>
      </w:r>
      <w:r w:rsidR="007B1708">
        <w:t xml:space="preserve">, </w:t>
      </w:r>
      <w:r w:rsidR="00C1044C">
        <w:t xml:space="preserve">in </w:t>
      </w:r>
      <w:r w:rsidR="007B1708" w:rsidRPr="007B1708">
        <w:t xml:space="preserve">particular </w:t>
      </w:r>
      <w:proofErr w:type="gramStart"/>
      <w:r w:rsidR="007B1708" w:rsidRPr="007B1708">
        <w:t>with regard to</w:t>
      </w:r>
      <w:proofErr w:type="gramEnd"/>
      <w:r w:rsidR="007B1708" w:rsidRPr="007B1708">
        <w:t xml:space="preserve"> the number of imlifidase patients entering donation chains, and the number of co-transplants enabled by the completion of each chain</w:t>
      </w:r>
      <w:r w:rsidR="007B1708">
        <w:t xml:space="preserve"> (</w:t>
      </w:r>
      <w:r w:rsidR="00DC7EB1">
        <w:t xml:space="preserve">further </w:t>
      </w:r>
      <w:r w:rsidR="007B1708">
        <w:t>discussed below)</w:t>
      </w:r>
      <w:r w:rsidR="00442522">
        <w:t>.</w:t>
      </w:r>
    </w:p>
    <w:p w14:paraId="183D86AA" w14:textId="63E7C3F3" w:rsidR="00AD2029" w:rsidRPr="00CE28E3" w:rsidDel="008811EE" w:rsidRDefault="000855C0" w:rsidP="00C12E06">
      <w:r w:rsidRPr="00DB1943">
        <w:t>The results of key sensitivity analyses are summarised below</w:t>
      </w:r>
      <w:r w:rsidR="00AD2029">
        <w:t xml:space="preserve"> (</w:t>
      </w:r>
      <w:r w:rsidR="00DF5FAF">
        <w:t>Table 11</w:t>
      </w:r>
      <w:r w:rsidR="00C12E06">
        <w:t>).</w:t>
      </w:r>
      <w:r w:rsidR="00214CA5">
        <w:t xml:space="preserve"> </w:t>
      </w:r>
    </w:p>
    <w:p w14:paraId="467B85B5" w14:textId="7F2F3DDF" w:rsidR="008811EE" w:rsidRDefault="008811EE" w:rsidP="00C12E06">
      <w:pPr>
        <w:pStyle w:val="Caption"/>
      </w:pPr>
      <w:bookmarkStart w:id="42" w:name="_Ref163648718"/>
      <w:r>
        <w:t xml:space="preserve">Table </w:t>
      </w:r>
      <w:bookmarkEnd w:id="42"/>
      <w:r w:rsidR="00DF5FAF">
        <w:t xml:space="preserve">11 </w:t>
      </w:r>
      <w:r w:rsidRPr="00DC0D50">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275"/>
        <w:gridCol w:w="1275"/>
        <w:gridCol w:w="1134"/>
        <w:gridCol w:w="1084"/>
      </w:tblGrid>
      <w:tr w:rsidR="005210CD" w:rsidRPr="00AE4709" w14:paraId="3D3BAF2B" w14:textId="77777777" w:rsidTr="005210CD">
        <w:trPr>
          <w:cantSplit/>
          <w:trHeight w:val="420"/>
          <w:tblHeader/>
        </w:trPr>
        <w:tc>
          <w:tcPr>
            <w:tcW w:w="2356" w:type="pct"/>
            <w:vAlign w:val="center"/>
          </w:tcPr>
          <w:p w14:paraId="0B63F05E" w14:textId="77777777" w:rsidR="00AD2029" w:rsidRPr="008C77DF" w:rsidRDefault="00AD2029" w:rsidP="00AE4709">
            <w:pPr>
              <w:pStyle w:val="TableText"/>
              <w:rPr>
                <w:b/>
                <w:bCs/>
              </w:rPr>
            </w:pPr>
            <w:r w:rsidRPr="008C77DF">
              <w:rPr>
                <w:b/>
                <w:bCs/>
              </w:rPr>
              <w:t>Analyses</w:t>
            </w:r>
          </w:p>
        </w:tc>
        <w:tc>
          <w:tcPr>
            <w:tcW w:w="707" w:type="pct"/>
            <w:vAlign w:val="center"/>
          </w:tcPr>
          <w:p w14:paraId="1408FA00" w14:textId="24B29FE0" w:rsidR="00AD2029" w:rsidRPr="008C77DF" w:rsidRDefault="00AD2029" w:rsidP="00AE4709">
            <w:pPr>
              <w:pStyle w:val="TableText"/>
              <w:rPr>
                <w:b/>
                <w:bCs/>
              </w:rPr>
            </w:pPr>
            <w:r w:rsidRPr="008C77DF">
              <w:rPr>
                <w:b/>
                <w:bCs/>
              </w:rPr>
              <w:t xml:space="preserve">Incremental </w:t>
            </w:r>
            <w:r w:rsidR="00087BF4" w:rsidRPr="008C77DF">
              <w:rPr>
                <w:b/>
                <w:bCs/>
              </w:rPr>
              <w:t>cost</w:t>
            </w:r>
            <w:r w:rsidR="007A7F5E" w:rsidRPr="008C77DF">
              <w:rPr>
                <w:b/>
                <w:bCs/>
              </w:rPr>
              <w:t xml:space="preserve"> ($)</w:t>
            </w:r>
          </w:p>
        </w:tc>
        <w:tc>
          <w:tcPr>
            <w:tcW w:w="707" w:type="pct"/>
            <w:vAlign w:val="center"/>
          </w:tcPr>
          <w:p w14:paraId="376BA027" w14:textId="77777777" w:rsidR="00AD2029" w:rsidRPr="008C77DF" w:rsidRDefault="00AD2029" w:rsidP="00AE4709">
            <w:pPr>
              <w:pStyle w:val="TableText"/>
              <w:rPr>
                <w:b/>
                <w:bCs/>
              </w:rPr>
            </w:pPr>
            <w:r w:rsidRPr="008C77DF">
              <w:rPr>
                <w:b/>
                <w:bCs/>
              </w:rPr>
              <w:t>Incremental QALY</w:t>
            </w:r>
          </w:p>
        </w:tc>
        <w:tc>
          <w:tcPr>
            <w:tcW w:w="629" w:type="pct"/>
            <w:vAlign w:val="center"/>
          </w:tcPr>
          <w:p w14:paraId="36EBBCF4" w14:textId="4F15F473" w:rsidR="00AD2029" w:rsidRPr="008C77DF" w:rsidRDefault="00AD2029" w:rsidP="00AE4709">
            <w:pPr>
              <w:pStyle w:val="TableText"/>
              <w:rPr>
                <w:b/>
                <w:bCs/>
              </w:rPr>
            </w:pPr>
            <w:r w:rsidRPr="008C77DF">
              <w:rPr>
                <w:b/>
                <w:bCs/>
              </w:rPr>
              <w:t>ICER</w:t>
            </w:r>
            <w:r w:rsidR="007A7F5E" w:rsidRPr="008C77DF">
              <w:rPr>
                <w:b/>
                <w:bCs/>
              </w:rPr>
              <w:t xml:space="preserve"> ($ per QALY)</w:t>
            </w:r>
          </w:p>
        </w:tc>
        <w:tc>
          <w:tcPr>
            <w:tcW w:w="601" w:type="pct"/>
            <w:vAlign w:val="center"/>
          </w:tcPr>
          <w:p w14:paraId="0CBCACBE" w14:textId="56D1B099" w:rsidR="00AD2029" w:rsidRPr="008C77DF" w:rsidRDefault="00AE4709" w:rsidP="00AE4709">
            <w:pPr>
              <w:pStyle w:val="TableText"/>
              <w:rPr>
                <w:b/>
                <w:bCs/>
              </w:rPr>
            </w:pPr>
            <w:r w:rsidRPr="008C77DF">
              <w:rPr>
                <w:b/>
                <w:bCs/>
              </w:rPr>
              <w:t>ICER (%)</w:t>
            </w:r>
          </w:p>
        </w:tc>
      </w:tr>
      <w:tr w:rsidR="00AD2029" w:rsidRPr="00AE4709" w14:paraId="77B7C2C9" w14:textId="77777777" w:rsidTr="005210CD">
        <w:trPr>
          <w:cantSplit/>
        </w:trPr>
        <w:tc>
          <w:tcPr>
            <w:tcW w:w="2356" w:type="pct"/>
          </w:tcPr>
          <w:p w14:paraId="35BBDCAA" w14:textId="77777777" w:rsidR="00AD2029" w:rsidRPr="008C77DF" w:rsidRDefault="00AD2029">
            <w:pPr>
              <w:pStyle w:val="TableText"/>
              <w:rPr>
                <w:b/>
              </w:rPr>
            </w:pPr>
            <w:r w:rsidRPr="008C77DF">
              <w:rPr>
                <w:b/>
              </w:rPr>
              <w:t>Base case</w:t>
            </w:r>
          </w:p>
        </w:tc>
        <w:tc>
          <w:tcPr>
            <w:tcW w:w="707" w:type="pct"/>
          </w:tcPr>
          <w:p w14:paraId="030D29A6" w14:textId="774DB2E9" w:rsidR="00AD2029" w:rsidRPr="009E2F9F" w:rsidRDefault="007E4204">
            <w:pPr>
              <w:pStyle w:val="TableText"/>
              <w:rPr>
                <w:b/>
              </w:rPr>
            </w:pPr>
            <w:r w:rsidRPr="009E2F9F">
              <w:rPr>
                <w:b/>
              </w:rPr>
              <w:t>redacted</w:t>
            </w:r>
          </w:p>
        </w:tc>
        <w:tc>
          <w:tcPr>
            <w:tcW w:w="707" w:type="pct"/>
          </w:tcPr>
          <w:p w14:paraId="2B036826" w14:textId="1AD366A9" w:rsidR="00AD2029" w:rsidRPr="009E2F9F" w:rsidRDefault="00AE4709">
            <w:pPr>
              <w:pStyle w:val="TableText"/>
              <w:rPr>
                <w:bCs/>
              </w:rPr>
            </w:pPr>
            <w:r w:rsidRPr="009E2F9F">
              <w:rPr>
                <w:rFonts w:eastAsia="Calibri"/>
                <w:bCs/>
                <w:szCs w:val="20"/>
              </w:rPr>
              <w:t>2.26</w:t>
            </w:r>
          </w:p>
        </w:tc>
        <w:tc>
          <w:tcPr>
            <w:tcW w:w="629" w:type="pct"/>
          </w:tcPr>
          <w:p w14:paraId="3CBF3F0B" w14:textId="7AD57E4A" w:rsidR="00AD2029" w:rsidRPr="009E2F9F" w:rsidRDefault="007E4204">
            <w:pPr>
              <w:pStyle w:val="TableText"/>
              <w:rPr>
                <w:b/>
              </w:rPr>
            </w:pPr>
            <w:r w:rsidRPr="009E2F9F">
              <w:rPr>
                <w:b/>
              </w:rPr>
              <w:t>redacted</w:t>
            </w:r>
          </w:p>
        </w:tc>
        <w:tc>
          <w:tcPr>
            <w:tcW w:w="601" w:type="pct"/>
          </w:tcPr>
          <w:p w14:paraId="0FE24D2F" w14:textId="72714FD8" w:rsidR="00AD2029" w:rsidRPr="009E2F9F" w:rsidRDefault="00AE4709">
            <w:pPr>
              <w:pStyle w:val="TableText"/>
              <w:rPr>
                <w:rFonts w:eastAsia="Calibri"/>
                <w:bCs/>
                <w:szCs w:val="20"/>
              </w:rPr>
            </w:pPr>
            <w:r w:rsidRPr="009E2F9F">
              <w:rPr>
                <w:rFonts w:eastAsia="Calibri"/>
                <w:bCs/>
                <w:szCs w:val="20"/>
              </w:rPr>
              <w:t>NA</w:t>
            </w:r>
          </w:p>
        </w:tc>
      </w:tr>
      <w:tr w:rsidR="00AD2029" w:rsidRPr="00CE28E3" w14:paraId="0817F7C6" w14:textId="77777777" w:rsidTr="005210CD">
        <w:trPr>
          <w:cantSplit/>
        </w:trPr>
        <w:tc>
          <w:tcPr>
            <w:tcW w:w="4399" w:type="pct"/>
            <w:gridSpan w:val="4"/>
          </w:tcPr>
          <w:p w14:paraId="5FB89A7E" w14:textId="1F22211F" w:rsidR="00AD2029" w:rsidRPr="008C77DF" w:rsidRDefault="00AD2029">
            <w:pPr>
              <w:pStyle w:val="TableText"/>
              <w:rPr>
                <w:b/>
                <w:bCs/>
              </w:rPr>
            </w:pPr>
            <w:r w:rsidRPr="008C77DF">
              <w:rPr>
                <w:b/>
                <w:bCs/>
              </w:rPr>
              <w:t xml:space="preserve">Time horizon (base case: </w:t>
            </w:r>
            <w:r w:rsidR="001125DF" w:rsidRPr="008C77DF">
              <w:rPr>
                <w:b/>
                <w:bCs/>
              </w:rPr>
              <w:t>lifetime</w:t>
            </w:r>
            <w:r w:rsidRPr="008C77DF">
              <w:rPr>
                <w:b/>
                <w:bCs/>
              </w:rPr>
              <w:t>)</w:t>
            </w:r>
          </w:p>
        </w:tc>
        <w:tc>
          <w:tcPr>
            <w:tcW w:w="601" w:type="pct"/>
          </w:tcPr>
          <w:p w14:paraId="480BCF2E" w14:textId="77777777" w:rsidR="00AD2029" w:rsidRPr="008C77DF" w:rsidRDefault="00AD2029">
            <w:pPr>
              <w:pStyle w:val="TableText"/>
            </w:pPr>
          </w:p>
        </w:tc>
      </w:tr>
      <w:tr w:rsidR="00AD2029" w:rsidRPr="00CE28E3" w14:paraId="2C6D3B94" w14:textId="77777777" w:rsidTr="005210CD">
        <w:trPr>
          <w:cantSplit/>
        </w:trPr>
        <w:tc>
          <w:tcPr>
            <w:tcW w:w="2356" w:type="pct"/>
          </w:tcPr>
          <w:p w14:paraId="1A89152A" w14:textId="77777777" w:rsidR="00AD2029" w:rsidRPr="008C77DF" w:rsidRDefault="00AD2029">
            <w:pPr>
              <w:pStyle w:val="TableText"/>
            </w:pPr>
            <w:r w:rsidRPr="008C77DF">
              <w:t>10 years</w:t>
            </w:r>
          </w:p>
        </w:tc>
        <w:tc>
          <w:tcPr>
            <w:tcW w:w="707" w:type="pct"/>
          </w:tcPr>
          <w:p w14:paraId="17FDA282" w14:textId="6B5AE194" w:rsidR="00AD2029" w:rsidRPr="009E2F9F" w:rsidRDefault="007E4204">
            <w:pPr>
              <w:pStyle w:val="TableText"/>
              <w:rPr>
                <w:b/>
              </w:rPr>
            </w:pPr>
            <w:r w:rsidRPr="009E2F9F">
              <w:rPr>
                <w:b/>
              </w:rPr>
              <w:t>redacted</w:t>
            </w:r>
          </w:p>
        </w:tc>
        <w:tc>
          <w:tcPr>
            <w:tcW w:w="707" w:type="pct"/>
          </w:tcPr>
          <w:p w14:paraId="78501C2E" w14:textId="77777777" w:rsidR="00AD2029" w:rsidRPr="009E2F9F" w:rsidRDefault="00AD2029">
            <w:pPr>
              <w:pStyle w:val="TableText"/>
            </w:pPr>
            <w:r w:rsidRPr="009E2F9F">
              <w:rPr>
                <w:rFonts w:eastAsia="Calibri"/>
                <w:szCs w:val="20"/>
              </w:rPr>
              <w:t>1.21</w:t>
            </w:r>
          </w:p>
        </w:tc>
        <w:tc>
          <w:tcPr>
            <w:tcW w:w="629" w:type="pct"/>
          </w:tcPr>
          <w:p w14:paraId="34561170" w14:textId="188CDEFB" w:rsidR="00AD2029" w:rsidRPr="009E2F9F" w:rsidRDefault="007E4204">
            <w:pPr>
              <w:pStyle w:val="TableText"/>
              <w:rPr>
                <w:b/>
              </w:rPr>
            </w:pPr>
            <w:r w:rsidRPr="009E2F9F">
              <w:rPr>
                <w:b/>
              </w:rPr>
              <w:t>redacted</w:t>
            </w:r>
          </w:p>
        </w:tc>
        <w:tc>
          <w:tcPr>
            <w:tcW w:w="601" w:type="pct"/>
          </w:tcPr>
          <w:p w14:paraId="64E7D1EC" w14:textId="0EDEBC0D" w:rsidR="00AD2029" w:rsidRPr="009E2F9F" w:rsidRDefault="00AD2029">
            <w:pPr>
              <w:pStyle w:val="TableText"/>
              <w:rPr>
                <w:rFonts w:eastAsia="Calibri"/>
                <w:szCs w:val="20"/>
              </w:rPr>
            </w:pPr>
            <w:r w:rsidRPr="009E2F9F">
              <w:rPr>
                <w:rFonts w:eastAsia="Calibri"/>
                <w:szCs w:val="20"/>
              </w:rPr>
              <w:t>+214</w:t>
            </w:r>
            <w:r w:rsidR="00194C39" w:rsidRPr="009E2F9F">
              <w:rPr>
                <w:rFonts w:eastAsia="Calibri"/>
                <w:szCs w:val="20"/>
              </w:rPr>
              <w:t>.4</w:t>
            </w:r>
            <w:r w:rsidRPr="009E2F9F">
              <w:rPr>
                <w:rFonts w:eastAsia="Calibri"/>
                <w:szCs w:val="20"/>
              </w:rPr>
              <w:t>%</w:t>
            </w:r>
          </w:p>
        </w:tc>
      </w:tr>
      <w:tr w:rsidR="00AD2029" w:rsidRPr="00CE28E3" w14:paraId="6E7A39C2" w14:textId="77777777" w:rsidTr="005210CD">
        <w:trPr>
          <w:cantSplit/>
          <w:trHeight w:val="283"/>
        </w:trPr>
        <w:tc>
          <w:tcPr>
            <w:tcW w:w="2356" w:type="pct"/>
            <w:tcBorders>
              <w:bottom w:val="single" w:sz="4" w:space="0" w:color="auto"/>
            </w:tcBorders>
          </w:tcPr>
          <w:p w14:paraId="7593655E" w14:textId="77777777" w:rsidR="00AD2029" w:rsidRPr="008C77DF" w:rsidRDefault="00AD2029">
            <w:pPr>
              <w:pStyle w:val="TableText"/>
            </w:pPr>
            <w:r w:rsidRPr="008C77DF">
              <w:t>20 years</w:t>
            </w:r>
          </w:p>
        </w:tc>
        <w:tc>
          <w:tcPr>
            <w:tcW w:w="707" w:type="pct"/>
            <w:tcBorders>
              <w:bottom w:val="single" w:sz="4" w:space="0" w:color="auto"/>
            </w:tcBorders>
          </w:tcPr>
          <w:p w14:paraId="32A4C7BA" w14:textId="6F531288" w:rsidR="00AD2029" w:rsidRPr="009E2F9F" w:rsidRDefault="007E4204">
            <w:pPr>
              <w:pStyle w:val="TableText"/>
              <w:rPr>
                <w:b/>
              </w:rPr>
            </w:pPr>
            <w:r w:rsidRPr="009E2F9F">
              <w:rPr>
                <w:b/>
              </w:rPr>
              <w:t>redacted</w:t>
            </w:r>
          </w:p>
        </w:tc>
        <w:tc>
          <w:tcPr>
            <w:tcW w:w="707" w:type="pct"/>
            <w:tcBorders>
              <w:bottom w:val="single" w:sz="4" w:space="0" w:color="auto"/>
            </w:tcBorders>
          </w:tcPr>
          <w:p w14:paraId="768EF8B8" w14:textId="28D1A85B" w:rsidR="00AD2029" w:rsidRPr="009E2F9F" w:rsidRDefault="00194C39">
            <w:pPr>
              <w:pStyle w:val="TableText"/>
            </w:pPr>
            <w:r w:rsidRPr="009E2F9F">
              <w:rPr>
                <w:rFonts w:eastAsia="Calibri"/>
                <w:szCs w:val="20"/>
              </w:rPr>
              <w:t>1.84</w:t>
            </w:r>
          </w:p>
        </w:tc>
        <w:tc>
          <w:tcPr>
            <w:tcW w:w="629" w:type="pct"/>
            <w:tcBorders>
              <w:bottom w:val="single" w:sz="4" w:space="0" w:color="auto"/>
            </w:tcBorders>
          </w:tcPr>
          <w:p w14:paraId="65E895FD" w14:textId="60FAD2F5" w:rsidR="00AD2029" w:rsidRPr="009E2F9F" w:rsidRDefault="007E4204">
            <w:pPr>
              <w:pStyle w:val="TableText"/>
              <w:rPr>
                <w:b/>
              </w:rPr>
            </w:pPr>
            <w:r w:rsidRPr="009E2F9F">
              <w:rPr>
                <w:b/>
              </w:rPr>
              <w:t>redacted</w:t>
            </w:r>
          </w:p>
        </w:tc>
        <w:tc>
          <w:tcPr>
            <w:tcW w:w="601" w:type="pct"/>
            <w:tcBorders>
              <w:bottom w:val="single" w:sz="4" w:space="0" w:color="auto"/>
            </w:tcBorders>
          </w:tcPr>
          <w:p w14:paraId="26CF0186" w14:textId="4BEFDE8C" w:rsidR="00AD2029" w:rsidRPr="009E2F9F" w:rsidRDefault="00194C39">
            <w:pPr>
              <w:pStyle w:val="TableText"/>
              <w:rPr>
                <w:rFonts w:eastAsia="Calibri"/>
                <w:szCs w:val="20"/>
              </w:rPr>
            </w:pPr>
            <w:r w:rsidRPr="009E2F9F">
              <w:rPr>
                <w:rFonts w:eastAsia="Calibri"/>
                <w:szCs w:val="20"/>
              </w:rPr>
              <w:t>+23.5%</w:t>
            </w:r>
          </w:p>
        </w:tc>
      </w:tr>
      <w:tr w:rsidR="00653D68" w:rsidRPr="00CE28E3" w14:paraId="0DF19C1E" w14:textId="77777777" w:rsidTr="005210CD">
        <w:trPr>
          <w:cantSplit/>
          <w:trHeight w:val="283"/>
        </w:trPr>
        <w:tc>
          <w:tcPr>
            <w:tcW w:w="2356" w:type="pct"/>
            <w:tcBorders>
              <w:right w:val="nil"/>
            </w:tcBorders>
          </w:tcPr>
          <w:p w14:paraId="3B7892C2" w14:textId="146F2C07" w:rsidR="00653D68" w:rsidRPr="008C77DF" w:rsidRDefault="00653D68">
            <w:pPr>
              <w:pStyle w:val="TableText"/>
              <w:rPr>
                <w:b/>
                <w:bCs/>
              </w:rPr>
            </w:pPr>
            <w:r w:rsidRPr="008C77DF">
              <w:rPr>
                <w:b/>
                <w:bCs/>
              </w:rPr>
              <w:t>Discount rate (base case: 5% p.a.)</w:t>
            </w:r>
          </w:p>
        </w:tc>
        <w:tc>
          <w:tcPr>
            <w:tcW w:w="707" w:type="pct"/>
            <w:tcBorders>
              <w:left w:val="nil"/>
              <w:right w:val="nil"/>
            </w:tcBorders>
          </w:tcPr>
          <w:p w14:paraId="1BA2F2B9" w14:textId="77777777" w:rsidR="00653D68" w:rsidRPr="009E2F9F" w:rsidRDefault="00653D68">
            <w:pPr>
              <w:pStyle w:val="TableText"/>
              <w:rPr>
                <w:rFonts w:eastAsia="Calibri"/>
                <w:b/>
                <w:szCs w:val="20"/>
              </w:rPr>
            </w:pPr>
          </w:p>
        </w:tc>
        <w:tc>
          <w:tcPr>
            <w:tcW w:w="707" w:type="pct"/>
            <w:tcBorders>
              <w:left w:val="nil"/>
              <w:right w:val="nil"/>
            </w:tcBorders>
          </w:tcPr>
          <w:p w14:paraId="5546594E" w14:textId="77777777" w:rsidR="00653D68" w:rsidRPr="008C77DF" w:rsidRDefault="00653D68">
            <w:pPr>
              <w:pStyle w:val="TableText"/>
              <w:rPr>
                <w:rFonts w:eastAsia="Calibri"/>
                <w:szCs w:val="20"/>
              </w:rPr>
            </w:pPr>
          </w:p>
        </w:tc>
        <w:tc>
          <w:tcPr>
            <w:tcW w:w="629" w:type="pct"/>
            <w:tcBorders>
              <w:left w:val="nil"/>
              <w:right w:val="nil"/>
            </w:tcBorders>
          </w:tcPr>
          <w:p w14:paraId="06DCE4B9" w14:textId="77777777" w:rsidR="00653D68" w:rsidRPr="009E2F9F" w:rsidRDefault="00653D68">
            <w:pPr>
              <w:pStyle w:val="TableText"/>
              <w:rPr>
                <w:rFonts w:eastAsia="Calibri"/>
                <w:b/>
                <w:szCs w:val="20"/>
              </w:rPr>
            </w:pPr>
          </w:p>
        </w:tc>
        <w:tc>
          <w:tcPr>
            <w:tcW w:w="601" w:type="pct"/>
            <w:tcBorders>
              <w:left w:val="nil"/>
            </w:tcBorders>
          </w:tcPr>
          <w:p w14:paraId="633F4973" w14:textId="77777777" w:rsidR="00653D68" w:rsidRPr="008C77DF" w:rsidRDefault="00653D68">
            <w:pPr>
              <w:pStyle w:val="TableText"/>
              <w:rPr>
                <w:rFonts w:eastAsia="Calibri"/>
                <w:szCs w:val="20"/>
              </w:rPr>
            </w:pPr>
          </w:p>
        </w:tc>
      </w:tr>
      <w:tr w:rsidR="00653D68" w:rsidRPr="00CE28E3" w14:paraId="68B9C3B0" w14:textId="77777777" w:rsidTr="005210CD">
        <w:trPr>
          <w:cantSplit/>
          <w:trHeight w:val="283"/>
        </w:trPr>
        <w:tc>
          <w:tcPr>
            <w:tcW w:w="2356" w:type="pct"/>
          </w:tcPr>
          <w:p w14:paraId="4C2D3E67" w14:textId="7356C667" w:rsidR="00653D68" w:rsidRPr="008C77DF" w:rsidRDefault="00653D68" w:rsidP="00653D68">
            <w:pPr>
              <w:pStyle w:val="TableText"/>
            </w:pPr>
            <w:r w:rsidRPr="009E2F9F">
              <w:t>3.5</w:t>
            </w:r>
            <w:r w:rsidRPr="008C77DF">
              <w:t>% p.a.</w:t>
            </w:r>
          </w:p>
        </w:tc>
        <w:tc>
          <w:tcPr>
            <w:tcW w:w="707" w:type="pct"/>
          </w:tcPr>
          <w:p w14:paraId="7EBFC6CA" w14:textId="117BDC0C" w:rsidR="00653D68" w:rsidRPr="009E2F9F" w:rsidRDefault="007E4204" w:rsidP="00653D68">
            <w:pPr>
              <w:pStyle w:val="TableText"/>
              <w:rPr>
                <w:rFonts w:eastAsia="Calibri"/>
                <w:b/>
                <w:szCs w:val="20"/>
              </w:rPr>
            </w:pPr>
            <w:r w:rsidRPr="009E2F9F">
              <w:rPr>
                <w:b/>
              </w:rPr>
              <w:t>redacted</w:t>
            </w:r>
          </w:p>
        </w:tc>
        <w:tc>
          <w:tcPr>
            <w:tcW w:w="707" w:type="pct"/>
          </w:tcPr>
          <w:p w14:paraId="1E3A22BB" w14:textId="25083FCE" w:rsidR="00653D68" w:rsidRPr="009E2F9F" w:rsidRDefault="00653D68" w:rsidP="00653D68">
            <w:pPr>
              <w:pStyle w:val="TableText"/>
              <w:rPr>
                <w:rFonts w:eastAsia="Calibri"/>
                <w:szCs w:val="20"/>
              </w:rPr>
            </w:pPr>
            <w:r w:rsidRPr="009E2F9F">
              <w:rPr>
                <w:rFonts w:eastAsia="Calibri"/>
                <w:szCs w:val="20"/>
              </w:rPr>
              <w:t>2.70</w:t>
            </w:r>
          </w:p>
        </w:tc>
        <w:tc>
          <w:tcPr>
            <w:tcW w:w="629" w:type="pct"/>
          </w:tcPr>
          <w:p w14:paraId="3753106A" w14:textId="57B56012" w:rsidR="00653D68" w:rsidRPr="009E2F9F" w:rsidRDefault="007E4204" w:rsidP="00653D68">
            <w:pPr>
              <w:pStyle w:val="TableText"/>
              <w:rPr>
                <w:rFonts w:eastAsia="Calibri"/>
                <w:b/>
                <w:szCs w:val="20"/>
              </w:rPr>
            </w:pPr>
            <w:r w:rsidRPr="009E2F9F">
              <w:rPr>
                <w:b/>
              </w:rPr>
              <w:t>redacted</w:t>
            </w:r>
          </w:p>
        </w:tc>
        <w:tc>
          <w:tcPr>
            <w:tcW w:w="601" w:type="pct"/>
          </w:tcPr>
          <w:p w14:paraId="08A979FE" w14:textId="2A600D20" w:rsidR="00653D68" w:rsidRPr="009E2F9F" w:rsidRDefault="00653D68" w:rsidP="00653D68">
            <w:pPr>
              <w:pStyle w:val="TableText"/>
              <w:rPr>
                <w:rFonts w:eastAsia="Calibri"/>
                <w:szCs w:val="20"/>
              </w:rPr>
            </w:pPr>
            <w:r w:rsidRPr="009E2F9F">
              <w:rPr>
                <w:rFonts w:eastAsia="Calibri"/>
                <w:szCs w:val="20"/>
              </w:rPr>
              <w:t>-50.1%</w:t>
            </w:r>
          </w:p>
        </w:tc>
      </w:tr>
      <w:tr w:rsidR="00653D68" w:rsidRPr="00CE28E3" w14:paraId="3E72BF46" w14:textId="77777777" w:rsidTr="005210CD">
        <w:trPr>
          <w:cantSplit/>
          <w:trHeight w:val="283"/>
        </w:trPr>
        <w:tc>
          <w:tcPr>
            <w:tcW w:w="2356" w:type="pct"/>
            <w:tcBorders>
              <w:bottom w:val="single" w:sz="4" w:space="0" w:color="auto"/>
            </w:tcBorders>
          </w:tcPr>
          <w:p w14:paraId="6FF2E035" w14:textId="08C42892" w:rsidR="00653D68" w:rsidRPr="008C77DF" w:rsidRDefault="00653D68" w:rsidP="00653D68">
            <w:pPr>
              <w:pStyle w:val="TableText"/>
            </w:pPr>
            <w:r w:rsidRPr="008C77DF">
              <w:t>No discounting</w:t>
            </w:r>
          </w:p>
        </w:tc>
        <w:tc>
          <w:tcPr>
            <w:tcW w:w="707" w:type="pct"/>
            <w:tcBorders>
              <w:bottom w:val="single" w:sz="4" w:space="0" w:color="auto"/>
            </w:tcBorders>
          </w:tcPr>
          <w:p w14:paraId="5390373B" w14:textId="643376B7" w:rsidR="00653D68" w:rsidRPr="009E2F9F" w:rsidRDefault="007E4204" w:rsidP="00653D68">
            <w:pPr>
              <w:pStyle w:val="TableText"/>
              <w:rPr>
                <w:rFonts w:eastAsia="Calibri"/>
                <w:b/>
                <w:szCs w:val="20"/>
              </w:rPr>
            </w:pPr>
            <w:r w:rsidRPr="009E2F9F">
              <w:rPr>
                <w:b/>
              </w:rPr>
              <w:t>redacted</w:t>
            </w:r>
          </w:p>
        </w:tc>
        <w:tc>
          <w:tcPr>
            <w:tcW w:w="707" w:type="pct"/>
            <w:tcBorders>
              <w:bottom w:val="single" w:sz="4" w:space="0" w:color="auto"/>
            </w:tcBorders>
          </w:tcPr>
          <w:p w14:paraId="5EA3B483" w14:textId="77777777" w:rsidR="00653D68" w:rsidRPr="009E2F9F" w:rsidRDefault="00653D68" w:rsidP="00653D68">
            <w:pPr>
              <w:pStyle w:val="TableText"/>
              <w:rPr>
                <w:rFonts w:eastAsia="Calibri"/>
                <w:szCs w:val="20"/>
              </w:rPr>
            </w:pPr>
            <w:r w:rsidRPr="009E2F9F">
              <w:rPr>
                <w:rFonts w:eastAsia="Calibri"/>
                <w:szCs w:val="20"/>
              </w:rPr>
              <w:t>4.58</w:t>
            </w:r>
          </w:p>
        </w:tc>
        <w:tc>
          <w:tcPr>
            <w:tcW w:w="629" w:type="pct"/>
            <w:tcBorders>
              <w:bottom w:val="single" w:sz="4" w:space="0" w:color="auto"/>
            </w:tcBorders>
          </w:tcPr>
          <w:p w14:paraId="4950FCE0" w14:textId="77777777" w:rsidR="00653D68" w:rsidRPr="009E2F9F" w:rsidRDefault="00653D68" w:rsidP="00653D68">
            <w:pPr>
              <w:pStyle w:val="TableText"/>
              <w:rPr>
                <w:rFonts w:eastAsia="Calibri"/>
                <w:szCs w:val="20"/>
              </w:rPr>
            </w:pPr>
            <w:r w:rsidRPr="009E2F9F">
              <w:rPr>
                <w:rFonts w:eastAsia="Calibri"/>
                <w:szCs w:val="20"/>
              </w:rPr>
              <w:t>Dominant</w:t>
            </w:r>
          </w:p>
        </w:tc>
        <w:tc>
          <w:tcPr>
            <w:tcW w:w="601" w:type="pct"/>
            <w:tcBorders>
              <w:bottom w:val="single" w:sz="4" w:space="0" w:color="auto"/>
            </w:tcBorders>
          </w:tcPr>
          <w:p w14:paraId="4301FDCF" w14:textId="458AAE67" w:rsidR="00653D68" w:rsidRPr="009E2F9F" w:rsidRDefault="00653D68" w:rsidP="00653D68">
            <w:pPr>
              <w:pStyle w:val="TableText"/>
              <w:rPr>
                <w:rFonts w:eastAsia="Calibri"/>
                <w:szCs w:val="20"/>
              </w:rPr>
            </w:pPr>
            <w:r w:rsidRPr="009E2F9F">
              <w:rPr>
                <w:rFonts w:eastAsia="Calibri"/>
                <w:szCs w:val="20"/>
              </w:rPr>
              <w:t>NA</w:t>
            </w:r>
          </w:p>
        </w:tc>
      </w:tr>
      <w:tr w:rsidR="00290654" w:rsidRPr="00CE28E3" w14:paraId="6CCAD671" w14:textId="77777777" w:rsidTr="00290654">
        <w:trPr>
          <w:cantSplit/>
          <w:trHeight w:val="283"/>
        </w:trPr>
        <w:tc>
          <w:tcPr>
            <w:tcW w:w="5000" w:type="pct"/>
            <w:gridSpan w:val="5"/>
          </w:tcPr>
          <w:p w14:paraId="7AA0257B" w14:textId="652D1412" w:rsidR="00290654" w:rsidRPr="008C77DF" w:rsidRDefault="00290654" w:rsidP="00653D68">
            <w:pPr>
              <w:pStyle w:val="TableText"/>
              <w:rPr>
                <w:rFonts w:eastAsia="Calibri"/>
                <w:b/>
                <w:bCs/>
                <w:szCs w:val="20"/>
              </w:rPr>
            </w:pPr>
            <w:r w:rsidRPr="008C77DF">
              <w:rPr>
                <w:b/>
                <w:bCs/>
              </w:rPr>
              <w:t>Graft survival extrapolation</w:t>
            </w:r>
          </w:p>
        </w:tc>
      </w:tr>
      <w:tr w:rsidR="00313226" w:rsidRPr="00CE28E3" w14:paraId="7F05E49D" w14:textId="77777777" w:rsidTr="005210CD">
        <w:trPr>
          <w:cantSplit/>
          <w:trHeight w:val="283"/>
        </w:trPr>
        <w:tc>
          <w:tcPr>
            <w:tcW w:w="2356" w:type="pct"/>
          </w:tcPr>
          <w:p w14:paraId="114DBC2D" w14:textId="3945F230" w:rsidR="00313226" w:rsidRPr="008C77DF" w:rsidRDefault="00313226" w:rsidP="00313226">
            <w:pPr>
              <w:pStyle w:val="TableText"/>
            </w:pPr>
            <w:r w:rsidRPr="008C77DF">
              <w:t>All-transplanted population (base case: AUS-UTT-A)</w:t>
            </w:r>
          </w:p>
        </w:tc>
        <w:tc>
          <w:tcPr>
            <w:tcW w:w="707" w:type="pct"/>
          </w:tcPr>
          <w:p w14:paraId="6E38C889" w14:textId="255E4511" w:rsidR="00313226" w:rsidRPr="009E2F9F" w:rsidRDefault="007E4204" w:rsidP="00313226">
            <w:pPr>
              <w:pStyle w:val="TableText"/>
              <w:rPr>
                <w:rFonts w:eastAsia="Calibri"/>
                <w:b/>
                <w:szCs w:val="20"/>
              </w:rPr>
            </w:pPr>
            <w:r w:rsidRPr="009E2F9F">
              <w:rPr>
                <w:b/>
              </w:rPr>
              <w:t>redacted</w:t>
            </w:r>
          </w:p>
        </w:tc>
        <w:tc>
          <w:tcPr>
            <w:tcW w:w="707" w:type="pct"/>
          </w:tcPr>
          <w:p w14:paraId="137226D5" w14:textId="7A47CD9F" w:rsidR="00313226" w:rsidRPr="009E2F9F" w:rsidRDefault="00313226" w:rsidP="00313226">
            <w:pPr>
              <w:pStyle w:val="TableText"/>
              <w:rPr>
                <w:rFonts w:eastAsia="Calibri"/>
                <w:szCs w:val="20"/>
              </w:rPr>
            </w:pPr>
            <w:r w:rsidRPr="009E2F9F">
              <w:rPr>
                <w:rFonts w:eastAsia="Calibri"/>
                <w:szCs w:val="20"/>
              </w:rPr>
              <w:t>2.21</w:t>
            </w:r>
          </w:p>
        </w:tc>
        <w:tc>
          <w:tcPr>
            <w:tcW w:w="629" w:type="pct"/>
          </w:tcPr>
          <w:p w14:paraId="1D4884FC" w14:textId="2C8C56F2" w:rsidR="00313226" w:rsidRPr="009E2F9F" w:rsidRDefault="007E4204" w:rsidP="00313226">
            <w:pPr>
              <w:pStyle w:val="TableText"/>
              <w:rPr>
                <w:rFonts w:eastAsia="Calibri"/>
                <w:b/>
                <w:szCs w:val="20"/>
              </w:rPr>
            </w:pPr>
            <w:r w:rsidRPr="009E2F9F">
              <w:rPr>
                <w:b/>
              </w:rPr>
              <w:t>redacted</w:t>
            </w:r>
          </w:p>
        </w:tc>
        <w:tc>
          <w:tcPr>
            <w:tcW w:w="601" w:type="pct"/>
          </w:tcPr>
          <w:p w14:paraId="02227597" w14:textId="66067F29" w:rsidR="00313226" w:rsidRPr="009E2F9F" w:rsidRDefault="00760DEF" w:rsidP="00313226">
            <w:pPr>
              <w:pStyle w:val="TableText"/>
              <w:rPr>
                <w:rFonts w:eastAsia="Calibri"/>
                <w:szCs w:val="20"/>
              </w:rPr>
            </w:pPr>
            <w:r w:rsidRPr="009E2F9F">
              <w:rPr>
                <w:rFonts w:eastAsia="Calibri"/>
                <w:szCs w:val="20"/>
              </w:rPr>
              <w:t>+</w:t>
            </w:r>
            <w:r w:rsidR="00313226" w:rsidRPr="009E2F9F">
              <w:rPr>
                <w:rFonts w:eastAsia="Calibri"/>
                <w:szCs w:val="20"/>
              </w:rPr>
              <w:t>14.2</w:t>
            </w:r>
            <w:r w:rsidRPr="009E2F9F">
              <w:rPr>
                <w:rFonts w:eastAsia="Calibri"/>
                <w:szCs w:val="20"/>
              </w:rPr>
              <w:t>%</w:t>
            </w:r>
          </w:p>
        </w:tc>
      </w:tr>
      <w:tr w:rsidR="00313226" w:rsidRPr="00CE28E3" w14:paraId="5FA8242B" w14:textId="77777777" w:rsidTr="005210CD">
        <w:trPr>
          <w:cantSplit/>
          <w:trHeight w:val="283"/>
        </w:trPr>
        <w:tc>
          <w:tcPr>
            <w:tcW w:w="2356" w:type="pct"/>
            <w:tcBorders>
              <w:bottom w:val="single" w:sz="4" w:space="0" w:color="auto"/>
            </w:tcBorders>
          </w:tcPr>
          <w:p w14:paraId="6FEF2ADB" w14:textId="66518C67" w:rsidR="00313226" w:rsidRPr="008C77DF" w:rsidRDefault="00313226" w:rsidP="00313226">
            <w:pPr>
              <w:pStyle w:val="TableText"/>
            </w:pPr>
            <w:r w:rsidRPr="008C77DF">
              <w:t>Weibull distribution (base case: exponential)</w:t>
            </w:r>
          </w:p>
        </w:tc>
        <w:tc>
          <w:tcPr>
            <w:tcW w:w="707" w:type="pct"/>
            <w:tcBorders>
              <w:bottom w:val="single" w:sz="4" w:space="0" w:color="auto"/>
            </w:tcBorders>
          </w:tcPr>
          <w:p w14:paraId="454BF3B1" w14:textId="1EF05D7B" w:rsidR="00313226" w:rsidRPr="009E2F9F" w:rsidRDefault="007E4204" w:rsidP="00313226">
            <w:pPr>
              <w:pStyle w:val="TableText"/>
              <w:rPr>
                <w:rFonts w:eastAsia="Calibri"/>
                <w:b/>
                <w:szCs w:val="20"/>
              </w:rPr>
            </w:pPr>
            <w:r w:rsidRPr="009E2F9F">
              <w:rPr>
                <w:b/>
              </w:rPr>
              <w:t>redacted</w:t>
            </w:r>
          </w:p>
        </w:tc>
        <w:tc>
          <w:tcPr>
            <w:tcW w:w="707" w:type="pct"/>
            <w:tcBorders>
              <w:bottom w:val="single" w:sz="4" w:space="0" w:color="auto"/>
            </w:tcBorders>
          </w:tcPr>
          <w:p w14:paraId="0DD0A8F1" w14:textId="47FE1A08" w:rsidR="00313226" w:rsidRPr="009E2F9F" w:rsidRDefault="00313226" w:rsidP="00313226">
            <w:pPr>
              <w:pStyle w:val="TableText"/>
              <w:rPr>
                <w:rFonts w:eastAsia="Calibri"/>
                <w:szCs w:val="20"/>
              </w:rPr>
            </w:pPr>
            <w:r w:rsidRPr="009E2F9F">
              <w:rPr>
                <w:rFonts w:eastAsia="Calibri"/>
                <w:szCs w:val="20"/>
              </w:rPr>
              <w:t>2.39</w:t>
            </w:r>
          </w:p>
        </w:tc>
        <w:tc>
          <w:tcPr>
            <w:tcW w:w="629" w:type="pct"/>
            <w:tcBorders>
              <w:bottom w:val="single" w:sz="4" w:space="0" w:color="auto"/>
            </w:tcBorders>
          </w:tcPr>
          <w:p w14:paraId="18EDDEA6" w14:textId="063EE9D1" w:rsidR="00313226" w:rsidRPr="009E2F9F" w:rsidRDefault="007E4204" w:rsidP="00313226">
            <w:pPr>
              <w:pStyle w:val="TableText"/>
              <w:rPr>
                <w:rFonts w:eastAsia="Calibri"/>
                <w:b/>
                <w:szCs w:val="20"/>
              </w:rPr>
            </w:pPr>
            <w:r w:rsidRPr="009E2F9F">
              <w:rPr>
                <w:b/>
              </w:rPr>
              <w:t>redacted</w:t>
            </w:r>
          </w:p>
        </w:tc>
        <w:tc>
          <w:tcPr>
            <w:tcW w:w="601" w:type="pct"/>
            <w:tcBorders>
              <w:bottom w:val="single" w:sz="4" w:space="0" w:color="auto"/>
            </w:tcBorders>
          </w:tcPr>
          <w:p w14:paraId="78834983" w14:textId="42FB4F65" w:rsidR="00313226" w:rsidRPr="009E2F9F" w:rsidRDefault="00313226" w:rsidP="00313226">
            <w:pPr>
              <w:pStyle w:val="TableText"/>
              <w:rPr>
                <w:rFonts w:eastAsia="Calibri"/>
                <w:szCs w:val="20"/>
              </w:rPr>
            </w:pPr>
            <w:r w:rsidRPr="009E2F9F">
              <w:rPr>
                <w:rFonts w:eastAsia="Calibri"/>
                <w:szCs w:val="20"/>
              </w:rPr>
              <w:t>-33.2</w:t>
            </w:r>
            <w:r w:rsidR="00760DEF" w:rsidRPr="009E2F9F">
              <w:rPr>
                <w:rFonts w:eastAsia="Calibri"/>
                <w:szCs w:val="20"/>
              </w:rPr>
              <w:t>%</w:t>
            </w:r>
          </w:p>
        </w:tc>
      </w:tr>
      <w:tr w:rsidR="00BC522D" w:rsidRPr="00CE28E3" w14:paraId="663C0B6C" w14:textId="77777777" w:rsidTr="00BC522D">
        <w:trPr>
          <w:cantSplit/>
          <w:trHeight w:val="283"/>
        </w:trPr>
        <w:tc>
          <w:tcPr>
            <w:tcW w:w="5000" w:type="pct"/>
            <w:gridSpan w:val="5"/>
            <w:tcBorders>
              <w:bottom w:val="single" w:sz="4" w:space="0" w:color="auto"/>
            </w:tcBorders>
          </w:tcPr>
          <w:p w14:paraId="7CB27B95" w14:textId="3D7AF37D" w:rsidR="00BC522D" w:rsidRPr="008C77DF" w:rsidRDefault="0025717A" w:rsidP="00313226">
            <w:pPr>
              <w:pStyle w:val="TableText"/>
              <w:rPr>
                <w:rFonts w:eastAsia="Calibri"/>
                <w:b/>
                <w:bCs/>
                <w:szCs w:val="20"/>
              </w:rPr>
            </w:pPr>
            <w:r w:rsidRPr="008C77DF">
              <w:rPr>
                <w:rFonts w:eastAsia="Calibri"/>
                <w:b/>
                <w:bCs/>
                <w:szCs w:val="20"/>
              </w:rPr>
              <w:t>Delayed graft function</w:t>
            </w:r>
            <w:r w:rsidR="003E0BC8" w:rsidRPr="008C77DF">
              <w:rPr>
                <w:rFonts w:eastAsia="Calibri"/>
                <w:b/>
                <w:bCs/>
                <w:szCs w:val="20"/>
              </w:rPr>
              <w:t xml:space="preserve"> (DGF)</w:t>
            </w:r>
            <w:r w:rsidR="00F55627" w:rsidRPr="008C77DF">
              <w:rPr>
                <w:rFonts w:eastAsia="Calibri"/>
                <w:b/>
                <w:bCs/>
                <w:szCs w:val="20"/>
              </w:rPr>
              <w:t xml:space="preserve">, </w:t>
            </w:r>
            <w:r w:rsidRPr="008C77DF">
              <w:rPr>
                <w:rFonts w:eastAsia="Calibri"/>
                <w:b/>
                <w:bCs/>
                <w:szCs w:val="20"/>
              </w:rPr>
              <w:t xml:space="preserve">antibody-mediated </w:t>
            </w:r>
            <w:r w:rsidR="003E0BC8" w:rsidRPr="008C77DF">
              <w:rPr>
                <w:rFonts w:eastAsia="Calibri"/>
                <w:b/>
                <w:bCs/>
                <w:szCs w:val="20"/>
              </w:rPr>
              <w:t>rejection (AMR)</w:t>
            </w:r>
            <w:r w:rsidR="00F55627" w:rsidRPr="008C77DF">
              <w:rPr>
                <w:rFonts w:eastAsia="Calibri"/>
                <w:b/>
                <w:bCs/>
                <w:szCs w:val="20"/>
              </w:rPr>
              <w:t>, graft and patient survival extrapolation</w:t>
            </w:r>
            <w:r w:rsidR="003E0BC8" w:rsidRPr="008C77DF">
              <w:rPr>
                <w:rFonts w:eastAsia="Calibri"/>
                <w:b/>
                <w:bCs/>
                <w:szCs w:val="20"/>
              </w:rPr>
              <w:t xml:space="preserve">  </w:t>
            </w:r>
          </w:p>
        </w:tc>
      </w:tr>
      <w:tr w:rsidR="00BC522D" w:rsidRPr="00CE28E3" w14:paraId="16B4BF23" w14:textId="77777777" w:rsidTr="005210CD">
        <w:trPr>
          <w:cantSplit/>
          <w:trHeight w:val="283"/>
        </w:trPr>
        <w:tc>
          <w:tcPr>
            <w:tcW w:w="2356" w:type="pct"/>
            <w:tcBorders>
              <w:bottom w:val="single" w:sz="4" w:space="0" w:color="auto"/>
            </w:tcBorders>
          </w:tcPr>
          <w:p w14:paraId="288F17A9" w14:textId="24F2888D" w:rsidR="00BC522D" w:rsidRPr="008C77DF" w:rsidRDefault="00CE09D8" w:rsidP="00313226">
            <w:pPr>
              <w:pStyle w:val="TableText"/>
            </w:pPr>
            <w:r w:rsidRPr="008C77DF">
              <w:t>All-transplanted population</w:t>
            </w:r>
            <w:r w:rsidR="00606019" w:rsidRPr="008C77DF">
              <w:t xml:space="preserve"> for DGF/AMR</w:t>
            </w:r>
            <w:r w:rsidRPr="008C77DF">
              <w:t xml:space="preserve"> (base case: AUS-UTT-A)</w:t>
            </w:r>
          </w:p>
        </w:tc>
        <w:tc>
          <w:tcPr>
            <w:tcW w:w="707" w:type="pct"/>
            <w:tcBorders>
              <w:bottom w:val="single" w:sz="4" w:space="0" w:color="auto"/>
            </w:tcBorders>
          </w:tcPr>
          <w:p w14:paraId="148B77AD" w14:textId="369C97E5" w:rsidR="00BC522D" w:rsidRPr="009E2F9F" w:rsidRDefault="007E4204" w:rsidP="00313226">
            <w:pPr>
              <w:pStyle w:val="TableText"/>
              <w:rPr>
                <w:rFonts w:eastAsia="Calibri"/>
                <w:b/>
                <w:szCs w:val="20"/>
              </w:rPr>
            </w:pPr>
            <w:r w:rsidRPr="009E2F9F">
              <w:rPr>
                <w:b/>
              </w:rPr>
              <w:t>redacted</w:t>
            </w:r>
          </w:p>
        </w:tc>
        <w:tc>
          <w:tcPr>
            <w:tcW w:w="707" w:type="pct"/>
            <w:tcBorders>
              <w:bottom w:val="single" w:sz="4" w:space="0" w:color="auto"/>
            </w:tcBorders>
          </w:tcPr>
          <w:p w14:paraId="457AF40D" w14:textId="17078118" w:rsidR="00BC522D" w:rsidRPr="009E2F9F" w:rsidRDefault="00E165F4" w:rsidP="00313226">
            <w:pPr>
              <w:pStyle w:val="TableText"/>
              <w:rPr>
                <w:rFonts w:eastAsia="Calibri"/>
                <w:szCs w:val="20"/>
              </w:rPr>
            </w:pPr>
            <w:r w:rsidRPr="009E2F9F">
              <w:rPr>
                <w:rFonts w:eastAsia="Calibri"/>
                <w:szCs w:val="20"/>
              </w:rPr>
              <w:t>2.26</w:t>
            </w:r>
          </w:p>
        </w:tc>
        <w:tc>
          <w:tcPr>
            <w:tcW w:w="629" w:type="pct"/>
            <w:tcBorders>
              <w:bottom w:val="single" w:sz="4" w:space="0" w:color="auto"/>
            </w:tcBorders>
          </w:tcPr>
          <w:p w14:paraId="18F16626" w14:textId="307C0309" w:rsidR="00BC522D" w:rsidRPr="009E2F9F" w:rsidRDefault="007E4204" w:rsidP="00313226">
            <w:pPr>
              <w:pStyle w:val="TableText"/>
              <w:rPr>
                <w:rFonts w:eastAsia="Calibri"/>
                <w:b/>
                <w:szCs w:val="20"/>
              </w:rPr>
            </w:pPr>
            <w:r w:rsidRPr="009E2F9F">
              <w:rPr>
                <w:b/>
              </w:rPr>
              <w:t>redacted</w:t>
            </w:r>
          </w:p>
        </w:tc>
        <w:tc>
          <w:tcPr>
            <w:tcW w:w="601" w:type="pct"/>
            <w:tcBorders>
              <w:bottom w:val="single" w:sz="4" w:space="0" w:color="auto"/>
            </w:tcBorders>
          </w:tcPr>
          <w:p w14:paraId="7FE887F5" w14:textId="1B7E032F" w:rsidR="00BC522D" w:rsidRPr="009E2F9F" w:rsidRDefault="00715EFA" w:rsidP="00313226">
            <w:pPr>
              <w:pStyle w:val="TableText"/>
              <w:rPr>
                <w:rFonts w:eastAsia="Calibri"/>
                <w:szCs w:val="20"/>
              </w:rPr>
            </w:pPr>
            <w:r w:rsidRPr="009E2F9F">
              <w:rPr>
                <w:rFonts w:eastAsia="Calibri"/>
                <w:szCs w:val="20"/>
              </w:rPr>
              <w:t>-2.7%</w:t>
            </w:r>
          </w:p>
        </w:tc>
      </w:tr>
      <w:tr w:rsidR="00BC522D" w:rsidRPr="00CE28E3" w14:paraId="548AE3B5" w14:textId="77777777" w:rsidTr="005210CD">
        <w:trPr>
          <w:cantSplit/>
          <w:trHeight w:val="283"/>
        </w:trPr>
        <w:tc>
          <w:tcPr>
            <w:tcW w:w="2356" w:type="pct"/>
            <w:tcBorders>
              <w:bottom w:val="single" w:sz="4" w:space="0" w:color="auto"/>
            </w:tcBorders>
          </w:tcPr>
          <w:p w14:paraId="28E30E37" w14:textId="262CD9A0" w:rsidR="00BC522D" w:rsidRPr="008C77DF" w:rsidRDefault="0005081D" w:rsidP="00313226">
            <w:pPr>
              <w:pStyle w:val="TableText"/>
            </w:pPr>
            <w:r w:rsidRPr="008C77DF">
              <w:t>All-transplanted population for DGF/AMR</w:t>
            </w:r>
            <w:r w:rsidR="00E9028B" w:rsidRPr="008C77DF">
              <w:t xml:space="preserve"> and graft survival</w:t>
            </w:r>
            <w:r w:rsidRPr="008C77DF">
              <w:t xml:space="preserve"> (base case: AUS-UTT-A)</w:t>
            </w:r>
          </w:p>
        </w:tc>
        <w:tc>
          <w:tcPr>
            <w:tcW w:w="707" w:type="pct"/>
            <w:tcBorders>
              <w:bottom w:val="single" w:sz="4" w:space="0" w:color="auto"/>
            </w:tcBorders>
          </w:tcPr>
          <w:p w14:paraId="29A52940" w14:textId="208D37C1" w:rsidR="00BC522D" w:rsidRPr="009E2F9F" w:rsidRDefault="007E4204" w:rsidP="00313226">
            <w:pPr>
              <w:pStyle w:val="TableText"/>
              <w:rPr>
                <w:rFonts w:eastAsia="Calibri"/>
                <w:b/>
                <w:szCs w:val="20"/>
              </w:rPr>
            </w:pPr>
            <w:r w:rsidRPr="009E2F9F">
              <w:rPr>
                <w:b/>
              </w:rPr>
              <w:t>redacted</w:t>
            </w:r>
          </w:p>
        </w:tc>
        <w:tc>
          <w:tcPr>
            <w:tcW w:w="707" w:type="pct"/>
            <w:tcBorders>
              <w:bottom w:val="single" w:sz="4" w:space="0" w:color="auto"/>
            </w:tcBorders>
          </w:tcPr>
          <w:p w14:paraId="402C4ADA" w14:textId="289DDE9F" w:rsidR="00BC522D" w:rsidRPr="009E2F9F" w:rsidRDefault="008338EC" w:rsidP="00313226">
            <w:pPr>
              <w:pStyle w:val="TableText"/>
              <w:rPr>
                <w:rFonts w:eastAsia="Calibri"/>
                <w:szCs w:val="20"/>
              </w:rPr>
            </w:pPr>
            <w:r w:rsidRPr="009E2F9F">
              <w:rPr>
                <w:rFonts w:eastAsia="Calibri"/>
                <w:szCs w:val="20"/>
              </w:rPr>
              <w:t>2.21</w:t>
            </w:r>
          </w:p>
        </w:tc>
        <w:tc>
          <w:tcPr>
            <w:tcW w:w="629" w:type="pct"/>
            <w:tcBorders>
              <w:bottom w:val="single" w:sz="4" w:space="0" w:color="auto"/>
            </w:tcBorders>
          </w:tcPr>
          <w:p w14:paraId="7E40556C" w14:textId="64A0A587" w:rsidR="00BC522D" w:rsidRPr="009E2F9F" w:rsidRDefault="007E4204" w:rsidP="00313226">
            <w:pPr>
              <w:pStyle w:val="TableText"/>
              <w:rPr>
                <w:rFonts w:eastAsia="Calibri"/>
                <w:b/>
                <w:szCs w:val="20"/>
              </w:rPr>
            </w:pPr>
            <w:r w:rsidRPr="009E2F9F">
              <w:rPr>
                <w:b/>
              </w:rPr>
              <w:t>redacted</w:t>
            </w:r>
          </w:p>
        </w:tc>
        <w:tc>
          <w:tcPr>
            <w:tcW w:w="601" w:type="pct"/>
            <w:tcBorders>
              <w:bottom w:val="single" w:sz="4" w:space="0" w:color="auto"/>
            </w:tcBorders>
          </w:tcPr>
          <w:p w14:paraId="051A1456" w14:textId="74988882" w:rsidR="00BC522D" w:rsidRPr="009E2F9F" w:rsidRDefault="007A68D6" w:rsidP="00313226">
            <w:pPr>
              <w:pStyle w:val="TableText"/>
              <w:rPr>
                <w:rFonts w:eastAsia="Calibri"/>
                <w:szCs w:val="20"/>
              </w:rPr>
            </w:pPr>
            <w:r w:rsidRPr="009E2F9F">
              <w:rPr>
                <w:rFonts w:eastAsia="Calibri"/>
                <w:szCs w:val="20"/>
              </w:rPr>
              <w:t>11.5%</w:t>
            </w:r>
          </w:p>
        </w:tc>
      </w:tr>
      <w:tr w:rsidR="00BC522D" w:rsidRPr="00CE28E3" w14:paraId="35B646F4" w14:textId="77777777" w:rsidTr="005210CD">
        <w:trPr>
          <w:cantSplit/>
          <w:trHeight w:val="283"/>
        </w:trPr>
        <w:tc>
          <w:tcPr>
            <w:tcW w:w="2356" w:type="pct"/>
            <w:tcBorders>
              <w:bottom w:val="single" w:sz="4" w:space="0" w:color="auto"/>
            </w:tcBorders>
          </w:tcPr>
          <w:p w14:paraId="6F4E86FE" w14:textId="09C6D9D9" w:rsidR="00BC522D" w:rsidRDefault="004F07CC" w:rsidP="00313226">
            <w:pPr>
              <w:pStyle w:val="TableText"/>
            </w:pPr>
            <w:r>
              <w:t xml:space="preserve">All-transplanted population for DGF/AMR, </w:t>
            </w:r>
            <w:proofErr w:type="gramStart"/>
            <w:r>
              <w:t>graft</w:t>
            </w:r>
            <w:proofErr w:type="gramEnd"/>
            <w:r>
              <w:t xml:space="preserve"> and patient survival (base case: AUS-UTT-A)</w:t>
            </w:r>
          </w:p>
        </w:tc>
        <w:tc>
          <w:tcPr>
            <w:tcW w:w="707" w:type="pct"/>
            <w:tcBorders>
              <w:bottom w:val="single" w:sz="4" w:space="0" w:color="auto"/>
            </w:tcBorders>
          </w:tcPr>
          <w:p w14:paraId="329DC239" w14:textId="01FB11A6" w:rsidR="00BC522D" w:rsidRPr="009E2F9F" w:rsidRDefault="00117CBA" w:rsidP="00313226">
            <w:pPr>
              <w:pStyle w:val="TableText"/>
              <w:rPr>
                <w:rFonts w:eastAsia="Calibri"/>
                <w:szCs w:val="20"/>
              </w:rPr>
            </w:pPr>
            <w:r w:rsidRPr="009E2F9F">
              <w:rPr>
                <w:b/>
              </w:rPr>
              <w:t>redacted</w:t>
            </w:r>
          </w:p>
        </w:tc>
        <w:tc>
          <w:tcPr>
            <w:tcW w:w="707" w:type="pct"/>
            <w:tcBorders>
              <w:bottom w:val="single" w:sz="4" w:space="0" w:color="auto"/>
            </w:tcBorders>
          </w:tcPr>
          <w:p w14:paraId="6930D999" w14:textId="1771550B" w:rsidR="00BC522D" w:rsidRPr="009E2F9F" w:rsidRDefault="00DA1CEC" w:rsidP="00313226">
            <w:pPr>
              <w:pStyle w:val="TableText"/>
              <w:rPr>
                <w:rFonts w:eastAsia="Calibri"/>
                <w:szCs w:val="20"/>
              </w:rPr>
            </w:pPr>
            <w:r w:rsidRPr="009E2F9F">
              <w:rPr>
                <w:rFonts w:eastAsia="Calibri"/>
                <w:szCs w:val="20"/>
              </w:rPr>
              <w:t>3.45</w:t>
            </w:r>
          </w:p>
        </w:tc>
        <w:tc>
          <w:tcPr>
            <w:tcW w:w="629" w:type="pct"/>
            <w:tcBorders>
              <w:bottom w:val="single" w:sz="4" w:space="0" w:color="auto"/>
            </w:tcBorders>
          </w:tcPr>
          <w:p w14:paraId="1218BB12" w14:textId="17E0CC79" w:rsidR="00BC522D" w:rsidRPr="009E2F9F" w:rsidRDefault="00657546" w:rsidP="00313226">
            <w:pPr>
              <w:pStyle w:val="TableText"/>
              <w:rPr>
                <w:rFonts w:eastAsia="Calibri"/>
                <w:szCs w:val="20"/>
              </w:rPr>
            </w:pPr>
            <w:r w:rsidRPr="009E2F9F">
              <w:rPr>
                <w:b/>
              </w:rPr>
              <w:t>redacted</w:t>
            </w:r>
          </w:p>
        </w:tc>
        <w:tc>
          <w:tcPr>
            <w:tcW w:w="601" w:type="pct"/>
            <w:tcBorders>
              <w:bottom w:val="single" w:sz="4" w:space="0" w:color="auto"/>
            </w:tcBorders>
          </w:tcPr>
          <w:p w14:paraId="59CD5803" w14:textId="387A47D7" w:rsidR="00BC522D" w:rsidRPr="009E2F9F" w:rsidRDefault="007A68D6" w:rsidP="00313226">
            <w:pPr>
              <w:pStyle w:val="TableText"/>
              <w:rPr>
                <w:rFonts w:eastAsia="Calibri"/>
                <w:szCs w:val="20"/>
              </w:rPr>
            </w:pPr>
            <w:r w:rsidRPr="009E2F9F">
              <w:rPr>
                <w:rFonts w:eastAsia="Calibri"/>
                <w:szCs w:val="20"/>
              </w:rPr>
              <w:t>-5.8%</w:t>
            </w:r>
          </w:p>
        </w:tc>
      </w:tr>
      <w:tr w:rsidR="00290654" w:rsidRPr="00CE28E3" w14:paraId="437F679E" w14:textId="77777777" w:rsidTr="00290654">
        <w:trPr>
          <w:cantSplit/>
          <w:trHeight w:val="283"/>
        </w:trPr>
        <w:tc>
          <w:tcPr>
            <w:tcW w:w="5000" w:type="pct"/>
            <w:gridSpan w:val="5"/>
          </w:tcPr>
          <w:p w14:paraId="166889E9" w14:textId="10153E19" w:rsidR="00290654" w:rsidRPr="008C77DF" w:rsidRDefault="00290654" w:rsidP="00313226">
            <w:pPr>
              <w:pStyle w:val="TableText"/>
              <w:rPr>
                <w:rFonts w:eastAsia="Calibri"/>
                <w:b/>
                <w:bCs/>
                <w:szCs w:val="20"/>
              </w:rPr>
            </w:pPr>
            <w:r w:rsidRPr="008C77DF">
              <w:rPr>
                <w:b/>
                <w:bCs/>
              </w:rPr>
              <w:t xml:space="preserve">Survival with </w:t>
            </w:r>
            <w:r w:rsidR="000B3903" w:rsidRPr="008C77DF">
              <w:rPr>
                <w:b/>
                <w:bCs/>
              </w:rPr>
              <w:t xml:space="preserve">functioning </w:t>
            </w:r>
            <w:r w:rsidRPr="008C77DF">
              <w:rPr>
                <w:b/>
                <w:bCs/>
              </w:rPr>
              <w:t>graft extrapolation</w:t>
            </w:r>
          </w:p>
        </w:tc>
      </w:tr>
      <w:tr w:rsidR="00313226" w:rsidRPr="00CE28E3" w14:paraId="25B73D26" w14:textId="77777777" w:rsidTr="005210CD">
        <w:trPr>
          <w:cantSplit/>
          <w:trHeight w:val="283"/>
        </w:trPr>
        <w:tc>
          <w:tcPr>
            <w:tcW w:w="2356" w:type="pct"/>
          </w:tcPr>
          <w:p w14:paraId="53322C45" w14:textId="14ABE6DC" w:rsidR="00313226" w:rsidRPr="00651468" w:rsidRDefault="00760DEF" w:rsidP="00313226">
            <w:pPr>
              <w:pStyle w:val="TableText"/>
            </w:pPr>
            <w:r>
              <w:t>All-transplanted population (base case: AUS-UTT-A)</w:t>
            </w:r>
          </w:p>
        </w:tc>
        <w:tc>
          <w:tcPr>
            <w:tcW w:w="707" w:type="pct"/>
          </w:tcPr>
          <w:p w14:paraId="46D946E8" w14:textId="2610F628" w:rsidR="00313226" w:rsidRPr="009E2F9F" w:rsidRDefault="00117CBA" w:rsidP="00313226">
            <w:pPr>
              <w:pStyle w:val="TableText"/>
              <w:rPr>
                <w:rFonts w:eastAsia="Calibri"/>
                <w:szCs w:val="20"/>
              </w:rPr>
            </w:pPr>
            <w:r w:rsidRPr="009E2F9F">
              <w:rPr>
                <w:b/>
              </w:rPr>
              <w:t>redacted</w:t>
            </w:r>
          </w:p>
        </w:tc>
        <w:tc>
          <w:tcPr>
            <w:tcW w:w="707" w:type="pct"/>
          </w:tcPr>
          <w:p w14:paraId="18820514" w14:textId="77777777" w:rsidR="00313226" w:rsidRPr="009E2F9F" w:rsidRDefault="00313226" w:rsidP="00313226">
            <w:pPr>
              <w:pStyle w:val="TableText"/>
              <w:rPr>
                <w:rFonts w:eastAsia="Calibri"/>
                <w:szCs w:val="20"/>
              </w:rPr>
            </w:pPr>
            <w:r w:rsidRPr="009E2F9F">
              <w:rPr>
                <w:rFonts w:eastAsia="Calibri"/>
                <w:szCs w:val="20"/>
              </w:rPr>
              <w:t>3.54</w:t>
            </w:r>
          </w:p>
        </w:tc>
        <w:tc>
          <w:tcPr>
            <w:tcW w:w="629" w:type="pct"/>
          </w:tcPr>
          <w:p w14:paraId="4F099F17" w14:textId="73C02FD9" w:rsidR="00313226" w:rsidRPr="009E2F9F" w:rsidRDefault="00657546" w:rsidP="00313226">
            <w:pPr>
              <w:pStyle w:val="TableText"/>
              <w:rPr>
                <w:rFonts w:eastAsia="Calibri"/>
                <w:szCs w:val="20"/>
              </w:rPr>
            </w:pPr>
            <w:r w:rsidRPr="009E2F9F">
              <w:rPr>
                <w:b/>
              </w:rPr>
              <w:t>redacted</w:t>
            </w:r>
          </w:p>
        </w:tc>
        <w:tc>
          <w:tcPr>
            <w:tcW w:w="601" w:type="pct"/>
          </w:tcPr>
          <w:p w14:paraId="3F29127E" w14:textId="64B87D04" w:rsidR="00313226" w:rsidRPr="009E2F9F" w:rsidRDefault="00313226" w:rsidP="00313226">
            <w:pPr>
              <w:pStyle w:val="TableText"/>
              <w:rPr>
                <w:rFonts w:eastAsia="Calibri"/>
                <w:szCs w:val="20"/>
              </w:rPr>
            </w:pPr>
            <w:r w:rsidRPr="009E2F9F">
              <w:rPr>
                <w:rFonts w:eastAsia="Calibri"/>
                <w:szCs w:val="20"/>
              </w:rPr>
              <w:t>-15.1</w:t>
            </w:r>
            <w:r w:rsidR="00C81445" w:rsidRPr="009E2F9F">
              <w:rPr>
                <w:rFonts w:eastAsia="Calibri"/>
                <w:szCs w:val="20"/>
              </w:rPr>
              <w:t>%</w:t>
            </w:r>
          </w:p>
        </w:tc>
      </w:tr>
      <w:tr w:rsidR="00313226" w:rsidRPr="00CE28E3" w14:paraId="74218F8E" w14:textId="77777777" w:rsidTr="005210CD">
        <w:trPr>
          <w:cantSplit/>
          <w:trHeight w:val="283"/>
        </w:trPr>
        <w:tc>
          <w:tcPr>
            <w:tcW w:w="2356" w:type="pct"/>
            <w:tcBorders>
              <w:bottom w:val="single" w:sz="4" w:space="0" w:color="auto"/>
            </w:tcBorders>
          </w:tcPr>
          <w:p w14:paraId="01B19853" w14:textId="0BB0B7E6" w:rsidR="00313226" w:rsidRPr="00651468" w:rsidRDefault="00A93FD7" w:rsidP="00313226">
            <w:pPr>
              <w:pStyle w:val="TableText"/>
            </w:pPr>
            <w:r>
              <w:t>Weibull distribution (base case: exponential)</w:t>
            </w:r>
          </w:p>
        </w:tc>
        <w:tc>
          <w:tcPr>
            <w:tcW w:w="707" w:type="pct"/>
            <w:tcBorders>
              <w:bottom w:val="single" w:sz="4" w:space="0" w:color="auto"/>
            </w:tcBorders>
          </w:tcPr>
          <w:p w14:paraId="152D6080" w14:textId="2EF89770" w:rsidR="00313226" w:rsidRPr="009E2F9F" w:rsidRDefault="00DD6C5E" w:rsidP="00313226">
            <w:pPr>
              <w:pStyle w:val="TableText"/>
              <w:rPr>
                <w:rFonts w:eastAsia="Calibri"/>
                <w:szCs w:val="20"/>
              </w:rPr>
            </w:pPr>
            <w:r w:rsidRPr="009E2F9F">
              <w:rPr>
                <w:rFonts w:eastAsia="Calibri"/>
                <w:b/>
                <w:szCs w:val="20"/>
              </w:rPr>
              <w:t>redacted</w:t>
            </w:r>
          </w:p>
        </w:tc>
        <w:tc>
          <w:tcPr>
            <w:tcW w:w="707" w:type="pct"/>
            <w:tcBorders>
              <w:bottom w:val="single" w:sz="4" w:space="0" w:color="auto"/>
            </w:tcBorders>
          </w:tcPr>
          <w:p w14:paraId="08DBD8C3" w14:textId="77777777" w:rsidR="00313226" w:rsidRPr="009E2F9F" w:rsidRDefault="00313226" w:rsidP="00313226">
            <w:pPr>
              <w:pStyle w:val="TableText"/>
              <w:rPr>
                <w:rFonts w:eastAsia="Calibri"/>
                <w:szCs w:val="20"/>
              </w:rPr>
            </w:pPr>
            <w:r w:rsidRPr="009E2F9F">
              <w:rPr>
                <w:rFonts w:eastAsia="Calibri"/>
                <w:szCs w:val="20"/>
              </w:rPr>
              <w:t>3.20</w:t>
            </w:r>
          </w:p>
        </w:tc>
        <w:tc>
          <w:tcPr>
            <w:tcW w:w="629" w:type="pct"/>
            <w:tcBorders>
              <w:bottom w:val="single" w:sz="4" w:space="0" w:color="auto"/>
            </w:tcBorders>
          </w:tcPr>
          <w:p w14:paraId="7517552D" w14:textId="11D6640E" w:rsidR="00313226" w:rsidRPr="009E2F9F" w:rsidRDefault="00657546" w:rsidP="00313226">
            <w:pPr>
              <w:pStyle w:val="TableText"/>
              <w:rPr>
                <w:rFonts w:eastAsia="Calibri"/>
                <w:szCs w:val="20"/>
              </w:rPr>
            </w:pPr>
            <w:r w:rsidRPr="009E2F9F">
              <w:rPr>
                <w:b/>
              </w:rPr>
              <w:t>redacted</w:t>
            </w:r>
          </w:p>
        </w:tc>
        <w:tc>
          <w:tcPr>
            <w:tcW w:w="601" w:type="pct"/>
            <w:tcBorders>
              <w:bottom w:val="single" w:sz="4" w:space="0" w:color="auto"/>
            </w:tcBorders>
          </w:tcPr>
          <w:p w14:paraId="1B2BA339" w14:textId="14A0FFA9" w:rsidR="00313226" w:rsidRPr="009E2F9F" w:rsidRDefault="00313226" w:rsidP="00313226">
            <w:pPr>
              <w:pStyle w:val="TableText"/>
              <w:rPr>
                <w:rFonts w:eastAsia="Calibri"/>
                <w:szCs w:val="20"/>
              </w:rPr>
            </w:pPr>
            <w:r w:rsidRPr="009E2F9F">
              <w:rPr>
                <w:rFonts w:eastAsia="Calibri"/>
                <w:szCs w:val="20"/>
              </w:rPr>
              <w:t>-13.0</w:t>
            </w:r>
            <w:r w:rsidR="00C81445" w:rsidRPr="009E2F9F">
              <w:rPr>
                <w:rFonts w:eastAsia="Calibri"/>
                <w:szCs w:val="20"/>
              </w:rPr>
              <w:t>%</w:t>
            </w:r>
          </w:p>
        </w:tc>
      </w:tr>
      <w:tr w:rsidR="00290654" w:rsidRPr="00CE28E3" w14:paraId="47107A9B" w14:textId="77777777" w:rsidTr="00290654">
        <w:trPr>
          <w:cantSplit/>
          <w:trHeight w:val="283"/>
        </w:trPr>
        <w:tc>
          <w:tcPr>
            <w:tcW w:w="5000" w:type="pct"/>
            <w:gridSpan w:val="5"/>
          </w:tcPr>
          <w:p w14:paraId="5007673D" w14:textId="68A81793" w:rsidR="00290654" w:rsidRPr="008C77DF" w:rsidRDefault="00290654" w:rsidP="00313226">
            <w:pPr>
              <w:pStyle w:val="TableText"/>
              <w:rPr>
                <w:rFonts w:eastAsia="Calibri"/>
                <w:b/>
                <w:bCs/>
                <w:szCs w:val="20"/>
              </w:rPr>
            </w:pPr>
            <w:r w:rsidRPr="008C77DF">
              <w:rPr>
                <w:b/>
                <w:bCs/>
              </w:rPr>
              <w:t>Spillover effects (base case: not included)</w:t>
            </w:r>
          </w:p>
        </w:tc>
      </w:tr>
      <w:tr w:rsidR="00313226" w:rsidRPr="00CE28E3" w14:paraId="51828EF1" w14:textId="77777777" w:rsidTr="005210CD">
        <w:trPr>
          <w:cantSplit/>
          <w:trHeight w:val="283"/>
        </w:trPr>
        <w:tc>
          <w:tcPr>
            <w:tcW w:w="2356" w:type="pct"/>
          </w:tcPr>
          <w:p w14:paraId="468D3039" w14:textId="0110874A" w:rsidR="00313226" w:rsidRPr="00651468" w:rsidRDefault="00AD3D9D" w:rsidP="00313226">
            <w:pPr>
              <w:pStyle w:val="TableText"/>
            </w:pPr>
            <w:r>
              <w:t>Add</w:t>
            </w:r>
            <w:r w:rsidR="00313226" w:rsidRPr="00651468">
              <w:t xml:space="preserve"> </w:t>
            </w:r>
            <w:r w:rsidR="009B39C1" w:rsidRPr="00651468">
              <w:t>spillover</w:t>
            </w:r>
            <w:r w:rsidR="00313226" w:rsidRPr="00651468">
              <w:t xml:space="preserve"> effect</w:t>
            </w:r>
            <w:r>
              <w:t>s (both positive and negative)</w:t>
            </w:r>
          </w:p>
        </w:tc>
        <w:tc>
          <w:tcPr>
            <w:tcW w:w="707" w:type="pct"/>
          </w:tcPr>
          <w:p w14:paraId="317FDB71" w14:textId="68C921AF" w:rsidR="00313226" w:rsidRPr="009E2F9F" w:rsidRDefault="00DD6C5E" w:rsidP="00313226">
            <w:pPr>
              <w:pStyle w:val="TableText"/>
              <w:rPr>
                <w:rFonts w:eastAsia="Calibri"/>
                <w:szCs w:val="20"/>
              </w:rPr>
            </w:pPr>
            <w:r w:rsidRPr="009E2F9F">
              <w:rPr>
                <w:b/>
              </w:rPr>
              <w:t>redacted</w:t>
            </w:r>
          </w:p>
        </w:tc>
        <w:tc>
          <w:tcPr>
            <w:tcW w:w="707" w:type="pct"/>
          </w:tcPr>
          <w:p w14:paraId="111244A3" w14:textId="1E9A3019" w:rsidR="00313226" w:rsidRPr="009E2F9F" w:rsidRDefault="00313226" w:rsidP="00313226">
            <w:pPr>
              <w:pStyle w:val="TableText"/>
              <w:rPr>
                <w:rFonts w:eastAsia="Calibri"/>
                <w:szCs w:val="20"/>
              </w:rPr>
            </w:pPr>
            <w:r w:rsidRPr="009E2F9F">
              <w:rPr>
                <w:rFonts w:eastAsia="Calibri"/>
                <w:szCs w:val="20"/>
              </w:rPr>
              <w:t>3.54</w:t>
            </w:r>
          </w:p>
        </w:tc>
        <w:tc>
          <w:tcPr>
            <w:tcW w:w="629" w:type="pct"/>
          </w:tcPr>
          <w:p w14:paraId="04DFD8BE" w14:textId="071E240C" w:rsidR="00313226" w:rsidRPr="009E2F9F" w:rsidRDefault="00657546" w:rsidP="00313226">
            <w:pPr>
              <w:pStyle w:val="TableText"/>
              <w:rPr>
                <w:rFonts w:eastAsia="Calibri"/>
                <w:szCs w:val="20"/>
              </w:rPr>
            </w:pPr>
            <w:r w:rsidRPr="009E2F9F">
              <w:rPr>
                <w:b/>
              </w:rPr>
              <w:t>redacted</w:t>
            </w:r>
          </w:p>
        </w:tc>
        <w:tc>
          <w:tcPr>
            <w:tcW w:w="601" w:type="pct"/>
          </w:tcPr>
          <w:p w14:paraId="1A8A94FE" w14:textId="6F8D1F27" w:rsidR="00313226" w:rsidRPr="009E2F9F" w:rsidRDefault="00C81445" w:rsidP="00313226">
            <w:pPr>
              <w:pStyle w:val="TableText"/>
              <w:rPr>
                <w:rFonts w:eastAsia="Calibri"/>
                <w:szCs w:val="20"/>
              </w:rPr>
            </w:pPr>
            <w:r w:rsidRPr="009E2F9F">
              <w:rPr>
                <w:rFonts w:eastAsia="Calibri"/>
                <w:szCs w:val="20"/>
              </w:rPr>
              <w:t>+</w:t>
            </w:r>
            <w:r w:rsidR="00313226" w:rsidRPr="009E2F9F">
              <w:rPr>
                <w:rFonts w:eastAsia="Calibri"/>
                <w:szCs w:val="20"/>
              </w:rPr>
              <w:t>31.8</w:t>
            </w:r>
            <w:r w:rsidRPr="009E2F9F">
              <w:rPr>
                <w:rFonts w:eastAsia="Calibri"/>
                <w:szCs w:val="20"/>
              </w:rPr>
              <w:t>%</w:t>
            </w:r>
          </w:p>
        </w:tc>
      </w:tr>
      <w:tr w:rsidR="00C81445" w:rsidRPr="00CE28E3" w14:paraId="52AB4A02" w14:textId="77777777" w:rsidTr="00C81445">
        <w:trPr>
          <w:cantSplit/>
          <w:trHeight w:val="283"/>
        </w:trPr>
        <w:tc>
          <w:tcPr>
            <w:tcW w:w="5000" w:type="pct"/>
            <w:gridSpan w:val="5"/>
          </w:tcPr>
          <w:p w14:paraId="2F650CDD" w14:textId="527D39A9" w:rsidR="00C81445" w:rsidRPr="008C77DF" w:rsidRDefault="00C81445" w:rsidP="00313226">
            <w:pPr>
              <w:pStyle w:val="TableText"/>
              <w:rPr>
                <w:rFonts w:eastAsia="Calibri"/>
                <w:b/>
                <w:bCs/>
                <w:szCs w:val="20"/>
              </w:rPr>
            </w:pPr>
            <w:r w:rsidRPr="008C77DF">
              <w:rPr>
                <w:b/>
                <w:bCs/>
              </w:rPr>
              <w:t>Dialysis and transplant costs (base case: micro-costing)</w:t>
            </w:r>
          </w:p>
        </w:tc>
      </w:tr>
      <w:tr w:rsidR="00313226" w:rsidRPr="00CE28E3" w14:paraId="5E6658D2" w14:textId="77777777" w:rsidTr="005210CD">
        <w:trPr>
          <w:cantSplit/>
          <w:trHeight w:val="283"/>
        </w:trPr>
        <w:tc>
          <w:tcPr>
            <w:tcW w:w="2356" w:type="pct"/>
          </w:tcPr>
          <w:p w14:paraId="18B29602" w14:textId="4A563FE0" w:rsidR="00313226" w:rsidRPr="00651468" w:rsidRDefault="00005563" w:rsidP="00313226">
            <w:pPr>
              <w:pStyle w:val="TableText"/>
            </w:pPr>
            <w:r>
              <w:lastRenderedPageBreak/>
              <w:t>Inflation-adjusted KHA costs</w:t>
            </w:r>
            <w:r w:rsidR="009E29A1">
              <w:t xml:space="preserve"> for dialysis costs</w:t>
            </w:r>
          </w:p>
        </w:tc>
        <w:tc>
          <w:tcPr>
            <w:tcW w:w="707" w:type="pct"/>
          </w:tcPr>
          <w:p w14:paraId="16319821" w14:textId="2A59A24C" w:rsidR="00313226" w:rsidRPr="009E2F9F" w:rsidRDefault="00DD6C5E" w:rsidP="00313226">
            <w:pPr>
              <w:pStyle w:val="TableText"/>
              <w:rPr>
                <w:rFonts w:eastAsia="Calibri"/>
                <w:szCs w:val="20"/>
              </w:rPr>
            </w:pPr>
            <w:r w:rsidRPr="009E2F9F">
              <w:rPr>
                <w:b/>
              </w:rPr>
              <w:t>redacted</w:t>
            </w:r>
          </w:p>
        </w:tc>
        <w:tc>
          <w:tcPr>
            <w:tcW w:w="707" w:type="pct"/>
          </w:tcPr>
          <w:p w14:paraId="07A5F5D2" w14:textId="77777777" w:rsidR="00313226" w:rsidRPr="009E2F9F" w:rsidRDefault="00313226" w:rsidP="00313226">
            <w:pPr>
              <w:pStyle w:val="TableText"/>
              <w:rPr>
                <w:rFonts w:eastAsia="Calibri"/>
                <w:szCs w:val="20"/>
              </w:rPr>
            </w:pPr>
            <w:r w:rsidRPr="009E2F9F">
              <w:rPr>
                <w:rFonts w:eastAsia="Calibri"/>
                <w:szCs w:val="20"/>
              </w:rPr>
              <w:t>2.26</w:t>
            </w:r>
          </w:p>
        </w:tc>
        <w:tc>
          <w:tcPr>
            <w:tcW w:w="629" w:type="pct"/>
          </w:tcPr>
          <w:p w14:paraId="04D425E0" w14:textId="4BB41174" w:rsidR="00313226" w:rsidRPr="009E2F9F" w:rsidRDefault="00657546" w:rsidP="00313226">
            <w:pPr>
              <w:pStyle w:val="TableText"/>
              <w:rPr>
                <w:rFonts w:eastAsia="Calibri"/>
                <w:szCs w:val="20"/>
              </w:rPr>
            </w:pPr>
            <w:r w:rsidRPr="009E2F9F">
              <w:rPr>
                <w:b/>
              </w:rPr>
              <w:t>redacted</w:t>
            </w:r>
          </w:p>
        </w:tc>
        <w:tc>
          <w:tcPr>
            <w:tcW w:w="601" w:type="pct"/>
          </w:tcPr>
          <w:p w14:paraId="59BDB8C6" w14:textId="1FBA4B0B" w:rsidR="00313226" w:rsidRPr="009E2F9F" w:rsidRDefault="00C81445" w:rsidP="00313226">
            <w:pPr>
              <w:pStyle w:val="TableText"/>
              <w:rPr>
                <w:rFonts w:eastAsia="Calibri"/>
                <w:szCs w:val="20"/>
              </w:rPr>
            </w:pPr>
            <w:r w:rsidRPr="009E2F9F">
              <w:rPr>
                <w:rFonts w:eastAsia="Calibri"/>
                <w:szCs w:val="20"/>
              </w:rPr>
              <w:t>+</w:t>
            </w:r>
            <w:r w:rsidR="00313226" w:rsidRPr="009E2F9F">
              <w:rPr>
                <w:rFonts w:eastAsia="Calibri"/>
                <w:szCs w:val="20"/>
              </w:rPr>
              <w:t>105.9</w:t>
            </w:r>
            <w:r w:rsidRPr="009E2F9F">
              <w:rPr>
                <w:rFonts w:eastAsia="Calibri"/>
                <w:szCs w:val="20"/>
              </w:rPr>
              <w:t>%</w:t>
            </w:r>
          </w:p>
        </w:tc>
      </w:tr>
      <w:tr w:rsidR="00313226" w:rsidRPr="00CE28E3" w14:paraId="0801B64B" w14:textId="77777777" w:rsidTr="005210CD">
        <w:trPr>
          <w:cantSplit/>
          <w:trHeight w:val="283"/>
        </w:trPr>
        <w:tc>
          <w:tcPr>
            <w:tcW w:w="2356" w:type="pct"/>
          </w:tcPr>
          <w:p w14:paraId="176A68C7" w14:textId="65CA4A22" w:rsidR="00313226" w:rsidRPr="00651468" w:rsidRDefault="009E29A1" w:rsidP="00313226">
            <w:pPr>
              <w:pStyle w:val="TableText"/>
            </w:pPr>
            <w:r>
              <w:t>Dialysis costs</w:t>
            </w:r>
            <w:r w:rsidR="00005563">
              <w:t xml:space="preserve"> </w:t>
            </w:r>
            <w:r w:rsidR="00AD73DF">
              <w:t>per Gorham 2019</w:t>
            </w:r>
          </w:p>
        </w:tc>
        <w:tc>
          <w:tcPr>
            <w:tcW w:w="707" w:type="pct"/>
          </w:tcPr>
          <w:p w14:paraId="684250C4" w14:textId="560E72CB" w:rsidR="00313226" w:rsidRPr="009E2F9F" w:rsidRDefault="002769A6" w:rsidP="00313226">
            <w:pPr>
              <w:pStyle w:val="TableText"/>
              <w:rPr>
                <w:rFonts w:eastAsia="Calibri"/>
                <w:szCs w:val="20"/>
              </w:rPr>
            </w:pPr>
            <w:r w:rsidRPr="009E2F9F">
              <w:rPr>
                <w:b/>
              </w:rPr>
              <w:t>redacted</w:t>
            </w:r>
          </w:p>
        </w:tc>
        <w:tc>
          <w:tcPr>
            <w:tcW w:w="707" w:type="pct"/>
          </w:tcPr>
          <w:p w14:paraId="53214B10" w14:textId="77777777" w:rsidR="00313226" w:rsidRPr="009E2F9F" w:rsidRDefault="00313226" w:rsidP="00313226">
            <w:pPr>
              <w:pStyle w:val="TableText"/>
              <w:rPr>
                <w:rFonts w:eastAsia="Calibri"/>
                <w:szCs w:val="20"/>
              </w:rPr>
            </w:pPr>
            <w:r w:rsidRPr="009E2F9F">
              <w:rPr>
                <w:rFonts w:eastAsia="Calibri"/>
                <w:szCs w:val="20"/>
              </w:rPr>
              <w:t>2.26</w:t>
            </w:r>
          </w:p>
        </w:tc>
        <w:tc>
          <w:tcPr>
            <w:tcW w:w="629" w:type="pct"/>
          </w:tcPr>
          <w:p w14:paraId="3F49992D" w14:textId="0356C5EB" w:rsidR="00313226" w:rsidRPr="009E2F9F" w:rsidRDefault="00657546" w:rsidP="00313226">
            <w:pPr>
              <w:pStyle w:val="TableText"/>
              <w:rPr>
                <w:rFonts w:eastAsia="Calibri"/>
                <w:szCs w:val="20"/>
              </w:rPr>
            </w:pPr>
            <w:r w:rsidRPr="009E2F9F">
              <w:rPr>
                <w:b/>
              </w:rPr>
              <w:t>redacted</w:t>
            </w:r>
          </w:p>
        </w:tc>
        <w:tc>
          <w:tcPr>
            <w:tcW w:w="601" w:type="pct"/>
          </w:tcPr>
          <w:p w14:paraId="05863090" w14:textId="79517E90" w:rsidR="00313226" w:rsidRPr="009E2F9F" w:rsidRDefault="00C81445" w:rsidP="00313226">
            <w:pPr>
              <w:pStyle w:val="TableText"/>
              <w:rPr>
                <w:rFonts w:eastAsia="Calibri"/>
                <w:szCs w:val="20"/>
              </w:rPr>
            </w:pPr>
            <w:r w:rsidRPr="009E2F9F">
              <w:rPr>
                <w:rFonts w:eastAsia="Calibri"/>
                <w:szCs w:val="20"/>
              </w:rPr>
              <w:t>+</w:t>
            </w:r>
            <w:r w:rsidR="00313226" w:rsidRPr="009E2F9F">
              <w:rPr>
                <w:rFonts w:eastAsia="Calibri"/>
                <w:szCs w:val="20"/>
              </w:rPr>
              <w:t>49.9</w:t>
            </w:r>
            <w:r w:rsidRPr="009E2F9F">
              <w:rPr>
                <w:rFonts w:eastAsia="Calibri"/>
                <w:szCs w:val="20"/>
              </w:rPr>
              <w:t>%</w:t>
            </w:r>
          </w:p>
        </w:tc>
      </w:tr>
      <w:tr w:rsidR="00313226" w:rsidRPr="00CE28E3" w14:paraId="2FA517E2" w14:textId="77777777" w:rsidTr="005210CD">
        <w:trPr>
          <w:cantSplit/>
          <w:trHeight w:val="283"/>
        </w:trPr>
        <w:tc>
          <w:tcPr>
            <w:tcW w:w="2356" w:type="pct"/>
          </w:tcPr>
          <w:p w14:paraId="44BB14A4" w14:textId="4B188CDC" w:rsidR="00313226" w:rsidRPr="00651468" w:rsidRDefault="009E29A1" w:rsidP="00313226">
            <w:pPr>
              <w:pStyle w:val="TableText"/>
            </w:pPr>
            <w:r>
              <w:t>Dialysis costs limited</w:t>
            </w:r>
            <w:r w:rsidR="00AD73DF">
              <w:t xml:space="preserve"> to </w:t>
            </w:r>
            <w:r>
              <w:t xml:space="preserve">patients from </w:t>
            </w:r>
            <w:r w:rsidR="00AD73DF">
              <w:t>remote location</w:t>
            </w:r>
            <w:r>
              <w:t xml:space="preserve">s </w:t>
            </w:r>
          </w:p>
        </w:tc>
        <w:tc>
          <w:tcPr>
            <w:tcW w:w="707" w:type="pct"/>
          </w:tcPr>
          <w:p w14:paraId="5813B6A9" w14:textId="32F378A0" w:rsidR="00313226" w:rsidRPr="009E2F9F" w:rsidRDefault="00130252" w:rsidP="00313226">
            <w:pPr>
              <w:pStyle w:val="TableText"/>
              <w:rPr>
                <w:rFonts w:eastAsia="Calibri"/>
                <w:szCs w:val="20"/>
              </w:rPr>
            </w:pPr>
            <w:r w:rsidRPr="009E2F9F">
              <w:rPr>
                <w:b/>
              </w:rPr>
              <w:t>redacted</w:t>
            </w:r>
          </w:p>
        </w:tc>
        <w:tc>
          <w:tcPr>
            <w:tcW w:w="707" w:type="pct"/>
          </w:tcPr>
          <w:p w14:paraId="07535E7E" w14:textId="77777777" w:rsidR="00313226" w:rsidRPr="009E2F9F" w:rsidRDefault="00313226" w:rsidP="00313226">
            <w:pPr>
              <w:pStyle w:val="TableText"/>
              <w:rPr>
                <w:rFonts w:eastAsia="Calibri"/>
                <w:szCs w:val="20"/>
              </w:rPr>
            </w:pPr>
            <w:r w:rsidRPr="009E2F9F">
              <w:rPr>
                <w:rFonts w:eastAsia="Calibri"/>
                <w:szCs w:val="20"/>
              </w:rPr>
              <w:t>2.26</w:t>
            </w:r>
          </w:p>
        </w:tc>
        <w:tc>
          <w:tcPr>
            <w:tcW w:w="629" w:type="pct"/>
          </w:tcPr>
          <w:p w14:paraId="245CCD3C" w14:textId="77777777" w:rsidR="00313226" w:rsidRPr="009E2F9F" w:rsidRDefault="00313226" w:rsidP="00313226">
            <w:pPr>
              <w:pStyle w:val="TableText"/>
              <w:rPr>
                <w:rFonts w:eastAsia="Calibri"/>
                <w:szCs w:val="20"/>
              </w:rPr>
            </w:pPr>
            <w:r w:rsidRPr="009E2F9F">
              <w:rPr>
                <w:rFonts w:eastAsia="Calibri"/>
                <w:szCs w:val="20"/>
              </w:rPr>
              <w:t>Dominant</w:t>
            </w:r>
          </w:p>
        </w:tc>
        <w:tc>
          <w:tcPr>
            <w:tcW w:w="601" w:type="pct"/>
          </w:tcPr>
          <w:p w14:paraId="173A38E3" w14:textId="7CDDD16F" w:rsidR="00313226" w:rsidRPr="009E2F9F" w:rsidRDefault="00C81445" w:rsidP="00313226">
            <w:pPr>
              <w:pStyle w:val="TableText"/>
              <w:rPr>
                <w:rFonts w:eastAsia="Calibri"/>
                <w:szCs w:val="20"/>
              </w:rPr>
            </w:pPr>
            <w:r w:rsidRPr="009E2F9F">
              <w:rPr>
                <w:rFonts w:eastAsia="Calibri"/>
                <w:szCs w:val="20"/>
              </w:rPr>
              <w:t>NA</w:t>
            </w:r>
          </w:p>
        </w:tc>
      </w:tr>
      <w:tr w:rsidR="00AD73DF" w:rsidRPr="00CE28E3" w14:paraId="63CE6F5C" w14:textId="77777777" w:rsidTr="005210CD">
        <w:trPr>
          <w:cantSplit/>
          <w:trHeight w:val="283"/>
        </w:trPr>
        <w:tc>
          <w:tcPr>
            <w:tcW w:w="2356" w:type="pct"/>
          </w:tcPr>
          <w:p w14:paraId="35A22651" w14:textId="11E2523E" w:rsidR="00AD73DF" w:rsidRPr="00651468" w:rsidRDefault="009B39C1" w:rsidP="00AD73DF">
            <w:pPr>
              <w:pStyle w:val="TableText"/>
            </w:pPr>
            <w:r>
              <w:t>Inflation-adjusted KHA costs</w:t>
            </w:r>
            <w:r w:rsidR="009E29A1">
              <w:t xml:space="preserve"> for transplant costs</w:t>
            </w:r>
          </w:p>
        </w:tc>
        <w:tc>
          <w:tcPr>
            <w:tcW w:w="707" w:type="pct"/>
          </w:tcPr>
          <w:p w14:paraId="28A4B52A" w14:textId="41676B11" w:rsidR="00AD73DF" w:rsidRPr="009E2F9F" w:rsidRDefault="00130252" w:rsidP="00AD73DF">
            <w:pPr>
              <w:pStyle w:val="TableText"/>
              <w:rPr>
                <w:rFonts w:eastAsia="Calibri"/>
                <w:szCs w:val="20"/>
              </w:rPr>
            </w:pPr>
            <w:r w:rsidRPr="009E2F9F">
              <w:rPr>
                <w:b/>
              </w:rPr>
              <w:t>redacted</w:t>
            </w:r>
          </w:p>
        </w:tc>
        <w:tc>
          <w:tcPr>
            <w:tcW w:w="707" w:type="pct"/>
          </w:tcPr>
          <w:p w14:paraId="51C6C786" w14:textId="6CE88AD4" w:rsidR="00AD73DF" w:rsidRPr="009E2F9F" w:rsidRDefault="00AD73DF" w:rsidP="00AD73DF">
            <w:pPr>
              <w:pStyle w:val="TableText"/>
              <w:rPr>
                <w:rFonts w:eastAsia="Calibri"/>
                <w:szCs w:val="20"/>
              </w:rPr>
            </w:pPr>
            <w:r w:rsidRPr="009E2F9F">
              <w:rPr>
                <w:rFonts w:eastAsia="Calibri"/>
                <w:szCs w:val="20"/>
              </w:rPr>
              <w:t>2.26</w:t>
            </w:r>
          </w:p>
        </w:tc>
        <w:tc>
          <w:tcPr>
            <w:tcW w:w="629" w:type="pct"/>
          </w:tcPr>
          <w:p w14:paraId="51E15385" w14:textId="378335F4" w:rsidR="00AD73DF" w:rsidRPr="009E2F9F" w:rsidRDefault="00657546" w:rsidP="00AD73DF">
            <w:pPr>
              <w:pStyle w:val="TableText"/>
              <w:rPr>
                <w:rFonts w:eastAsia="Calibri"/>
                <w:szCs w:val="20"/>
              </w:rPr>
            </w:pPr>
            <w:r w:rsidRPr="009E2F9F">
              <w:rPr>
                <w:b/>
              </w:rPr>
              <w:t>redacted</w:t>
            </w:r>
          </w:p>
        </w:tc>
        <w:tc>
          <w:tcPr>
            <w:tcW w:w="601" w:type="pct"/>
            <w:vAlign w:val="center"/>
          </w:tcPr>
          <w:p w14:paraId="4C4DE81D" w14:textId="0B1E3C43" w:rsidR="00AD73DF" w:rsidRPr="009E2F9F" w:rsidRDefault="00C81445" w:rsidP="00AD73DF">
            <w:pPr>
              <w:pStyle w:val="TableText"/>
              <w:rPr>
                <w:rFonts w:eastAsia="Calibri"/>
                <w:szCs w:val="20"/>
              </w:rPr>
            </w:pPr>
            <w:r w:rsidRPr="009E2F9F">
              <w:rPr>
                <w:rFonts w:eastAsia="Calibri"/>
                <w:szCs w:val="20"/>
              </w:rPr>
              <w:t>+</w:t>
            </w:r>
            <w:r w:rsidR="00AD73DF" w:rsidRPr="009E2F9F">
              <w:rPr>
                <w:rFonts w:eastAsia="Calibri"/>
                <w:szCs w:val="20"/>
              </w:rPr>
              <w:t>31.1</w:t>
            </w:r>
            <w:r w:rsidRPr="009E2F9F">
              <w:rPr>
                <w:rFonts w:eastAsia="Calibri"/>
                <w:szCs w:val="20"/>
              </w:rPr>
              <w:t>%</w:t>
            </w:r>
          </w:p>
        </w:tc>
      </w:tr>
      <w:tr w:rsidR="00C81445" w:rsidRPr="00CE28E3" w14:paraId="51B16210" w14:textId="77777777" w:rsidTr="005210CD">
        <w:trPr>
          <w:cantSplit/>
          <w:trHeight w:val="283"/>
        </w:trPr>
        <w:tc>
          <w:tcPr>
            <w:tcW w:w="2356" w:type="pct"/>
          </w:tcPr>
          <w:p w14:paraId="27694155" w14:textId="2661B74D" w:rsidR="00C81445" w:rsidRDefault="00C81445" w:rsidP="00C81445">
            <w:pPr>
              <w:pStyle w:val="TableText"/>
            </w:pPr>
            <w:r>
              <w:t>Inflation-adjusted KHA costs for both dialysis and transplant costs</w:t>
            </w:r>
          </w:p>
        </w:tc>
        <w:tc>
          <w:tcPr>
            <w:tcW w:w="707" w:type="pct"/>
          </w:tcPr>
          <w:p w14:paraId="0BFC1D9E" w14:textId="3FB9B61F" w:rsidR="00C81445" w:rsidRPr="009E2F9F" w:rsidRDefault="00130252" w:rsidP="00C81445">
            <w:pPr>
              <w:pStyle w:val="TableText"/>
              <w:rPr>
                <w:rFonts w:eastAsia="Calibri"/>
                <w:szCs w:val="20"/>
              </w:rPr>
            </w:pPr>
            <w:r w:rsidRPr="009E2F9F">
              <w:rPr>
                <w:b/>
              </w:rPr>
              <w:t>redacted</w:t>
            </w:r>
          </w:p>
        </w:tc>
        <w:tc>
          <w:tcPr>
            <w:tcW w:w="707" w:type="pct"/>
          </w:tcPr>
          <w:p w14:paraId="6208F1AA" w14:textId="78191B5E" w:rsidR="00C81445" w:rsidRPr="009E2F9F" w:rsidRDefault="00C81445" w:rsidP="00C81445">
            <w:pPr>
              <w:pStyle w:val="TableText"/>
              <w:rPr>
                <w:rFonts w:eastAsia="Calibri"/>
                <w:szCs w:val="20"/>
              </w:rPr>
            </w:pPr>
            <w:r w:rsidRPr="009E2F9F">
              <w:rPr>
                <w:rFonts w:eastAsia="Calibri"/>
                <w:szCs w:val="20"/>
              </w:rPr>
              <w:t>2.26</w:t>
            </w:r>
          </w:p>
        </w:tc>
        <w:tc>
          <w:tcPr>
            <w:tcW w:w="629" w:type="pct"/>
          </w:tcPr>
          <w:p w14:paraId="0C2BFA9A" w14:textId="528C8CFE" w:rsidR="00C81445" w:rsidRPr="009E2F9F" w:rsidRDefault="00657546" w:rsidP="00C81445">
            <w:pPr>
              <w:pStyle w:val="TableText"/>
              <w:rPr>
                <w:rFonts w:eastAsia="Calibri"/>
                <w:szCs w:val="20"/>
              </w:rPr>
            </w:pPr>
            <w:r w:rsidRPr="009E2F9F">
              <w:rPr>
                <w:b/>
              </w:rPr>
              <w:t>redacted</w:t>
            </w:r>
          </w:p>
        </w:tc>
        <w:tc>
          <w:tcPr>
            <w:tcW w:w="601" w:type="pct"/>
          </w:tcPr>
          <w:p w14:paraId="0E399262" w14:textId="26D022B5" w:rsidR="00C81445" w:rsidRPr="009E2F9F" w:rsidRDefault="00C81445" w:rsidP="00C81445">
            <w:pPr>
              <w:pStyle w:val="TableText"/>
              <w:rPr>
                <w:rFonts w:eastAsia="Calibri"/>
                <w:szCs w:val="20"/>
              </w:rPr>
            </w:pPr>
            <w:r w:rsidRPr="009E2F9F">
              <w:rPr>
                <w:rFonts w:eastAsia="Calibri"/>
                <w:szCs w:val="20"/>
              </w:rPr>
              <w:t>+137.0%</w:t>
            </w:r>
          </w:p>
        </w:tc>
      </w:tr>
      <w:tr w:rsidR="00641D1D" w:rsidRPr="00CE28E3" w14:paraId="5C8A98F2" w14:textId="77777777" w:rsidTr="00641D1D">
        <w:trPr>
          <w:cantSplit/>
          <w:trHeight w:val="283"/>
        </w:trPr>
        <w:tc>
          <w:tcPr>
            <w:tcW w:w="5000" w:type="pct"/>
            <w:gridSpan w:val="5"/>
          </w:tcPr>
          <w:p w14:paraId="63695FBC" w14:textId="1FD6E9D2" w:rsidR="00641D1D" w:rsidRPr="008C77DF" w:rsidRDefault="00641D1D" w:rsidP="00C81445">
            <w:pPr>
              <w:pStyle w:val="TableText"/>
              <w:rPr>
                <w:rFonts w:eastAsia="Calibri"/>
                <w:b/>
                <w:bCs/>
                <w:szCs w:val="20"/>
              </w:rPr>
            </w:pPr>
            <w:r w:rsidRPr="008C77DF">
              <w:rPr>
                <w:b/>
                <w:bCs/>
              </w:rPr>
              <w:t>Utilities</w:t>
            </w:r>
          </w:p>
        </w:tc>
      </w:tr>
      <w:tr w:rsidR="00DB7C1C" w:rsidRPr="00CE28E3" w14:paraId="38887C41" w14:textId="77777777" w:rsidTr="005210CD">
        <w:trPr>
          <w:cantSplit/>
          <w:trHeight w:val="283"/>
        </w:trPr>
        <w:tc>
          <w:tcPr>
            <w:tcW w:w="2356" w:type="pct"/>
          </w:tcPr>
          <w:p w14:paraId="2CB29089" w14:textId="2DDE31D7" w:rsidR="00DB7C1C" w:rsidRDefault="00DB7C1C" w:rsidP="00C81445">
            <w:pPr>
              <w:pStyle w:val="TableText"/>
            </w:pPr>
            <w:r>
              <w:t>Add caregiver utility</w:t>
            </w:r>
          </w:p>
        </w:tc>
        <w:tc>
          <w:tcPr>
            <w:tcW w:w="707" w:type="pct"/>
          </w:tcPr>
          <w:p w14:paraId="595FA8EA" w14:textId="7509BBEB" w:rsidR="00DB7C1C" w:rsidRPr="009E2F9F" w:rsidRDefault="00657546" w:rsidP="00C81445">
            <w:pPr>
              <w:pStyle w:val="TableText"/>
              <w:rPr>
                <w:rFonts w:eastAsia="Calibri"/>
                <w:szCs w:val="20"/>
              </w:rPr>
            </w:pPr>
            <w:r w:rsidRPr="009E2F9F">
              <w:rPr>
                <w:b/>
              </w:rPr>
              <w:t>redacted</w:t>
            </w:r>
          </w:p>
        </w:tc>
        <w:tc>
          <w:tcPr>
            <w:tcW w:w="707" w:type="pct"/>
          </w:tcPr>
          <w:p w14:paraId="45E00E58" w14:textId="01E16FE4" w:rsidR="00DB7C1C" w:rsidRPr="009E2F9F" w:rsidRDefault="00EB626F" w:rsidP="00C81445">
            <w:pPr>
              <w:pStyle w:val="TableText"/>
              <w:rPr>
                <w:rFonts w:eastAsia="Calibri"/>
                <w:szCs w:val="20"/>
              </w:rPr>
            </w:pPr>
            <w:r w:rsidRPr="009E2F9F">
              <w:rPr>
                <w:rFonts w:eastAsia="Calibri"/>
                <w:szCs w:val="20"/>
              </w:rPr>
              <w:t>2.36</w:t>
            </w:r>
          </w:p>
        </w:tc>
        <w:tc>
          <w:tcPr>
            <w:tcW w:w="629" w:type="pct"/>
          </w:tcPr>
          <w:p w14:paraId="3F93310B" w14:textId="117B29CC" w:rsidR="00DB7C1C" w:rsidRPr="009E2F9F" w:rsidRDefault="00657546" w:rsidP="00C81445">
            <w:pPr>
              <w:pStyle w:val="TableText"/>
              <w:rPr>
                <w:rFonts w:eastAsia="Calibri"/>
                <w:szCs w:val="20"/>
              </w:rPr>
            </w:pPr>
            <w:r w:rsidRPr="009E2F9F">
              <w:rPr>
                <w:b/>
              </w:rPr>
              <w:t>redacted</w:t>
            </w:r>
          </w:p>
        </w:tc>
        <w:tc>
          <w:tcPr>
            <w:tcW w:w="601" w:type="pct"/>
          </w:tcPr>
          <w:p w14:paraId="0CCD3C21" w14:textId="449DE723" w:rsidR="00DB7C1C" w:rsidRPr="009E2F9F" w:rsidRDefault="00EB626F" w:rsidP="00C81445">
            <w:pPr>
              <w:pStyle w:val="TableText"/>
              <w:rPr>
                <w:rFonts w:eastAsia="Calibri"/>
                <w:szCs w:val="20"/>
              </w:rPr>
            </w:pPr>
            <w:r w:rsidRPr="009E2F9F">
              <w:rPr>
                <w:rFonts w:eastAsia="Calibri"/>
                <w:szCs w:val="20"/>
              </w:rPr>
              <w:t>-4.3%</w:t>
            </w:r>
          </w:p>
        </w:tc>
      </w:tr>
      <w:tr w:rsidR="00E01998" w:rsidRPr="00762612" w14:paraId="29D7D9E5" w14:textId="77777777" w:rsidTr="00E01998">
        <w:trPr>
          <w:cantSplit/>
          <w:trHeight w:val="283"/>
        </w:trPr>
        <w:tc>
          <w:tcPr>
            <w:tcW w:w="5000" w:type="pct"/>
            <w:gridSpan w:val="5"/>
          </w:tcPr>
          <w:p w14:paraId="1029ACD3" w14:textId="22A043E1" w:rsidR="00E01998" w:rsidRPr="00527717" w:rsidRDefault="00E01998" w:rsidP="00C81445">
            <w:pPr>
              <w:pStyle w:val="TableText"/>
              <w:rPr>
                <w:rFonts w:eastAsia="Calibri"/>
                <w:b/>
                <w:bCs/>
                <w:szCs w:val="20"/>
              </w:rPr>
            </w:pPr>
            <w:r w:rsidRPr="00527717">
              <w:rPr>
                <w:b/>
                <w:bCs/>
              </w:rPr>
              <w:t xml:space="preserve">LD transplant rate source </w:t>
            </w:r>
          </w:p>
        </w:tc>
      </w:tr>
      <w:tr w:rsidR="00DB1FB3" w:rsidRPr="00CE28E3" w14:paraId="3F4187B0" w14:textId="77777777" w:rsidTr="005210CD">
        <w:trPr>
          <w:cantSplit/>
          <w:trHeight w:val="283"/>
        </w:trPr>
        <w:tc>
          <w:tcPr>
            <w:tcW w:w="2356" w:type="pct"/>
          </w:tcPr>
          <w:p w14:paraId="4C9719E5" w14:textId="3271E299" w:rsidR="00DB1FB3" w:rsidRPr="008C77DF" w:rsidRDefault="00926B42" w:rsidP="00C81445">
            <w:pPr>
              <w:pStyle w:val="TableText"/>
            </w:pPr>
            <w:r w:rsidRPr="008C77DF">
              <w:t>Transplant rate of 15.7%, based on</w:t>
            </w:r>
            <w:r w:rsidR="00762612" w:rsidRPr="008C77DF">
              <w:t xml:space="preserve"> ANZKX data</w:t>
            </w:r>
            <w:r w:rsidR="001C152A" w:rsidRPr="008C77DF">
              <w:t xml:space="preserve"> (base case: based on OrganMatch data for DD recipients)</w:t>
            </w:r>
          </w:p>
        </w:tc>
        <w:tc>
          <w:tcPr>
            <w:tcW w:w="707" w:type="pct"/>
          </w:tcPr>
          <w:p w14:paraId="5BC93730" w14:textId="3CFF41AA" w:rsidR="00DB1FB3" w:rsidRPr="009E2F9F" w:rsidRDefault="00657546" w:rsidP="00C81445">
            <w:pPr>
              <w:pStyle w:val="TableText"/>
              <w:rPr>
                <w:rFonts w:eastAsia="Calibri"/>
                <w:szCs w:val="20"/>
              </w:rPr>
            </w:pPr>
            <w:r w:rsidRPr="009E2F9F">
              <w:rPr>
                <w:b/>
              </w:rPr>
              <w:t>redacted</w:t>
            </w:r>
          </w:p>
        </w:tc>
        <w:tc>
          <w:tcPr>
            <w:tcW w:w="707" w:type="pct"/>
          </w:tcPr>
          <w:p w14:paraId="515713D6" w14:textId="56046476" w:rsidR="00DB1FB3" w:rsidRPr="009E2F9F" w:rsidRDefault="00762612" w:rsidP="00C81445">
            <w:pPr>
              <w:pStyle w:val="TableText"/>
              <w:rPr>
                <w:rFonts w:eastAsia="Calibri"/>
                <w:szCs w:val="20"/>
              </w:rPr>
            </w:pPr>
            <w:r w:rsidRPr="009E2F9F">
              <w:rPr>
                <w:rFonts w:eastAsia="Calibri"/>
                <w:szCs w:val="20"/>
              </w:rPr>
              <w:t>2.23</w:t>
            </w:r>
          </w:p>
        </w:tc>
        <w:tc>
          <w:tcPr>
            <w:tcW w:w="629" w:type="pct"/>
          </w:tcPr>
          <w:p w14:paraId="14A0EC0F" w14:textId="2786E655" w:rsidR="00DB1FB3" w:rsidRPr="009E2F9F" w:rsidRDefault="00657546" w:rsidP="00C81445">
            <w:pPr>
              <w:pStyle w:val="TableText"/>
              <w:rPr>
                <w:rFonts w:eastAsia="Calibri"/>
                <w:szCs w:val="20"/>
              </w:rPr>
            </w:pPr>
            <w:r w:rsidRPr="009E2F9F">
              <w:rPr>
                <w:b/>
              </w:rPr>
              <w:t>redacted</w:t>
            </w:r>
          </w:p>
        </w:tc>
        <w:tc>
          <w:tcPr>
            <w:tcW w:w="601" w:type="pct"/>
          </w:tcPr>
          <w:p w14:paraId="7C8CC3D4" w14:textId="3A73523F" w:rsidR="00DB1FB3" w:rsidRPr="009E2F9F" w:rsidRDefault="00762612" w:rsidP="00C81445">
            <w:pPr>
              <w:pStyle w:val="TableText"/>
              <w:rPr>
                <w:rFonts w:eastAsia="Calibri"/>
                <w:szCs w:val="20"/>
              </w:rPr>
            </w:pPr>
            <w:r w:rsidRPr="009E2F9F">
              <w:rPr>
                <w:rFonts w:eastAsia="Calibri"/>
                <w:szCs w:val="20"/>
              </w:rPr>
              <w:t>+8.3%</w:t>
            </w:r>
          </w:p>
        </w:tc>
      </w:tr>
      <w:tr w:rsidR="00AD5F40" w:rsidRPr="00AD5F40" w14:paraId="4FF08C06" w14:textId="77777777" w:rsidTr="00AD5F40">
        <w:trPr>
          <w:cantSplit/>
          <w:trHeight w:val="283"/>
        </w:trPr>
        <w:tc>
          <w:tcPr>
            <w:tcW w:w="5000" w:type="pct"/>
            <w:gridSpan w:val="5"/>
          </w:tcPr>
          <w:p w14:paraId="28DA0B4F" w14:textId="2B4D0A59" w:rsidR="00AD5F40" w:rsidRPr="008C77DF" w:rsidRDefault="00AD5F40" w:rsidP="00C81445">
            <w:pPr>
              <w:pStyle w:val="TableText"/>
              <w:rPr>
                <w:rFonts w:eastAsia="Calibri"/>
                <w:b/>
                <w:bCs/>
                <w:szCs w:val="20"/>
              </w:rPr>
            </w:pPr>
            <w:r w:rsidRPr="008C77DF">
              <w:rPr>
                <w:b/>
                <w:bCs/>
              </w:rPr>
              <w:t xml:space="preserve">Cost structure for imlifidase </w:t>
            </w:r>
          </w:p>
        </w:tc>
      </w:tr>
      <w:tr w:rsidR="005E5FC9" w:rsidRPr="00CE28E3" w14:paraId="73DA0C04" w14:textId="77777777" w:rsidTr="005210CD">
        <w:trPr>
          <w:cantSplit/>
          <w:trHeight w:val="283"/>
        </w:trPr>
        <w:tc>
          <w:tcPr>
            <w:tcW w:w="2356" w:type="pct"/>
          </w:tcPr>
          <w:p w14:paraId="4F3D6361" w14:textId="30402057" w:rsidR="005E5FC9" w:rsidRPr="008C77DF" w:rsidRDefault="00926B42" w:rsidP="00C81445">
            <w:pPr>
              <w:pStyle w:val="TableText"/>
            </w:pPr>
            <w:r w:rsidRPr="008C77DF">
              <w:t xml:space="preserve">Costing per original submission with </w:t>
            </w:r>
            <w:r w:rsidR="005D2449" w:rsidRPr="008C77DF">
              <w:t xml:space="preserve">a </w:t>
            </w:r>
            <w:r w:rsidR="00A47CCC" w:rsidRPr="009E2F9F">
              <w:rPr>
                <w:b/>
                <w:bCs/>
              </w:rPr>
              <w:t>redacted</w:t>
            </w:r>
            <w:r w:rsidR="005D2449" w:rsidRPr="008C77DF">
              <w:t xml:space="preserve">% discount (base case: fixed price/patient for </w:t>
            </w:r>
            <w:r w:rsidR="00C03E4E" w:rsidRPr="009E2F9F">
              <w:rPr>
                <w:b/>
                <w:bCs/>
              </w:rPr>
              <w:t>redacted</w:t>
            </w:r>
            <w:r w:rsidR="00C006B0" w:rsidRPr="008C77DF">
              <w:t>)</w:t>
            </w:r>
          </w:p>
        </w:tc>
        <w:tc>
          <w:tcPr>
            <w:tcW w:w="707" w:type="pct"/>
          </w:tcPr>
          <w:p w14:paraId="011A6612" w14:textId="27256BEB" w:rsidR="005E5FC9" w:rsidRPr="009E2F9F" w:rsidRDefault="00657546" w:rsidP="00C81445">
            <w:pPr>
              <w:pStyle w:val="TableText"/>
              <w:rPr>
                <w:rFonts w:eastAsia="Calibri"/>
                <w:szCs w:val="20"/>
              </w:rPr>
            </w:pPr>
            <w:r w:rsidRPr="009E2F9F">
              <w:rPr>
                <w:b/>
              </w:rPr>
              <w:t>redacted</w:t>
            </w:r>
          </w:p>
        </w:tc>
        <w:tc>
          <w:tcPr>
            <w:tcW w:w="707" w:type="pct"/>
          </w:tcPr>
          <w:p w14:paraId="6CCA6E3E" w14:textId="6C28678C" w:rsidR="005E5FC9" w:rsidRPr="009E2F9F" w:rsidRDefault="00C718F0" w:rsidP="00C81445">
            <w:pPr>
              <w:pStyle w:val="TableText"/>
              <w:rPr>
                <w:rFonts w:eastAsia="Calibri"/>
                <w:szCs w:val="20"/>
              </w:rPr>
            </w:pPr>
            <w:r w:rsidRPr="009E2F9F">
              <w:rPr>
                <w:rFonts w:eastAsia="Calibri"/>
                <w:szCs w:val="20"/>
              </w:rPr>
              <w:t>2.26</w:t>
            </w:r>
          </w:p>
        </w:tc>
        <w:tc>
          <w:tcPr>
            <w:tcW w:w="629" w:type="pct"/>
          </w:tcPr>
          <w:p w14:paraId="2CF43916" w14:textId="61A9E6B1" w:rsidR="005E5FC9" w:rsidRPr="009E2F9F" w:rsidRDefault="00657546" w:rsidP="00C81445">
            <w:pPr>
              <w:pStyle w:val="TableText"/>
              <w:rPr>
                <w:rFonts w:eastAsia="Calibri"/>
                <w:szCs w:val="20"/>
              </w:rPr>
            </w:pPr>
            <w:r w:rsidRPr="009E2F9F">
              <w:rPr>
                <w:b/>
              </w:rPr>
              <w:t>redacted</w:t>
            </w:r>
          </w:p>
        </w:tc>
        <w:tc>
          <w:tcPr>
            <w:tcW w:w="601" w:type="pct"/>
          </w:tcPr>
          <w:p w14:paraId="303ECA0C" w14:textId="48362C6F" w:rsidR="005E5FC9" w:rsidRPr="009E2F9F" w:rsidRDefault="00B9377D" w:rsidP="00C81445">
            <w:pPr>
              <w:pStyle w:val="TableText"/>
              <w:rPr>
                <w:rFonts w:eastAsia="Calibri"/>
                <w:szCs w:val="20"/>
              </w:rPr>
            </w:pPr>
            <w:r w:rsidRPr="009E2F9F">
              <w:rPr>
                <w:rFonts w:eastAsia="Calibri"/>
                <w:szCs w:val="20"/>
              </w:rPr>
              <w:t>+65.5%</w:t>
            </w:r>
          </w:p>
        </w:tc>
      </w:tr>
      <w:tr w:rsidR="002E4D9E" w:rsidRPr="00CE28E3" w14:paraId="3D295A85" w14:textId="77777777" w:rsidTr="005210CD">
        <w:trPr>
          <w:cantSplit/>
          <w:trHeight w:val="283"/>
        </w:trPr>
        <w:tc>
          <w:tcPr>
            <w:tcW w:w="2356" w:type="pct"/>
          </w:tcPr>
          <w:p w14:paraId="02039510" w14:textId="2900A814" w:rsidR="002E4D9E" w:rsidRPr="008C77DF" w:rsidRDefault="002E4D9E" w:rsidP="00C81445">
            <w:pPr>
              <w:pStyle w:val="TableText"/>
              <w:rPr>
                <w:b/>
                <w:bCs/>
              </w:rPr>
            </w:pPr>
            <w:r w:rsidRPr="008C77DF">
              <w:rPr>
                <w:b/>
                <w:bCs/>
              </w:rPr>
              <w:t>Luminex tests</w:t>
            </w:r>
            <w:r w:rsidR="002B797C" w:rsidRPr="008C77DF">
              <w:rPr>
                <w:b/>
                <w:bCs/>
              </w:rPr>
              <w:t xml:space="preserve"> (base case: </w:t>
            </w:r>
            <w:r w:rsidR="00A0273E" w:rsidRPr="008C77DF">
              <w:rPr>
                <w:b/>
                <w:bCs/>
              </w:rPr>
              <w:t>9</w:t>
            </w:r>
            <w:r w:rsidR="002B797C" w:rsidRPr="008C77DF">
              <w:rPr>
                <w:b/>
                <w:bCs/>
              </w:rPr>
              <w:t xml:space="preserve"> tests)</w:t>
            </w:r>
          </w:p>
        </w:tc>
        <w:tc>
          <w:tcPr>
            <w:tcW w:w="707" w:type="pct"/>
          </w:tcPr>
          <w:p w14:paraId="5E7A3DBC" w14:textId="77777777" w:rsidR="002E4D9E" w:rsidRPr="008C77DF" w:rsidRDefault="002E4D9E" w:rsidP="00C81445">
            <w:pPr>
              <w:pStyle w:val="TableText"/>
              <w:rPr>
                <w:rFonts w:eastAsia="Calibri"/>
                <w:szCs w:val="20"/>
              </w:rPr>
            </w:pPr>
          </w:p>
        </w:tc>
        <w:tc>
          <w:tcPr>
            <w:tcW w:w="707" w:type="pct"/>
          </w:tcPr>
          <w:p w14:paraId="129F349C" w14:textId="77777777" w:rsidR="002E4D9E" w:rsidRPr="008C77DF" w:rsidRDefault="002E4D9E" w:rsidP="00C81445">
            <w:pPr>
              <w:pStyle w:val="TableText"/>
              <w:rPr>
                <w:rFonts w:eastAsia="Calibri"/>
                <w:szCs w:val="20"/>
              </w:rPr>
            </w:pPr>
          </w:p>
        </w:tc>
        <w:tc>
          <w:tcPr>
            <w:tcW w:w="629" w:type="pct"/>
          </w:tcPr>
          <w:p w14:paraId="00B210F4" w14:textId="77777777" w:rsidR="002E4D9E" w:rsidRPr="008C77DF" w:rsidRDefault="002E4D9E" w:rsidP="00C81445">
            <w:pPr>
              <w:pStyle w:val="TableText"/>
              <w:rPr>
                <w:rFonts w:eastAsia="Calibri"/>
                <w:szCs w:val="20"/>
              </w:rPr>
            </w:pPr>
          </w:p>
        </w:tc>
        <w:tc>
          <w:tcPr>
            <w:tcW w:w="601" w:type="pct"/>
          </w:tcPr>
          <w:p w14:paraId="4A4110AB" w14:textId="77777777" w:rsidR="002E4D9E" w:rsidRPr="008C77DF" w:rsidRDefault="002E4D9E" w:rsidP="00C81445">
            <w:pPr>
              <w:pStyle w:val="TableText"/>
              <w:rPr>
                <w:rFonts w:eastAsia="Calibri"/>
                <w:szCs w:val="20"/>
              </w:rPr>
            </w:pPr>
          </w:p>
        </w:tc>
      </w:tr>
      <w:tr w:rsidR="002E4D9E" w:rsidRPr="00CE28E3" w14:paraId="74AFF0C2" w14:textId="77777777" w:rsidTr="005210CD">
        <w:trPr>
          <w:cantSplit/>
          <w:trHeight w:val="283"/>
        </w:trPr>
        <w:tc>
          <w:tcPr>
            <w:tcW w:w="2356" w:type="pct"/>
          </w:tcPr>
          <w:p w14:paraId="2F15504B" w14:textId="6344C713" w:rsidR="002E4D9E" w:rsidRPr="008C77DF" w:rsidRDefault="002B797C" w:rsidP="00C81445">
            <w:pPr>
              <w:pStyle w:val="TableText"/>
            </w:pPr>
            <w:r w:rsidRPr="008C77DF">
              <w:t>One test (per original submission)</w:t>
            </w:r>
          </w:p>
        </w:tc>
        <w:tc>
          <w:tcPr>
            <w:tcW w:w="707" w:type="pct"/>
          </w:tcPr>
          <w:p w14:paraId="5FB61F97" w14:textId="0BF57D29" w:rsidR="002E4D9E" w:rsidRPr="009E2F9F" w:rsidRDefault="00657546" w:rsidP="00C81445">
            <w:pPr>
              <w:pStyle w:val="TableText"/>
              <w:rPr>
                <w:rFonts w:eastAsia="Calibri"/>
                <w:szCs w:val="20"/>
              </w:rPr>
            </w:pPr>
            <w:r w:rsidRPr="009E2F9F">
              <w:rPr>
                <w:b/>
              </w:rPr>
              <w:t>redacted</w:t>
            </w:r>
          </w:p>
        </w:tc>
        <w:tc>
          <w:tcPr>
            <w:tcW w:w="707" w:type="pct"/>
          </w:tcPr>
          <w:p w14:paraId="68E6D598" w14:textId="0F5D5996" w:rsidR="002E4D9E" w:rsidRPr="009E2F9F" w:rsidRDefault="00360E61" w:rsidP="00C81445">
            <w:pPr>
              <w:pStyle w:val="TableText"/>
              <w:rPr>
                <w:rFonts w:eastAsia="Calibri"/>
                <w:szCs w:val="20"/>
              </w:rPr>
            </w:pPr>
            <w:r w:rsidRPr="009E2F9F">
              <w:rPr>
                <w:rFonts w:eastAsia="Calibri"/>
                <w:szCs w:val="20"/>
              </w:rPr>
              <w:t>2.26</w:t>
            </w:r>
          </w:p>
        </w:tc>
        <w:tc>
          <w:tcPr>
            <w:tcW w:w="629" w:type="pct"/>
          </w:tcPr>
          <w:p w14:paraId="7A9D1E14" w14:textId="23AC4CEC" w:rsidR="002E4D9E" w:rsidRPr="009E2F9F" w:rsidRDefault="00657546" w:rsidP="00C81445">
            <w:pPr>
              <w:pStyle w:val="TableText"/>
              <w:rPr>
                <w:rFonts w:eastAsia="Calibri"/>
                <w:szCs w:val="20"/>
              </w:rPr>
            </w:pPr>
            <w:r w:rsidRPr="009E2F9F">
              <w:rPr>
                <w:b/>
              </w:rPr>
              <w:t>redacted</w:t>
            </w:r>
          </w:p>
        </w:tc>
        <w:tc>
          <w:tcPr>
            <w:tcW w:w="601" w:type="pct"/>
          </w:tcPr>
          <w:p w14:paraId="7897DAC0" w14:textId="1092B7EB" w:rsidR="002E4D9E" w:rsidRPr="009E2F9F" w:rsidRDefault="00E71166" w:rsidP="00C81445">
            <w:pPr>
              <w:pStyle w:val="TableText"/>
              <w:rPr>
                <w:rFonts w:eastAsia="Calibri"/>
                <w:szCs w:val="20"/>
              </w:rPr>
            </w:pPr>
            <w:r w:rsidRPr="009E2F9F">
              <w:rPr>
                <w:rFonts w:eastAsia="Calibri"/>
                <w:szCs w:val="20"/>
              </w:rPr>
              <w:t>-</w:t>
            </w:r>
            <w:r w:rsidR="00CB3ECA" w:rsidRPr="009E2F9F">
              <w:rPr>
                <w:rFonts w:eastAsia="Calibri"/>
                <w:szCs w:val="20"/>
              </w:rPr>
              <w:t>7.6%</w:t>
            </w:r>
          </w:p>
        </w:tc>
      </w:tr>
    </w:tbl>
    <w:p w14:paraId="4A592005" w14:textId="7AE6B008" w:rsidR="00F41344" w:rsidRPr="00527717" w:rsidRDefault="00F41344" w:rsidP="00AD2029">
      <w:pPr>
        <w:pStyle w:val="Tablenotes"/>
        <w:rPr>
          <w:rFonts w:eastAsia="Calibri"/>
          <w:b/>
          <w:bCs/>
          <w:u w:val="single"/>
        </w:rPr>
      </w:pPr>
      <w:r>
        <w:rPr>
          <w:rFonts w:eastAsia="Calibri"/>
          <w:b/>
          <w:bCs/>
          <w:u w:val="single"/>
        </w:rPr>
        <w:t>Abbreviations</w:t>
      </w:r>
    </w:p>
    <w:p w14:paraId="3000DD0A" w14:textId="2A24FB14" w:rsidR="00F41344" w:rsidRDefault="000922F8" w:rsidP="00AD2029">
      <w:pPr>
        <w:pStyle w:val="Tablenotes"/>
        <w:rPr>
          <w:rFonts w:eastAsia="Calibri"/>
          <w:b/>
          <w:bCs/>
          <w:u w:val="single"/>
        </w:rPr>
      </w:pPr>
      <w:r>
        <w:rPr>
          <w:rFonts w:eastAsia="Calibri"/>
        </w:rPr>
        <w:t xml:space="preserve">AUS-UTT-A = Australia – </w:t>
      </w:r>
      <w:r w:rsidR="00F41344">
        <w:rPr>
          <w:rFonts w:eastAsia="Calibri"/>
        </w:rPr>
        <w:t>u</w:t>
      </w:r>
      <w:r>
        <w:rPr>
          <w:rFonts w:eastAsia="Calibri"/>
        </w:rPr>
        <w:t xml:space="preserve">nlikely to </w:t>
      </w:r>
      <w:r w:rsidR="00F41344">
        <w:rPr>
          <w:rFonts w:eastAsia="Calibri"/>
        </w:rPr>
        <w:t>t</w:t>
      </w:r>
      <w:r>
        <w:rPr>
          <w:rFonts w:eastAsia="Calibri"/>
        </w:rPr>
        <w:t xml:space="preserve">ransplant – </w:t>
      </w:r>
      <w:r w:rsidR="00F41344">
        <w:rPr>
          <w:rFonts w:eastAsia="Calibri"/>
        </w:rPr>
        <w:t>a</w:t>
      </w:r>
      <w:r>
        <w:rPr>
          <w:rFonts w:eastAsia="Calibri"/>
        </w:rPr>
        <w:t xml:space="preserve">gnostic (includes both deceased donor and living donor recipients), </w:t>
      </w:r>
      <w:r w:rsidR="00AD2029" w:rsidRPr="0045093D">
        <w:rPr>
          <w:rFonts w:eastAsia="Calibri"/>
        </w:rPr>
        <w:t>ICER = incremental cost-effectiveness ratio</w:t>
      </w:r>
      <w:r w:rsidR="00F41344">
        <w:rPr>
          <w:rFonts w:eastAsia="Calibri"/>
        </w:rPr>
        <w:t>,</w:t>
      </w:r>
      <w:r>
        <w:rPr>
          <w:rFonts w:eastAsia="Calibri"/>
        </w:rPr>
        <w:t xml:space="preserve"> KHA = Kidney Health Australia,</w:t>
      </w:r>
      <w:r w:rsidR="00AD2029" w:rsidRPr="0045093D">
        <w:rPr>
          <w:rFonts w:eastAsia="Calibri"/>
        </w:rPr>
        <w:t xml:space="preserve"> </w:t>
      </w:r>
      <w:r w:rsidR="00653D68">
        <w:rPr>
          <w:rFonts w:eastAsia="Calibri"/>
        </w:rPr>
        <w:t xml:space="preserve">NA = not applicable, </w:t>
      </w:r>
      <w:r w:rsidR="00AD2029" w:rsidRPr="00CE28E3">
        <w:rPr>
          <w:rFonts w:eastAsia="Calibri"/>
        </w:rPr>
        <w:t>QALY = quality</w:t>
      </w:r>
      <w:r w:rsidR="00F41344">
        <w:rPr>
          <w:rFonts w:eastAsia="Calibri"/>
        </w:rPr>
        <w:t>-</w:t>
      </w:r>
      <w:r w:rsidR="00AD2029" w:rsidRPr="00CE28E3">
        <w:rPr>
          <w:rFonts w:eastAsia="Calibri"/>
        </w:rPr>
        <w:t>adjusted life year</w:t>
      </w:r>
      <w:r w:rsidR="00303939">
        <w:rPr>
          <w:rFonts w:eastAsia="Calibri"/>
        </w:rPr>
        <w:t xml:space="preserve"> </w:t>
      </w:r>
      <w:r w:rsidR="00F41344">
        <w:rPr>
          <w:rFonts w:eastAsia="Calibri"/>
          <w:b/>
          <w:bCs/>
          <w:u w:val="single"/>
        </w:rPr>
        <w:t>Note</w:t>
      </w:r>
    </w:p>
    <w:p w14:paraId="4988DF8C" w14:textId="77777777" w:rsidR="00F41344" w:rsidRDefault="00F41344" w:rsidP="00F41344">
      <w:pPr>
        <w:pStyle w:val="Tablenotes"/>
        <w:rPr>
          <w:rFonts w:eastAsia="Calibri"/>
        </w:rPr>
      </w:pPr>
      <w:r>
        <w:rPr>
          <w:rFonts w:eastAsia="Calibri"/>
        </w:rPr>
        <w:t>*Not all sensitivity analysis presented in the ADAR have been included in the summary table.</w:t>
      </w:r>
    </w:p>
    <w:p w14:paraId="497D666B" w14:textId="77777777" w:rsidR="00F41344" w:rsidRPr="00527717" w:rsidRDefault="00AD2029" w:rsidP="00AD2029">
      <w:pPr>
        <w:pStyle w:val="Tablenotes"/>
        <w:rPr>
          <w:rFonts w:eastAsia="Calibri"/>
          <w:b/>
          <w:bCs/>
          <w:u w:val="single"/>
        </w:rPr>
      </w:pPr>
      <w:r w:rsidRPr="00527717">
        <w:rPr>
          <w:rFonts w:eastAsia="Calibri"/>
          <w:b/>
          <w:bCs/>
          <w:u w:val="single"/>
        </w:rPr>
        <w:t>Source</w:t>
      </w:r>
    </w:p>
    <w:p w14:paraId="3EF29624" w14:textId="44B68073" w:rsidR="00AD2029" w:rsidRPr="008C77DF" w:rsidRDefault="00CD6EEC" w:rsidP="00AD2029">
      <w:pPr>
        <w:pStyle w:val="Tablenotes"/>
        <w:rPr>
          <w:rFonts w:eastAsia="Calibri"/>
        </w:rPr>
      </w:pPr>
      <w:r w:rsidRPr="00CD6EEC">
        <w:rPr>
          <w:rFonts w:eastAsia="Calibri"/>
        </w:rPr>
        <w:t xml:space="preserve">Adapted from Table </w:t>
      </w:r>
      <w:r>
        <w:rPr>
          <w:rFonts w:eastAsia="Calibri"/>
        </w:rPr>
        <w:t>84</w:t>
      </w:r>
      <w:r w:rsidRPr="00CD6EEC">
        <w:rPr>
          <w:rFonts w:eastAsia="Calibri"/>
        </w:rPr>
        <w:t>, pp</w:t>
      </w:r>
      <w:r w:rsidR="00044EEF">
        <w:rPr>
          <w:rFonts w:eastAsia="Calibri"/>
        </w:rPr>
        <w:t>.</w:t>
      </w:r>
      <w:r w:rsidRPr="00CD6EEC">
        <w:rPr>
          <w:rFonts w:eastAsia="Calibri"/>
        </w:rPr>
        <w:t xml:space="preserve"> </w:t>
      </w:r>
      <w:r>
        <w:rPr>
          <w:rFonts w:eastAsia="Calibri"/>
        </w:rPr>
        <w:t>247</w:t>
      </w:r>
      <w:r w:rsidR="00600B78">
        <w:rPr>
          <w:rFonts w:eastAsia="Calibri"/>
        </w:rPr>
        <w:t>–</w:t>
      </w:r>
      <w:r w:rsidR="00BE50EF">
        <w:rPr>
          <w:rFonts w:eastAsia="Calibri"/>
        </w:rPr>
        <w:t>249</w:t>
      </w:r>
      <w:r w:rsidR="00F677DE">
        <w:rPr>
          <w:rFonts w:eastAsia="Calibri"/>
        </w:rPr>
        <w:t xml:space="preserve">; Table </w:t>
      </w:r>
      <w:r w:rsidR="00D2395B">
        <w:rPr>
          <w:rFonts w:eastAsia="Calibri"/>
        </w:rPr>
        <w:t xml:space="preserve">85, p. </w:t>
      </w:r>
      <w:r w:rsidR="00D2395B" w:rsidRPr="008C77DF">
        <w:rPr>
          <w:rFonts w:eastAsia="Calibri"/>
        </w:rPr>
        <w:t xml:space="preserve">255 and </w:t>
      </w:r>
      <w:r w:rsidR="00FB3A1A" w:rsidRPr="008C77DF">
        <w:rPr>
          <w:rFonts w:eastAsia="Calibri"/>
        </w:rPr>
        <w:t xml:space="preserve">Table 86, p. 256 </w:t>
      </w:r>
      <w:r w:rsidRPr="008C77DF">
        <w:rPr>
          <w:rFonts w:eastAsia="Calibri"/>
        </w:rPr>
        <w:t xml:space="preserve">of the MSAC 1732.1 </w:t>
      </w:r>
      <w:proofErr w:type="spellStart"/>
      <w:r w:rsidRPr="008C77DF">
        <w:rPr>
          <w:rFonts w:eastAsia="Calibri"/>
        </w:rPr>
        <w:t>ADAR+in-line</w:t>
      </w:r>
      <w:proofErr w:type="spellEnd"/>
      <w:r w:rsidRPr="008C77DF">
        <w:rPr>
          <w:rFonts w:eastAsia="Calibri"/>
        </w:rPr>
        <w:t xml:space="preserve"> </w:t>
      </w:r>
      <w:proofErr w:type="gramStart"/>
      <w:r w:rsidRPr="008C77DF">
        <w:rPr>
          <w:rFonts w:eastAsia="Calibri"/>
        </w:rPr>
        <w:t>commentary</w:t>
      </w:r>
      <w:proofErr w:type="gramEnd"/>
    </w:p>
    <w:p w14:paraId="35146A0B" w14:textId="0D5A09E8" w:rsidR="00563942" w:rsidRDefault="00563942" w:rsidP="00563942">
      <w:r w:rsidRPr="008C77DF">
        <w:t>Key drivers of the model included the</w:t>
      </w:r>
      <w:r w:rsidR="009B5E92" w:rsidRPr="008C77DF">
        <w:t xml:space="preserve"> time horizon,</w:t>
      </w:r>
      <w:r w:rsidRPr="008C77DF">
        <w:t xml:space="preserve"> choice of costing approach for dialysis and transplant costs and the </w:t>
      </w:r>
      <w:r w:rsidR="009B5E92" w:rsidRPr="008C77DF">
        <w:t xml:space="preserve">amended </w:t>
      </w:r>
      <w:r w:rsidRPr="008C77DF">
        <w:t xml:space="preserve">imlifidase </w:t>
      </w:r>
      <w:r w:rsidR="009B5E92" w:rsidRPr="008C77DF">
        <w:t>cost structure</w:t>
      </w:r>
      <w:r w:rsidRPr="008C77DF">
        <w:t xml:space="preserve"> (</w:t>
      </w:r>
      <w:r w:rsidR="0017361C" w:rsidRPr="009E2F9F">
        <w:rPr>
          <w:b/>
          <w:bCs/>
        </w:rPr>
        <w:t>redacted</w:t>
      </w:r>
      <w:r w:rsidRPr="008C77DF">
        <w:t>).</w:t>
      </w:r>
    </w:p>
    <w:p w14:paraId="745EB8D4" w14:textId="1F47E565" w:rsidR="00563942" w:rsidRPr="008C77DF" w:rsidRDefault="00563942" w:rsidP="00563942">
      <w:r>
        <w:t xml:space="preserve">The </w:t>
      </w:r>
      <w:r w:rsidRPr="008C77DF">
        <w:t>micro-costing calculations for transplant costs and dialysis costs</w:t>
      </w:r>
      <w:r w:rsidR="009B5E92" w:rsidRPr="008C77DF">
        <w:t xml:space="preserve"> (used in the base case)</w:t>
      </w:r>
      <w:r w:rsidRPr="008C77DF">
        <w:t xml:space="preserve"> both favour imlifidase relative to the inflation-adjusted KHA costs. In scenario analysis:</w:t>
      </w:r>
    </w:p>
    <w:p w14:paraId="70E58A7C" w14:textId="523AC29A" w:rsidR="00563942" w:rsidRPr="008C77DF" w:rsidRDefault="00563942" w:rsidP="00563942">
      <w:pPr>
        <w:pStyle w:val="ListParagraph"/>
        <w:numPr>
          <w:ilvl w:val="0"/>
          <w:numId w:val="15"/>
        </w:numPr>
        <w:spacing w:after="120" w:line="276" w:lineRule="auto"/>
        <w:jc w:val="both"/>
      </w:pPr>
      <w:r w:rsidRPr="008C77DF">
        <w:t>Use of KHA costs for dialysis increases the ICER to $</w:t>
      </w:r>
      <w:r w:rsidR="0017361C" w:rsidRPr="009E2F9F">
        <w:rPr>
          <w:b/>
          <w:bCs/>
        </w:rPr>
        <w:t>redacted</w:t>
      </w:r>
      <w:r w:rsidRPr="008C77DF">
        <w:t>/QALY (+</w:t>
      </w:r>
      <w:r w:rsidRPr="009E2F9F">
        <w:t>105.9</w:t>
      </w:r>
      <w:r w:rsidRPr="008C77DF">
        <w:t>%)</w:t>
      </w:r>
      <w:r w:rsidR="00415611" w:rsidRPr="008C77DF">
        <w:t>.</w:t>
      </w:r>
    </w:p>
    <w:p w14:paraId="30FE9F6C" w14:textId="7B803EAA" w:rsidR="00563942" w:rsidRPr="008C77DF" w:rsidRDefault="00563942" w:rsidP="00563942">
      <w:pPr>
        <w:pStyle w:val="ListParagraph"/>
        <w:numPr>
          <w:ilvl w:val="0"/>
          <w:numId w:val="15"/>
        </w:numPr>
        <w:spacing w:after="120" w:line="276" w:lineRule="auto"/>
        <w:jc w:val="both"/>
      </w:pPr>
      <w:r w:rsidRPr="008C77DF">
        <w:t>Use of KHA costs for transplants increases the ICER to $</w:t>
      </w:r>
      <w:r w:rsidR="0017361C" w:rsidRPr="008C77DF">
        <w:rPr>
          <w:b/>
          <w:bCs/>
        </w:rPr>
        <w:t>redacted</w:t>
      </w:r>
      <w:r w:rsidRPr="008C77DF">
        <w:t xml:space="preserve"> (+</w:t>
      </w:r>
      <w:r w:rsidRPr="009E2F9F">
        <w:t>31.1</w:t>
      </w:r>
      <w:r w:rsidRPr="008C77DF">
        <w:t>%)</w:t>
      </w:r>
      <w:r w:rsidR="00415611" w:rsidRPr="008C77DF">
        <w:t>.</w:t>
      </w:r>
    </w:p>
    <w:p w14:paraId="3336CD20" w14:textId="3D654F0E" w:rsidR="00563942" w:rsidRPr="008C77DF" w:rsidRDefault="00563942" w:rsidP="00563942">
      <w:pPr>
        <w:pStyle w:val="ListParagraph"/>
        <w:numPr>
          <w:ilvl w:val="0"/>
          <w:numId w:val="15"/>
        </w:numPr>
        <w:spacing w:after="120" w:line="276" w:lineRule="auto"/>
        <w:jc w:val="both"/>
      </w:pPr>
      <w:r w:rsidRPr="008C77DF">
        <w:t xml:space="preserve">Use of KHA costs for both dialysis and transplant </w:t>
      </w:r>
      <w:proofErr w:type="gramStart"/>
      <w:r w:rsidRPr="008C77DF">
        <w:t>increases</w:t>
      </w:r>
      <w:proofErr w:type="gramEnd"/>
      <w:r w:rsidRPr="008C77DF">
        <w:t xml:space="preserve"> the ICER to $</w:t>
      </w:r>
      <w:r w:rsidR="0017361C" w:rsidRPr="008C77DF">
        <w:rPr>
          <w:b/>
          <w:bCs/>
        </w:rPr>
        <w:t>redacted</w:t>
      </w:r>
      <w:r w:rsidRPr="008C77DF">
        <w:t>/QALY (+</w:t>
      </w:r>
      <w:r w:rsidRPr="009E2F9F">
        <w:t>137</w:t>
      </w:r>
      <w:r w:rsidRPr="008C77DF">
        <w:t>%).</w:t>
      </w:r>
    </w:p>
    <w:p w14:paraId="335462FB" w14:textId="68DDB548" w:rsidR="00FA66D0" w:rsidRPr="008C77DF" w:rsidRDefault="00B567DE" w:rsidP="00527717">
      <w:r w:rsidRPr="008C77DF">
        <w:t>Using</w:t>
      </w:r>
      <w:r w:rsidR="003F3DAE" w:rsidRPr="008C77DF">
        <w:t xml:space="preserve"> the original </w:t>
      </w:r>
      <w:r w:rsidRPr="008C77DF">
        <w:t>imli</w:t>
      </w:r>
      <w:r w:rsidR="0088583F" w:rsidRPr="008C77DF">
        <w:t>fi</w:t>
      </w:r>
      <w:r w:rsidRPr="008C77DF">
        <w:t>dase costing</w:t>
      </w:r>
      <w:r w:rsidR="003F3DAE" w:rsidRPr="008C77DF">
        <w:t xml:space="preserve"> approach (incorporating the </w:t>
      </w:r>
      <w:r w:rsidR="0017361C" w:rsidRPr="008C77DF">
        <w:rPr>
          <w:b/>
          <w:bCs/>
        </w:rPr>
        <w:t>redacted</w:t>
      </w:r>
      <w:r w:rsidR="003F3DAE" w:rsidRPr="008C77DF">
        <w:t>% discount on the price/vial</w:t>
      </w:r>
      <w:r w:rsidRPr="008C77DF">
        <w:t>)</w:t>
      </w:r>
      <w:r w:rsidR="003F3DAE" w:rsidRPr="008C77DF">
        <w:t>, the ICER was $</w:t>
      </w:r>
      <w:r w:rsidR="0017361C" w:rsidRPr="008C77DF">
        <w:rPr>
          <w:b/>
          <w:bCs/>
        </w:rPr>
        <w:t>redacted</w:t>
      </w:r>
      <w:r w:rsidR="003F3DAE" w:rsidRPr="008C77DF">
        <w:t>/QALY (+</w:t>
      </w:r>
      <w:r w:rsidR="003F3DAE" w:rsidRPr="009E2F9F">
        <w:t>65.5</w:t>
      </w:r>
      <w:r w:rsidR="003F3DAE" w:rsidRPr="008C77DF">
        <w:t>% relative to $</w:t>
      </w:r>
      <w:r w:rsidR="0017361C" w:rsidRPr="008C77DF">
        <w:rPr>
          <w:b/>
          <w:bCs/>
        </w:rPr>
        <w:t>redacted</w:t>
      </w:r>
      <w:r w:rsidR="003F3DAE" w:rsidRPr="008C77DF">
        <w:t>/QALY estimated using the 2 vial/single dose cost structure).</w:t>
      </w:r>
      <w:r w:rsidR="003D0996" w:rsidRPr="008C77DF">
        <w:t xml:space="preserve"> This scenario was added to the commentary for comparative purposes.</w:t>
      </w:r>
      <w:r w:rsidR="007B7870" w:rsidRPr="008C77DF">
        <w:t xml:space="preserve"> </w:t>
      </w:r>
    </w:p>
    <w:p w14:paraId="79167AAE" w14:textId="679320A9" w:rsidR="003D0996" w:rsidRPr="00527717" w:rsidRDefault="003D0996" w:rsidP="00527717">
      <w:r w:rsidRPr="008C77DF">
        <w:t>Reducing the time horizon to 10 years had a significant impact on the ICER (increased ICER to $</w:t>
      </w:r>
      <w:r w:rsidR="0017361C" w:rsidRPr="008C77DF">
        <w:rPr>
          <w:b/>
          <w:bCs/>
        </w:rPr>
        <w:t>redacted</w:t>
      </w:r>
      <w:r w:rsidRPr="008C77DF">
        <w:t>/QALY, +</w:t>
      </w:r>
      <w:r w:rsidRPr="009E2F9F">
        <w:t>214.4</w:t>
      </w:r>
      <w:r w:rsidRPr="008C77DF">
        <w:t>%)</w:t>
      </w:r>
      <w:r w:rsidR="00FB2100" w:rsidRPr="008C77DF">
        <w:t>; h</w:t>
      </w:r>
      <w:r w:rsidRPr="008C77DF">
        <w:t xml:space="preserve">owever, a time horizon of 20 years had </w:t>
      </w:r>
      <w:r w:rsidR="00317F4A" w:rsidRPr="008C77DF">
        <w:t xml:space="preserve">only </w:t>
      </w:r>
      <w:r w:rsidR="009F264E" w:rsidRPr="008C77DF">
        <w:t xml:space="preserve">a </w:t>
      </w:r>
      <w:r w:rsidR="00317F4A" w:rsidRPr="008C77DF">
        <w:t xml:space="preserve">moderate impact on the ICER </w:t>
      </w:r>
      <w:r w:rsidR="009F264E" w:rsidRPr="009E2F9F">
        <w:t>(+23.5%</w:t>
      </w:r>
      <w:r w:rsidR="009F264E" w:rsidRPr="008C77DF">
        <w:t xml:space="preserve"> </w:t>
      </w:r>
      <w:r w:rsidR="00317F4A" w:rsidRPr="008C77DF">
        <w:t>relative to the base case</w:t>
      </w:r>
      <w:r w:rsidR="009F264E">
        <w:t>).</w:t>
      </w:r>
    </w:p>
    <w:p w14:paraId="0D9C1DBA" w14:textId="079A4E68" w:rsidR="00436872" w:rsidRDefault="00436872" w:rsidP="00527717">
      <w:pPr>
        <w:pStyle w:val="Heading5"/>
      </w:pPr>
      <w:r>
        <w:t>Spillover scenario</w:t>
      </w:r>
    </w:p>
    <w:p w14:paraId="1889EA79" w14:textId="52659A0F" w:rsidR="00084DB9" w:rsidRDefault="00084DB9" w:rsidP="00084DB9">
      <w:r>
        <w:t xml:space="preserve">The ADAR identified 3 key </w:t>
      </w:r>
      <w:r w:rsidR="00E85044">
        <w:t>spillovers</w:t>
      </w:r>
      <w:r>
        <w:t xml:space="preserve"> associated with imlifidase use:</w:t>
      </w:r>
    </w:p>
    <w:p w14:paraId="0A2A0D0A" w14:textId="1ED409A4" w:rsidR="00084DB9" w:rsidRDefault="00084DB9" w:rsidP="00084DB9">
      <w:pPr>
        <w:pStyle w:val="ListParagraph"/>
        <w:numPr>
          <w:ilvl w:val="0"/>
          <w:numId w:val="42"/>
        </w:numPr>
      </w:pPr>
      <w:r>
        <w:t xml:space="preserve">Another patient on the DD </w:t>
      </w:r>
      <w:r w:rsidR="004A2E3F">
        <w:t>waitlist</w:t>
      </w:r>
      <w:r>
        <w:t xml:space="preserve"> is displaced by the allocation of DD kidney to an imlifidase patient (negative </w:t>
      </w:r>
      <w:r w:rsidR="00186093">
        <w:t>spillover</w:t>
      </w:r>
      <w:r>
        <w:t>).</w:t>
      </w:r>
    </w:p>
    <w:p w14:paraId="0FC8C703" w14:textId="4782AA66" w:rsidR="00084DB9" w:rsidRDefault="00084DB9" w:rsidP="00084DB9">
      <w:pPr>
        <w:pStyle w:val="ListParagraph"/>
        <w:numPr>
          <w:ilvl w:val="0"/>
          <w:numId w:val="42"/>
        </w:numPr>
      </w:pPr>
      <w:r>
        <w:t xml:space="preserve">A proportion of HS patients in the ANZKX program receiving an imlifidase-enabled transplant may be transplanted as part of a kidney donation chain (positive </w:t>
      </w:r>
      <w:r w:rsidR="00186093">
        <w:t>spillover</w:t>
      </w:r>
      <w:r>
        <w:t>).</w:t>
      </w:r>
    </w:p>
    <w:p w14:paraId="7A85608A" w14:textId="7ACFF261" w:rsidR="00084DB9" w:rsidRDefault="00084DB9" w:rsidP="00084DB9">
      <w:pPr>
        <w:pStyle w:val="ListParagraph"/>
        <w:numPr>
          <w:ilvl w:val="0"/>
          <w:numId w:val="42"/>
        </w:numPr>
      </w:pPr>
      <w:r>
        <w:lastRenderedPageBreak/>
        <w:t xml:space="preserve">Potential increase in the pool of donor kidneys through more patients receiving an LD transplant due to imlifidase (including co-transplanted patients)/fewer patients with an LD receiving a DD kidney (positive </w:t>
      </w:r>
      <w:r w:rsidR="00186093">
        <w:t>spillover</w:t>
      </w:r>
      <w:r>
        <w:t>).</w:t>
      </w:r>
    </w:p>
    <w:p w14:paraId="6DD0062B" w14:textId="0869CA26" w:rsidR="00084DB9" w:rsidRDefault="000A2163" w:rsidP="00084DB9">
      <w:r>
        <w:t xml:space="preserve">The spillover scenario presented in the ADAR accounted </w:t>
      </w:r>
      <w:r w:rsidR="005959ED">
        <w:t xml:space="preserve">for the first 2 </w:t>
      </w:r>
      <w:r w:rsidR="00E85044">
        <w:t>spillovers</w:t>
      </w:r>
      <w:r w:rsidR="005959ED">
        <w:t xml:space="preserve"> but not the third</w:t>
      </w:r>
      <w:r w:rsidR="008A3F22">
        <w:t xml:space="preserve"> (the ADAR noted </w:t>
      </w:r>
      <w:r w:rsidR="00750D79">
        <w:t xml:space="preserve">this </w:t>
      </w:r>
      <w:r w:rsidR="008A3F22">
        <w:t xml:space="preserve">would </w:t>
      </w:r>
      <w:r w:rsidR="00BB6B55">
        <w:t xml:space="preserve">add complexity </w:t>
      </w:r>
      <w:r w:rsidR="008A3F22">
        <w:t xml:space="preserve">to the model </w:t>
      </w:r>
      <w:r w:rsidR="00BB6B55">
        <w:t xml:space="preserve">and uncertainty to the </w:t>
      </w:r>
      <w:r w:rsidR="008A3F22">
        <w:t>results</w:t>
      </w:r>
      <w:r w:rsidR="00BB6B55">
        <w:t>)</w:t>
      </w:r>
      <w:r w:rsidR="005959ED">
        <w:t>. The</w:t>
      </w:r>
      <w:r w:rsidR="008A3F22">
        <w:t xml:space="preserve"> ADAR thus </w:t>
      </w:r>
      <w:r w:rsidR="00765ECA">
        <w:t>suggested the spillover scenario presented is conservative</w:t>
      </w:r>
      <w:r w:rsidR="00031797">
        <w:t>; h</w:t>
      </w:r>
      <w:r w:rsidR="00A232A3">
        <w:t xml:space="preserve">owever, the commentary raised concerns </w:t>
      </w:r>
      <w:r w:rsidR="00AF2B94">
        <w:t>that</w:t>
      </w:r>
      <w:r w:rsidR="00A232A3">
        <w:t xml:space="preserve"> the</w:t>
      </w:r>
      <w:r w:rsidR="00AF2B94">
        <w:t xml:space="preserve"> potentially negative</w:t>
      </w:r>
      <w:r w:rsidR="00A232A3">
        <w:t xml:space="preserve"> </w:t>
      </w:r>
      <w:r w:rsidR="00AF2B94">
        <w:t>impact</w:t>
      </w:r>
      <w:r w:rsidR="006E5AAC">
        <w:t>s</w:t>
      </w:r>
      <w:r w:rsidR="00AF2B94">
        <w:t xml:space="preserve"> on health outcomes </w:t>
      </w:r>
      <w:r w:rsidR="00C30146">
        <w:t>associated with</w:t>
      </w:r>
      <w:r w:rsidR="00AF2B94">
        <w:t xml:space="preserve"> displacing a non-HS patient </w:t>
      </w:r>
      <w:r w:rsidR="007A05D3">
        <w:t>waiting for a DD kidney are not captured (see above).</w:t>
      </w:r>
    </w:p>
    <w:p w14:paraId="1906F1A0" w14:textId="180A9630" w:rsidR="00436872" w:rsidRPr="00485FC8" w:rsidRDefault="00436872" w:rsidP="00436872">
      <w:pPr>
        <w:spacing w:before="40" w:after="40" w:line="240" w:lineRule="auto"/>
      </w:pPr>
      <w:r w:rsidRPr="00485FC8">
        <w:t>In the spillover effects scenario presented in the ADAR, the assumed length of completed LD chains (n</w:t>
      </w:r>
      <w:r w:rsidR="008764FC">
        <w:t xml:space="preserve"> </w:t>
      </w:r>
      <w:r w:rsidRPr="00485FC8">
        <w:t>=</w:t>
      </w:r>
      <w:r w:rsidR="008764FC">
        <w:t xml:space="preserve"> </w:t>
      </w:r>
      <w:r w:rsidRPr="00485FC8">
        <w:t xml:space="preserve">7, or 6 additional non-imlifidase patients benefiting from the closing of a LD chain) remained unchanged from the original submission. The number of patients within an LD chain was based on expert input and was varied between 1 and 12 additional non-imlifidase patients in </w:t>
      </w:r>
      <w:r w:rsidR="00EE3B9D">
        <w:t xml:space="preserve">the </w:t>
      </w:r>
      <w:r w:rsidRPr="00485FC8">
        <w:t>sensitivity analysis. This input was shown to be the biggest driver of the original ICER in one-way sensitivity analysis.</w:t>
      </w:r>
    </w:p>
    <w:p w14:paraId="3D7A7271" w14:textId="52F48B42" w:rsidR="00436872" w:rsidRPr="00DE656F" w:rsidRDefault="00436872" w:rsidP="00DE656F">
      <w:r w:rsidRPr="00485FC8">
        <w:t xml:space="preserve">The </w:t>
      </w:r>
      <w:r w:rsidR="002F4E54">
        <w:t>commentary of the previous submission (MSAC 1732)</w:t>
      </w:r>
      <w:r w:rsidRPr="00485FC8">
        <w:t xml:space="preserve"> raised concerns over significant uncertainty around the inclusion of spillover population benefits associated with completing LD chains including HS patients. It was previously noted that introduction of imlifidase could impact the dynamics of kidney exchanges: if a patient has a</w:t>
      </w:r>
      <w:r w:rsidR="004C7D33">
        <w:t>n</w:t>
      </w:r>
      <w:r w:rsidRPr="00485FC8">
        <w:t xml:space="preserve"> LD available, the availability of imlifidase may mean there is no need to </w:t>
      </w:r>
      <w:proofErr w:type="gramStart"/>
      <w:r w:rsidRPr="00485FC8">
        <w:t>enter into</w:t>
      </w:r>
      <w:proofErr w:type="gramEnd"/>
      <w:r w:rsidRPr="00485FC8">
        <w:t xml:space="preserve"> a chain to receive a transplant. </w:t>
      </w:r>
      <w:r w:rsidR="00AE1365" w:rsidRPr="00AE1365">
        <w:t xml:space="preserve">Independent clinical feedback sought by the assessment group </w:t>
      </w:r>
      <w:r w:rsidR="00D80817">
        <w:t>ag</w:t>
      </w:r>
      <w:r w:rsidR="00D9323C">
        <w:t xml:space="preserve">reed imlifidase may have a role in completing </w:t>
      </w:r>
      <w:r w:rsidR="00B42D56">
        <w:t xml:space="preserve">LD </w:t>
      </w:r>
      <w:r w:rsidR="00D9323C">
        <w:t>donation chain</w:t>
      </w:r>
      <w:r w:rsidR="001F24B0">
        <w:t>s</w:t>
      </w:r>
      <w:r w:rsidRPr="00485FC8">
        <w:t>. It was also</w:t>
      </w:r>
      <w:r w:rsidR="0064597A">
        <w:t xml:space="preserve"> previously</w:t>
      </w:r>
      <w:r w:rsidRPr="00485FC8">
        <w:t xml:space="preserve"> noted </w:t>
      </w:r>
      <w:r w:rsidR="0064597A">
        <w:t>(MSAC 1732)</w:t>
      </w:r>
      <w:r w:rsidRPr="00485FC8">
        <w:t xml:space="preserve"> that the analysis assumed that chains will only ever include a single HS patient receiving imlifidase.</w:t>
      </w:r>
      <w:r w:rsidR="00926A27">
        <w:t xml:space="preserve"> This assumption remains unchanged in ADAR’s spillover scenario.</w:t>
      </w:r>
    </w:p>
    <w:p w14:paraId="25AE2BAC" w14:textId="5F7AEF15" w:rsidR="00772829" w:rsidRPr="00CE28E3" w:rsidRDefault="00B27795" w:rsidP="002A18BE">
      <w:pPr>
        <w:pStyle w:val="Heading2"/>
        <w:numPr>
          <w:ilvl w:val="0"/>
          <w:numId w:val="0"/>
        </w:numPr>
      </w:pPr>
      <w:bookmarkStart w:id="43" w:name="_Toc69491426"/>
      <w:r>
        <w:t>1</w:t>
      </w:r>
      <w:r w:rsidR="00CF7A55">
        <w:t>4</w:t>
      </w:r>
      <w:r w:rsidR="00C36633">
        <w:t>.</w:t>
      </w:r>
      <w:r w:rsidR="00C36633">
        <w:tab/>
      </w:r>
      <w:r w:rsidR="00772829" w:rsidRPr="00CE28E3">
        <w:t>Financial/budgetary impacts</w:t>
      </w:r>
      <w:bookmarkEnd w:id="43"/>
    </w:p>
    <w:p w14:paraId="6B921C86" w14:textId="102366C5" w:rsidR="0078379A" w:rsidRPr="008C77DF" w:rsidRDefault="0068193E" w:rsidP="0041200A">
      <w:r w:rsidRPr="008C77DF">
        <w:t xml:space="preserve">The applicant took an epidemiological approach to estimate the </w:t>
      </w:r>
      <w:r w:rsidR="00723741" w:rsidRPr="008C77DF">
        <w:t xml:space="preserve">expected </w:t>
      </w:r>
      <w:r w:rsidR="009974D3" w:rsidRPr="008C77DF">
        <w:t>number of patients</w:t>
      </w:r>
      <w:r w:rsidR="00723741" w:rsidRPr="008C77DF">
        <w:t xml:space="preserve"> </w:t>
      </w:r>
      <w:r w:rsidR="00980A98" w:rsidRPr="008C77DF">
        <w:t>eligible for imlifidase</w:t>
      </w:r>
      <w:r w:rsidRPr="008C77DF">
        <w:t>.</w:t>
      </w:r>
      <w:r w:rsidR="006D4E3D" w:rsidRPr="008C77DF">
        <w:t xml:space="preserve"> The uptake of imlifidase among eligible patients </w:t>
      </w:r>
      <w:r w:rsidR="00F04FBE" w:rsidRPr="008C77DF">
        <w:t xml:space="preserve">was assumed </w:t>
      </w:r>
      <w:r w:rsidR="009373C5" w:rsidRPr="008C77DF">
        <w:t xml:space="preserve">at </w:t>
      </w:r>
      <w:r w:rsidR="0017361C" w:rsidRPr="009E2F9F">
        <w:rPr>
          <w:b/>
          <w:bCs/>
        </w:rPr>
        <w:t>redacted</w:t>
      </w:r>
      <w:r w:rsidR="0078379A" w:rsidRPr="008C77DF">
        <w:t xml:space="preserve">% in </w:t>
      </w:r>
      <w:r w:rsidR="00965918" w:rsidRPr="008C77DF">
        <w:t>y</w:t>
      </w:r>
      <w:r w:rsidR="0078379A" w:rsidRPr="008C77DF">
        <w:t xml:space="preserve">ear 1, increasing to </w:t>
      </w:r>
      <w:r w:rsidR="0017361C" w:rsidRPr="008C77DF">
        <w:rPr>
          <w:b/>
          <w:bCs/>
        </w:rPr>
        <w:t>redacted</w:t>
      </w:r>
      <w:r w:rsidR="0078379A" w:rsidRPr="008C77DF">
        <w:t xml:space="preserve">% by </w:t>
      </w:r>
      <w:r w:rsidR="00965918" w:rsidRPr="008C77DF">
        <w:t>y</w:t>
      </w:r>
      <w:r w:rsidR="0078379A" w:rsidRPr="008C77DF">
        <w:t>ear 6</w:t>
      </w:r>
      <w:r w:rsidR="009373C5" w:rsidRPr="008C77DF">
        <w:t>.</w:t>
      </w:r>
      <w:r w:rsidRPr="008C77DF">
        <w:t xml:space="preserve"> </w:t>
      </w:r>
    </w:p>
    <w:p w14:paraId="7C8E2AD1" w14:textId="2ABBCE1C" w:rsidR="001B5831" w:rsidRDefault="006B0535" w:rsidP="001B5831">
      <w:r w:rsidRPr="008C77DF">
        <w:t>The</w:t>
      </w:r>
      <w:r w:rsidR="00205E11" w:rsidRPr="008C77DF">
        <w:t xml:space="preserve"> ADAR</w:t>
      </w:r>
      <w:r w:rsidRPr="008C77DF">
        <w:t xml:space="preserve"> financial analysis use</w:t>
      </w:r>
      <w:r w:rsidR="00205E11" w:rsidRPr="008C77DF">
        <w:t>d</w:t>
      </w:r>
      <w:r w:rsidRPr="008C77DF">
        <w:t xml:space="preserve"> a</w:t>
      </w:r>
      <w:r w:rsidR="0068193E" w:rsidRPr="008C77DF">
        <w:t xml:space="preserve"> fixed </w:t>
      </w:r>
      <w:r w:rsidR="001D358E" w:rsidRPr="008C77DF">
        <w:t>per</w:t>
      </w:r>
      <w:r w:rsidR="00965918" w:rsidRPr="008C77DF">
        <w:t>-</w:t>
      </w:r>
      <w:r w:rsidR="001D358E" w:rsidRPr="008C77DF">
        <w:t xml:space="preserve">patient </w:t>
      </w:r>
      <w:r w:rsidR="0068193E" w:rsidRPr="008C77DF">
        <w:t xml:space="preserve">price </w:t>
      </w:r>
      <w:r w:rsidR="001D358E" w:rsidRPr="008C77DF">
        <w:t>for</w:t>
      </w:r>
      <w:r w:rsidR="0068193E" w:rsidRPr="008C77DF">
        <w:t xml:space="preserve"> imlifidase </w:t>
      </w:r>
      <w:r w:rsidR="001D358E" w:rsidRPr="008C77DF">
        <w:t>(2 vials/single dose)</w:t>
      </w:r>
      <w:r w:rsidR="003607DC" w:rsidRPr="008C77DF">
        <w:t xml:space="preserve"> and </w:t>
      </w:r>
      <w:r w:rsidR="00976D9B" w:rsidRPr="008C77DF">
        <w:t>incorporate</w:t>
      </w:r>
      <w:r w:rsidR="00205E11" w:rsidRPr="008C77DF">
        <w:t>d</w:t>
      </w:r>
      <w:r w:rsidR="00976D9B" w:rsidRPr="008C77DF">
        <w:t xml:space="preserve"> </w:t>
      </w:r>
      <w:r w:rsidR="0068193E" w:rsidRPr="008C77DF">
        <w:t>co</w:t>
      </w:r>
      <w:r w:rsidR="0064507E" w:rsidRPr="008C77DF">
        <w:t>-</w:t>
      </w:r>
      <w:r w:rsidR="0068193E" w:rsidRPr="008C77DF">
        <w:t xml:space="preserve">medication </w:t>
      </w:r>
      <w:r w:rsidR="00CC52BB" w:rsidRPr="008C77DF">
        <w:t>and Luminex testing</w:t>
      </w:r>
      <w:r w:rsidR="0007775C" w:rsidRPr="008C77DF">
        <w:t xml:space="preserve"> costs</w:t>
      </w:r>
      <w:r w:rsidR="002C14F2" w:rsidRPr="008C77DF">
        <w:t xml:space="preserve">. Transplant-related costs </w:t>
      </w:r>
      <w:r w:rsidR="00205E11" w:rsidRPr="008C77DF">
        <w:t>we</w:t>
      </w:r>
      <w:r w:rsidR="002C14F2" w:rsidRPr="008C77DF">
        <w:t>re</w:t>
      </w:r>
      <w:r w:rsidR="002C14F2">
        <w:t xml:space="preserve"> </w:t>
      </w:r>
      <w:r w:rsidR="00383E49">
        <w:t xml:space="preserve">incorporated for patients receiving </w:t>
      </w:r>
      <w:r w:rsidR="0095183E">
        <w:t>imlifi</w:t>
      </w:r>
      <w:r w:rsidR="1259F6D9">
        <w:t>d</w:t>
      </w:r>
      <w:r w:rsidR="0095183E">
        <w:t xml:space="preserve">ase-enabled </w:t>
      </w:r>
      <w:r w:rsidR="00383E49">
        <w:t>transplant</w:t>
      </w:r>
      <w:r w:rsidR="009F0FA3">
        <w:t xml:space="preserve"> (96.3% of treated patients).</w:t>
      </w:r>
      <w:r w:rsidR="00023220">
        <w:t xml:space="preserve"> </w:t>
      </w:r>
      <w:r w:rsidR="00B03AF3">
        <w:t xml:space="preserve">For patients </w:t>
      </w:r>
      <w:r w:rsidR="00FF5465">
        <w:t>modelled to receive</w:t>
      </w:r>
      <w:r w:rsidR="00F25B55">
        <w:t xml:space="preserve"> </w:t>
      </w:r>
      <w:r w:rsidR="00FF5465">
        <w:t>an imlifidase-enabled LD</w:t>
      </w:r>
      <w:r w:rsidR="00F25B55">
        <w:t xml:space="preserve"> kidney transplant, d</w:t>
      </w:r>
      <w:r w:rsidR="003C2CFC">
        <w:t>ialysis</w:t>
      </w:r>
      <w:r w:rsidR="00765D88">
        <w:t xml:space="preserve"> costs were included as an </w:t>
      </w:r>
      <w:r w:rsidR="00872464">
        <w:t>associated cost offset</w:t>
      </w:r>
      <w:r w:rsidR="00765D88">
        <w:t xml:space="preserve"> and</w:t>
      </w:r>
      <w:r w:rsidR="003C2CFC">
        <w:t xml:space="preserve"> were subtracted from the total cost to estimate the net financial impact to state and federal government</w:t>
      </w:r>
      <w:r w:rsidR="0068499E">
        <w:t>s</w:t>
      </w:r>
      <w:r w:rsidR="003C2CFC">
        <w:t>.</w:t>
      </w:r>
    </w:p>
    <w:p w14:paraId="776253D6" w14:textId="1E08D247" w:rsidR="00B233F7" w:rsidRPr="00A12F55" w:rsidRDefault="00B233F7" w:rsidP="00B233F7">
      <w:r>
        <w:rPr>
          <w:bCs/>
        </w:rPr>
        <w:t>Compared to the previous submission, t</w:t>
      </w:r>
      <w:r w:rsidRPr="00A12F55">
        <w:rPr>
          <w:bCs/>
        </w:rPr>
        <w:t>he</w:t>
      </w:r>
      <w:r w:rsidRPr="00A12F55">
        <w:t xml:space="preserve"> applicant has </w:t>
      </w:r>
      <w:r>
        <w:t>updated their calculation to reflect MSAC advice, including</w:t>
      </w:r>
      <w:r w:rsidRPr="00A12F55">
        <w:t>:</w:t>
      </w:r>
    </w:p>
    <w:p w14:paraId="12371F2C" w14:textId="5F823121" w:rsidR="00B233F7" w:rsidRPr="008C77DF" w:rsidRDefault="003350FC" w:rsidP="00B233F7">
      <w:pPr>
        <w:pStyle w:val="ListParagraph"/>
        <w:numPr>
          <w:ilvl w:val="0"/>
          <w:numId w:val="24"/>
        </w:numPr>
        <w:rPr>
          <w:b/>
        </w:rPr>
      </w:pPr>
      <w:r w:rsidRPr="008C77DF">
        <w:rPr>
          <w:bCs/>
        </w:rPr>
        <w:t>T</w:t>
      </w:r>
      <w:r w:rsidR="00B233F7" w:rsidRPr="008C77DF">
        <w:rPr>
          <w:bCs/>
        </w:rPr>
        <w:t xml:space="preserve">he eligible population was restricted to patients with a </w:t>
      </w:r>
      <w:proofErr w:type="spellStart"/>
      <w:r w:rsidR="00B233F7" w:rsidRPr="008C77DF">
        <w:rPr>
          <w:bCs/>
        </w:rPr>
        <w:t>cPRA</w:t>
      </w:r>
      <w:proofErr w:type="spellEnd"/>
      <w:r w:rsidR="00B233F7" w:rsidRPr="008C77DF">
        <w:rPr>
          <w:bCs/>
        </w:rPr>
        <w:t xml:space="preserve"> ≥99</w:t>
      </w:r>
      <w:proofErr w:type="gramStart"/>
      <w:r w:rsidR="00B233F7" w:rsidRPr="008C77DF">
        <w:rPr>
          <w:bCs/>
        </w:rPr>
        <w:t>%</w:t>
      </w:r>
      <w:r w:rsidR="00852C16" w:rsidRPr="008C77DF">
        <w:rPr>
          <w:bCs/>
        </w:rPr>
        <w:t>,</w:t>
      </w:r>
      <w:r w:rsidR="00B233F7" w:rsidRPr="008C77DF">
        <w:rPr>
          <w:bCs/>
        </w:rPr>
        <w:t xml:space="preserve"> and</w:t>
      </w:r>
      <w:proofErr w:type="gramEnd"/>
      <w:r w:rsidR="00B233F7" w:rsidRPr="008C77DF">
        <w:rPr>
          <w:bCs/>
        </w:rPr>
        <w:t xml:space="preserve"> being active on the DD </w:t>
      </w:r>
      <w:r w:rsidR="004A2E3F" w:rsidRPr="008C77DF">
        <w:rPr>
          <w:bCs/>
        </w:rPr>
        <w:t>waitlist</w:t>
      </w:r>
      <w:r w:rsidR="00B233F7" w:rsidRPr="008C77DF">
        <w:rPr>
          <w:bCs/>
        </w:rPr>
        <w:t xml:space="preserve"> for at least </w:t>
      </w:r>
      <w:r w:rsidR="00852C16" w:rsidRPr="008C77DF">
        <w:rPr>
          <w:bCs/>
        </w:rPr>
        <w:t xml:space="preserve">2 </w:t>
      </w:r>
      <w:r w:rsidR="00B233F7" w:rsidRPr="008C77DF">
        <w:rPr>
          <w:bCs/>
        </w:rPr>
        <w:t>years or active on</w:t>
      </w:r>
      <w:r w:rsidR="00852C16" w:rsidRPr="008C77DF">
        <w:rPr>
          <w:bCs/>
        </w:rPr>
        <w:t xml:space="preserve"> the</w:t>
      </w:r>
      <w:r w:rsidR="00B233F7" w:rsidRPr="008C77DF">
        <w:rPr>
          <w:bCs/>
        </w:rPr>
        <w:t xml:space="preserve"> LD </w:t>
      </w:r>
      <w:r w:rsidR="004A2E3F" w:rsidRPr="008C77DF">
        <w:rPr>
          <w:bCs/>
        </w:rPr>
        <w:t>waitlist</w:t>
      </w:r>
      <w:r w:rsidR="00852C16" w:rsidRPr="008C77DF">
        <w:rPr>
          <w:bCs/>
        </w:rPr>
        <w:t>.</w:t>
      </w:r>
      <w:r w:rsidR="00321195" w:rsidRPr="008C77DF">
        <w:rPr>
          <w:rStyle w:val="FootnoteReference"/>
          <w:bCs/>
        </w:rPr>
        <w:footnoteReference w:id="16"/>
      </w:r>
      <w:r w:rsidR="00B233F7" w:rsidRPr="008C77DF">
        <w:rPr>
          <w:bCs/>
        </w:rPr>
        <w:t xml:space="preserve"> </w:t>
      </w:r>
    </w:p>
    <w:p w14:paraId="67B39A26" w14:textId="5FC81B12" w:rsidR="00B233F7" w:rsidRPr="008C77DF" w:rsidRDefault="003350FC" w:rsidP="00B233F7">
      <w:pPr>
        <w:pStyle w:val="ListParagraph"/>
        <w:numPr>
          <w:ilvl w:val="0"/>
          <w:numId w:val="24"/>
        </w:numPr>
      </w:pPr>
      <w:r w:rsidRPr="008C77DF">
        <w:rPr>
          <w:bCs/>
        </w:rPr>
        <w:t>A</w:t>
      </w:r>
      <w:r w:rsidR="00B233F7" w:rsidRPr="008C77DF">
        <w:rPr>
          <w:bCs/>
        </w:rPr>
        <w:t xml:space="preserve"> </w:t>
      </w:r>
      <w:r w:rsidR="0017361C" w:rsidRPr="008C77DF">
        <w:rPr>
          <w:b/>
          <w:bCs/>
        </w:rPr>
        <w:t>redacted</w:t>
      </w:r>
      <w:r w:rsidR="00B233F7" w:rsidRPr="008C77DF">
        <w:rPr>
          <w:bCs/>
        </w:rPr>
        <w:t xml:space="preserve">% discount </w:t>
      </w:r>
      <w:r w:rsidR="00B233F7" w:rsidRPr="008C77DF">
        <w:t>was applied to</w:t>
      </w:r>
      <w:r w:rsidR="00B233F7" w:rsidRPr="008C77DF">
        <w:rPr>
          <w:bCs/>
        </w:rPr>
        <w:t xml:space="preserve"> the original proposed price of imlifidase</w:t>
      </w:r>
      <w:r w:rsidR="00B233F7" w:rsidRPr="008C77DF">
        <w:t xml:space="preserve"> and a </w:t>
      </w:r>
      <w:r w:rsidR="003174B4" w:rsidRPr="009E2F9F">
        <w:rPr>
          <w:b/>
          <w:bCs/>
        </w:rPr>
        <w:t>redacted</w:t>
      </w:r>
      <w:r w:rsidR="00B233F7" w:rsidRPr="008C77DF">
        <w:rPr>
          <w:bCs/>
        </w:rPr>
        <w:t>.</w:t>
      </w:r>
    </w:p>
    <w:p w14:paraId="702D825D" w14:textId="1CAAF590" w:rsidR="00B233F7" w:rsidRPr="008C77DF" w:rsidRDefault="007A1F7D" w:rsidP="00B233F7">
      <w:pPr>
        <w:pStyle w:val="ListParagraph"/>
        <w:numPr>
          <w:ilvl w:val="0"/>
          <w:numId w:val="24"/>
        </w:numPr>
      </w:pPr>
      <w:r w:rsidRPr="008C77DF">
        <w:rPr>
          <w:bCs/>
        </w:rPr>
        <w:t>Costs for additional</w:t>
      </w:r>
      <w:r w:rsidR="00B233F7" w:rsidRPr="008C77DF">
        <w:t xml:space="preserve"> Luminex test</w:t>
      </w:r>
      <w:r w:rsidRPr="008C77DF">
        <w:t xml:space="preserve">s </w:t>
      </w:r>
      <w:r w:rsidR="003350FC" w:rsidRPr="008C77DF">
        <w:t>were added.</w:t>
      </w:r>
    </w:p>
    <w:p w14:paraId="1CEF0C78" w14:textId="77777777" w:rsidR="00B233F7" w:rsidRPr="008C77DF" w:rsidRDefault="00B233F7" w:rsidP="00B233F7">
      <w:pPr>
        <w:pStyle w:val="ListParagraph"/>
        <w:numPr>
          <w:ilvl w:val="0"/>
          <w:numId w:val="24"/>
        </w:numPr>
      </w:pPr>
      <w:r w:rsidRPr="008C77DF">
        <w:rPr>
          <w:bCs/>
        </w:rPr>
        <w:lastRenderedPageBreak/>
        <w:t>D</w:t>
      </w:r>
      <w:r w:rsidRPr="008C77DF">
        <w:t>ialysis cost offsets were removed for DD kidney recipients and retained for LD kidney recipients.</w:t>
      </w:r>
    </w:p>
    <w:p w14:paraId="1A9F96A1" w14:textId="72DBB9A6" w:rsidR="00B233F7" w:rsidRPr="008C77DF" w:rsidRDefault="00B233F7" w:rsidP="0041200A">
      <w:pPr>
        <w:pStyle w:val="ListParagraph"/>
        <w:numPr>
          <w:ilvl w:val="0"/>
          <w:numId w:val="24"/>
        </w:numPr>
      </w:pPr>
      <w:r w:rsidRPr="008C77DF">
        <w:rPr>
          <w:bCs/>
        </w:rPr>
        <w:t xml:space="preserve">The updated calculation included new data </w:t>
      </w:r>
      <w:r w:rsidRPr="008C77DF">
        <w:t xml:space="preserve">from </w:t>
      </w:r>
      <w:r w:rsidR="001B4E20" w:rsidRPr="008C77DF">
        <w:t xml:space="preserve">the </w:t>
      </w:r>
      <w:r w:rsidRPr="008C77DF">
        <w:t xml:space="preserve">ANZDATA </w:t>
      </w:r>
      <w:r w:rsidR="001B4E20" w:rsidRPr="008C77DF">
        <w:t>46th Annual Report</w:t>
      </w:r>
      <w:r w:rsidRPr="008C77DF">
        <w:t xml:space="preserve"> and </w:t>
      </w:r>
      <w:r w:rsidR="000017C6" w:rsidRPr="008C77DF">
        <w:t xml:space="preserve">new data provided by </w:t>
      </w:r>
      <w:r w:rsidRPr="008C77DF">
        <w:t xml:space="preserve">OrganMatch. </w:t>
      </w:r>
    </w:p>
    <w:p w14:paraId="524FF8D9" w14:textId="26CABAAA" w:rsidR="00FE44AE" w:rsidRDefault="009F47F3" w:rsidP="00C12E06">
      <w:r w:rsidRPr="008C77DF">
        <w:t>The</w:t>
      </w:r>
      <w:r w:rsidR="00FB7725" w:rsidRPr="008C77DF">
        <w:t xml:space="preserve"> ADAR estimated </w:t>
      </w:r>
      <w:r w:rsidR="00E43EAB" w:rsidRPr="008C77DF">
        <w:t>a net financial impact of $</w:t>
      </w:r>
      <w:r w:rsidR="0017361C" w:rsidRPr="008C77DF">
        <w:rPr>
          <w:b/>
          <w:bCs/>
        </w:rPr>
        <w:t>redacted</w:t>
      </w:r>
      <w:r w:rsidR="0017361C" w:rsidRPr="009E2F9F" w:rsidDel="0017361C">
        <w:t xml:space="preserve"> </w:t>
      </w:r>
      <w:r w:rsidR="00E43EAB" w:rsidRPr="008C77DF">
        <w:t xml:space="preserve">in </w:t>
      </w:r>
      <w:r w:rsidR="00D4750A" w:rsidRPr="008C77DF">
        <w:t>y</w:t>
      </w:r>
      <w:r w:rsidR="00E43EAB" w:rsidRPr="008C77DF">
        <w:t>ear 1, increasing to $</w:t>
      </w:r>
      <w:r w:rsidR="0017361C" w:rsidRPr="008C77DF">
        <w:rPr>
          <w:b/>
          <w:bCs/>
        </w:rPr>
        <w:t>redacted</w:t>
      </w:r>
      <w:r w:rsidR="0017361C" w:rsidRPr="009E2F9F" w:rsidDel="0017361C">
        <w:t xml:space="preserve"> </w:t>
      </w:r>
      <w:r w:rsidR="00E43EAB" w:rsidRPr="008C77DF">
        <w:t xml:space="preserve">by </w:t>
      </w:r>
      <w:r w:rsidR="00D4750A" w:rsidRPr="008C77DF">
        <w:t>y</w:t>
      </w:r>
      <w:r w:rsidR="00E43EAB" w:rsidRPr="008C77DF">
        <w:t>ear 6 (</w:t>
      </w:r>
      <w:r w:rsidR="00DF5FAF" w:rsidRPr="008C77DF">
        <w:t>Table 12</w:t>
      </w:r>
      <w:r w:rsidR="001E32F0" w:rsidRPr="008C77DF">
        <w:t xml:space="preserve">). </w:t>
      </w:r>
      <w:r w:rsidRPr="008C77DF">
        <w:t>Overall, the ADAR projected a</w:t>
      </w:r>
      <w:r w:rsidR="001E32F0" w:rsidRPr="008C77DF">
        <w:t xml:space="preserve"> total net financial impact of $</w:t>
      </w:r>
      <w:r w:rsidR="0017361C" w:rsidRPr="008C77DF">
        <w:rPr>
          <w:b/>
          <w:bCs/>
        </w:rPr>
        <w:t>redacted</w:t>
      </w:r>
      <w:r w:rsidR="0017361C" w:rsidRPr="009E2F9F" w:rsidDel="0017361C">
        <w:t xml:space="preserve"> </w:t>
      </w:r>
      <w:r w:rsidRPr="008C77DF">
        <w:t>over 6 years.</w:t>
      </w:r>
      <w:r w:rsidR="00E12638" w:rsidRPr="008C77DF">
        <w:t xml:space="preserve"> The commentary noted that this financial analysis does not take account of </w:t>
      </w:r>
      <w:r w:rsidR="00464D9A" w:rsidRPr="008C77DF">
        <w:t xml:space="preserve">a hard cap with </w:t>
      </w:r>
      <w:r w:rsidR="00464D9A" w:rsidRPr="009E2F9F" w:rsidDel="0017361C">
        <w:t>100</w:t>
      </w:r>
      <w:r w:rsidR="00464D9A" w:rsidRPr="008C77DF">
        <w:t xml:space="preserve">% rebate limited to </w:t>
      </w:r>
      <w:r w:rsidR="0017361C" w:rsidRPr="008C77DF">
        <w:rPr>
          <w:b/>
          <w:bCs/>
        </w:rPr>
        <w:t>redacted</w:t>
      </w:r>
      <w:r w:rsidR="00464D9A" w:rsidRPr="008C77DF">
        <w:t xml:space="preserve"> patients per year i.e. a financial cap involving a </w:t>
      </w:r>
      <w:r w:rsidR="00464D9A" w:rsidRPr="009E2F9F">
        <w:t>100</w:t>
      </w:r>
      <w:r w:rsidR="00464D9A" w:rsidRPr="008C77DF">
        <w:t xml:space="preserve">% rebate so that Government does not incur the cost of imlifidase beyond those </w:t>
      </w:r>
      <w:r w:rsidR="0017361C" w:rsidRPr="008C77DF">
        <w:rPr>
          <w:b/>
          <w:bCs/>
        </w:rPr>
        <w:t>redacted</w:t>
      </w:r>
      <w:r w:rsidR="00464D9A" w:rsidRPr="008C77DF">
        <w:t xml:space="preserve"> patients per year</w:t>
      </w:r>
      <w:r w:rsidR="00E12638" w:rsidRPr="008C77DF">
        <w:t>.</w:t>
      </w:r>
      <w:r w:rsidR="00E675A6" w:rsidRPr="008C77DF">
        <w:t xml:space="preserve"> The ADAR argued against this hard</w:t>
      </w:r>
      <w:r w:rsidR="008805EA" w:rsidRPr="008C77DF">
        <w:t xml:space="preserve"> financial </w:t>
      </w:r>
      <w:r w:rsidR="00E675A6" w:rsidRPr="008C77DF">
        <w:t xml:space="preserve">cap on the basis that </w:t>
      </w:r>
      <w:r w:rsidR="00CF131C" w:rsidRPr="008C77DF">
        <w:t>it would neither address the backlog bolus of highly sensitised patients waiting for a kidney transplant nor the incident patients joining the waitlist annually and calls into serious question the financial viability of the applicant.</w:t>
      </w:r>
      <w:r w:rsidR="00CF131C">
        <w:t xml:space="preserve"> </w:t>
      </w:r>
    </w:p>
    <w:p w14:paraId="3B3C0E0E" w14:textId="1BBEEB41" w:rsidR="008811EE" w:rsidRDefault="008811EE" w:rsidP="00C12E06">
      <w:pPr>
        <w:pStyle w:val="Caption"/>
      </w:pPr>
      <w:bookmarkStart w:id="44" w:name="_Ref163648734"/>
      <w:r>
        <w:t xml:space="preserve">Table </w:t>
      </w:r>
      <w:bookmarkEnd w:id="44"/>
      <w:r w:rsidR="00DF5FAF">
        <w:t xml:space="preserve">12 </w:t>
      </w:r>
      <w:r w:rsidRPr="00E56A9F">
        <w:t>Net financial implications of imlifidase to the state and federal governments</w:t>
      </w:r>
    </w:p>
    <w:tbl>
      <w:tblPr>
        <w:tblW w:w="5000" w:type="pct"/>
        <w:tblCellMar>
          <w:left w:w="0" w:type="dxa"/>
          <w:right w:w="0" w:type="dxa"/>
        </w:tblCellMar>
        <w:tblLook w:val="04A0" w:firstRow="1" w:lastRow="0" w:firstColumn="1" w:lastColumn="0" w:noHBand="0" w:noVBand="1"/>
      </w:tblPr>
      <w:tblGrid>
        <w:gridCol w:w="1625"/>
        <w:gridCol w:w="1381"/>
        <w:gridCol w:w="1003"/>
        <w:gridCol w:w="1001"/>
        <w:gridCol w:w="1001"/>
        <w:gridCol w:w="1001"/>
        <w:gridCol w:w="1001"/>
        <w:gridCol w:w="1003"/>
      </w:tblGrid>
      <w:tr w:rsidR="00842172" w:rsidRPr="00642C7E" w14:paraId="2804DD81" w14:textId="77777777" w:rsidTr="00C12E06">
        <w:trPr>
          <w:cantSplit/>
          <w:trHeight w:val="297"/>
          <w:tblHeader/>
        </w:trPr>
        <w:tc>
          <w:tcPr>
            <w:tcW w:w="1668" w:type="pct"/>
            <w:gridSpan w:val="2"/>
            <w:tcBorders>
              <w:top w:val="single" w:sz="4" w:space="0" w:color="auto"/>
              <w:left w:val="single" w:sz="4" w:space="0" w:color="auto"/>
              <w:bottom w:val="single" w:sz="4" w:space="0" w:color="auto"/>
              <w:right w:val="single" w:sz="4" w:space="0" w:color="000000"/>
            </w:tcBorders>
            <w:shd w:val="clear" w:color="auto" w:fill="auto"/>
            <w:tcMar>
              <w:top w:w="15" w:type="dxa"/>
              <w:left w:w="40" w:type="dxa"/>
              <w:bottom w:w="0" w:type="dxa"/>
              <w:right w:w="40" w:type="dxa"/>
            </w:tcMar>
            <w:vAlign w:val="center"/>
            <w:hideMark/>
          </w:tcPr>
          <w:p w14:paraId="1B79AEC4" w14:textId="77777777" w:rsidR="00842172" w:rsidRPr="004C6BBF" w:rsidRDefault="00842172" w:rsidP="00C962B4">
            <w:pPr>
              <w:pStyle w:val="TableText"/>
              <w:rPr>
                <w:b/>
                <w:bCs/>
              </w:rPr>
            </w:pPr>
            <w:r w:rsidRPr="004C6BBF">
              <w:rPr>
                <w:b/>
                <w:bCs/>
              </w:rPr>
              <w:t>Parameter</w:t>
            </w:r>
          </w:p>
        </w:tc>
        <w:tc>
          <w:tcPr>
            <w:tcW w:w="556" w:type="pct"/>
            <w:tcBorders>
              <w:top w:val="single" w:sz="4" w:space="0" w:color="auto"/>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26325665" w14:textId="77777777" w:rsidR="00842172" w:rsidRPr="004C6BBF" w:rsidRDefault="00842172" w:rsidP="00C962B4">
            <w:pPr>
              <w:pStyle w:val="TableText"/>
              <w:rPr>
                <w:b/>
                <w:bCs/>
              </w:rPr>
            </w:pPr>
            <w:r w:rsidRPr="004C6BBF">
              <w:rPr>
                <w:b/>
                <w:bCs/>
              </w:rPr>
              <w:t>2025</w:t>
            </w:r>
          </w:p>
        </w:tc>
        <w:tc>
          <w:tcPr>
            <w:tcW w:w="555" w:type="pct"/>
            <w:tcBorders>
              <w:top w:val="single" w:sz="4" w:space="0" w:color="auto"/>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74291537" w14:textId="77777777" w:rsidR="00842172" w:rsidRPr="004C6BBF" w:rsidRDefault="00842172" w:rsidP="00C962B4">
            <w:pPr>
              <w:pStyle w:val="TableText"/>
              <w:rPr>
                <w:b/>
                <w:bCs/>
              </w:rPr>
            </w:pPr>
            <w:r w:rsidRPr="004C6BBF">
              <w:rPr>
                <w:b/>
                <w:bCs/>
              </w:rPr>
              <w:t>2026</w:t>
            </w:r>
          </w:p>
        </w:tc>
        <w:tc>
          <w:tcPr>
            <w:tcW w:w="555" w:type="pct"/>
            <w:tcBorders>
              <w:top w:val="single" w:sz="4" w:space="0" w:color="auto"/>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671FC57B" w14:textId="77777777" w:rsidR="00842172" w:rsidRPr="004C6BBF" w:rsidRDefault="00842172" w:rsidP="00C962B4">
            <w:pPr>
              <w:pStyle w:val="TableText"/>
              <w:rPr>
                <w:b/>
                <w:bCs/>
              </w:rPr>
            </w:pPr>
            <w:r w:rsidRPr="004C6BBF">
              <w:rPr>
                <w:b/>
                <w:bCs/>
              </w:rPr>
              <w:t>2027</w:t>
            </w:r>
          </w:p>
        </w:tc>
        <w:tc>
          <w:tcPr>
            <w:tcW w:w="555" w:type="pct"/>
            <w:tcBorders>
              <w:top w:val="single" w:sz="4" w:space="0" w:color="auto"/>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48E7EC1B" w14:textId="77777777" w:rsidR="00842172" w:rsidRPr="004C6BBF" w:rsidRDefault="00842172" w:rsidP="00C962B4">
            <w:pPr>
              <w:pStyle w:val="TableText"/>
              <w:rPr>
                <w:b/>
                <w:bCs/>
              </w:rPr>
            </w:pPr>
            <w:r w:rsidRPr="004C6BBF">
              <w:rPr>
                <w:b/>
                <w:bCs/>
              </w:rPr>
              <w:t>2028</w:t>
            </w:r>
          </w:p>
        </w:tc>
        <w:tc>
          <w:tcPr>
            <w:tcW w:w="555" w:type="pct"/>
            <w:tcBorders>
              <w:top w:val="single" w:sz="4" w:space="0" w:color="auto"/>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04599B48" w14:textId="77777777" w:rsidR="00842172" w:rsidRPr="004C6BBF" w:rsidRDefault="00842172" w:rsidP="00C962B4">
            <w:pPr>
              <w:pStyle w:val="TableText"/>
              <w:rPr>
                <w:b/>
                <w:bCs/>
              </w:rPr>
            </w:pPr>
            <w:r w:rsidRPr="004C6BBF">
              <w:rPr>
                <w:b/>
                <w:bCs/>
              </w:rPr>
              <w:t>2029</w:t>
            </w:r>
          </w:p>
        </w:tc>
        <w:tc>
          <w:tcPr>
            <w:tcW w:w="556" w:type="pct"/>
            <w:tcBorders>
              <w:top w:val="single" w:sz="4" w:space="0" w:color="auto"/>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7CA6D9F7" w14:textId="77777777" w:rsidR="00842172" w:rsidRPr="004C6BBF" w:rsidRDefault="00842172" w:rsidP="00C962B4">
            <w:pPr>
              <w:pStyle w:val="TableText"/>
              <w:rPr>
                <w:b/>
                <w:bCs/>
              </w:rPr>
            </w:pPr>
            <w:r w:rsidRPr="004C6BBF">
              <w:rPr>
                <w:b/>
                <w:bCs/>
              </w:rPr>
              <w:t>2030</w:t>
            </w:r>
          </w:p>
        </w:tc>
      </w:tr>
      <w:tr w:rsidR="00842172" w:rsidRPr="00C30B2D" w14:paraId="612EEDD6" w14:textId="77777777" w:rsidTr="00C12E06">
        <w:trPr>
          <w:cantSplit/>
          <w:trHeight w:val="297"/>
        </w:trPr>
        <w:tc>
          <w:tcPr>
            <w:tcW w:w="902" w:type="pct"/>
            <w:vMerge w:val="restart"/>
            <w:tcBorders>
              <w:top w:val="nil"/>
              <w:left w:val="single" w:sz="4" w:space="0" w:color="auto"/>
              <w:bottom w:val="single" w:sz="4" w:space="0" w:color="auto"/>
              <w:right w:val="single" w:sz="4" w:space="0" w:color="auto"/>
            </w:tcBorders>
            <w:shd w:val="clear" w:color="auto" w:fill="auto"/>
            <w:tcMar>
              <w:top w:w="15" w:type="dxa"/>
              <w:left w:w="40" w:type="dxa"/>
              <w:bottom w:w="0" w:type="dxa"/>
              <w:right w:w="40" w:type="dxa"/>
            </w:tcMar>
            <w:vAlign w:val="center"/>
            <w:hideMark/>
          </w:tcPr>
          <w:p w14:paraId="5DB2729B" w14:textId="77777777" w:rsidR="00842172" w:rsidRPr="004C6BBF" w:rsidRDefault="00842172" w:rsidP="00C962B4">
            <w:pPr>
              <w:pStyle w:val="TableText"/>
            </w:pPr>
            <w:r w:rsidRPr="004C6BBF">
              <w:t xml:space="preserve">Number of people eligible for imlifidase </w:t>
            </w:r>
          </w:p>
        </w:tc>
        <w:tc>
          <w:tcPr>
            <w:tcW w:w="76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21E38EDC" w14:textId="2AE131A4" w:rsidR="00842172" w:rsidRPr="004C6BBF" w:rsidRDefault="00642C7E" w:rsidP="00C962B4">
            <w:pPr>
              <w:pStyle w:val="TableText"/>
            </w:pPr>
            <w:r w:rsidRPr="004C6BBF">
              <w:t>DD</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31EC4CA3" w14:textId="4A67E4C6" w:rsidR="00842172" w:rsidRPr="009E2F9F" w:rsidRDefault="00076C9B" w:rsidP="00C962B4">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5144E454" w14:textId="0EC051AE" w:rsidR="00842172" w:rsidRPr="009E2F9F" w:rsidRDefault="00076C9B" w:rsidP="00C962B4">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5AF83F8F" w14:textId="030A3A36" w:rsidR="00842172" w:rsidRPr="009E2F9F" w:rsidRDefault="00076C9B" w:rsidP="00C962B4">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00AB3103" w14:textId="3A67CD5C" w:rsidR="00842172" w:rsidRPr="009E2F9F" w:rsidRDefault="00076C9B" w:rsidP="00C962B4">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4283EE52" w14:textId="3B3E0E8D" w:rsidR="00842172" w:rsidRPr="009E2F9F" w:rsidRDefault="00B330C2" w:rsidP="00C962B4">
            <w:pPr>
              <w:pStyle w:val="TableText"/>
            </w:pPr>
            <w:r w:rsidRPr="004C6BBF">
              <w:rPr>
                <w:b/>
                <w:bCs/>
              </w:rPr>
              <w:t>redacted</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5A5A9C66" w14:textId="56C116AE" w:rsidR="00842172" w:rsidRPr="009E2F9F" w:rsidRDefault="00B330C2" w:rsidP="00C962B4">
            <w:pPr>
              <w:pStyle w:val="TableText"/>
            </w:pPr>
            <w:r w:rsidRPr="004C6BBF">
              <w:rPr>
                <w:b/>
                <w:bCs/>
              </w:rPr>
              <w:t>redacted</w:t>
            </w:r>
          </w:p>
        </w:tc>
      </w:tr>
      <w:tr w:rsidR="00842172" w:rsidRPr="00C30B2D" w14:paraId="1B6775D2" w14:textId="77777777" w:rsidTr="00C12E06">
        <w:trPr>
          <w:cantSplit/>
          <w:trHeight w:val="297"/>
        </w:trPr>
        <w:tc>
          <w:tcPr>
            <w:tcW w:w="902" w:type="pct"/>
            <w:vMerge/>
            <w:tcBorders>
              <w:top w:val="nil"/>
              <w:left w:val="single" w:sz="4" w:space="0" w:color="auto"/>
              <w:bottom w:val="single" w:sz="4" w:space="0" w:color="auto"/>
              <w:right w:val="single" w:sz="4" w:space="0" w:color="auto"/>
            </w:tcBorders>
            <w:tcMar>
              <w:left w:w="40" w:type="dxa"/>
              <w:right w:w="40" w:type="dxa"/>
            </w:tcMar>
            <w:vAlign w:val="center"/>
            <w:hideMark/>
          </w:tcPr>
          <w:p w14:paraId="60672373" w14:textId="77777777" w:rsidR="00842172" w:rsidRPr="004C6BBF" w:rsidRDefault="00842172" w:rsidP="00C962B4">
            <w:pPr>
              <w:pStyle w:val="TableText"/>
            </w:pPr>
          </w:p>
        </w:tc>
        <w:tc>
          <w:tcPr>
            <w:tcW w:w="76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6FC7E484" w14:textId="68AE14F5" w:rsidR="00842172" w:rsidRPr="004C6BBF" w:rsidRDefault="00642C7E" w:rsidP="00C962B4">
            <w:pPr>
              <w:pStyle w:val="TableText"/>
            </w:pPr>
            <w:r w:rsidRPr="004C6BBF">
              <w:t>LD</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629691D0" w14:textId="488FFAC9" w:rsidR="00842172" w:rsidRPr="009E2F9F" w:rsidRDefault="00076C9B" w:rsidP="00C962B4">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4564CE20" w14:textId="5694C83C" w:rsidR="00842172" w:rsidRPr="009E2F9F" w:rsidRDefault="00076C9B" w:rsidP="00C962B4">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47447B3D" w14:textId="24D2901F" w:rsidR="00842172" w:rsidRPr="009E2F9F" w:rsidRDefault="00076C9B" w:rsidP="00C962B4">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2938B64B" w14:textId="3CEFC56F" w:rsidR="00842172" w:rsidRPr="009E2F9F" w:rsidRDefault="00076C9B" w:rsidP="00C962B4">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7FB61AA2" w14:textId="55761ACD" w:rsidR="00842172" w:rsidRPr="009E2F9F" w:rsidRDefault="00B330C2" w:rsidP="00C962B4">
            <w:pPr>
              <w:pStyle w:val="TableText"/>
            </w:pPr>
            <w:r w:rsidRPr="004C6BBF">
              <w:rPr>
                <w:b/>
                <w:bCs/>
              </w:rPr>
              <w:t>redacted</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0828AC52" w14:textId="2EEEFE65" w:rsidR="00842172" w:rsidRPr="009E2F9F" w:rsidRDefault="00B330C2" w:rsidP="00C962B4">
            <w:pPr>
              <w:pStyle w:val="TableText"/>
            </w:pPr>
            <w:r w:rsidRPr="004C6BBF">
              <w:rPr>
                <w:b/>
                <w:bCs/>
              </w:rPr>
              <w:t>redacted</w:t>
            </w:r>
          </w:p>
        </w:tc>
      </w:tr>
      <w:tr w:rsidR="00842172" w:rsidRPr="00C30B2D" w14:paraId="5626F8AA" w14:textId="77777777" w:rsidTr="00C12E06">
        <w:trPr>
          <w:cantSplit/>
          <w:trHeight w:val="297"/>
        </w:trPr>
        <w:tc>
          <w:tcPr>
            <w:tcW w:w="902" w:type="pct"/>
            <w:vMerge/>
            <w:tcBorders>
              <w:top w:val="nil"/>
              <w:left w:val="single" w:sz="4" w:space="0" w:color="auto"/>
              <w:bottom w:val="single" w:sz="4" w:space="0" w:color="auto"/>
              <w:right w:val="single" w:sz="4" w:space="0" w:color="auto"/>
            </w:tcBorders>
            <w:tcMar>
              <w:left w:w="40" w:type="dxa"/>
              <w:right w:w="40" w:type="dxa"/>
            </w:tcMar>
            <w:vAlign w:val="center"/>
            <w:hideMark/>
          </w:tcPr>
          <w:p w14:paraId="6B1FBD52" w14:textId="77777777" w:rsidR="00842172" w:rsidRPr="004C6BBF" w:rsidRDefault="00842172" w:rsidP="00C962B4">
            <w:pPr>
              <w:pStyle w:val="TableText"/>
            </w:pPr>
          </w:p>
        </w:tc>
        <w:tc>
          <w:tcPr>
            <w:tcW w:w="76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3BAEF04B" w14:textId="77777777" w:rsidR="00842172" w:rsidRPr="004C6BBF" w:rsidRDefault="00842172" w:rsidP="00C962B4">
            <w:pPr>
              <w:pStyle w:val="TableText"/>
            </w:pPr>
            <w:r w:rsidRPr="004C6BBF">
              <w:t>Total</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414550AD" w14:textId="21A22CF4" w:rsidR="00842172" w:rsidRPr="009E2F9F" w:rsidRDefault="00076C9B" w:rsidP="00C962B4">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1B34D81D" w14:textId="65A35252" w:rsidR="00842172" w:rsidRPr="009E2F9F" w:rsidRDefault="00076C9B" w:rsidP="00C962B4">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55538D27" w14:textId="459A1125" w:rsidR="00842172" w:rsidRPr="009E2F9F" w:rsidRDefault="00076C9B" w:rsidP="00C962B4">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015AE8FD" w14:textId="42908DDC" w:rsidR="00842172" w:rsidRPr="009E2F9F" w:rsidRDefault="00076C9B" w:rsidP="00C962B4">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17A8E0E5" w14:textId="3E9F0D75" w:rsidR="00842172" w:rsidRPr="009E2F9F" w:rsidRDefault="00B330C2" w:rsidP="00C962B4">
            <w:pPr>
              <w:pStyle w:val="TableText"/>
            </w:pPr>
            <w:r w:rsidRPr="004C6BBF">
              <w:rPr>
                <w:b/>
                <w:bCs/>
              </w:rPr>
              <w:t>redacted</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44C86066" w14:textId="76D427DA" w:rsidR="00842172" w:rsidRPr="009E2F9F" w:rsidRDefault="00B330C2" w:rsidP="00C962B4">
            <w:pPr>
              <w:pStyle w:val="TableText"/>
            </w:pPr>
            <w:r w:rsidRPr="004C6BBF">
              <w:rPr>
                <w:b/>
                <w:bCs/>
              </w:rPr>
              <w:t>redacted</w:t>
            </w:r>
          </w:p>
        </w:tc>
      </w:tr>
      <w:tr w:rsidR="00642C7E" w:rsidRPr="00C30B2D" w14:paraId="5EF5A27F" w14:textId="77777777" w:rsidTr="00C12E06">
        <w:trPr>
          <w:cantSplit/>
          <w:trHeight w:val="297"/>
        </w:trPr>
        <w:tc>
          <w:tcPr>
            <w:tcW w:w="902" w:type="pct"/>
            <w:vMerge w:val="restart"/>
            <w:tcBorders>
              <w:top w:val="nil"/>
              <w:left w:val="single" w:sz="4" w:space="0" w:color="auto"/>
              <w:bottom w:val="single" w:sz="4" w:space="0" w:color="auto"/>
              <w:right w:val="single" w:sz="4" w:space="0" w:color="auto"/>
            </w:tcBorders>
            <w:shd w:val="clear" w:color="auto" w:fill="auto"/>
            <w:tcMar>
              <w:top w:w="15" w:type="dxa"/>
              <w:left w:w="40" w:type="dxa"/>
              <w:bottom w:w="0" w:type="dxa"/>
              <w:right w:w="40" w:type="dxa"/>
            </w:tcMar>
            <w:vAlign w:val="center"/>
            <w:hideMark/>
          </w:tcPr>
          <w:p w14:paraId="301E7E8E" w14:textId="77777777" w:rsidR="00642C7E" w:rsidRPr="004C6BBF" w:rsidRDefault="00642C7E" w:rsidP="00C0594B">
            <w:pPr>
              <w:pStyle w:val="TableText"/>
              <w:keepNext/>
            </w:pPr>
            <w:r w:rsidRPr="004C6BBF">
              <w:t xml:space="preserve">Number of people who receive imlifidase </w:t>
            </w:r>
          </w:p>
        </w:tc>
        <w:tc>
          <w:tcPr>
            <w:tcW w:w="76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1CE9DD89" w14:textId="006BC7A9" w:rsidR="00642C7E" w:rsidRPr="004C6BBF" w:rsidRDefault="00642C7E" w:rsidP="00C0594B">
            <w:pPr>
              <w:pStyle w:val="TableText"/>
              <w:keepNext/>
            </w:pPr>
            <w:r w:rsidRPr="004C6BBF">
              <w:t>DD</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52E4A357" w14:textId="4409DB0B" w:rsidR="00642C7E" w:rsidRPr="009E2F9F" w:rsidRDefault="00076C9B" w:rsidP="00C0594B">
            <w:pPr>
              <w:pStyle w:val="TableText"/>
              <w:keepN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285B20E4" w14:textId="492510C8" w:rsidR="00642C7E" w:rsidRPr="009E2F9F" w:rsidRDefault="00076C9B" w:rsidP="00C0594B">
            <w:pPr>
              <w:pStyle w:val="TableText"/>
              <w:keepN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4B098DF7" w14:textId="2E01B60E" w:rsidR="00642C7E" w:rsidRPr="009E2F9F" w:rsidRDefault="00076C9B" w:rsidP="00C0594B">
            <w:pPr>
              <w:pStyle w:val="TableText"/>
              <w:keepN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48980CFA" w14:textId="12B1F20F" w:rsidR="00642C7E" w:rsidRPr="009E2F9F" w:rsidRDefault="00076C9B" w:rsidP="00C0594B">
            <w:pPr>
              <w:pStyle w:val="TableText"/>
              <w:keepN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0C36C145" w14:textId="4F9FDB0D" w:rsidR="00642C7E" w:rsidRPr="009E2F9F" w:rsidRDefault="00B330C2" w:rsidP="00C0594B">
            <w:pPr>
              <w:pStyle w:val="TableText"/>
              <w:keepNext/>
            </w:pPr>
            <w:r w:rsidRPr="004C6BBF">
              <w:rPr>
                <w:b/>
                <w:bCs/>
              </w:rPr>
              <w:t>redacted</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2BA11D81" w14:textId="42A36501" w:rsidR="00642C7E" w:rsidRPr="009E2F9F" w:rsidRDefault="00B330C2" w:rsidP="00C0594B">
            <w:pPr>
              <w:pStyle w:val="TableText"/>
              <w:keepNext/>
            </w:pPr>
            <w:r w:rsidRPr="004C6BBF">
              <w:rPr>
                <w:b/>
                <w:bCs/>
              </w:rPr>
              <w:t>redacted</w:t>
            </w:r>
          </w:p>
        </w:tc>
      </w:tr>
      <w:tr w:rsidR="00642C7E" w:rsidRPr="00C30B2D" w14:paraId="55531FEE" w14:textId="77777777" w:rsidTr="00C12E06">
        <w:trPr>
          <w:cantSplit/>
          <w:trHeight w:val="297"/>
        </w:trPr>
        <w:tc>
          <w:tcPr>
            <w:tcW w:w="902" w:type="pct"/>
            <w:vMerge/>
            <w:tcBorders>
              <w:top w:val="nil"/>
              <w:left w:val="single" w:sz="4" w:space="0" w:color="auto"/>
              <w:bottom w:val="single" w:sz="4" w:space="0" w:color="auto"/>
              <w:right w:val="single" w:sz="4" w:space="0" w:color="auto"/>
            </w:tcBorders>
            <w:tcMar>
              <w:left w:w="40" w:type="dxa"/>
              <w:right w:w="40" w:type="dxa"/>
            </w:tcMar>
            <w:vAlign w:val="center"/>
            <w:hideMark/>
          </w:tcPr>
          <w:p w14:paraId="1067CAAA" w14:textId="77777777" w:rsidR="00642C7E" w:rsidRPr="004C6BBF" w:rsidRDefault="00642C7E" w:rsidP="00642C7E">
            <w:pPr>
              <w:pStyle w:val="TableText"/>
            </w:pPr>
          </w:p>
        </w:tc>
        <w:tc>
          <w:tcPr>
            <w:tcW w:w="76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78D69E24" w14:textId="7C2A8CA8" w:rsidR="00642C7E" w:rsidRPr="004C6BBF" w:rsidRDefault="00642C7E" w:rsidP="00642C7E">
            <w:pPr>
              <w:pStyle w:val="TableText"/>
            </w:pPr>
            <w:r w:rsidRPr="004C6BBF">
              <w:t>LD</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5C7DC8BB" w14:textId="1166A4B1" w:rsidR="00642C7E" w:rsidRPr="009E2F9F" w:rsidRDefault="00076C9B" w:rsidP="00642C7E">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608A9F4C" w14:textId="29C8DF29" w:rsidR="00642C7E" w:rsidRPr="009E2F9F" w:rsidRDefault="00076C9B" w:rsidP="00642C7E">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410E1FFE" w14:textId="1A25FEF7" w:rsidR="00642C7E" w:rsidRPr="009E2F9F" w:rsidRDefault="00076C9B" w:rsidP="00642C7E">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55EE3701" w14:textId="3EB2FFC1" w:rsidR="00642C7E" w:rsidRPr="009E2F9F" w:rsidRDefault="00076C9B" w:rsidP="00642C7E">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2EC0F223" w14:textId="740A6787" w:rsidR="00642C7E" w:rsidRPr="009E2F9F" w:rsidRDefault="00B330C2" w:rsidP="00642C7E">
            <w:pPr>
              <w:pStyle w:val="TableText"/>
            </w:pPr>
            <w:r w:rsidRPr="004C6BBF">
              <w:rPr>
                <w:b/>
                <w:bCs/>
              </w:rPr>
              <w:t>redacted</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3B15FB36" w14:textId="4E328CC5" w:rsidR="00642C7E" w:rsidRPr="009E2F9F" w:rsidRDefault="00B330C2" w:rsidP="00642C7E">
            <w:pPr>
              <w:pStyle w:val="TableText"/>
            </w:pPr>
            <w:r w:rsidRPr="004C6BBF">
              <w:rPr>
                <w:b/>
                <w:bCs/>
              </w:rPr>
              <w:t>redacted</w:t>
            </w:r>
          </w:p>
        </w:tc>
      </w:tr>
      <w:tr w:rsidR="00642C7E" w:rsidRPr="00C30B2D" w14:paraId="77E88EEF" w14:textId="77777777" w:rsidTr="00C12E06">
        <w:trPr>
          <w:cantSplit/>
          <w:trHeight w:val="297"/>
        </w:trPr>
        <w:tc>
          <w:tcPr>
            <w:tcW w:w="902" w:type="pct"/>
            <w:vMerge/>
            <w:tcBorders>
              <w:top w:val="nil"/>
              <w:left w:val="single" w:sz="4" w:space="0" w:color="auto"/>
              <w:bottom w:val="single" w:sz="4" w:space="0" w:color="auto"/>
              <w:right w:val="single" w:sz="4" w:space="0" w:color="auto"/>
            </w:tcBorders>
            <w:tcMar>
              <w:left w:w="40" w:type="dxa"/>
              <w:right w:w="40" w:type="dxa"/>
            </w:tcMar>
            <w:vAlign w:val="center"/>
            <w:hideMark/>
          </w:tcPr>
          <w:p w14:paraId="70FCDB14" w14:textId="77777777" w:rsidR="00642C7E" w:rsidRPr="004C6BBF" w:rsidRDefault="00642C7E" w:rsidP="00642C7E">
            <w:pPr>
              <w:pStyle w:val="TableText"/>
            </w:pPr>
          </w:p>
        </w:tc>
        <w:tc>
          <w:tcPr>
            <w:tcW w:w="76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2F6D8481" w14:textId="77777777" w:rsidR="00642C7E" w:rsidRPr="004C6BBF" w:rsidRDefault="00642C7E" w:rsidP="00642C7E">
            <w:pPr>
              <w:pStyle w:val="TableText"/>
            </w:pPr>
            <w:r w:rsidRPr="004C6BBF">
              <w:t>Total</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1781149E" w14:textId="044F3C9C" w:rsidR="00642C7E" w:rsidRPr="009E2F9F" w:rsidRDefault="00076C9B" w:rsidP="00642C7E">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4E00BD60" w14:textId="6ED4D462" w:rsidR="00642C7E" w:rsidRPr="009E2F9F" w:rsidRDefault="00076C9B" w:rsidP="00642C7E">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0D6DECC3" w14:textId="75E497C7" w:rsidR="00642C7E" w:rsidRPr="009E2F9F" w:rsidRDefault="00076C9B" w:rsidP="00642C7E">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4D20A2FF" w14:textId="5D9FA7F3" w:rsidR="00642C7E" w:rsidRPr="009E2F9F" w:rsidRDefault="00076C9B" w:rsidP="00642C7E">
            <w:pPr>
              <w:pStyle w:val="TableText"/>
            </w:pPr>
            <w:r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7819E647" w14:textId="50FAFC74" w:rsidR="00642C7E" w:rsidRPr="009E2F9F" w:rsidRDefault="00B330C2" w:rsidP="00642C7E">
            <w:pPr>
              <w:pStyle w:val="TableText"/>
            </w:pPr>
            <w:r w:rsidRPr="004C6BBF">
              <w:rPr>
                <w:b/>
                <w:bCs/>
              </w:rPr>
              <w:t>redacted</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bottom"/>
            <w:hideMark/>
          </w:tcPr>
          <w:p w14:paraId="14A4233D" w14:textId="47B3CC8D" w:rsidR="00642C7E" w:rsidRPr="009E2F9F" w:rsidRDefault="00B330C2" w:rsidP="00642C7E">
            <w:pPr>
              <w:pStyle w:val="TableText"/>
            </w:pPr>
            <w:r w:rsidRPr="004C6BBF">
              <w:rPr>
                <w:b/>
                <w:bCs/>
              </w:rPr>
              <w:t>redacted</w:t>
            </w:r>
          </w:p>
        </w:tc>
      </w:tr>
      <w:tr w:rsidR="00642C7E" w:rsidRPr="00C30B2D" w14:paraId="2C536482" w14:textId="77777777" w:rsidTr="00C12E06">
        <w:trPr>
          <w:cantSplit/>
          <w:trHeight w:val="297"/>
        </w:trPr>
        <w:tc>
          <w:tcPr>
            <w:tcW w:w="1668"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vAlign w:val="bottom"/>
            <w:hideMark/>
          </w:tcPr>
          <w:p w14:paraId="2FC0545F" w14:textId="77777777" w:rsidR="00642C7E" w:rsidRPr="004C6BBF" w:rsidRDefault="00642C7E" w:rsidP="00642C7E">
            <w:pPr>
              <w:pStyle w:val="TableText"/>
            </w:pPr>
            <w:r w:rsidRPr="004C6BBF">
              <w:t>Cost of imlifidase to all governments</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hideMark/>
          </w:tcPr>
          <w:p w14:paraId="00718992" w14:textId="57BB11F7" w:rsidR="00642C7E" w:rsidRPr="009E2F9F" w:rsidRDefault="00115887" w:rsidP="00642C7E">
            <w:pPr>
              <w:pStyle w:val="TableText"/>
            </w:pPr>
            <w:r w:rsidRPr="004C6BBF">
              <w:t>$</w:t>
            </w:r>
            <w:r w:rsidR="00076C9B"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hideMark/>
          </w:tcPr>
          <w:p w14:paraId="1EB75D57" w14:textId="3EAD1B47" w:rsidR="00642C7E" w:rsidRPr="009E2F9F" w:rsidRDefault="00115887" w:rsidP="00642C7E">
            <w:pPr>
              <w:pStyle w:val="TableText"/>
            </w:pPr>
            <w:r w:rsidRPr="004C6BBF">
              <w:t>$</w:t>
            </w:r>
            <w:r w:rsidR="00076C9B"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hideMark/>
          </w:tcPr>
          <w:p w14:paraId="7B848807" w14:textId="11FC57E0" w:rsidR="00642C7E" w:rsidRPr="009E2F9F" w:rsidRDefault="00115887" w:rsidP="00642C7E">
            <w:pPr>
              <w:pStyle w:val="TableText"/>
            </w:pPr>
            <w:r w:rsidRPr="004C6BBF">
              <w:t>$</w:t>
            </w:r>
            <w:r w:rsidR="00076C9B"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hideMark/>
          </w:tcPr>
          <w:p w14:paraId="26636D71" w14:textId="18C3E121" w:rsidR="00642C7E" w:rsidRPr="009E2F9F" w:rsidRDefault="00115887" w:rsidP="00642C7E">
            <w:pPr>
              <w:pStyle w:val="TableText"/>
            </w:pPr>
            <w:r w:rsidRPr="004C6BBF">
              <w:t>$</w:t>
            </w:r>
            <w:r w:rsidR="00076C9B"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hideMark/>
          </w:tcPr>
          <w:p w14:paraId="4F6A51B4" w14:textId="2DA05DAC" w:rsidR="00642C7E" w:rsidRPr="009E2F9F" w:rsidRDefault="00115887" w:rsidP="00642C7E">
            <w:pPr>
              <w:pStyle w:val="TableText"/>
            </w:pPr>
            <w:r w:rsidRPr="004C6BBF">
              <w:t>$</w:t>
            </w:r>
            <w:r w:rsidR="00B330C2" w:rsidRPr="004C6BBF">
              <w:rPr>
                <w:b/>
                <w:bCs/>
              </w:rPr>
              <w:t>redacted</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hideMark/>
          </w:tcPr>
          <w:p w14:paraId="3CCD556F" w14:textId="7C36492D" w:rsidR="00642C7E" w:rsidRPr="009E2F9F" w:rsidRDefault="00115887" w:rsidP="00642C7E">
            <w:pPr>
              <w:pStyle w:val="TableText"/>
            </w:pPr>
            <w:r w:rsidRPr="004C6BBF">
              <w:t>$</w:t>
            </w:r>
            <w:r w:rsidR="00B330C2" w:rsidRPr="004C6BBF">
              <w:rPr>
                <w:b/>
                <w:bCs/>
              </w:rPr>
              <w:t>redacted</w:t>
            </w:r>
          </w:p>
        </w:tc>
      </w:tr>
      <w:tr w:rsidR="00642C7E" w:rsidRPr="00C30B2D" w14:paraId="723DC406" w14:textId="77777777" w:rsidTr="00C12E06">
        <w:trPr>
          <w:cantSplit/>
          <w:trHeight w:val="297"/>
        </w:trPr>
        <w:tc>
          <w:tcPr>
            <w:tcW w:w="1668"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vAlign w:val="bottom"/>
            <w:hideMark/>
          </w:tcPr>
          <w:p w14:paraId="16439942" w14:textId="77777777" w:rsidR="00642C7E" w:rsidRPr="004C6BBF" w:rsidRDefault="00642C7E" w:rsidP="00642C7E">
            <w:pPr>
              <w:pStyle w:val="TableText"/>
            </w:pPr>
            <w:r w:rsidRPr="004C6BBF">
              <w:t>Change in use of dialysis-related costs</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hideMark/>
          </w:tcPr>
          <w:p w14:paraId="3A5B3E23" w14:textId="703D1305" w:rsidR="00642C7E" w:rsidRPr="009E2F9F" w:rsidRDefault="00642C7E" w:rsidP="00642C7E">
            <w:pPr>
              <w:pStyle w:val="TableText"/>
            </w:pPr>
            <w:r w:rsidRPr="009E2F9F">
              <w:t>-</w:t>
            </w:r>
            <w:r w:rsidR="00115887" w:rsidRPr="004C6BBF">
              <w:t>$</w:t>
            </w:r>
            <w:r w:rsidR="00076C9B"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hideMark/>
          </w:tcPr>
          <w:p w14:paraId="596B914A" w14:textId="5BBE310D" w:rsidR="00642C7E" w:rsidRPr="009E2F9F" w:rsidRDefault="00642C7E" w:rsidP="00642C7E">
            <w:pPr>
              <w:pStyle w:val="TableText"/>
            </w:pPr>
            <w:r w:rsidRPr="009E2F9F">
              <w:t>-</w:t>
            </w:r>
            <w:r w:rsidR="00115887" w:rsidRPr="004C6BBF">
              <w:t>$</w:t>
            </w:r>
            <w:r w:rsidR="00076C9B"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hideMark/>
          </w:tcPr>
          <w:p w14:paraId="0EB1B627" w14:textId="23B37655" w:rsidR="00642C7E" w:rsidRPr="009E2F9F" w:rsidRDefault="00642C7E" w:rsidP="00642C7E">
            <w:pPr>
              <w:pStyle w:val="TableText"/>
            </w:pPr>
            <w:r w:rsidRPr="009E2F9F">
              <w:t>-</w:t>
            </w:r>
            <w:r w:rsidR="00115887" w:rsidRPr="004C6BBF">
              <w:t>$</w:t>
            </w:r>
            <w:r w:rsidR="00076C9B"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hideMark/>
          </w:tcPr>
          <w:p w14:paraId="52A5A9B8" w14:textId="4AB002B6" w:rsidR="00642C7E" w:rsidRPr="009E2F9F" w:rsidRDefault="00642C7E" w:rsidP="00642C7E">
            <w:pPr>
              <w:pStyle w:val="TableText"/>
            </w:pPr>
            <w:r w:rsidRPr="009E2F9F">
              <w:t>-</w:t>
            </w:r>
            <w:r w:rsidR="00115887" w:rsidRPr="004C6BBF">
              <w:t>$</w:t>
            </w:r>
            <w:r w:rsidR="00A3532F"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hideMark/>
          </w:tcPr>
          <w:p w14:paraId="386CD07C" w14:textId="02ED47F4" w:rsidR="00642C7E" w:rsidRPr="009E2F9F" w:rsidRDefault="00642C7E" w:rsidP="00642C7E">
            <w:pPr>
              <w:pStyle w:val="TableText"/>
            </w:pPr>
            <w:r w:rsidRPr="009E2F9F">
              <w:t>-</w:t>
            </w:r>
            <w:r w:rsidR="00115887" w:rsidRPr="004C6BBF">
              <w:t>$</w:t>
            </w:r>
            <w:r w:rsidR="00A3532F" w:rsidRPr="004C6BBF">
              <w:rPr>
                <w:b/>
                <w:bCs/>
              </w:rPr>
              <w:t>redacted</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hideMark/>
          </w:tcPr>
          <w:p w14:paraId="4186FA51" w14:textId="3E708774" w:rsidR="00642C7E" w:rsidRPr="009E2F9F" w:rsidRDefault="00642C7E" w:rsidP="00642C7E">
            <w:pPr>
              <w:pStyle w:val="TableText"/>
            </w:pPr>
            <w:r w:rsidRPr="009E2F9F">
              <w:t>-</w:t>
            </w:r>
            <w:r w:rsidR="00115887" w:rsidRPr="004C6BBF">
              <w:t>$</w:t>
            </w:r>
            <w:r w:rsidR="00A3532F" w:rsidRPr="004C6BBF">
              <w:rPr>
                <w:b/>
                <w:bCs/>
              </w:rPr>
              <w:t>redacted</w:t>
            </w:r>
          </w:p>
        </w:tc>
      </w:tr>
      <w:tr w:rsidR="00642C7E" w:rsidRPr="00C30B2D" w14:paraId="754D28B7" w14:textId="77777777" w:rsidTr="00C12E06">
        <w:trPr>
          <w:cantSplit/>
          <w:trHeight w:val="31"/>
        </w:trPr>
        <w:tc>
          <w:tcPr>
            <w:tcW w:w="1668"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vAlign w:val="bottom"/>
            <w:hideMark/>
          </w:tcPr>
          <w:p w14:paraId="469608C6" w14:textId="77777777" w:rsidR="00642C7E" w:rsidRPr="004C6BBF" w:rsidRDefault="00642C7E" w:rsidP="00642C7E">
            <w:pPr>
              <w:pStyle w:val="TableText"/>
            </w:pPr>
            <w:r w:rsidRPr="004C6BBF">
              <w:t>Net financial impact to state and federal governments</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center"/>
            <w:hideMark/>
          </w:tcPr>
          <w:p w14:paraId="04DB71AB" w14:textId="7E093FB5" w:rsidR="00642C7E" w:rsidRPr="009E2F9F" w:rsidRDefault="00115887" w:rsidP="00642C7E">
            <w:pPr>
              <w:pStyle w:val="TableText"/>
            </w:pPr>
            <w:r w:rsidRPr="004C6BBF">
              <w:t>$</w:t>
            </w:r>
            <w:r w:rsidR="00076C9B"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center"/>
            <w:hideMark/>
          </w:tcPr>
          <w:p w14:paraId="71A46983" w14:textId="43DE0966" w:rsidR="00642C7E" w:rsidRPr="009E2F9F" w:rsidRDefault="00115887" w:rsidP="00642C7E">
            <w:pPr>
              <w:pStyle w:val="TableText"/>
            </w:pPr>
            <w:r w:rsidRPr="004C6BBF">
              <w:t>$</w:t>
            </w:r>
            <w:r w:rsidR="00076C9B"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center"/>
            <w:hideMark/>
          </w:tcPr>
          <w:p w14:paraId="4B70AFDD" w14:textId="381B77A1" w:rsidR="00642C7E" w:rsidRPr="009E2F9F" w:rsidRDefault="00115887" w:rsidP="00642C7E">
            <w:pPr>
              <w:pStyle w:val="TableText"/>
            </w:pPr>
            <w:r w:rsidRPr="004C6BBF">
              <w:t>$</w:t>
            </w:r>
            <w:r w:rsidR="00A3532F"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center"/>
            <w:hideMark/>
          </w:tcPr>
          <w:p w14:paraId="3D179311" w14:textId="10C932B5" w:rsidR="00642C7E" w:rsidRPr="009E2F9F" w:rsidRDefault="00115887" w:rsidP="00642C7E">
            <w:pPr>
              <w:pStyle w:val="TableText"/>
            </w:pPr>
            <w:r w:rsidRPr="004C6BBF">
              <w:t>$</w:t>
            </w:r>
            <w:r w:rsidR="00A3532F" w:rsidRPr="004C6BBF">
              <w:rPr>
                <w:b/>
                <w:bCs/>
              </w:rPr>
              <w:t>redacted</w:t>
            </w:r>
          </w:p>
        </w:tc>
        <w:tc>
          <w:tcPr>
            <w:tcW w:w="555"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center"/>
            <w:hideMark/>
          </w:tcPr>
          <w:p w14:paraId="4C71CE96" w14:textId="11AB0DB8" w:rsidR="00642C7E" w:rsidRPr="009E2F9F" w:rsidRDefault="00115887" w:rsidP="00642C7E">
            <w:pPr>
              <w:pStyle w:val="TableText"/>
            </w:pPr>
            <w:r w:rsidRPr="004C6BBF">
              <w:t>$</w:t>
            </w:r>
            <w:r w:rsidR="00A3532F" w:rsidRPr="004C6BBF">
              <w:rPr>
                <w:b/>
                <w:bCs/>
              </w:rPr>
              <w:t>redacted</w:t>
            </w:r>
          </w:p>
        </w:tc>
        <w:tc>
          <w:tcPr>
            <w:tcW w:w="556" w:type="pct"/>
            <w:tcBorders>
              <w:top w:val="nil"/>
              <w:left w:val="nil"/>
              <w:bottom w:val="single" w:sz="4" w:space="0" w:color="auto"/>
              <w:right w:val="single" w:sz="4" w:space="0" w:color="auto"/>
            </w:tcBorders>
            <w:shd w:val="clear" w:color="auto" w:fill="auto"/>
            <w:tcMar>
              <w:top w:w="15" w:type="dxa"/>
              <w:left w:w="40" w:type="dxa"/>
              <w:bottom w:w="0" w:type="dxa"/>
              <w:right w:w="40" w:type="dxa"/>
            </w:tcMar>
            <w:vAlign w:val="center"/>
            <w:hideMark/>
          </w:tcPr>
          <w:p w14:paraId="450F4169" w14:textId="6A39F5A7" w:rsidR="00642C7E" w:rsidRPr="009E2F9F" w:rsidRDefault="00115887" w:rsidP="00642C7E">
            <w:pPr>
              <w:pStyle w:val="TableText"/>
            </w:pPr>
            <w:r w:rsidRPr="004C6BBF">
              <w:t>$</w:t>
            </w:r>
            <w:r w:rsidR="00A3532F" w:rsidRPr="004C6BBF">
              <w:rPr>
                <w:b/>
                <w:bCs/>
              </w:rPr>
              <w:t>redacted</w:t>
            </w:r>
          </w:p>
        </w:tc>
      </w:tr>
    </w:tbl>
    <w:p w14:paraId="26BC9011" w14:textId="6F357C63" w:rsidR="00D4750A" w:rsidRPr="00527717" w:rsidRDefault="00D4750A" w:rsidP="00642C7E">
      <w:pPr>
        <w:pStyle w:val="Tablenotes"/>
        <w:rPr>
          <w:b/>
          <w:bCs/>
          <w:u w:val="single"/>
        </w:rPr>
      </w:pPr>
      <w:r w:rsidRPr="00527717">
        <w:rPr>
          <w:b/>
          <w:bCs/>
          <w:u w:val="single"/>
        </w:rPr>
        <w:t>Abbreviations</w:t>
      </w:r>
    </w:p>
    <w:p w14:paraId="24F30B6B" w14:textId="6BD79D3D" w:rsidR="004A7B5A" w:rsidRDefault="00642C7E" w:rsidP="00642C7E">
      <w:pPr>
        <w:pStyle w:val="Tablenotes"/>
      </w:pPr>
      <w:r>
        <w:t>DD = deceased donor, LD = living donor</w:t>
      </w:r>
    </w:p>
    <w:p w14:paraId="63B6582C" w14:textId="37CB5077" w:rsidR="00D4750A" w:rsidRPr="00527717" w:rsidRDefault="00C0594B" w:rsidP="00642C7E">
      <w:pPr>
        <w:pStyle w:val="Tablenotes"/>
        <w:rPr>
          <w:b/>
          <w:bCs/>
          <w:u w:val="single"/>
        </w:rPr>
      </w:pPr>
      <w:r w:rsidRPr="00527717">
        <w:rPr>
          <w:b/>
          <w:bCs/>
          <w:u w:val="single"/>
        </w:rPr>
        <w:t>Source</w:t>
      </w:r>
    </w:p>
    <w:p w14:paraId="692BDD3B" w14:textId="0DDAAC1E" w:rsidR="009F47F3" w:rsidRDefault="00912CC1" w:rsidP="00642C7E">
      <w:pPr>
        <w:pStyle w:val="Tablenotes"/>
      </w:pPr>
      <w:r>
        <w:t>Compiled by the assessment group using data available in the</w:t>
      </w:r>
      <w:r w:rsidR="00C0594B">
        <w:t xml:space="preserve"> </w:t>
      </w:r>
      <w:r w:rsidR="006C3C32">
        <w:t>ADAR Financial Model Excel File</w:t>
      </w:r>
    </w:p>
    <w:p w14:paraId="2344211D" w14:textId="1223C3A8" w:rsidR="00AC53EA" w:rsidRPr="00642C7E" w:rsidRDefault="00AC53EA" w:rsidP="00A12F55">
      <w:r w:rsidRPr="00642C7E">
        <w:t xml:space="preserve">The </w:t>
      </w:r>
      <w:r w:rsidR="00FC0389">
        <w:t>assessment group</w:t>
      </w:r>
      <w:r w:rsidRPr="00642C7E">
        <w:t xml:space="preserve"> consider</w:t>
      </w:r>
      <w:r w:rsidR="00416715">
        <w:t>s</w:t>
      </w:r>
      <w:r w:rsidR="008C208B">
        <w:t xml:space="preserve"> that</w:t>
      </w:r>
      <w:r w:rsidRPr="00642C7E">
        <w:t xml:space="preserve"> the changes </w:t>
      </w:r>
      <w:r w:rsidR="00103274">
        <w:t xml:space="preserve">in the current resubmission </w:t>
      </w:r>
      <w:r w:rsidRPr="00642C7E">
        <w:t>are improvements to the original ADAR</w:t>
      </w:r>
      <w:r w:rsidR="00416715">
        <w:t>;</w:t>
      </w:r>
      <w:r w:rsidRPr="00642C7E">
        <w:t xml:space="preserve"> </w:t>
      </w:r>
      <w:r w:rsidR="00416715">
        <w:t>h</w:t>
      </w:r>
      <w:r w:rsidRPr="00642C7E">
        <w:t>owever, the estimated financial impact remains highly uncertain. The major issues are:</w:t>
      </w:r>
    </w:p>
    <w:p w14:paraId="79C87C81" w14:textId="3A4669ED" w:rsidR="00C06617" w:rsidRPr="00527717" w:rsidRDefault="00EE259C" w:rsidP="00C06617">
      <w:pPr>
        <w:pStyle w:val="ListParagraph"/>
        <w:numPr>
          <w:ilvl w:val="0"/>
          <w:numId w:val="43"/>
        </w:numPr>
        <w:rPr>
          <w:b/>
        </w:rPr>
      </w:pPr>
      <w:r>
        <w:t xml:space="preserve">New steps were added to estimate </w:t>
      </w:r>
      <w:r w:rsidRPr="00527717">
        <w:t>patient numbers</w:t>
      </w:r>
      <w:r w:rsidRPr="001739C9">
        <w:t xml:space="preserve"> in</w:t>
      </w:r>
      <w:r>
        <w:t xml:space="preserve"> the current resubmission</w:t>
      </w:r>
      <w:r w:rsidR="00467215">
        <w:t>; h</w:t>
      </w:r>
      <w:r>
        <w:t xml:space="preserve">owever, the overall calculation was still flawed due to the use of unjustified and </w:t>
      </w:r>
      <w:r w:rsidR="00476CC8">
        <w:t xml:space="preserve">unreliable data sources </w:t>
      </w:r>
      <w:r>
        <w:t>and questionable methodologies in deriving different patient cohorts</w:t>
      </w:r>
      <w:r w:rsidR="008C6069">
        <w:t xml:space="preserve">. Specifically, the </w:t>
      </w:r>
      <w:r w:rsidR="00786228">
        <w:t>uncertainties around estimating eligible imlifidase patient numbers are from</w:t>
      </w:r>
      <w:r w:rsidR="00C06617">
        <w:t>:</w:t>
      </w:r>
    </w:p>
    <w:p w14:paraId="0C5BF4A6" w14:textId="4F634B7B" w:rsidR="00C06617" w:rsidRDefault="00142F65" w:rsidP="00C06617">
      <w:pPr>
        <w:pStyle w:val="ListParagraph"/>
        <w:numPr>
          <w:ilvl w:val="1"/>
          <w:numId w:val="43"/>
        </w:numPr>
      </w:pPr>
      <w:r>
        <w:t>P</w:t>
      </w:r>
      <w:r w:rsidR="00C06617">
        <w:t>rojec</w:t>
      </w:r>
      <w:r>
        <w:t xml:space="preserve">ting </w:t>
      </w:r>
      <w:r w:rsidR="00BD12B3">
        <w:t xml:space="preserve">the </w:t>
      </w:r>
      <w:r w:rsidR="00C06617">
        <w:t>number of HS patients in year 1</w:t>
      </w:r>
      <w:r>
        <w:t xml:space="preserve"> based on indirect data from o</w:t>
      </w:r>
      <w:r w:rsidR="00BD12B3">
        <w:t>verseas</w:t>
      </w:r>
      <w:r>
        <w:t xml:space="preserve"> jurisdictions </w:t>
      </w:r>
      <w:r w:rsidR="00BD12B3">
        <w:t>instead of using direct OrganMatch data from Australia</w:t>
      </w:r>
      <w:r w:rsidR="00C06617">
        <w:t xml:space="preserve">, and </w:t>
      </w:r>
    </w:p>
    <w:p w14:paraId="15F51C6F" w14:textId="10E57FC4" w:rsidR="00C06617" w:rsidRDefault="00C06617" w:rsidP="00527717">
      <w:pPr>
        <w:pStyle w:val="ListParagraph"/>
        <w:numPr>
          <w:ilvl w:val="1"/>
          <w:numId w:val="43"/>
        </w:numPr>
        <w:spacing w:after="0"/>
        <w:ind w:left="1434" w:hanging="357"/>
      </w:pPr>
      <w:r>
        <w:t>incorrect method</w:t>
      </w:r>
      <w:r w:rsidR="00F17ADF">
        <w:t>s were</w:t>
      </w:r>
      <w:r>
        <w:t xml:space="preserve"> used to calculate</w:t>
      </w:r>
      <w:r w:rsidR="00A52C0F">
        <w:t xml:space="preserve"> the number of</w:t>
      </w:r>
      <w:r>
        <w:t xml:space="preserve"> ineligible patients</w:t>
      </w:r>
      <w:r w:rsidR="00F17ADF">
        <w:t xml:space="preserve"> (e.g. </w:t>
      </w:r>
      <w:r w:rsidR="00C61D4F">
        <w:t xml:space="preserve">a fixed percentage </w:t>
      </w:r>
      <w:r w:rsidR="008255E6">
        <w:t xml:space="preserve">was used to derive the number of patients </w:t>
      </w:r>
      <w:r w:rsidR="00E42AD4">
        <w:t>waitlisted for less than 2 years)</w:t>
      </w:r>
      <w:r>
        <w:t xml:space="preserve">. </w:t>
      </w:r>
    </w:p>
    <w:p w14:paraId="7A911E5C" w14:textId="1E5F62BD" w:rsidR="00934050" w:rsidRPr="002C0ACD" w:rsidRDefault="00EA1650" w:rsidP="00527717">
      <w:pPr>
        <w:spacing w:before="0"/>
        <w:ind w:left="709" w:firstLine="11"/>
        <w:contextualSpacing/>
      </w:pPr>
      <w:r>
        <w:t xml:space="preserve">These </w:t>
      </w:r>
      <w:r w:rsidR="0020289D">
        <w:t>issues resulted in a gross overestimat</w:t>
      </w:r>
      <w:r w:rsidR="00BC34F6">
        <w:t xml:space="preserve">ion of </w:t>
      </w:r>
      <w:r w:rsidR="00776AF7">
        <w:t xml:space="preserve">HS patients over the </w:t>
      </w:r>
      <w:r w:rsidR="003B7D7F">
        <w:t xml:space="preserve">6 projected </w:t>
      </w:r>
      <w:r w:rsidR="00776AF7">
        <w:t>years</w:t>
      </w:r>
      <w:r w:rsidR="00401087">
        <w:t>, and consequently</w:t>
      </w:r>
      <w:r w:rsidR="00776AF7">
        <w:t xml:space="preserve"> </w:t>
      </w:r>
      <w:r w:rsidR="00324A71">
        <w:t xml:space="preserve">resulted in the overestimation of the total </w:t>
      </w:r>
      <w:r w:rsidR="003B7D7F">
        <w:t>financial implication</w:t>
      </w:r>
      <w:r w:rsidR="00776AF7">
        <w:t>.</w:t>
      </w:r>
      <w:r w:rsidR="00A839EE">
        <w:t xml:space="preserve"> The </w:t>
      </w:r>
      <w:r w:rsidR="00257747">
        <w:lastRenderedPageBreak/>
        <w:t>overall</w:t>
      </w:r>
      <w:r w:rsidR="00A839EE">
        <w:t xml:space="preserve"> impact of inappropriate</w:t>
      </w:r>
      <w:r w:rsidR="00220BA4">
        <w:t xml:space="preserve"> financial modelling </w:t>
      </w:r>
      <w:r w:rsidR="00F93405">
        <w:t xml:space="preserve">might have inflated the </w:t>
      </w:r>
      <w:r w:rsidR="00934050">
        <w:t xml:space="preserve">total cost </w:t>
      </w:r>
      <w:r w:rsidR="00EF4C46">
        <w:t>up to</w:t>
      </w:r>
      <w:r w:rsidR="00934050">
        <w:t xml:space="preserve"> 30</w:t>
      </w:r>
      <w:r w:rsidR="00934050" w:rsidRPr="002C0ACD">
        <w:t>%.</w:t>
      </w:r>
    </w:p>
    <w:p w14:paraId="731E6C0A" w14:textId="1B9B380C" w:rsidR="00264810" w:rsidRPr="00527717" w:rsidRDefault="00264810" w:rsidP="00527717">
      <w:pPr>
        <w:pStyle w:val="ListParagraph"/>
        <w:numPr>
          <w:ilvl w:val="0"/>
          <w:numId w:val="10"/>
        </w:numPr>
        <w:ind w:left="714" w:hanging="357"/>
        <w:contextualSpacing w:val="0"/>
      </w:pPr>
      <w:r w:rsidRPr="002C0ACD">
        <w:t xml:space="preserve">The market assumptions such as the level of imlifidase uptake of </w:t>
      </w:r>
      <w:r w:rsidR="00B330C2" w:rsidRPr="002C0ACD">
        <w:rPr>
          <w:b/>
          <w:bCs/>
        </w:rPr>
        <w:t>redacted</w:t>
      </w:r>
      <w:r w:rsidRPr="002C0ACD">
        <w:t xml:space="preserve">% in year 1 increasing to </w:t>
      </w:r>
      <w:r w:rsidR="00B330C2" w:rsidRPr="002C0ACD">
        <w:rPr>
          <w:b/>
          <w:bCs/>
        </w:rPr>
        <w:t>redacted</w:t>
      </w:r>
      <w:r w:rsidRPr="002C0ACD">
        <w:t>% within 6 years were not adequately justified</w:t>
      </w:r>
      <w:r w:rsidR="00EF4C46" w:rsidRPr="002C0ACD">
        <w:t>.</w:t>
      </w:r>
      <w:r w:rsidRPr="002C0ACD">
        <w:t xml:space="preserve"> </w:t>
      </w:r>
      <w:r w:rsidR="009F725B" w:rsidRPr="002C0ACD">
        <w:t>D</w:t>
      </w:r>
      <w:r w:rsidRPr="002C0ACD">
        <w:t xml:space="preserve">espite previous feedback, assumptions related to market uptake remain unaddressed. It is unclear whether the </w:t>
      </w:r>
      <w:r w:rsidRPr="009E2F9F">
        <w:t>25</w:t>
      </w:r>
      <w:r w:rsidRPr="002C0ACD">
        <w:t xml:space="preserve">% margin used on each side in the sensitivity test accurately captures the most likely scenarios, since the boundaries </w:t>
      </w:r>
      <w:r w:rsidR="00667A9E" w:rsidRPr="002C0ACD">
        <w:t>are</w:t>
      </w:r>
      <w:r w:rsidRPr="002C0ACD">
        <w:t xml:space="preserve"> arbitrary</w:t>
      </w:r>
      <w:r w:rsidRPr="00527717">
        <w:t>.</w:t>
      </w:r>
    </w:p>
    <w:p w14:paraId="175B9882" w14:textId="50828575" w:rsidR="00555198" w:rsidRDefault="00264810" w:rsidP="00264810">
      <w:pPr>
        <w:pStyle w:val="ListParagraph"/>
        <w:numPr>
          <w:ilvl w:val="0"/>
          <w:numId w:val="10"/>
        </w:numPr>
      </w:pPr>
      <w:r>
        <w:t xml:space="preserve">The </w:t>
      </w:r>
      <w:r w:rsidR="006E2CF5">
        <w:t>perceived</w:t>
      </w:r>
      <w:r>
        <w:t xml:space="preserve"> contribution of imlifidase to </w:t>
      </w:r>
      <w:r w:rsidR="00F2598D">
        <w:t>the</w:t>
      </w:r>
      <w:r>
        <w:t xml:space="preserve"> kidney exchange program</w:t>
      </w:r>
      <w:r w:rsidR="006E2CF5">
        <w:t xml:space="preserve"> </w:t>
      </w:r>
      <w:r w:rsidR="00C902F9">
        <w:t>(</w:t>
      </w:r>
      <w:r w:rsidR="006E2CF5">
        <w:t xml:space="preserve">that treated </w:t>
      </w:r>
      <w:r>
        <w:t xml:space="preserve">HS patients </w:t>
      </w:r>
      <w:r w:rsidR="006E2CF5">
        <w:t xml:space="preserve">could </w:t>
      </w:r>
      <w:r w:rsidR="00F41963">
        <w:t>facilitate chain completion</w:t>
      </w:r>
      <w:r w:rsidR="00C902F9">
        <w:t>)</w:t>
      </w:r>
      <w:r w:rsidR="006E2CF5">
        <w:t xml:space="preserve"> can potentially </w:t>
      </w:r>
      <w:r w:rsidR="00725310">
        <w:t>be substantial</w:t>
      </w:r>
      <w:r w:rsidR="00495155">
        <w:t>; h</w:t>
      </w:r>
      <w:r w:rsidR="00FF2565">
        <w:t xml:space="preserve">owever, in the model base-case, </w:t>
      </w:r>
      <w:r w:rsidR="00885873">
        <w:t xml:space="preserve">it was assumed that </w:t>
      </w:r>
      <w:r w:rsidR="00354D98">
        <w:t xml:space="preserve">a </w:t>
      </w:r>
      <w:r w:rsidR="00FF2565">
        <w:t xml:space="preserve">transplant chain </w:t>
      </w:r>
      <w:r w:rsidR="00885873">
        <w:t xml:space="preserve">could not be </w:t>
      </w:r>
      <w:r w:rsidR="00D62842">
        <w:t>form</w:t>
      </w:r>
      <w:r w:rsidR="000575C1">
        <w:t>ed</w:t>
      </w:r>
      <w:r w:rsidR="00D62842">
        <w:t xml:space="preserve"> </w:t>
      </w:r>
      <w:r w:rsidR="004C178D">
        <w:t>in the absence of imlifidase.</w:t>
      </w:r>
      <w:r w:rsidR="006E2CF5">
        <w:t xml:space="preserve"> </w:t>
      </w:r>
      <w:r w:rsidR="00FF362D">
        <w:t xml:space="preserve">The assessment group considered this to be unjustified. </w:t>
      </w:r>
      <w:r w:rsidR="003C76EE">
        <w:t xml:space="preserve">There are </w:t>
      </w:r>
      <w:r w:rsidR="00823C17">
        <w:t>2</w:t>
      </w:r>
      <w:r w:rsidR="003C76EE">
        <w:t xml:space="preserve"> </w:t>
      </w:r>
      <w:r w:rsidR="00555198">
        <w:t xml:space="preserve">main concerns around this issue: </w:t>
      </w:r>
    </w:p>
    <w:p w14:paraId="4F372E79" w14:textId="4C5B52A0" w:rsidR="00500A32" w:rsidRDefault="00FF46E9" w:rsidP="000E42AA">
      <w:pPr>
        <w:pStyle w:val="ListParagraph"/>
        <w:numPr>
          <w:ilvl w:val="1"/>
          <w:numId w:val="10"/>
        </w:numPr>
      </w:pPr>
      <w:r>
        <w:t xml:space="preserve">When </w:t>
      </w:r>
      <w:r w:rsidR="00A22254">
        <w:t xml:space="preserve">the </w:t>
      </w:r>
      <w:r w:rsidR="00E82FFA">
        <w:t>scenario of involving</w:t>
      </w:r>
      <w:r w:rsidR="00A22254">
        <w:t xml:space="preserve"> </w:t>
      </w:r>
      <w:r w:rsidR="00823C17">
        <w:t>a</w:t>
      </w:r>
      <w:r w:rsidR="009A2505">
        <w:t>n</w:t>
      </w:r>
      <w:r w:rsidR="00A22254">
        <w:t xml:space="preserve"> </w:t>
      </w:r>
      <w:r w:rsidR="00823C17">
        <w:t>LD</w:t>
      </w:r>
      <w:r w:rsidR="00C57BEC">
        <w:t xml:space="preserve"> </w:t>
      </w:r>
      <w:r w:rsidR="009C707F">
        <w:t>in</w:t>
      </w:r>
      <w:r w:rsidR="00C57BEC">
        <w:t xml:space="preserve"> the </w:t>
      </w:r>
      <w:r w:rsidR="00A22254">
        <w:t xml:space="preserve">kidney transplant chain </w:t>
      </w:r>
      <w:r w:rsidR="00FE0338">
        <w:t>is</w:t>
      </w:r>
      <w:r w:rsidR="00C57BEC">
        <w:t xml:space="preserve"> considered, the population of this scenario</w:t>
      </w:r>
      <w:r w:rsidR="00CF612B">
        <w:t xml:space="preserve"> is no longer restricted to HS patients. </w:t>
      </w:r>
      <w:r w:rsidR="00221CA4">
        <w:t xml:space="preserve">The scope of the population </w:t>
      </w:r>
      <w:r w:rsidR="00651C42">
        <w:t xml:space="preserve">will increase to include non-HS patients </w:t>
      </w:r>
      <w:r w:rsidR="009600F4">
        <w:t xml:space="preserve">where </w:t>
      </w:r>
      <w:r w:rsidR="00651C42">
        <w:t>a chain</w:t>
      </w:r>
      <w:r w:rsidR="00131292">
        <w:t xml:space="preserve"> could be</w:t>
      </w:r>
      <w:r w:rsidR="00651C42">
        <w:t xml:space="preserve"> form</w:t>
      </w:r>
      <w:r w:rsidR="00131292">
        <w:t>ed</w:t>
      </w:r>
      <w:r w:rsidR="00651C42">
        <w:t xml:space="preserve">. The resubmission did not appear to </w:t>
      </w:r>
      <w:r w:rsidR="0028078B">
        <w:t>consider this issue comprehensively, which</w:t>
      </w:r>
      <w:r w:rsidR="00D83CFC">
        <w:t xml:space="preserve"> potentially led to the inappropriate assumption above. </w:t>
      </w:r>
      <w:r w:rsidR="006838FC">
        <w:t xml:space="preserve"> </w:t>
      </w:r>
    </w:p>
    <w:p w14:paraId="47A704C6" w14:textId="3B5C5B43" w:rsidR="00913933" w:rsidRDefault="00500A32" w:rsidP="00527717">
      <w:pPr>
        <w:pStyle w:val="ListParagraph"/>
        <w:numPr>
          <w:ilvl w:val="1"/>
          <w:numId w:val="10"/>
        </w:numPr>
        <w:spacing w:after="0"/>
        <w:ind w:left="1434" w:hanging="357"/>
      </w:pPr>
      <w:r>
        <w:t>Due to this inappropriate assumption, the cost offset from dialysis was substantially exaggerated. Further, w</w:t>
      </w:r>
      <w:r w:rsidR="000B3C43">
        <w:t xml:space="preserve">hile imlifidase likely saves cost in the long run by </w:t>
      </w:r>
      <w:r w:rsidR="00CF3965">
        <w:t>starting</w:t>
      </w:r>
      <w:r w:rsidR="0021783B">
        <w:t xml:space="preserve"> or </w:t>
      </w:r>
      <w:r w:rsidR="000B3C43">
        <w:t xml:space="preserve">accelerating </w:t>
      </w:r>
      <w:r w:rsidR="00640F34">
        <w:t xml:space="preserve">a </w:t>
      </w:r>
      <w:r w:rsidR="00E55DCF">
        <w:t xml:space="preserve">chain of </w:t>
      </w:r>
      <w:r w:rsidR="000B3C43">
        <w:t xml:space="preserve">transplants with </w:t>
      </w:r>
      <w:r w:rsidR="006B668D">
        <w:t>LD</w:t>
      </w:r>
      <w:r w:rsidR="00B06B2D">
        <w:t>s</w:t>
      </w:r>
      <w:r w:rsidR="000B3C43">
        <w:t xml:space="preserve">, the cost saving in the projected 6 years is not likely to be significant. </w:t>
      </w:r>
    </w:p>
    <w:p w14:paraId="068D2C53" w14:textId="617FC60C" w:rsidR="004478FE" w:rsidRDefault="004478FE" w:rsidP="00527717">
      <w:pPr>
        <w:spacing w:before="0"/>
        <w:ind w:left="720"/>
      </w:pPr>
      <w:r>
        <w:t xml:space="preserve">Due to the uncertainties </w:t>
      </w:r>
      <w:r w:rsidR="00296BC9">
        <w:t xml:space="preserve">around </w:t>
      </w:r>
      <w:r w:rsidR="00B14BA8">
        <w:t xml:space="preserve">the </w:t>
      </w:r>
      <w:r w:rsidR="00E312DB">
        <w:t>transplant chain formation</w:t>
      </w:r>
      <w:r w:rsidR="00350108">
        <w:t xml:space="preserve">, the </w:t>
      </w:r>
      <w:r w:rsidR="00841ABC">
        <w:t>model base</w:t>
      </w:r>
      <w:r w:rsidR="00B76D35">
        <w:t xml:space="preserve"> </w:t>
      </w:r>
      <w:r w:rsidR="00841ABC">
        <w:t xml:space="preserve">case in the </w:t>
      </w:r>
      <w:r w:rsidR="00EA2FD2">
        <w:t>resubmission is</w:t>
      </w:r>
      <w:r w:rsidR="00736B53">
        <w:t xml:space="preserve"> </w:t>
      </w:r>
      <w:r w:rsidR="003C37B3">
        <w:t xml:space="preserve">unlikely to be accurate. </w:t>
      </w:r>
      <w:r w:rsidR="003250CA">
        <w:t xml:space="preserve">While the model </w:t>
      </w:r>
      <w:r w:rsidR="00C45837">
        <w:t xml:space="preserve">presented </w:t>
      </w:r>
      <w:r w:rsidR="00076D0B">
        <w:t xml:space="preserve">sensitivity analyses around </w:t>
      </w:r>
      <w:r w:rsidR="0028122F">
        <w:t xml:space="preserve">the chain scenario, the </w:t>
      </w:r>
      <w:r w:rsidR="003131A8">
        <w:t xml:space="preserve">result was likely to be biased in favour of imlifidase. </w:t>
      </w:r>
    </w:p>
    <w:p w14:paraId="187F6BF8" w14:textId="224CA68A" w:rsidR="00CB6462" w:rsidRPr="002C0ACD" w:rsidRDefault="001B395E" w:rsidP="0041200A">
      <w:r>
        <w:t xml:space="preserve">Given </w:t>
      </w:r>
      <w:r w:rsidR="00A06914">
        <w:t xml:space="preserve">the projected patient numbers and assumed uptake rates are highly uncertain, </w:t>
      </w:r>
      <w:r w:rsidR="00194618">
        <w:t xml:space="preserve">the </w:t>
      </w:r>
      <w:r w:rsidR="00194618" w:rsidRPr="002C0ACD">
        <w:t xml:space="preserve">assessment group conducted a simplified assessment </w:t>
      </w:r>
      <w:r w:rsidR="00B5637D" w:rsidRPr="002C0ACD">
        <w:t>with an equity-oriented approach.</w:t>
      </w:r>
      <w:r w:rsidR="00CB6462" w:rsidRPr="002C0ACD">
        <w:t xml:space="preserve"> This assessment</w:t>
      </w:r>
      <w:r w:rsidR="00194618" w:rsidRPr="002C0ACD">
        <w:t xml:space="preserve"> estimate</w:t>
      </w:r>
      <w:r w:rsidR="00CB6462" w:rsidRPr="002C0ACD">
        <w:t>d</w:t>
      </w:r>
      <w:r w:rsidR="00194618" w:rsidRPr="002C0ACD">
        <w:t xml:space="preserve"> the number needed to treat to achieve equity in transplant rates between </w:t>
      </w:r>
      <w:r w:rsidR="00DB53CA" w:rsidRPr="002C0ACD">
        <w:t>HS</w:t>
      </w:r>
      <w:r w:rsidR="00194618" w:rsidRPr="002C0ACD">
        <w:t xml:space="preserve"> and non-sensitised patients</w:t>
      </w:r>
      <w:r w:rsidR="00CB6462" w:rsidRPr="002C0ACD">
        <w:t xml:space="preserve">. </w:t>
      </w:r>
      <w:r w:rsidR="0057413F" w:rsidRPr="002C0ACD">
        <w:t>A</w:t>
      </w:r>
      <w:r w:rsidR="00B823D0" w:rsidRPr="002C0ACD">
        <w:t xml:space="preserve"> conservative</w:t>
      </w:r>
      <w:r w:rsidR="00A73468" w:rsidRPr="002C0ACD">
        <w:t xml:space="preserve"> target of a </w:t>
      </w:r>
      <w:r w:rsidR="009C22D6" w:rsidRPr="002C0ACD">
        <w:t xml:space="preserve">50% </w:t>
      </w:r>
      <w:r w:rsidR="00A73468" w:rsidRPr="002C0ACD">
        <w:t xml:space="preserve">annual transplant rate </w:t>
      </w:r>
      <w:r w:rsidR="00B644BF" w:rsidRPr="002C0ACD">
        <w:t xml:space="preserve">for the </w:t>
      </w:r>
      <w:proofErr w:type="spellStart"/>
      <w:r w:rsidR="00B644BF" w:rsidRPr="002C0ACD">
        <w:t>cPRA</w:t>
      </w:r>
      <w:proofErr w:type="spellEnd"/>
      <w:r w:rsidR="00B644BF" w:rsidRPr="002C0ACD">
        <w:t xml:space="preserve"> ≥ 99% </w:t>
      </w:r>
      <w:r w:rsidR="008B1598" w:rsidRPr="002C0ACD">
        <w:t>cohort</w:t>
      </w:r>
      <w:r w:rsidR="0057413F" w:rsidRPr="002C0ACD">
        <w:t xml:space="preserve"> was </w:t>
      </w:r>
      <w:r w:rsidR="00A73468" w:rsidRPr="002C0ACD">
        <w:t>set for the</w:t>
      </w:r>
      <w:r w:rsidR="0057413F" w:rsidRPr="002C0ACD">
        <w:t xml:space="preserve"> </w:t>
      </w:r>
      <w:r w:rsidR="000B5A18" w:rsidRPr="002C0ACD">
        <w:t>analysis</w:t>
      </w:r>
      <w:r w:rsidR="00741B21" w:rsidRPr="002C0ACD">
        <w:t xml:space="preserve"> (based on general transplant rates observed</w:t>
      </w:r>
      <w:r w:rsidR="000B5A18" w:rsidRPr="002C0ACD">
        <w:t xml:space="preserve"> in </w:t>
      </w:r>
      <w:r w:rsidR="00A778D8" w:rsidRPr="002C0ACD">
        <w:t>ANZDATA data</w:t>
      </w:r>
      <w:r w:rsidR="00741B21" w:rsidRPr="002C0ACD">
        <w:t>)</w:t>
      </w:r>
      <w:r w:rsidR="00F46778" w:rsidRPr="002C0ACD">
        <w:t>.</w:t>
      </w:r>
      <w:r w:rsidR="002D0934" w:rsidRPr="002C0ACD">
        <w:t xml:space="preserve"> It was assumed the number of patients otherwise entering and exiting the </w:t>
      </w:r>
      <w:r w:rsidR="004A2E3F" w:rsidRPr="002C0ACD">
        <w:t>waitlist</w:t>
      </w:r>
      <w:r w:rsidR="002D0934" w:rsidRPr="002C0ACD">
        <w:t xml:space="preserve"> would remain relatively stable</w:t>
      </w:r>
      <w:r w:rsidR="00B22973" w:rsidRPr="002C0ACD">
        <w:t xml:space="preserve"> (</w:t>
      </w:r>
      <w:r w:rsidR="00822E67" w:rsidRPr="002C0ACD">
        <w:rPr>
          <w:b/>
          <w:bCs/>
        </w:rPr>
        <w:t>redacted</w:t>
      </w:r>
      <w:r w:rsidR="006C480B" w:rsidRPr="002C0ACD">
        <w:t xml:space="preserve"> new HS patients annually; </w:t>
      </w:r>
      <w:r w:rsidR="00822E67" w:rsidRPr="002C0ACD">
        <w:rPr>
          <w:b/>
          <w:bCs/>
        </w:rPr>
        <w:t>redacted</w:t>
      </w:r>
      <w:r w:rsidR="006C480B" w:rsidRPr="002C0ACD">
        <w:t>% annual transplant rate in the absence of imlifidase</w:t>
      </w:r>
      <w:r w:rsidR="007176D2" w:rsidRPr="002C0ACD">
        <w:t>;</w:t>
      </w:r>
      <w:r w:rsidR="006C480B" w:rsidRPr="002C0ACD">
        <w:t xml:space="preserve"> </w:t>
      </w:r>
      <w:r w:rsidR="00822E67" w:rsidRPr="002C0ACD">
        <w:rPr>
          <w:b/>
          <w:bCs/>
        </w:rPr>
        <w:t>redacted</w:t>
      </w:r>
      <w:r w:rsidR="00C95FA5" w:rsidRPr="002C0ACD">
        <w:t xml:space="preserve">% annual </w:t>
      </w:r>
      <w:r w:rsidR="00547978" w:rsidRPr="002C0ACD">
        <w:t xml:space="preserve">rate for leaving the </w:t>
      </w:r>
      <w:r w:rsidR="004A2E3F" w:rsidRPr="002C0ACD">
        <w:t>waitlist</w:t>
      </w:r>
      <w:r w:rsidR="00547978" w:rsidRPr="002C0ACD">
        <w:t xml:space="preserve"> </w:t>
      </w:r>
      <w:r w:rsidR="002301A9" w:rsidRPr="002C0ACD">
        <w:t>for reasons other than transplant)</w:t>
      </w:r>
      <w:r w:rsidR="002D0934" w:rsidRPr="002C0ACD">
        <w:t xml:space="preserve">. </w:t>
      </w:r>
    </w:p>
    <w:p w14:paraId="6EAE21BD" w14:textId="6AB6E15C" w:rsidR="004A41DD" w:rsidRPr="002C0ACD" w:rsidRDefault="00972CDC" w:rsidP="00DC62B1">
      <w:r w:rsidRPr="002C0ACD">
        <w:t>The simplified model suggested that, i</w:t>
      </w:r>
      <w:r w:rsidR="00A83571" w:rsidRPr="002C0ACD">
        <w:t xml:space="preserve">f </w:t>
      </w:r>
      <w:r w:rsidR="001F1621" w:rsidRPr="002C0ACD">
        <w:t xml:space="preserve">only </w:t>
      </w:r>
      <w:r w:rsidR="00822E67" w:rsidRPr="002C0ACD">
        <w:rPr>
          <w:b/>
          <w:bCs/>
        </w:rPr>
        <w:t>redacted</w:t>
      </w:r>
      <w:r w:rsidR="00A83571" w:rsidRPr="002C0ACD">
        <w:t xml:space="preserve"> additional patients per year </w:t>
      </w:r>
      <w:r w:rsidR="004F3514" w:rsidRPr="002C0ACD">
        <w:t>received a transplant</w:t>
      </w:r>
      <w:r w:rsidR="00976CA0" w:rsidRPr="002C0ACD">
        <w:t xml:space="preserve"> following imlifidase treatment</w:t>
      </w:r>
      <w:r w:rsidR="004F3514" w:rsidRPr="002C0ACD">
        <w:t xml:space="preserve">, the transplant rate would </w:t>
      </w:r>
      <w:r w:rsidR="001C2815" w:rsidRPr="002C0ACD">
        <w:t>be stabilise</w:t>
      </w:r>
      <w:r w:rsidR="00C05931" w:rsidRPr="002C0ACD">
        <w:t>d at</w:t>
      </w:r>
      <w:r w:rsidR="001C2815" w:rsidRPr="002C0ACD">
        <w:t xml:space="preserve"> around</w:t>
      </w:r>
      <w:r w:rsidR="004F3514" w:rsidRPr="002C0ACD">
        <w:t xml:space="preserve"> </w:t>
      </w:r>
      <w:r w:rsidR="00822E67" w:rsidRPr="002C0ACD">
        <w:rPr>
          <w:b/>
          <w:bCs/>
        </w:rPr>
        <w:t>redacted</w:t>
      </w:r>
      <w:r w:rsidR="003D4CE9" w:rsidRPr="002C0ACD">
        <w:t xml:space="preserve">% </w:t>
      </w:r>
      <w:r w:rsidR="000F034B" w:rsidRPr="002C0ACD">
        <w:t xml:space="preserve">which was still </w:t>
      </w:r>
      <w:r w:rsidR="004F3514" w:rsidRPr="002C0ACD">
        <w:t>below that observed in other groups</w:t>
      </w:r>
      <w:r w:rsidR="000F034B" w:rsidRPr="002C0ACD">
        <w:t xml:space="preserve"> (i.e. the target </w:t>
      </w:r>
      <w:r w:rsidR="00B54E19" w:rsidRPr="002C0ACD">
        <w:t>transplant rate</w:t>
      </w:r>
      <w:r w:rsidR="000F034B" w:rsidRPr="002C0ACD">
        <w:t>)</w:t>
      </w:r>
      <w:r w:rsidR="004F3514" w:rsidRPr="002C0ACD">
        <w:t>.</w:t>
      </w:r>
      <w:r w:rsidR="00B823D0" w:rsidRPr="002C0ACD">
        <w:t xml:space="preserve"> </w:t>
      </w:r>
      <w:r w:rsidR="004A41DD" w:rsidRPr="002C0ACD">
        <w:t xml:space="preserve"> </w:t>
      </w:r>
    </w:p>
    <w:p w14:paraId="140AEAC2" w14:textId="456282E3" w:rsidR="00971E40" w:rsidRPr="002C0ACD" w:rsidRDefault="004A41DD" w:rsidP="00DC62B1">
      <w:r w:rsidRPr="002C0ACD">
        <w:t xml:space="preserve">Using this simplified approach, it was estimated that at least </w:t>
      </w:r>
      <w:r w:rsidR="00D32416" w:rsidRPr="002C0ACD">
        <w:t>19</w:t>
      </w:r>
      <w:r w:rsidRPr="002C0ACD">
        <w:t xml:space="preserve"> additional HS patients would need to receive a transplant</w:t>
      </w:r>
      <w:r w:rsidR="00B74C3D" w:rsidRPr="002C0ACD">
        <w:t xml:space="preserve"> using imlifidase</w:t>
      </w:r>
      <w:r w:rsidRPr="002C0ACD">
        <w:t xml:space="preserve"> </w:t>
      </w:r>
      <w:r w:rsidR="00910361" w:rsidRPr="002C0ACD">
        <w:t xml:space="preserve">annually </w:t>
      </w:r>
      <w:r w:rsidRPr="002C0ACD">
        <w:t>to achieve the target transplant rate</w:t>
      </w:r>
      <w:r w:rsidR="00910361" w:rsidRPr="002C0ACD">
        <w:t xml:space="preserve"> of 50</w:t>
      </w:r>
      <w:r w:rsidR="00D32416" w:rsidRPr="002C0ACD">
        <w:t>%</w:t>
      </w:r>
      <w:r w:rsidR="00772E2F" w:rsidRPr="002C0ACD">
        <w:t xml:space="preserve"> within about 23 years</w:t>
      </w:r>
      <w:r w:rsidRPr="002C0ACD">
        <w:t>.</w:t>
      </w:r>
      <w:r w:rsidR="00D32416" w:rsidRPr="002C0ACD">
        <w:t xml:space="preserve"> </w:t>
      </w:r>
      <w:r w:rsidR="00DB4599" w:rsidRPr="002C0ACD">
        <w:t xml:space="preserve">If imlifidase </w:t>
      </w:r>
      <w:r w:rsidR="00772E2F" w:rsidRPr="002C0ACD">
        <w:t xml:space="preserve">was used at </w:t>
      </w:r>
      <w:r w:rsidR="00DB4599" w:rsidRPr="002C0ACD">
        <w:t>this level</w:t>
      </w:r>
      <w:r w:rsidR="00EA723B" w:rsidRPr="002C0ACD">
        <w:t xml:space="preserve"> and </w:t>
      </w:r>
      <w:proofErr w:type="gramStart"/>
      <w:r w:rsidR="00EA723B" w:rsidRPr="002C0ACD">
        <w:t>all of</w:t>
      </w:r>
      <w:proofErr w:type="gramEnd"/>
      <w:r w:rsidR="00EA723B" w:rsidRPr="002C0ACD">
        <w:t xml:space="preserve"> this additional utilisation was government funded</w:t>
      </w:r>
      <w:r w:rsidR="00DB4599" w:rsidRPr="002C0ACD">
        <w:t xml:space="preserve">, it </w:t>
      </w:r>
      <w:r w:rsidR="00952B97" w:rsidRPr="002C0ACD">
        <w:t>would</w:t>
      </w:r>
      <w:r w:rsidR="00482EEC" w:rsidRPr="002C0ACD">
        <w:t xml:space="preserve"> cost </w:t>
      </w:r>
      <w:r w:rsidR="00971E40" w:rsidRPr="002C0ACD">
        <w:t xml:space="preserve">approximately </w:t>
      </w:r>
      <w:r w:rsidR="00482EEC" w:rsidRPr="002C0ACD">
        <w:t>$</w:t>
      </w:r>
      <w:r w:rsidR="00822E67" w:rsidRPr="002C0ACD">
        <w:rPr>
          <w:b/>
          <w:bCs/>
        </w:rPr>
        <w:t>redacted</w:t>
      </w:r>
      <w:r w:rsidR="00482EEC" w:rsidRPr="002C0ACD">
        <w:t xml:space="preserve"> per year</w:t>
      </w:r>
      <w:r w:rsidR="00971E40" w:rsidRPr="002C0ACD">
        <w:t xml:space="preserve"> and</w:t>
      </w:r>
      <w:r w:rsidR="00482EEC" w:rsidRPr="002C0ACD">
        <w:t xml:space="preserve"> $</w:t>
      </w:r>
      <w:r w:rsidR="00822E67" w:rsidRPr="002C0ACD">
        <w:rPr>
          <w:b/>
          <w:bCs/>
        </w:rPr>
        <w:t>redacted</w:t>
      </w:r>
      <w:r w:rsidR="00822E67" w:rsidRPr="009E2F9F" w:rsidDel="00822E67">
        <w:t xml:space="preserve"> </w:t>
      </w:r>
      <w:r w:rsidR="00952B97" w:rsidRPr="002C0ACD">
        <w:t>over</w:t>
      </w:r>
      <w:r w:rsidR="00482EEC" w:rsidRPr="002C0ACD">
        <w:t xml:space="preserve"> </w:t>
      </w:r>
      <w:r w:rsidR="00952B97" w:rsidRPr="002C0ACD">
        <w:t>6</w:t>
      </w:r>
      <w:r w:rsidR="00482EEC" w:rsidRPr="002C0ACD">
        <w:t xml:space="preserve"> years</w:t>
      </w:r>
      <w:r w:rsidR="008D6505" w:rsidRPr="002C0ACD">
        <w:t xml:space="preserve">. </w:t>
      </w:r>
      <w:r w:rsidR="00002772" w:rsidRPr="002C0ACD">
        <w:t xml:space="preserve">Increasing the imlifidase annual uptake will shorten the </w:t>
      </w:r>
      <w:r w:rsidR="00332AC5" w:rsidRPr="002C0ACD">
        <w:t xml:space="preserve">time of achieving </w:t>
      </w:r>
      <w:r w:rsidR="00BC2ACF" w:rsidRPr="002C0ACD">
        <w:t>an</w:t>
      </w:r>
      <w:r w:rsidR="00332AC5" w:rsidRPr="002C0ACD">
        <w:t xml:space="preserve"> equitable transplant rate</w:t>
      </w:r>
      <w:r w:rsidR="00074DD5" w:rsidRPr="002C0ACD">
        <w:t xml:space="preserve">, which </w:t>
      </w:r>
      <w:r w:rsidR="00F4569F" w:rsidRPr="002C0ACD">
        <w:t xml:space="preserve">will </w:t>
      </w:r>
      <w:r w:rsidR="00074DD5" w:rsidRPr="002C0ACD">
        <w:t xml:space="preserve">subsequently increase the financial impact (within the 6-year </w:t>
      </w:r>
      <w:r w:rsidR="00930079" w:rsidRPr="002C0ACD">
        <w:t>projected period</w:t>
      </w:r>
      <w:r w:rsidR="00074DD5" w:rsidRPr="002C0ACD">
        <w:t>)</w:t>
      </w:r>
      <w:r w:rsidR="00930079" w:rsidRPr="002C0ACD">
        <w:t>.</w:t>
      </w:r>
      <w:bookmarkStart w:id="45" w:name="_Toc69491427"/>
      <w:r w:rsidR="00482EEC" w:rsidRPr="002C0ACD">
        <w:t xml:space="preserve"> </w:t>
      </w:r>
    </w:p>
    <w:p w14:paraId="177DD513" w14:textId="2801364B" w:rsidR="00E1014F" w:rsidRPr="00971E40" w:rsidRDefault="00E1014F" w:rsidP="00DC62B1">
      <w:r w:rsidRPr="002C0ACD">
        <w:t>In comparison to the resubmission model base</w:t>
      </w:r>
      <w:r w:rsidR="007B472E" w:rsidRPr="002C0ACD">
        <w:t xml:space="preserve"> </w:t>
      </w:r>
      <w:r w:rsidRPr="002C0ACD">
        <w:t xml:space="preserve">case, the </w:t>
      </w:r>
      <w:r w:rsidR="00974176" w:rsidRPr="002C0ACD">
        <w:t xml:space="preserve">imlifidase </w:t>
      </w:r>
      <w:r w:rsidR="00916AE2" w:rsidRPr="002C0ACD">
        <w:t>cap</w:t>
      </w:r>
      <w:r w:rsidR="00974176" w:rsidRPr="002C0ACD">
        <w:t xml:space="preserve"> was not considered</w:t>
      </w:r>
      <w:r w:rsidR="00310E8B" w:rsidRPr="002C0ACD">
        <w:t xml:space="preserve">. As shown above, </w:t>
      </w:r>
      <w:r w:rsidRPr="002C0ACD">
        <w:t xml:space="preserve">the </w:t>
      </w:r>
      <w:r w:rsidR="00917478" w:rsidRPr="002C0ACD">
        <w:t xml:space="preserve">financial implications of the </w:t>
      </w:r>
      <w:r w:rsidR="009C756D" w:rsidRPr="002C0ACD">
        <w:t>ADAR’s</w:t>
      </w:r>
      <w:r w:rsidR="00310E8B" w:rsidRPr="002C0ACD">
        <w:t xml:space="preserve"> base</w:t>
      </w:r>
      <w:r w:rsidR="009C756D" w:rsidRPr="002C0ACD">
        <w:t xml:space="preserve"> </w:t>
      </w:r>
      <w:r w:rsidR="00310E8B" w:rsidRPr="002C0ACD">
        <w:t xml:space="preserve">case </w:t>
      </w:r>
      <w:r w:rsidR="00D8449A" w:rsidRPr="002C0ACD">
        <w:t>were</w:t>
      </w:r>
      <w:r w:rsidR="00DE61D4" w:rsidRPr="002C0ACD">
        <w:t xml:space="preserve"> </w:t>
      </w:r>
      <w:r w:rsidR="00415636" w:rsidRPr="002C0ACD">
        <w:t>around $</w:t>
      </w:r>
      <w:r w:rsidR="00822E67" w:rsidRPr="002C0ACD">
        <w:rPr>
          <w:b/>
          <w:bCs/>
        </w:rPr>
        <w:t>redacted</w:t>
      </w:r>
      <w:r w:rsidR="00415636" w:rsidRPr="002C0ACD">
        <w:t xml:space="preserve"> in the first year and</w:t>
      </w:r>
      <w:r w:rsidR="00F35D8F" w:rsidRPr="002C0ACD">
        <w:t xml:space="preserve"> </w:t>
      </w:r>
      <w:r w:rsidR="000D2664" w:rsidRPr="002C0ACD">
        <w:t>$</w:t>
      </w:r>
      <w:r w:rsidR="00822E67" w:rsidRPr="002C0ACD">
        <w:rPr>
          <w:b/>
          <w:bCs/>
        </w:rPr>
        <w:t>redacted</w:t>
      </w:r>
      <w:r w:rsidR="00F35D8F" w:rsidRPr="002C0ACD">
        <w:t xml:space="preserve"> over the 6-year projected period. This was</w:t>
      </w:r>
      <w:r w:rsidR="00415636" w:rsidRPr="002C0ACD">
        <w:t xml:space="preserve"> </w:t>
      </w:r>
      <w:r w:rsidR="00DE61D4" w:rsidRPr="002C0ACD">
        <w:t>much</w:t>
      </w:r>
      <w:r w:rsidR="00362F41" w:rsidRPr="002C0ACD">
        <w:t xml:space="preserve"> larger compared to the above </w:t>
      </w:r>
      <w:r w:rsidR="00DE61D4" w:rsidRPr="002C0ACD">
        <w:t>simplified scenario</w:t>
      </w:r>
      <w:r w:rsidR="00394BF5" w:rsidRPr="002C0ACD">
        <w:t>.</w:t>
      </w:r>
      <w:r w:rsidR="00394BF5">
        <w:t xml:space="preserve"> </w:t>
      </w:r>
    </w:p>
    <w:p w14:paraId="7838A9FF" w14:textId="5E281014" w:rsidR="00772829" w:rsidRPr="00CE28E3" w:rsidRDefault="00B27795" w:rsidP="002A18BE">
      <w:pPr>
        <w:pStyle w:val="Heading2"/>
        <w:numPr>
          <w:ilvl w:val="0"/>
          <w:numId w:val="0"/>
        </w:numPr>
      </w:pPr>
      <w:r>
        <w:lastRenderedPageBreak/>
        <w:t>1</w:t>
      </w:r>
      <w:r w:rsidR="00CF7A55">
        <w:t>5</w:t>
      </w:r>
      <w:r w:rsidR="00C36633">
        <w:t>.</w:t>
      </w:r>
      <w:r w:rsidR="00C36633">
        <w:tab/>
      </w:r>
      <w:r w:rsidR="00772829" w:rsidRPr="00CE28E3">
        <w:t xml:space="preserve">Other relevant </w:t>
      </w:r>
      <w:bookmarkEnd w:id="45"/>
      <w:r w:rsidR="00FA5766">
        <w:t>information</w:t>
      </w:r>
    </w:p>
    <w:p w14:paraId="149EB734" w14:textId="5B29858B" w:rsidR="008818D4" w:rsidRDefault="008818D4" w:rsidP="00793730">
      <w:r w:rsidRPr="0015745E">
        <w:t xml:space="preserve">The </w:t>
      </w:r>
      <w:r w:rsidR="00FC0389">
        <w:t>assessment group</w:t>
      </w:r>
      <w:r w:rsidR="004D6144">
        <w:t xml:space="preserve"> previously (MSAC 1732)</w:t>
      </w:r>
      <w:r w:rsidR="00FC0389">
        <w:t xml:space="preserve"> </w:t>
      </w:r>
      <w:r w:rsidRPr="0015745E">
        <w:t xml:space="preserve">concurred that equity considerations are pertinent to </w:t>
      </w:r>
      <w:r>
        <w:t>using</w:t>
      </w:r>
      <w:r w:rsidRPr="0015745E">
        <w:t xml:space="preserve"> imlifidase in </w:t>
      </w:r>
      <w:r>
        <w:t xml:space="preserve">HS </w:t>
      </w:r>
      <w:r w:rsidRPr="0015745E">
        <w:t xml:space="preserve">patients. Notably, pregnancy is a significant factor contributing to </w:t>
      </w:r>
      <w:r>
        <w:t>sensitisation</w:t>
      </w:r>
      <w:r w:rsidRPr="0015745E">
        <w:t xml:space="preserve">, putting women, particularly mothers, at a higher risk of being </w:t>
      </w:r>
      <w:r w:rsidR="00A32553">
        <w:t>HS</w:t>
      </w:r>
      <w:r w:rsidRPr="0015745E">
        <w:t xml:space="preserve"> and potentially facing disadvantages in accessing kidney transplantation. </w:t>
      </w:r>
      <w:r w:rsidR="00B4173C">
        <w:t>C</w:t>
      </w:r>
      <w:r>
        <w:t xml:space="preserve">ertain patient groups, such as Aboriginal and Torres Strait Islander patients and other ethnic minorities, are more likely to be </w:t>
      </w:r>
      <w:r w:rsidR="005D745C">
        <w:t>HS</w:t>
      </w:r>
      <w:r>
        <w:t xml:space="preserve"> and remain on </w:t>
      </w:r>
      <w:r w:rsidR="004A2E3F">
        <w:t>waitlist</w:t>
      </w:r>
      <w:r>
        <w:t>s for extended periods, with minimal prospects for transplantation.</w:t>
      </w:r>
      <w:r w:rsidR="00960F71">
        <w:t xml:space="preserve"> </w:t>
      </w:r>
    </w:p>
    <w:p w14:paraId="0C6FB654" w14:textId="7EA4956E" w:rsidR="00240535" w:rsidRPr="00240535" w:rsidRDefault="00DC1628" w:rsidP="00240535">
      <w:r>
        <w:t xml:space="preserve">In consideration of the previous submission, </w:t>
      </w:r>
      <w:r w:rsidR="00872C72">
        <w:t>ESC</w:t>
      </w:r>
      <w:r w:rsidR="00422EE3">
        <w:t xml:space="preserve"> </w:t>
      </w:r>
      <w:r w:rsidR="0014347A">
        <w:t>noted an important ethical issue: an</w:t>
      </w:r>
      <w:r w:rsidR="00807EEA">
        <w:t xml:space="preserve"> equity versus utility trade-off</w:t>
      </w:r>
      <w:r w:rsidR="0014347A">
        <w:t xml:space="preserve"> (MSAC 1732 PSD). O</w:t>
      </w:r>
      <w:r w:rsidR="00C92FB0">
        <w:t>n one hand, imlifidase may increase equity in access to transplantation for HS patients</w:t>
      </w:r>
      <w:r w:rsidR="00960F71">
        <w:t xml:space="preserve"> who otherwise may be unlikely to undergo transplantation</w:t>
      </w:r>
      <w:r w:rsidR="0014347A">
        <w:t>. O</w:t>
      </w:r>
      <w:r w:rsidR="00757BBA">
        <w:t xml:space="preserve">n the other hand, because DD kidneys </w:t>
      </w:r>
      <w:r w:rsidR="00674EA3">
        <w:t>are already fully utilised</w:t>
      </w:r>
      <w:r w:rsidR="0090423A">
        <w:t xml:space="preserve"> and imlifidase does not result in a net increase in DD </w:t>
      </w:r>
      <w:r w:rsidR="00174D26">
        <w:t>kidneys</w:t>
      </w:r>
      <w:r w:rsidR="00660BCF">
        <w:t>,</w:t>
      </w:r>
      <w:r w:rsidR="00837381">
        <w:t xml:space="preserve"> more non-HS patients would remain on the DD </w:t>
      </w:r>
      <w:r w:rsidR="004A2E3F">
        <w:t>waitlist</w:t>
      </w:r>
      <w:r w:rsidR="00837381">
        <w:t xml:space="preserve"> </w:t>
      </w:r>
      <w:r w:rsidR="00F34B61">
        <w:t xml:space="preserve">and on dialysis if there is increased access to DD kidney transplantations for HS </w:t>
      </w:r>
      <w:r w:rsidR="00F34B61" w:rsidRPr="00AB01BC">
        <w:t xml:space="preserve">patients. There may also be poorer </w:t>
      </w:r>
      <w:r w:rsidR="004D7D64">
        <w:t>health</w:t>
      </w:r>
      <w:r w:rsidR="00F34B61" w:rsidRPr="00AB01BC">
        <w:t xml:space="preserve"> outcomes associated with kidney transplants </w:t>
      </w:r>
      <w:r w:rsidR="00183E92">
        <w:t>in</w:t>
      </w:r>
      <w:r w:rsidR="00F34B61" w:rsidRPr="00AB01BC">
        <w:t xml:space="preserve"> the HS population</w:t>
      </w:r>
      <w:r w:rsidR="003D7650">
        <w:t xml:space="preserve"> (MSAC 1732 PSD)</w:t>
      </w:r>
      <w:r w:rsidR="00F34B61" w:rsidRPr="00AB01BC">
        <w:t xml:space="preserve">. </w:t>
      </w:r>
      <w:r w:rsidR="0014347A">
        <w:t>Overall,</w:t>
      </w:r>
      <w:r w:rsidR="00F34B61" w:rsidRPr="00AB01BC">
        <w:t xml:space="preserve"> the increased access to DD transplantations for HS patients facilitated by imlifidase may result in a possible decreased overall utility for the population.</w:t>
      </w:r>
    </w:p>
    <w:p w14:paraId="3DD40562" w14:textId="77777777" w:rsidR="00CF7A55" w:rsidRDefault="00CF7A55" w:rsidP="00CF7A55">
      <w:pPr>
        <w:pStyle w:val="Heading2"/>
        <w:numPr>
          <w:ilvl w:val="0"/>
          <w:numId w:val="0"/>
        </w:numPr>
      </w:pPr>
      <w:bookmarkStart w:id="46" w:name="_Toc145678765"/>
      <w:bookmarkStart w:id="47" w:name="_Toc150172410"/>
      <w:bookmarkStart w:id="48" w:name="_Toc153462785"/>
      <w:r>
        <w:t>16.</w:t>
      </w:r>
      <w:r>
        <w:tab/>
        <w:t>Key issues from ESC to MSAC</w:t>
      </w:r>
    </w:p>
    <w:bookmarkEnd w:id="46"/>
    <w:bookmarkEnd w:id="47"/>
    <w:bookmarkEnd w:id="48"/>
    <w:p w14:paraId="5C68F9ED" w14:textId="77777777" w:rsidR="00F84BA7" w:rsidRDefault="00F84BA7" w:rsidP="00F84BA7">
      <w:pPr>
        <w:pStyle w:val="BoxName0"/>
      </w:pPr>
      <w:r w:rsidRPr="00C749CB">
        <w:t>Main issues for MSAC consideration</w:t>
      </w:r>
    </w:p>
    <w:p w14:paraId="4248D20A" w14:textId="77777777" w:rsidR="00F84BA7" w:rsidRDefault="00F84BA7" w:rsidP="00F84BA7">
      <w:pPr>
        <w:pStyle w:val="BoxName0"/>
      </w:pPr>
      <w:r>
        <w:t>Clinical issues:</w:t>
      </w:r>
    </w:p>
    <w:p w14:paraId="7EAE9468" w14:textId="77777777" w:rsidR="00F84BA7" w:rsidRPr="00C13B2E" w:rsidRDefault="00F84BA7" w:rsidP="00F84BA7">
      <w:pPr>
        <w:pStyle w:val="BoxBullet"/>
        <w:rPr>
          <w:b/>
          <w:bCs/>
        </w:rPr>
      </w:pPr>
      <w:r>
        <w:t xml:space="preserve">The issues with the comparator remain. Despite MSAC’s previous advice, the application retains current care (dialysis) as the comparator for both the LD and DD transplant populations. The applicant should identify, </w:t>
      </w:r>
      <w:proofErr w:type="gramStart"/>
      <w:r>
        <w:t>collate</w:t>
      </w:r>
      <w:proofErr w:type="gramEnd"/>
      <w:r>
        <w:t xml:space="preserve"> and evaluate evidence of effectiveness of other desensitisation treatments.</w:t>
      </w:r>
    </w:p>
    <w:p w14:paraId="0A8064A1" w14:textId="77777777" w:rsidR="00F84BA7" w:rsidRPr="00194327" w:rsidRDefault="00F84BA7" w:rsidP="00F84BA7">
      <w:pPr>
        <w:pStyle w:val="BoxBullet"/>
        <w:rPr>
          <w:b/>
          <w:bCs/>
        </w:rPr>
      </w:pPr>
      <w:r>
        <w:t xml:space="preserve">Uncertainty in the applicability of the evidence to the Australian clinical population remains. Further investigation is required of which patients in the ANZDATA registry with </w:t>
      </w:r>
      <w:proofErr w:type="spellStart"/>
      <w:r>
        <w:t>cPRA</w:t>
      </w:r>
      <w:proofErr w:type="spellEnd"/>
      <w:r>
        <w:t> ≥99% are likely to be able to receive a transplant with imlifidase treatment. The sociodemographic and clinical data for these patients should then be compared to those presented in the trial data.</w:t>
      </w:r>
    </w:p>
    <w:p w14:paraId="7AA117ED" w14:textId="77777777" w:rsidR="00F84BA7" w:rsidRDefault="00F84BA7" w:rsidP="00F84BA7">
      <w:pPr>
        <w:pStyle w:val="BoxHeading"/>
      </w:pPr>
      <w:r>
        <w:t>Economic issues:</w:t>
      </w:r>
    </w:p>
    <w:p w14:paraId="111FDC15" w14:textId="77777777" w:rsidR="00F84BA7" w:rsidRDefault="00F84BA7" w:rsidP="00F84BA7">
      <w:pPr>
        <w:pStyle w:val="BoxBullet"/>
      </w:pPr>
      <w:r>
        <w:t xml:space="preserve">Results of the cost utility analysis are highly sensitive to the treatment of “displaced recipients”, waitlisted non-HS patients who would receive the transplant in the absence of this intervention. </w:t>
      </w:r>
      <w:r w:rsidRPr="008F4C18">
        <w:t>While the applicant correctly argues that opportunity costs accruing outside the target population are not often considered in a cost-utility analysis, there are strong arguments to consider these impacts with this intervention.</w:t>
      </w:r>
      <w:r>
        <w:t xml:space="preserve"> Additionally, some of the benefits in increasing kidney donations are uncertain (and likely overstated).</w:t>
      </w:r>
    </w:p>
    <w:p w14:paraId="0E4AC435" w14:textId="77777777" w:rsidR="00F84BA7" w:rsidRDefault="00F84BA7" w:rsidP="00F84BA7">
      <w:pPr>
        <w:pStyle w:val="BoxBullet"/>
      </w:pPr>
      <w:r>
        <w:t>Equity issues will likely be important to decision-making in this case. Data to demonstrate the equity/efficiency trade-off, however, such as the impact of the intervention on waitlisted non-HS patients and the differential impacts for those receiving LD and DD transplants, implicit in this intervention were</w:t>
      </w:r>
      <w:r w:rsidRPr="00BA52E6">
        <w:t xml:space="preserve"> </w:t>
      </w:r>
      <w:r>
        <w:t>not clearly presented.</w:t>
      </w:r>
    </w:p>
    <w:p w14:paraId="6555F008" w14:textId="77777777" w:rsidR="00F84BA7" w:rsidRDefault="00F84BA7" w:rsidP="00F84BA7">
      <w:pPr>
        <w:pStyle w:val="BoxHeading"/>
      </w:pPr>
      <w:r>
        <w:t>Financial issues:</w:t>
      </w:r>
    </w:p>
    <w:p w14:paraId="194D6AB2" w14:textId="2EDBB90F" w:rsidR="00F84BA7" w:rsidRDefault="00F84BA7" w:rsidP="00CF7A55">
      <w:pPr>
        <w:pStyle w:val="BoxBullet"/>
      </w:pPr>
      <w:r>
        <w:t xml:space="preserve">The financial estimates are very uncertain. Estimated patient numbers were uncertain (year 1 data were based on overseas data rather than Australian data) and incorrect methods were used for calculating the number of ineligible patients. This resulted in an overestimation of HS patients, consequently resulting in an overestimation of the total financial impact </w:t>
      </w:r>
      <w:r>
        <w:lastRenderedPageBreak/>
        <w:t xml:space="preserve">(possibly by up to 30%). Additionally, assumptions around uptake were not justified. The </w:t>
      </w:r>
      <w:r w:rsidRPr="00EA09C8">
        <w:t xml:space="preserve">changes to the financials suggested in the commentary </w:t>
      </w:r>
      <w:r>
        <w:t xml:space="preserve">to address these errors </w:t>
      </w:r>
      <w:r w:rsidRPr="00EA09C8">
        <w:t xml:space="preserve">could be made </w:t>
      </w:r>
      <w:r>
        <w:t xml:space="preserve">by the applicant </w:t>
      </w:r>
      <w:r w:rsidRPr="00EA09C8">
        <w:t>prior to MSAC consideration</w:t>
      </w:r>
      <w:r>
        <w:t>.</w:t>
      </w:r>
    </w:p>
    <w:p w14:paraId="4A02FE50" w14:textId="77777777" w:rsidR="00F84BA7" w:rsidRDefault="00F84BA7" w:rsidP="00B104B2">
      <w:pPr>
        <w:spacing w:before="240"/>
        <w:rPr>
          <w:rStyle w:val="Strong"/>
        </w:rPr>
      </w:pPr>
      <w:r w:rsidRPr="00194327">
        <w:rPr>
          <w:rStyle w:val="Strong"/>
        </w:rPr>
        <w:t>ESC discussion</w:t>
      </w:r>
    </w:p>
    <w:p w14:paraId="6FE3201F" w14:textId="77777777" w:rsidR="00F84BA7" w:rsidRPr="002770D4" w:rsidRDefault="00F84BA7" w:rsidP="00F84BA7">
      <w:r>
        <w:t>ESC noted that this was a resubmission from Hansa Biopharma Australia requesting public funding under the National Health Reform Agreement (NHRA) Addendum for highly specialised therapies for the use of imlifidase in the desensitisation therapy of highly sensitised (HS) adult kidney transplant patients with a positive crossmatch against an available diseased donor (DD) or living donor (LD) who are unlikely to be transplanted under current kidney allocation systems. ESC noted that imlifidase received provisional registration on the Australian Register of Therapeutic Goods (ARTG; ID 391413) in July 2023.</w:t>
      </w:r>
    </w:p>
    <w:p w14:paraId="77543607" w14:textId="77777777" w:rsidR="00F84BA7" w:rsidRDefault="00F84BA7" w:rsidP="00F84BA7">
      <w:r>
        <w:t>ESC recalled that MSAC considered the original application (</w:t>
      </w:r>
      <w:hyperlink r:id="rId16" w:history="1">
        <w:r w:rsidRPr="002748DE">
          <w:rPr>
            <w:rStyle w:val="Hyperlink"/>
          </w:rPr>
          <w:t>1732</w:t>
        </w:r>
      </w:hyperlink>
      <w:r>
        <w:t xml:space="preserve">) at its July 2023 meeting. </w:t>
      </w:r>
      <w:r w:rsidRPr="00EB30CC">
        <w:t>MSAC did not support public funding</w:t>
      </w:r>
      <w:r>
        <w:t xml:space="preserve"> at the time</w:t>
      </w:r>
      <w:r w:rsidRPr="00EB30CC">
        <w:t xml:space="preserve">. The key matters of concern included eligibility criteria and </w:t>
      </w:r>
      <w:r>
        <w:t xml:space="preserve">the </w:t>
      </w:r>
      <w:r w:rsidRPr="00EB30CC">
        <w:t>clinical place of therapy (</w:t>
      </w:r>
      <w:r>
        <w:t>with MSAC recommending</w:t>
      </w:r>
      <w:r w:rsidRPr="00EB30CC">
        <w:t xml:space="preserve"> </w:t>
      </w:r>
      <w:r>
        <w:t xml:space="preserve">a </w:t>
      </w:r>
      <w:r w:rsidRPr="00EB30CC">
        <w:t>revised population and comparators), implementation issues relating to the centres offering the proposed technology, commercial terms</w:t>
      </w:r>
      <w:r>
        <w:t>,</w:t>
      </w:r>
      <w:r w:rsidRPr="00EB30CC">
        <w:t xml:space="preserve"> and concerns regarding the economic and financial modelling.</w:t>
      </w:r>
      <w:r>
        <w:t xml:space="preserve"> ESC noted that the current application attempted to address MSAC’s key matters of concern from the original application.</w:t>
      </w:r>
    </w:p>
    <w:p w14:paraId="74A9929E" w14:textId="1A854CAD" w:rsidR="00F84BA7" w:rsidRDefault="00F84BA7" w:rsidP="00F84BA7">
      <w:r w:rsidRPr="005623E4">
        <w:rPr>
          <w:rFonts w:cs="Calibri"/>
        </w:rPr>
        <w:t xml:space="preserve">ESC noted and welcomed consultation input from </w:t>
      </w:r>
      <w:r>
        <w:rPr>
          <w:rFonts w:cs="Calibri"/>
        </w:rPr>
        <w:t>two (2)</w:t>
      </w:r>
      <w:r w:rsidRPr="005623E4">
        <w:rPr>
          <w:rFonts w:cs="Calibri"/>
        </w:rPr>
        <w:t xml:space="preserve"> professional organisations, </w:t>
      </w:r>
      <w:r>
        <w:rPr>
          <w:rFonts w:cs="Calibri"/>
        </w:rPr>
        <w:t>two (2)</w:t>
      </w:r>
      <w:r w:rsidRPr="005623E4">
        <w:rPr>
          <w:rFonts w:cs="Calibri"/>
        </w:rPr>
        <w:t xml:space="preserve"> consumer organisations and </w:t>
      </w:r>
      <w:r>
        <w:rPr>
          <w:rFonts w:cs="Calibri"/>
        </w:rPr>
        <w:t>five (5)</w:t>
      </w:r>
      <w:r w:rsidRPr="005623E4">
        <w:rPr>
          <w:rFonts w:cs="Calibri"/>
        </w:rPr>
        <w:t xml:space="preserve"> individuals, </w:t>
      </w:r>
      <w:r>
        <w:rPr>
          <w:rFonts w:cs="Calibri"/>
        </w:rPr>
        <w:t xml:space="preserve">of whom four </w:t>
      </w:r>
      <w:r w:rsidRPr="005623E4">
        <w:rPr>
          <w:rFonts w:cs="Calibri"/>
        </w:rPr>
        <w:t xml:space="preserve">were </w:t>
      </w:r>
      <w:r>
        <w:rPr>
          <w:rFonts w:cs="Calibri"/>
        </w:rPr>
        <w:t xml:space="preserve">specialists and one a </w:t>
      </w:r>
      <w:r w:rsidRPr="005623E4">
        <w:rPr>
          <w:rFonts w:cs="Calibri"/>
        </w:rPr>
        <w:t>consumer</w:t>
      </w:r>
      <w:r>
        <w:rPr>
          <w:rFonts w:cs="Calibri"/>
        </w:rPr>
        <w:t xml:space="preserve">. </w:t>
      </w:r>
      <w:r>
        <w:t xml:space="preserve">ESC noted that public consultation feedback was supportive of this treatment being funded. Feedback noted that many HS patients requiring kidney transplant have limited options, and that living on dialysis impacts family, </w:t>
      </w:r>
      <w:proofErr w:type="gramStart"/>
      <w:r>
        <w:t>finances</w:t>
      </w:r>
      <w:proofErr w:type="gramEnd"/>
      <w:r>
        <w:t xml:space="preserve"> and the ability to participate in many life activities. Consumer feedback stated that disadvantages of imlifidase such as hospitalisation and potential adverse events would be minimal compared to what patients would have to experience if </w:t>
      </w:r>
      <w:r w:rsidRPr="002C0ACD">
        <w:t xml:space="preserve">they could not access a transplant. Other feedback noted that there did not seem to be many people receiving access to other desensitisation options, but ESC was unclear if this meant that patients were not opting for alternative treatments or whether alternative treatments were not being offered to patients. ESC also noted concerns about the proposed financial cap of </w:t>
      </w:r>
      <w:r w:rsidR="00822E67" w:rsidRPr="002C0ACD">
        <w:rPr>
          <w:b/>
          <w:bCs/>
        </w:rPr>
        <w:t>redacted</w:t>
      </w:r>
      <w:r w:rsidRPr="002C0ACD">
        <w:t xml:space="preserve"> patients per year, as there are currently around 100 eligible patients on the donor waitlist. The feedback also noted that there are qualitative differences between transplants in terms of the overall benefits gained by each transplanted individual and that the availability of imlifidase allows for appropriate allocation of organs for trans</w:t>
      </w:r>
      <w:r>
        <w:t>plantation, in selected instances.</w:t>
      </w:r>
    </w:p>
    <w:p w14:paraId="286A9CC7" w14:textId="23C88C46" w:rsidR="00F84BA7" w:rsidRDefault="00F84BA7" w:rsidP="00F84BA7">
      <w:r>
        <w:t xml:space="preserve">ESC noted that consultation feedback was also received from </w:t>
      </w:r>
      <w:r w:rsidR="00590C6C" w:rsidRPr="009E2F9F">
        <w:rPr>
          <w:b/>
          <w:bCs/>
        </w:rPr>
        <w:t xml:space="preserve">redacted </w:t>
      </w:r>
      <w:r>
        <w:t>state health departments</w:t>
      </w:r>
      <w:r w:rsidR="00590C6C">
        <w:t>.</w:t>
      </w:r>
    </w:p>
    <w:p w14:paraId="1D0D4EFE" w14:textId="5FBA27BA" w:rsidR="00F84BA7" w:rsidRDefault="00590C6C" w:rsidP="009E2F9F">
      <w:pPr>
        <w:spacing w:before="0" w:after="240" w:line="240" w:lineRule="auto"/>
      </w:pPr>
      <w:r w:rsidRPr="009E2F9F">
        <w:rPr>
          <w:b/>
          <w:bCs/>
        </w:rPr>
        <w:t xml:space="preserve">Redacted </w:t>
      </w:r>
      <w:r w:rsidR="00F84BA7">
        <w:t xml:space="preserve">was supportive of public funding of imlifidase, given the high clinical need and the clinical feedback. The feedback noted that this treatment should occur in limited specialised centres to maintain safety, </w:t>
      </w:r>
      <w:proofErr w:type="gramStart"/>
      <w:r w:rsidR="00F84BA7">
        <w:t>quality</w:t>
      </w:r>
      <w:proofErr w:type="gramEnd"/>
      <w:r w:rsidR="00F84BA7">
        <w:t xml:space="preserve"> and proficiency, and should also undergo monitoring for outcomes and costs given the level of available evidence. It also suggested that this would be best managed through State and Territory data collection and the existing Australian and New Zealand Dialysis and Transplant Registry (ANZDATA).</w:t>
      </w:r>
    </w:p>
    <w:p w14:paraId="7EAC073F" w14:textId="240E3C3D" w:rsidR="003B29E0" w:rsidRDefault="00E15D13" w:rsidP="00A9680D">
      <w:pPr>
        <w:spacing w:before="0" w:after="240" w:line="240" w:lineRule="auto"/>
      </w:pPr>
      <w:r w:rsidRPr="009E2F9F">
        <w:rPr>
          <w:b/>
          <w:bCs/>
        </w:rPr>
        <w:t xml:space="preserve">Redacted </w:t>
      </w:r>
      <w:r w:rsidR="00F84BA7">
        <w:t xml:space="preserve">highlighted the need to consider how this treatment would be positioned within the kidney allocation algorithm. The feedback also noted the possible challenges with implementation due to the heterogeneous patient population and relatively short follow-up, citing the UK National Institute for Health and Care Excellence (NICE). The feedback emphasised the need to develop appropriate guidelines by the Transplantation Society of Australia and New Zealand (TSANZ) before any recommendation is made by MSAC, with the key issues being the </w:t>
      </w:r>
      <w:r w:rsidR="00F84BA7">
        <w:lastRenderedPageBreak/>
        <w:t xml:space="preserve">uncertainties about the correct comparator, the potential placement in the treatment pathway, generalisability of the evidence for the Australian population outside of the clinical study, and uncertainties about the effectiveness, </w:t>
      </w:r>
      <w:proofErr w:type="gramStart"/>
      <w:r w:rsidR="00F84BA7">
        <w:t>safety</w:t>
      </w:r>
      <w:proofErr w:type="gramEnd"/>
      <w:r w:rsidR="00F84BA7">
        <w:t xml:space="preserve"> and long-term outcomes. The feedback also noted that </w:t>
      </w:r>
      <w:r w:rsidR="006A6BA8" w:rsidRPr="009E2F9F">
        <w:rPr>
          <w:b/>
          <w:bCs/>
        </w:rPr>
        <w:t>redacted</w:t>
      </w:r>
      <w:r w:rsidR="00F84BA7">
        <w:t xml:space="preserve"> each year would meet the proposed eligibility criteria, and outlined other treatments currently in clinical trials that may be of use to the patient population.</w:t>
      </w:r>
      <w:r w:rsidR="00A9680D">
        <w:t xml:space="preserve"> </w:t>
      </w:r>
      <w:r w:rsidR="003B29E0">
        <w:t xml:space="preserve"> </w:t>
      </w:r>
      <w:r w:rsidR="00F84BA7">
        <w:t xml:space="preserve">Feedback from </w:t>
      </w:r>
      <w:r w:rsidR="00A9680D" w:rsidRPr="009E2F9F">
        <w:rPr>
          <w:b/>
          <w:bCs/>
        </w:rPr>
        <w:t>redacted</w:t>
      </w:r>
      <w:r w:rsidR="00F84BA7">
        <w:t xml:space="preserve"> included </w:t>
      </w:r>
      <w:r w:rsidR="00937920" w:rsidRPr="009E2F9F">
        <w:rPr>
          <w:b/>
          <w:bCs/>
        </w:rPr>
        <w:t>redacted</w:t>
      </w:r>
      <w:r w:rsidR="00937920">
        <w:t xml:space="preserve"> </w:t>
      </w:r>
      <w:r w:rsidR="00F84BA7">
        <w:t>evidence of this intervention being used in</w:t>
      </w:r>
      <w:r w:rsidR="003F41B6">
        <w:t xml:space="preserve"> </w:t>
      </w:r>
      <w:r w:rsidR="003F41B6" w:rsidRPr="009E2F9F">
        <w:rPr>
          <w:b/>
          <w:bCs/>
        </w:rPr>
        <w:t>redacted</w:t>
      </w:r>
      <w:r w:rsidR="00F84BA7">
        <w:t xml:space="preserve">. </w:t>
      </w:r>
      <w:r w:rsidR="008628BA" w:rsidRPr="009E2F9F">
        <w:rPr>
          <w:b/>
          <w:bCs/>
        </w:rPr>
        <w:t>Redacted</w:t>
      </w:r>
      <w:r w:rsidR="008628BA">
        <w:t xml:space="preserve"> </w:t>
      </w:r>
      <w:r w:rsidR="00F84BA7">
        <w:t xml:space="preserve">There were substantial additional resources and costs associated with this patient during and post-treatment, so feedback considered it preferable for the Commonwealth to negotiate a lower price, considering the actual costs associated with the treatment and anticipated delivery costs. </w:t>
      </w:r>
    </w:p>
    <w:p w14:paraId="5D2F62E8" w14:textId="3CEE5024" w:rsidR="00F84BA7" w:rsidRDefault="003B29E0" w:rsidP="009E2F9F">
      <w:pPr>
        <w:spacing w:before="0" w:after="240" w:line="240" w:lineRule="auto"/>
      </w:pPr>
      <w:r w:rsidRPr="009E2F9F">
        <w:rPr>
          <w:b/>
          <w:bCs/>
        </w:rPr>
        <w:t>Redacted</w:t>
      </w:r>
      <w:r w:rsidR="00F84BA7">
        <w:t xml:space="preserve"> supported an outcomes-based payment approach that shares the risk between the sponsor and funding governments. As well as supporting restriction to experienced specialist centres and a post-market review, feedback also suggested revision of the proposed annual financial cap on patients, noting that it may raise equity and access issues. The feedback also suggested establishment of a data collection mechanism before any recommendation is made by MSAC, and that the cost of this should be covered by the sponsor, with the data made available to the Commonwealth, State and Territory Governments. The feedback considered that imlifidase might offer potential to improve equitable allocation of transplant services for cohorts who are at higher risk of sensitisation including women, Aboriginal and Torres Strait Islander people and previously transplanted individuals. The feedback also stated that</w:t>
      </w:r>
      <w:r w:rsidR="00D921BC">
        <w:t xml:space="preserve"> </w:t>
      </w:r>
      <w:r w:rsidR="00D921BC" w:rsidRPr="009E2F9F">
        <w:rPr>
          <w:b/>
          <w:bCs/>
        </w:rPr>
        <w:t>redacted</w:t>
      </w:r>
      <w:r w:rsidR="00F84BA7">
        <w:t xml:space="preserve">. In addition, despite imlifidase being available on a compassionate basis by the sponsor at selected health services, usage has been minimal which the feedback indicated might be due to other implementation barriers preventing uptake. </w:t>
      </w:r>
    </w:p>
    <w:p w14:paraId="7DF24B86" w14:textId="77777777" w:rsidR="00F84BA7" w:rsidRDefault="00F84BA7" w:rsidP="00F84BA7">
      <w:r>
        <w:t>Regarding patient eligibility, ESC noted that the applicant-developed assessment report (ADAR) for the resubmission followed MSAC’s advice and limited eligibility to patients with calculated panel reactive antibody (</w:t>
      </w:r>
      <w:proofErr w:type="spellStart"/>
      <w:r>
        <w:t>cPRA</w:t>
      </w:r>
      <w:proofErr w:type="spellEnd"/>
      <w:r>
        <w:t xml:space="preserve">) levels ≥99% who had been on the DD waitlist for &gt;2 years. However, ESC noted that the ADAR proposed a population descriptor for potential recipients of LD transplants that was broader than what was originally recommended by MSAC. The proposed eligible population for LD transplants is </w:t>
      </w:r>
      <w:proofErr w:type="spellStart"/>
      <w:r w:rsidRPr="0071773D">
        <w:t>cPRA</w:t>
      </w:r>
      <w:proofErr w:type="spellEnd"/>
      <w:r w:rsidRPr="0071773D">
        <w:rPr>
          <w:rFonts w:ascii="Arial" w:hAnsi="Arial" w:cs="Arial"/>
        </w:rPr>
        <w:t> </w:t>
      </w:r>
      <w:r>
        <w:rPr>
          <w:rFonts w:ascii="Arial" w:hAnsi="Arial" w:cs="Arial"/>
        </w:rPr>
        <w:t>≥</w:t>
      </w:r>
      <w:r w:rsidRPr="0071773D">
        <w:t xml:space="preserve">99% + </w:t>
      </w:r>
      <w:r>
        <w:t>d</w:t>
      </w:r>
      <w:r w:rsidRPr="0071773D">
        <w:t xml:space="preserve">esensitisation failed/contraindicated; </w:t>
      </w:r>
      <w:r>
        <w:t>or c</w:t>
      </w:r>
      <w:r w:rsidRPr="0071773D">
        <w:t>linical judgement that plasmapheresis/</w:t>
      </w:r>
      <w:r>
        <w:t>intravenous immunoglobulin (</w:t>
      </w:r>
      <w:r w:rsidRPr="0071773D">
        <w:t>IVIG</w:t>
      </w:r>
      <w:r>
        <w:t>)</w:t>
      </w:r>
      <w:r w:rsidRPr="0071773D">
        <w:t xml:space="preserve">/rituximab-based desensitisation </w:t>
      </w:r>
      <w:r>
        <w:t xml:space="preserve">is </w:t>
      </w:r>
      <w:r w:rsidRPr="0071773D">
        <w:t xml:space="preserve">considered unlikely to provide a sufficient decrease in antibodies to enable transplantation; </w:t>
      </w:r>
      <w:r>
        <w:t>or p</w:t>
      </w:r>
      <w:r w:rsidRPr="0071773D">
        <w:t>lasmapheresis/IVIG/rituximab-based desensiti</w:t>
      </w:r>
      <w:r>
        <w:t>s</w:t>
      </w:r>
      <w:r w:rsidRPr="0071773D">
        <w:t xml:space="preserve">ation </w:t>
      </w:r>
      <w:r>
        <w:t xml:space="preserve">is </w:t>
      </w:r>
      <w:r w:rsidRPr="0071773D">
        <w:t>not logistically compatible with the patient’s circumstance or organisation of the centre</w:t>
      </w:r>
      <w:r>
        <w:t xml:space="preserve">. ESC considered that while this proposed population signals that imlifidase is considered second-line treatment, it leaves the placement of the treatment up to clinicians’ discretion. </w:t>
      </w:r>
    </w:p>
    <w:p w14:paraId="53484D70" w14:textId="1B967D0D" w:rsidR="00F84BA7" w:rsidRDefault="00F84BA7" w:rsidP="00F84BA7">
      <w:r>
        <w:t>ESC recalled that, in its consideration of the original application, MSAC had advised that the applicant consult with the Renal Transplant Advisory Committee (RTAC) of the TSANZ about the clinical place and revised population informed by data from the ANZDATA. ESC noted that RTAC was generally supportive of the revised population but questioned the additional criterion proposed in the ADAR relating to LD transplant recipients not being managed with existing desensitising regimens due to logistical reasons, noting that a substantial proportion of recipients managed with imlifidase will require existing desensitisation regimens to manage rejection. RTAC also advised, in response to the MSAC recommendation in 1732, that imlifidase use be restricted to centres of excellence with relevant experience in the management of HS patients and complex rejection with good access to appropriate support services, and that state transplant advisory committees could define which centres have capability. ESC noted that, based on the applicant’s survey, 10 of the 11 centres claimed to have capability which was more than what MSAC had identified in its previous consideration.</w:t>
      </w:r>
      <w:r w:rsidR="00AB5813">
        <w:t xml:space="preserve"> </w:t>
      </w:r>
      <w:r w:rsidR="00AB5813" w:rsidRPr="00B669C6">
        <w:t xml:space="preserve">States and Territories decide on </w:t>
      </w:r>
      <w:r w:rsidR="00AB5813" w:rsidRPr="00242D14">
        <w:t>when and where the therapy will be provided</w:t>
      </w:r>
      <w:r w:rsidR="00AB5813" w:rsidRPr="00B669C6">
        <w:t>, aligning with the governance processes outlined within the NHRA (Addendum) Appendix B</w:t>
      </w:r>
      <w:r w:rsidR="00AB5813">
        <w:t>.</w:t>
      </w:r>
    </w:p>
    <w:p w14:paraId="17CFA1F9" w14:textId="77777777" w:rsidR="00F84BA7" w:rsidRPr="000A498E" w:rsidRDefault="00F84BA7" w:rsidP="00F84BA7">
      <w:r>
        <w:lastRenderedPageBreak/>
        <w:t>ESC recalled that MSAC had previously advised that i</w:t>
      </w:r>
      <w:r w:rsidRPr="00591EFE">
        <w:t xml:space="preserve">nsufficient attention </w:t>
      </w:r>
      <w:r>
        <w:t>had been paid to</w:t>
      </w:r>
      <w:r w:rsidRPr="00591EFE">
        <w:t xml:space="preserve"> potential alternatives as comparators</w:t>
      </w:r>
      <w:r>
        <w:t>,</w:t>
      </w:r>
      <w:r w:rsidRPr="00591EFE">
        <w:t xml:space="preserve"> including plasma exchange and other desensitisation protocols differentially applied for potential recipients of LD and DD </w:t>
      </w:r>
      <w:r>
        <w:t>transplants. MSAC considered that d</w:t>
      </w:r>
      <w:r w:rsidRPr="00591EFE">
        <w:t xml:space="preserve">esensitisation protocols (IVIG, rituximab, plasma exchange) </w:t>
      </w:r>
      <w:r>
        <w:t>we</w:t>
      </w:r>
      <w:r w:rsidRPr="00591EFE">
        <w:t xml:space="preserve">re a comparator for imlifidase, </w:t>
      </w:r>
      <w:r>
        <w:t>and that there was</w:t>
      </w:r>
      <w:r w:rsidRPr="00591EFE">
        <w:t xml:space="preserve"> likely </w:t>
      </w:r>
      <w:r>
        <w:t xml:space="preserve">a </w:t>
      </w:r>
      <w:r w:rsidRPr="00591EFE">
        <w:t>cost differential</w:t>
      </w:r>
      <w:r>
        <w:t xml:space="preserve"> between these agents and imlifidase. In response, the applicant surveyed adult renal transplant centres, finding that 45% (5/11) of the centres had not attempted available desensitisation in the past year, and of those who had, desensitisation was offered to a minority (&lt;20%) of HS patients. ESC questioned whether this reflected best practice, and if desensitisation should be offered more frequently to patients on the DD transplant waitlist. ESC noted that based on the results of the survey, the applicant retained the comparator as current care (dialysis). ESC noted that independent clinical feedback sought for the commentary suggested that </w:t>
      </w:r>
      <w:r w:rsidRPr="00F016EE">
        <w:t xml:space="preserve">imlifidase would typically be targeted at patients with antibody levels that would contraindicate them for use with existing desensitisation regimens (e.g. plasma exchange). </w:t>
      </w:r>
      <w:r>
        <w:t xml:space="preserve">ESC also noted from the commentary that there was an absence of </w:t>
      </w:r>
      <w:r w:rsidRPr="00B46E27">
        <w:t>clinical practice guidelines or other published evidence</w:t>
      </w:r>
      <w:r>
        <w:t xml:space="preserve"> for the use of desensitisation treatments</w:t>
      </w:r>
      <w:r w:rsidRPr="00B46E27">
        <w:t xml:space="preserve">, </w:t>
      </w:r>
      <w:r>
        <w:t xml:space="preserve">and that this was </w:t>
      </w:r>
      <w:r w:rsidRPr="00B46E27">
        <w:t>predominantly informed by expert clinical opinion</w:t>
      </w:r>
      <w:r>
        <w:t>, which varies across centres and among patients.</w:t>
      </w:r>
      <w:r w:rsidRPr="00B46E27">
        <w:t xml:space="preserve"> </w:t>
      </w:r>
      <w:r>
        <w:t>The commentary also noted u</w:t>
      </w:r>
      <w:r w:rsidRPr="00B46E27">
        <w:t>ncertainty around whether current desensitisation therapies are an appropriate comparator alongside dialysis.</w:t>
      </w:r>
      <w:r>
        <w:t xml:space="preserve"> ESC noted from the commentary of the previous submission (MSAC 1732) that trial</w:t>
      </w:r>
      <w:r w:rsidRPr="00B46E27">
        <w:t xml:space="preserve"> evidence </w:t>
      </w:r>
      <w:r>
        <w:t>from study 15-HMedldeS-06 demonstrated significant reduction in post-transplantation donor specific antibody (DSA) levels, in certain populations compared to others and this was attributed likely due to the use of</w:t>
      </w:r>
      <w:r w:rsidRPr="00B46E27">
        <w:t xml:space="preserve"> IVIG and rituximab </w:t>
      </w:r>
      <w:r>
        <w:t>before and after transplantation</w:t>
      </w:r>
      <w:r w:rsidRPr="00B46E27">
        <w:t>, suggesting</w:t>
      </w:r>
      <w:r>
        <w:t xml:space="preserve"> that</w:t>
      </w:r>
      <w:r w:rsidRPr="00B46E27">
        <w:t xml:space="preserve"> these desensitisation </w:t>
      </w:r>
      <w:r>
        <w:t>therapies</w:t>
      </w:r>
      <w:r w:rsidRPr="00B46E27">
        <w:t xml:space="preserve"> are potentially effective</w:t>
      </w:r>
      <w:r>
        <w:t xml:space="preserve">. ESC noted that, in the pre-ESC response, the applicant claimed that it was not able to identify any successful studies of kidney transplant desensitisation for patients with </w:t>
      </w:r>
      <w:proofErr w:type="spellStart"/>
      <w:r>
        <w:t>cPRA</w:t>
      </w:r>
      <w:proofErr w:type="spellEnd"/>
      <w:r>
        <w:t xml:space="preserve"> ≥99% outside of the imlifidase literature. However, ESC considered that the issue of appropriate comparator remains unresolved and a targeted literature search to summarise evidence on the effectiveness of current desensitisation treatments may be useful for MSAC decision-making.</w:t>
      </w:r>
    </w:p>
    <w:p w14:paraId="13859099" w14:textId="77777777" w:rsidR="00F84BA7" w:rsidRPr="000A498E" w:rsidRDefault="00F84BA7" w:rsidP="00F84BA7">
      <w:r>
        <w:t>ESC noted the revised clinical management algorithm included a more targeted population. However, ESC noted from the commentary that the applicant had not addressed previous comments regarding whether there are likely to be changes in resource use, nor provided any indication on how the algorithm was informed (guidelines, studies, experts, etc.).</w:t>
      </w:r>
      <w:r w:rsidRPr="00D57468">
        <w:t xml:space="preserve"> </w:t>
      </w:r>
      <w:r>
        <w:t>ESC noted that the proposed c</w:t>
      </w:r>
      <w:r w:rsidRPr="00D57468">
        <w:t>hange in treatment may present challenges for implementation at treatment centres</w:t>
      </w:r>
      <w:r>
        <w:t xml:space="preserve"> and there was a lack of information in the ADAR on </w:t>
      </w:r>
      <w:r w:rsidRPr="00D57468">
        <w:t xml:space="preserve">whether there may be any logistical </w:t>
      </w:r>
      <w:r>
        <w:t>challenges of</w:t>
      </w:r>
      <w:r w:rsidRPr="00D57468">
        <w:t xml:space="preserve"> including imlifidase in clinical practice or whether there may be any variation in practice across kidney transplant units.</w:t>
      </w:r>
    </w:p>
    <w:p w14:paraId="0608E779" w14:textId="77777777" w:rsidR="00F84BA7" w:rsidRDefault="00F84BA7" w:rsidP="00F84BA7">
      <w:r>
        <w:t>ESC considered that, while the ADAR updated the clinical data consistent with the proposed new population and included some follow-up data as requested by MSAC in its consideration of Application 1732, the new data were very limited. ESC noted that the clinical evidence base did not include any direct</w:t>
      </w:r>
      <w:r w:rsidRPr="004F768F">
        <w:t xml:space="preserve"> comparative studies</w:t>
      </w:r>
      <w:r>
        <w:t>, but instead comprised an indirect comparison between the intervention and</w:t>
      </w:r>
      <w:r w:rsidRPr="004F768F">
        <w:t xml:space="preserve"> comparator. </w:t>
      </w:r>
      <w:r>
        <w:t xml:space="preserve">The evidence base for safety and effectiveness comprised data </w:t>
      </w:r>
      <w:r w:rsidRPr="004F768F">
        <w:t xml:space="preserve">from uncontrolled, single-arm, open-label </w:t>
      </w:r>
      <w:r>
        <w:t>p</w:t>
      </w:r>
      <w:r w:rsidRPr="004F768F">
        <w:t>hase</w:t>
      </w:r>
      <w:r>
        <w:t> </w:t>
      </w:r>
      <w:r w:rsidRPr="004F768F">
        <w:t>I/II studies with no Australian patients</w:t>
      </w:r>
      <w:r>
        <w:t>. ESC agreed with the commentary that the comparative clinical effectiveness data had a high risk of bias due to residual confounding, equivalent to evidence from observational studies typically assessed as low quality.</w:t>
      </w:r>
    </w:p>
    <w:p w14:paraId="1EA4AEAD" w14:textId="77777777" w:rsidR="00F84BA7" w:rsidRDefault="00F84BA7" w:rsidP="00F84BA7">
      <w:r>
        <w:t>The data in the intervention arm i</w:t>
      </w:r>
      <w:r w:rsidRPr="004F768F">
        <w:t>nclude</w:t>
      </w:r>
      <w:r>
        <w:t>d</w:t>
      </w:r>
      <w:r w:rsidRPr="004F768F">
        <w:t xml:space="preserve"> a subset analysis of patients fitting criteria requested by MSAC</w:t>
      </w:r>
      <w:r>
        <w:t xml:space="preserve">, namely </w:t>
      </w:r>
      <w:r w:rsidRPr="001911EB">
        <w:t xml:space="preserve">imlifidase-enabled transplant patients </w:t>
      </w:r>
      <w:r>
        <w:t xml:space="preserve">with a </w:t>
      </w:r>
      <w:proofErr w:type="spellStart"/>
      <w:r w:rsidRPr="001911EB">
        <w:t>cPRA</w:t>
      </w:r>
      <w:proofErr w:type="spellEnd"/>
      <w:r w:rsidRPr="001911EB">
        <w:t xml:space="preserve"> ≥99% wait listed for ≥2 years</w:t>
      </w:r>
      <w:r>
        <w:t xml:space="preserve">, henceforth known as AUS-UTT-A </w:t>
      </w:r>
      <w:r w:rsidRPr="004F768F">
        <w:t>(</w:t>
      </w:r>
      <w:r w:rsidRPr="00183A68">
        <w:rPr>
          <w:i/>
          <w:iCs/>
        </w:rPr>
        <w:t>n</w:t>
      </w:r>
      <w:r>
        <w:t> </w:t>
      </w:r>
      <w:r w:rsidRPr="004F768F">
        <w:t>=</w:t>
      </w:r>
      <w:r>
        <w:t> </w:t>
      </w:r>
      <w:r w:rsidRPr="004F768F">
        <w:t>24)</w:t>
      </w:r>
      <w:r>
        <w:t>, which</w:t>
      </w:r>
      <w:r w:rsidRPr="004F768F">
        <w:t xml:space="preserve"> </w:t>
      </w:r>
      <w:r>
        <w:t xml:space="preserve">was </w:t>
      </w:r>
      <w:r w:rsidRPr="004F768F">
        <w:t xml:space="preserve">extracted from </w:t>
      </w:r>
      <w:r>
        <w:t>all imlifidase treated patients who underwent a transplant</w:t>
      </w:r>
      <w:r w:rsidRPr="004F768F">
        <w:t xml:space="preserve"> (</w:t>
      </w:r>
      <w:r w:rsidRPr="009A4082">
        <w:rPr>
          <w:i/>
          <w:iCs/>
        </w:rPr>
        <w:t>N</w:t>
      </w:r>
      <w:r>
        <w:t> </w:t>
      </w:r>
      <w:r w:rsidRPr="004F768F">
        <w:t>=</w:t>
      </w:r>
      <w:r>
        <w:t> </w:t>
      </w:r>
      <w:r w:rsidRPr="004F768F">
        <w:t>46).</w:t>
      </w:r>
      <w:r>
        <w:t xml:space="preserve"> ESC noted that while the trial </w:t>
      </w:r>
      <w:r w:rsidRPr="00BD52C5">
        <w:t xml:space="preserve">populations are defined based on </w:t>
      </w:r>
      <w:proofErr w:type="spellStart"/>
      <w:r w:rsidRPr="00BD52C5">
        <w:t>cPRA</w:t>
      </w:r>
      <w:proofErr w:type="spellEnd"/>
      <w:r w:rsidRPr="00BD52C5">
        <w:t>, wait time and crossmatch positive criteria</w:t>
      </w:r>
      <w:r>
        <w:t>, o</w:t>
      </w:r>
      <w:r w:rsidRPr="00BD52C5">
        <w:t xml:space="preserve">ther factors </w:t>
      </w:r>
      <w:r>
        <w:t xml:space="preserve">such as </w:t>
      </w:r>
      <w:r w:rsidRPr="00BD52C5">
        <w:t xml:space="preserve">the </w:t>
      </w:r>
      <w:r w:rsidRPr="00BD52C5">
        <w:lastRenderedPageBreak/>
        <w:t>need to have failed an existing desensitisation regimen</w:t>
      </w:r>
      <w:r>
        <w:t xml:space="preserve"> (as proposed by MSAC in 1732) and additional criteria proposed by the ADAR such as </w:t>
      </w:r>
      <w:r w:rsidRPr="00BD52C5">
        <w:t>contraindications to existing regimens</w:t>
      </w:r>
      <w:r>
        <w:t>,</w:t>
      </w:r>
      <w:r w:rsidRPr="00BD52C5">
        <w:t xml:space="preserve"> and logistical issues</w:t>
      </w:r>
      <w:r>
        <w:t>,</w:t>
      </w:r>
      <w:r w:rsidRPr="00BD52C5">
        <w:t xml:space="preserve"> c</w:t>
      </w:r>
      <w:r>
        <w:t>ould not</w:t>
      </w:r>
      <w:r w:rsidRPr="00BD52C5">
        <w:t xml:space="preserve"> be evaluated due to an absence of data on these factors in the AUS-UTT-A dataset specific to LD and DD </w:t>
      </w:r>
      <w:r>
        <w:t>transplant recipients</w:t>
      </w:r>
      <w:r w:rsidRPr="00BD52C5">
        <w:t>.</w:t>
      </w:r>
      <w:r w:rsidRPr="00AB0BF2">
        <w:t xml:space="preserve"> </w:t>
      </w:r>
      <w:r>
        <w:t>ESC also noted that t</w:t>
      </w:r>
      <w:r w:rsidRPr="00AB0BF2">
        <w:t>he AUS-UTT-A population only include</w:t>
      </w:r>
      <w:r>
        <w:t>d</w:t>
      </w:r>
      <w:r w:rsidRPr="00AB0BF2">
        <w:t xml:space="preserve"> patients with a wait time </w:t>
      </w:r>
      <w:r>
        <w:t>of</w:t>
      </w:r>
      <w:r w:rsidRPr="00AB0BF2">
        <w:t xml:space="preserve"> ≥2 years</w:t>
      </w:r>
      <w:r>
        <w:t xml:space="preserve"> (for both LD and DD transplant recipients)</w:t>
      </w:r>
      <w:r w:rsidRPr="00AB0BF2">
        <w:t>, while the proposed eligibility criteria for patients with an available LD do not restrict eligibility based on wait time.</w:t>
      </w:r>
      <w:r w:rsidRPr="008D1826">
        <w:t xml:space="preserve"> </w:t>
      </w:r>
      <w:r>
        <w:t xml:space="preserve">However, </w:t>
      </w:r>
      <w:r w:rsidRPr="008D1826">
        <w:t xml:space="preserve">the number of LD </w:t>
      </w:r>
      <w:r>
        <w:t>transplant</w:t>
      </w:r>
      <w:r w:rsidRPr="008D1826">
        <w:t xml:space="preserve"> recipients potentially excluded from the AUS-UTT-A population based on waitlist time is small.</w:t>
      </w:r>
      <w:r w:rsidRPr="00E42041">
        <w:t xml:space="preserve"> </w:t>
      </w:r>
      <w:r>
        <w:t xml:space="preserve">ESC noted that it was </w:t>
      </w:r>
      <w:r w:rsidRPr="00E42041">
        <w:t xml:space="preserve">unclear what impact wait time has on </w:t>
      </w:r>
      <w:proofErr w:type="spellStart"/>
      <w:r w:rsidRPr="00E42041">
        <w:t>cPRA</w:t>
      </w:r>
      <w:proofErr w:type="spellEnd"/>
      <w:r w:rsidRPr="00E42041">
        <w:t xml:space="preserve"> level </w:t>
      </w:r>
      <w:r>
        <w:t xml:space="preserve">though </w:t>
      </w:r>
      <w:r w:rsidRPr="00E42041">
        <w:t xml:space="preserve">general evidence relating to kidney transplantation success rates and wait times suggest a positive correlation between shorter wait times and better outcomes. Therefore, </w:t>
      </w:r>
      <w:r>
        <w:t xml:space="preserve">ESC agreed with the commentary that </w:t>
      </w:r>
      <w:r w:rsidRPr="00E42041">
        <w:t>the evidence from the AUS-UTT-A population may over-represent failure rates compared to the eligible LD population that may comparatively have shorter wait times.</w:t>
      </w:r>
    </w:p>
    <w:p w14:paraId="2ECDF2A6" w14:textId="77777777" w:rsidR="00F84BA7" w:rsidRDefault="00F84BA7" w:rsidP="00F84BA7">
      <w:r>
        <w:t>ESC noted from the ADAR that the c</w:t>
      </w:r>
      <w:r w:rsidRPr="00BC7EDB">
        <w:t xml:space="preserve">omparator outcomes data </w:t>
      </w:r>
      <w:r>
        <w:t xml:space="preserve">could not </w:t>
      </w:r>
      <w:r w:rsidRPr="00BC7EDB">
        <w:t>be sourced from a single source</w:t>
      </w:r>
      <w:r>
        <w:t>,</w:t>
      </w:r>
      <w:r w:rsidRPr="00BC7EDB">
        <w:t xml:space="preserve"> and therefore include</w:t>
      </w:r>
      <w:r>
        <w:t>d</w:t>
      </w:r>
      <w:r w:rsidRPr="00BC7EDB">
        <w:t xml:space="preserve"> data from multiple, relevant, Australian sources</w:t>
      </w:r>
      <w:r>
        <w:t>,</w:t>
      </w:r>
      <w:r w:rsidRPr="00BC7EDB">
        <w:t xml:space="preserve"> including TSANZ data on Australian haemodialysis and transplant waiting list patient outcomes for DD</w:t>
      </w:r>
      <w:r>
        <w:t xml:space="preserve"> transplant recipients,</w:t>
      </w:r>
      <w:r w:rsidRPr="00BC7EDB">
        <w:t xml:space="preserve"> and from </w:t>
      </w:r>
      <w:r>
        <w:t xml:space="preserve">the </w:t>
      </w:r>
      <w:r w:rsidRPr="00BC7EDB">
        <w:t xml:space="preserve">Australian and New Zealand Paired Kidney Exchange (ANZKX) program. </w:t>
      </w:r>
      <w:r>
        <w:t>T</w:t>
      </w:r>
      <w:r w:rsidRPr="00BC7EDB">
        <w:t xml:space="preserve">here </w:t>
      </w:r>
      <w:r>
        <w:t>was</w:t>
      </w:r>
      <w:r w:rsidRPr="00BC7EDB">
        <w:t xml:space="preserve"> very little data</w:t>
      </w:r>
      <w:r>
        <w:t xml:space="preserve"> available</w:t>
      </w:r>
      <w:r w:rsidRPr="00BC7EDB">
        <w:t xml:space="preserve"> specifically for HS patients</w:t>
      </w:r>
      <w:r>
        <w:t>.</w:t>
      </w:r>
    </w:p>
    <w:p w14:paraId="2DE28EF1" w14:textId="77777777" w:rsidR="00F84BA7" w:rsidRDefault="00F84BA7" w:rsidP="00F84BA7">
      <w:r>
        <w:t xml:space="preserve">ESC recalled that in its consideration of Application 1732 MSAC had questioned the applicability of the clinical trial data to Australian kidney transplant patients given that the trials included populations in the United States, </w:t>
      </w:r>
      <w:proofErr w:type="gramStart"/>
      <w:r>
        <w:t>France</w:t>
      </w:r>
      <w:proofErr w:type="gramEnd"/>
      <w:r>
        <w:t xml:space="preserve"> and Sweden. The commentary noted that the ADAR had attempted to address this by reporting on the results of a survey of 11 transplant centres, 9 of which considered that the trial results were generalisable to the Australian HS renal transplant candidate population and 2 were unsure. ESC noted that the pre-ESC response also argued that i</w:t>
      </w:r>
      <w:r w:rsidRPr="005E7DD6">
        <w:t>mlifidase has a universally reliable mode of action for rapidly cleaving</w:t>
      </w:r>
      <w:r>
        <w:t xml:space="preserve"> immunoglobulin G</w:t>
      </w:r>
      <w:r w:rsidRPr="005E7DD6">
        <w:t xml:space="preserve"> </w:t>
      </w:r>
      <w:r>
        <w:t>(</w:t>
      </w:r>
      <w:r w:rsidRPr="005E7DD6">
        <w:t>IgG</w:t>
      </w:r>
      <w:r>
        <w:t>)</w:t>
      </w:r>
      <w:r w:rsidRPr="005E7DD6">
        <w:t xml:space="preserve"> in humans irrespective of the heterogeneity observed in the trial population</w:t>
      </w:r>
      <w:r>
        <w:t xml:space="preserve"> and t</w:t>
      </w:r>
      <w:r w:rsidRPr="005E7DD6">
        <w:t xml:space="preserve">herefore </w:t>
      </w:r>
      <w:r>
        <w:t xml:space="preserve">it was </w:t>
      </w:r>
      <w:r w:rsidRPr="005E7DD6">
        <w:t>reasonable to believe Australian patients would see the same response as seen in the clinical trials</w:t>
      </w:r>
      <w:r>
        <w:t>. However, ESC considered the generalisability of the data to the Australian population to still be uncertain and proposed that objective measures comparing characteristics of trial populations and Australian clinical populations could be used to determine applicability.</w:t>
      </w:r>
    </w:p>
    <w:p w14:paraId="679275B6" w14:textId="77777777" w:rsidR="00F84BA7" w:rsidRPr="000A498E" w:rsidRDefault="00F84BA7" w:rsidP="00F84BA7">
      <w:r>
        <w:t>For comparative safety, ESC noted from the ADAR that n</w:t>
      </w:r>
      <w:r w:rsidRPr="00D65333">
        <w:t>o safety events (</w:t>
      </w:r>
      <w:r>
        <w:t>adverse events</w:t>
      </w:r>
      <w:r w:rsidRPr="00D65333">
        <w:t xml:space="preserve">, </w:t>
      </w:r>
      <w:r>
        <w:t xml:space="preserve">serious adverse </w:t>
      </w:r>
      <w:proofErr w:type="gramStart"/>
      <w:r>
        <w:t>events</w:t>
      </w:r>
      <w:proofErr w:type="gramEnd"/>
      <w:r>
        <w:t xml:space="preserve"> or</w:t>
      </w:r>
      <w:r w:rsidRPr="00D65333">
        <w:t xml:space="preserve"> treatment</w:t>
      </w:r>
      <w:r>
        <w:t>-</w:t>
      </w:r>
      <w:r w:rsidRPr="00D65333">
        <w:t xml:space="preserve">related </w:t>
      </w:r>
      <w:r>
        <w:t>adverse event</w:t>
      </w:r>
      <w:r w:rsidRPr="00D65333">
        <w:t xml:space="preserve">s) were reported in the 5-year follow-up 17-HMedIdeS-14 study, which included the AUS-UTT-A population. </w:t>
      </w:r>
      <w:r>
        <w:t>No further comparative safety data were provided in the ADAR, and ESC considered the presented data to be very limited.</w:t>
      </w:r>
    </w:p>
    <w:p w14:paraId="78BAAFDD" w14:textId="77777777" w:rsidR="00F84BA7" w:rsidRDefault="00F84BA7" w:rsidP="00F84BA7">
      <w:r>
        <w:t xml:space="preserve">Regarding comparative effectiveness, ESC noted that while the applicant had provided evidence for the intended use population, no data has been provided for the transplant population overall (i.e. including both HS and non-HS patients). ESC therefore considered the comparative effectiveness of imlifidase in the total transplant population to be unknown. With respect to the comparative effectiveness of imlifidase in the intended population, ESC noted that of the patients in the evidence base who had a positive crossmatch pre-dose, only one patient (4.2% of the AUS-UTT-A population) had a borderline positive crossmatch post-dose, which was subsequently judged to be clinically insignificant, with the patient proceeding to transplantation. All patients with </w:t>
      </w:r>
      <w:proofErr w:type="spellStart"/>
      <w:r>
        <w:t>cPRA</w:t>
      </w:r>
      <w:proofErr w:type="spellEnd"/>
      <w:r>
        <w:t xml:space="preserve"> ≥99% in the trials received a transplant (because </w:t>
      </w:r>
      <w:proofErr w:type="spellStart"/>
      <w:r>
        <w:t>cPRA</w:t>
      </w:r>
      <w:proofErr w:type="spellEnd"/>
      <w:r>
        <w:t xml:space="preserve"> ≥99% was part of the selection criteria for the AUS-UTT-A population). ESC noted that, from the 46</w:t>
      </w:r>
      <w:r w:rsidRPr="00CE24FE">
        <w:rPr>
          <w:vertAlign w:val="superscript"/>
        </w:rPr>
        <w:t>th</w:t>
      </w:r>
      <w:r>
        <w:t xml:space="preserve"> annual report from the ANZDATA, at the end of 2022, 10.4% of the waitlist had </w:t>
      </w:r>
      <w:proofErr w:type="spellStart"/>
      <w:r>
        <w:t>cPRA</w:t>
      </w:r>
      <w:proofErr w:type="spellEnd"/>
      <w:r>
        <w:t xml:space="preserve"> ≥99%. However, it was unclear what proportion of patients in the ANZDATA with </w:t>
      </w:r>
      <w:proofErr w:type="spellStart"/>
      <w:r>
        <w:t>cPRA</w:t>
      </w:r>
      <w:proofErr w:type="spellEnd"/>
      <w:r>
        <w:t xml:space="preserve"> ≥99% would be able to receive a transplant with imlifidase. Additionally, regarding patient survival, ESC noted that the applicant had not responded to the previous commentary requesting a supporting reference for the claim of a higher survival rate if the trials had been conducted in Australia.</w:t>
      </w:r>
    </w:p>
    <w:p w14:paraId="2CF9AEF1" w14:textId="77777777" w:rsidR="00F84BA7" w:rsidRDefault="00F84BA7" w:rsidP="00F84BA7">
      <w:r>
        <w:lastRenderedPageBreak/>
        <w:t xml:space="preserve">ESC noted that graft survival was </w:t>
      </w:r>
      <w:proofErr w:type="gramStart"/>
      <w:r>
        <w:t>similar to</w:t>
      </w:r>
      <w:proofErr w:type="gramEnd"/>
      <w:r>
        <w:t xml:space="preserve"> what was presented in the previous ADAR. ESC recalled that in its consideration of Application 1732 MSAC was concerned about the high rate of hyperacute rejection, delayed graft function (DGF), antibody mediated rejection (AMR) and chronic kidney disease (CKD) at stages 3-5. ESC noted that the applicant had not addressed MSAC’s concerns relating to the high rates of DGF, AMR and CKD. ESC noted from the commentary that there was a typographical error in the previous ADAR</w:t>
      </w:r>
      <w:r w:rsidRPr="001C06CE">
        <w:t xml:space="preserve"> </w:t>
      </w:r>
      <w:r>
        <w:t xml:space="preserve">that had resulted in the </w:t>
      </w:r>
      <w:r w:rsidRPr="001C06CE">
        <w:t>number of hyperacute rejections</w:t>
      </w:r>
      <w:r>
        <w:t xml:space="preserve"> being</w:t>
      </w:r>
      <w:r w:rsidRPr="001C06CE">
        <w:t xml:space="preserve"> erroneously </w:t>
      </w:r>
      <w:r>
        <w:t xml:space="preserve">reported </w:t>
      </w:r>
      <w:r w:rsidRPr="001C06CE">
        <w:t xml:space="preserve">to be 15 (33%), </w:t>
      </w:r>
      <w:r>
        <w:t xml:space="preserve">when in fact </w:t>
      </w:r>
      <w:r w:rsidRPr="001C06CE">
        <w:t>only one patient (2%) experienced hyperacute rejection</w:t>
      </w:r>
      <w:r>
        <w:t xml:space="preserve">. The </w:t>
      </w:r>
      <w:r w:rsidDel="007D66EA">
        <w:t xml:space="preserve">hyperacute rejection </w:t>
      </w:r>
      <w:r>
        <w:t>in this patient was deemed to be IgM</w:t>
      </w:r>
      <w:r>
        <w:noBreakHyphen/>
        <w:t xml:space="preserve">mediated rather than IgG-mediated. </w:t>
      </w:r>
      <w:r w:rsidRPr="005F4372">
        <w:t xml:space="preserve">This patient </w:t>
      </w:r>
      <w:r>
        <w:t>wa</w:t>
      </w:r>
      <w:r w:rsidRPr="005F4372">
        <w:t xml:space="preserve">s excluded </w:t>
      </w:r>
      <w:r>
        <w:t>from</w:t>
      </w:r>
      <w:r w:rsidRPr="005F4372">
        <w:t xml:space="preserve"> the</w:t>
      </w:r>
      <w:r>
        <w:t xml:space="preserve"> population relevant to the current application</w:t>
      </w:r>
      <w:r w:rsidRPr="005F4372">
        <w:t xml:space="preserve"> </w:t>
      </w:r>
      <w:r>
        <w:t>(</w:t>
      </w:r>
      <w:r w:rsidRPr="005F4372">
        <w:t>AUS-UTT-A</w:t>
      </w:r>
      <w:r>
        <w:t>)</w:t>
      </w:r>
      <w:r w:rsidRPr="005F4372">
        <w:t xml:space="preserve"> due to their </w:t>
      </w:r>
      <w:proofErr w:type="spellStart"/>
      <w:r w:rsidRPr="005F4372">
        <w:t>cPRA</w:t>
      </w:r>
      <w:proofErr w:type="spellEnd"/>
      <w:r w:rsidRPr="005F4372">
        <w:t xml:space="preserve"> level.</w:t>
      </w:r>
      <w:r>
        <w:t xml:space="preserve"> ESC noted that the ADAR asserted that i</w:t>
      </w:r>
      <w:r w:rsidRPr="00640C70">
        <w:t>mlifidase aims to avoid hyperacute rejection and is not expected to impact other rejection events</w:t>
      </w:r>
      <w:r>
        <w:t>. Therefore, the ADAR did not consider the rate of these other rejection events to be a</w:t>
      </w:r>
      <w:r w:rsidRPr="00640C70" w:rsidDel="00B04C4D">
        <w:t xml:space="preserve"> </w:t>
      </w:r>
      <w:r w:rsidRPr="00640C70">
        <w:t>primary efficacy outcome</w:t>
      </w:r>
      <w:r>
        <w:t xml:space="preserve">. However, ESC considered this response from the applicant to be unreasonable, recalling that MSAC </w:t>
      </w:r>
      <w:r w:rsidRPr="00E10306">
        <w:t>was concerned about the rate of all rejection events</w:t>
      </w:r>
      <w:r>
        <w:t xml:space="preserve">, not just </w:t>
      </w:r>
      <w:r w:rsidRPr="00E10306">
        <w:t>hyperacute rejection</w:t>
      </w:r>
      <w:r>
        <w:t xml:space="preserve"> since rejection</w:t>
      </w:r>
      <w:r w:rsidRPr="00E10306">
        <w:t xml:space="preserve"> events may limit </w:t>
      </w:r>
      <w:r>
        <w:t>the</w:t>
      </w:r>
      <w:r w:rsidRPr="00E10306">
        <w:t xml:space="preserve"> clinical </w:t>
      </w:r>
      <w:r>
        <w:t>benefit of imlifidase</w:t>
      </w:r>
      <w:r w:rsidRPr="00E10306">
        <w:t>, and will incur substantial costs.</w:t>
      </w:r>
    </w:p>
    <w:p w14:paraId="01B91E8F" w14:textId="77777777" w:rsidR="00F84BA7" w:rsidRDefault="00F84BA7" w:rsidP="00F84BA7">
      <w:r>
        <w:t>ESC noted that new data had been included for health-related quality of life (QoL), with</w:t>
      </w:r>
      <w:r w:rsidRPr="000A5872">
        <w:t xml:space="preserve"> KDQOL-36 mean scores at 5</w:t>
      </w:r>
      <w:r>
        <w:t> </w:t>
      </w:r>
      <w:r w:rsidRPr="000A5872">
        <w:t xml:space="preserve">years </w:t>
      </w:r>
      <w:r>
        <w:t>post-</w:t>
      </w:r>
      <w:r w:rsidRPr="000A5872">
        <w:t xml:space="preserve">transplantation </w:t>
      </w:r>
      <w:r>
        <w:t>being</w:t>
      </w:r>
      <w:r w:rsidRPr="000A5872">
        <w:t xml:space="preserve"> above 70</w:t>
      </w:r>
      <w:r>
        <w:t xml:space="preserve"> (reported over a 0 to 100 range with higher scores reflecting better health),</w:t>
      </w:r>
      <w:r w:rsidRPr="000A5872">
        <w:t xml:space="preserve"> with only the parameters </w:t>
      </w:r>
      <w:r>
        <w:t xml:space="preserve">of </w:t>
      </w:r>
      <w:r w:rsidRPr="000A5872">
        <w:t>general health, energy/fatigue and sleep having lower scores (53.0, 61.4 and 67.6</w:t>
      </w:r>
      <w:r>
        <w:t>, respectively</w:t>
      </w:r>
      <w:r w:rsidRPr="000A5872">
        <w:t>)</w:t>
      </w:r>
      <w:r>
        <w:t>.</w:t>
      </w:r>
    </w:p>
    <w:p w14:paraId="35D6009C" w14:textId="77777777" w:rsidR="00F84BA7" w:rsidRPr="000A498E" w:rsidRDefault="00F84BA7" w:rsidP="00F84BA7">
      <w:r>
        <w:t>Overall, ESC considered that there is a clinical need for imlifidase in the proposed patient population. However, ESC considered the clinical claims of superior effectiveness and non-inferior safety were not well supported by the evidence presented. Furthermore, ESC considered the evidence for clinical effectiveness is of very low quality and is associated with high uncertainty.</w:t>
      </w:r>
    </w:p>
    <w:p w14:paraId="6DE21E0A" w14:textId="77777777" w:rsidR="00F84BA7" w:rsidRDefault="00F84BA7" w:rsidP="00F84BA7">
      <w:r>
        <w:t>ESC noted that the economic evaluation was a cost-utility analysis. ESC agreed with the commentary that the naïve treatment comparison that underlay the economic model created inherent uncertainty (with an unclear direction of bias). ESC considered the lifetime time horizon to be appropriate, but uncertain based on the available data due to the extrapolation out into the distant future based on results of no longer than 5 years’ duration. ESC noted that the economic evaluation used a simple model with four health states: dialysis/waitlisted, dialysis/not waitlisted, functioning graft and death. The transition probabilities were based on the clinical trial data that comprised small patient numbers.</w:t>
      </w:r>
    </w:p>
    <w:p w14:paraId="16A74D69" w14:textId="173F895D" w:rsidR="00F84BA7" w:rsidRPr="002C0ACD" w:rsidRDefault="00F84BA7" w:rsidP="00F84BA7">
      <w:r w:rsidRPr="002C0ACD">
        <w:t>ESC noted that the base case incremental cost-effectiveness ratio (ICER) was $</w:t>
      </w:r>
      <w:r w:rsidR="00822E67" w:rsidRPr="002C0ACD">
        <w:rPr>
          <w:b/>
          <w:bCs/>
        </w:rPr>
        <w:t>redacted</w:t>
      </w:r>
      <w:r w:rsidRPr="002C0ACD">
        <w:t>/quality-adjusted life year (QALY), which was more than the ICER from the previous application ($</w:t>
      </w:r>
      <w:r w:rsidR="00822E67" w:rsidRPr="002C0ACD">
        <w:rPr>
          <w:b/>
          <w:bCs/>
        </w:rPr>
        <w:t>redacted</w:t>
      </w:r>
      <w:r w:rsidRPr="002C0ACD">
        <w:t>/QALY).</w:t>
      </w:r>
    </w:p>
    <w:p w14:paraId="2B517EA7" w14:textId="77777777" w:rsidR="00F84BA7" w:rsidRDefault="00F84BA7" w:rsidP="00F84BA7">
      <w:r w:rsidRPr="002C0ACD">
        <w:t>ESC noted that there were three key spillover</w:t>
      </w:r>
      <w:r>
        <w:t>s associated with imlifidase use which were associated with the complexities of evaluating its cost utility in the economic model, whether in the base case or scenario analyses:</w:t>
      </w:r>
    </w:p>
    <w:p w14:paraId="70748769" w14:textId="77777777" w:rsidR="00F84BA7" w:rsidRDefault="00F84BA7" w:rsidP="00F84BA7">
      <w:pPr>
        <w:pStyle w:val="ListParagraph"/>
        <w:numPr>
          <w:ilvl w:val="0"/>
          <w:numId w:val="50"/>
        </w:numPr>
        <w:spacing w:before="0" w:after="240" w:line="240" w:lineRule="auto"/>
      </w:pPr>
      <w:r>
        <w:t>Another patient on the DD transplant waitlist is displaced by the allocation of a DD transplant to an imlifidase patient due to the scarcity of donor kidneys (negative spillover).</w:t>
      </w:r>
    </w:p>
    <w:p w14:paraId="417BB092" w14:textId="77777777" w:rsidR="00F84BA7" w:rsidRDefault="00F84BA7" w:rsidP="00F84BA7">
      <w:pPr>
        <w:pStyle w:val="ListParagraph"/>
        <w:numPr>
          <w:ilvl w:val="0"/>
          <w:numId w:val="50"/>
        </w:numPr>
        <w:spacing w:before="0" w:after="240" w:line="240" w:lineRule="auto"/>
      </w:pPr>
      <w:r>
        <w:t>A proportion of HS patients in the ANZKX program receiving an imlifidase-enabled transplant may be transplanted as part of a kidney donation chain (positive spillover).</w:t>
      </w:r>
    </w:p>
    <w:p w14:paraId="41319A65" w14:textId="77777777" w:rsidR="00F84BA7" w:rsidRDefault="00F84BA7" w:rsidP="00F84BA7">
      <w:pPr>
        <w:pStyle w:val="ListParagraph"/>
        <w:numPr>
          <w:ilvl w:val="0"/>
          <w:numId w:val="50"/>
        </w:numPr>
        <w:spacing w:before="0" w:after="240" w:line="240" w:lineRule="auto"/>
      </w:pPr>
      <w:r>
        <w:t xml:space="preserve">A potential increase in the pool of donor kidneys through more patients receiving an LD transplant due to imlifidase resulting in a reduction in the waitlist for DD transplants insofar as some patients who are on the DD transplant waitlist are also waiting for an appropriate LD transplant (positive spillover). ESC noted that this second positive </w:t>
      </w:r>
      <w:r>
        <w:lastRenderedPageBreak/>
        <w:t xml:space="preserve">spillover had not been considered in any of the scenario analyses in the ADAR given the complexity this would add to the model and therefore the uncertainty of the results. </w:t>
      </w:r>
    </w:p>
    <w:p w14:paraId="26FCE7DD" w14:textId="5989B162" w:rsidR="00F84BA7" w:rsidRDefault="00F84BA7" w:rsidP="00F84BA7">
      <w:r>
        <w:t xml:space="preserve">ESC considered the healthcare system perspective of the economic model to be </w:t>
      </w:r>
      <w:proofErr w:type="gramStart"/>
      <w:r>
        <w:t>appropriate, but</w:t>
      </w:r>
      <w:proofErr w:type="gramEnd"/>
      <w:r>
        <w:t xml:space="preserve"> questioned whether it had been properly reflected in the model. Specifically, given the scarcity of donor kidneys (as discussed above), if treatment with imlifidase facilitates more kidney transplants to those within the target HS population there will be a direct tangible impact on the non-HS DD transplant waitlist as they will continue to incur dialysis costs for a longer </w:t>
      </w:r>
      <w:proofErr w:type="gramStart"/>
      <w:r>
        <w:t>period of time</w:t>
      </w:r>
      <w:proofErr w:type="gramEnd"/>
      <w:r>
        <w:t>. Related to this, ESC recalled that in the previous ADAR, MSAC was concerned that the economic model base case did not take account of this displacement. The commentary considered that this had been addressed in the resubmission ADAR insofar as it had been reported as a scenario analysis, but ESC considered that the cost and health outcomes of the displaced (non-target) population had not been reflected in the base case as was requested by MSAC in the previous ADAR. ESC noted that c</w:t>
      </w:r>
      <w:r w:rsidRPr="00FF381C">
        <w:t xml:space="preserve">ost offsets within the target population realised through reduced time on dialysis </w:t>
      </w:r>
      <w:r>
        <w:t xml:space="preserve">were a significant </w:t>
      </w:r>
      <w:r w:rsidRPr="00FF381C">
        <w:t xml:space="preserve">contributor to </w:t>
      </w:r>
      <w:r>
        <w:t>reducing the net</w:t>
      </w:r>
      <w:r w:rsidRPr="00FF381C">
        <w:t xml:space="preserve"> incremental costs</w:t>
      </w:r>
      <w:r>
        <w:t xml:space="preserve"> of imlifidase</w:t>
      </w:r>
      <w:r w:rsidRPr="00FF381C">
        <w:t xml:space="preserve"> </w:t>
      </w:r>
      <w:r>
        <w:t xml:space="preserve">in the base case as these savings amounted </w:t>
      </w:r>
      <w:r w:rsidRPr="002C0ACD">
        <w:t>to $</w:t>
      </w:r>
      <w:r w:rsidRPr="009E2F9F" w:rsidDel="00822E67">
        <w:t>473,944</w:t>
      </w:r>
      <w:r w:rsidRPr="002C0ACD">
        <w:t xml:space="preserve"> per patient. However, while an HS patient receiving an imlifidase-enabled DD transplant</w:t>
      </w:r>
      <w:r w:rsidRPr="00FF381C">
        <w:t xml:space="preserve"> can stop dialysis, another patient on the waitlist who may otherwise have received the kidney remains on dialysis longer,</w:t>
      </w:r>
      <w:r>
        <w:t xml:space="preserve"> but the increased costs of this other patient was not reflected in the base case</w:t>
      </w:r>
      <w:r w:rsidRPr="00FF381C">
        <w:t xml:space="preserve">. </w:t>
      </w:r>
      <w:r>
        <w:t xml:space="preserve">ESC noted that </w:t>
      </w:r>
      <w:r w:rsidRPr="00FF381C">
        <w:t>the commentary reiterate</w:t>
      </w:r>
      <w:r>
        <w:t>d</w:t>
      </w:r>
      <w:r w:rsidRPr="00FF381C">
        <w:t xml:space="preserve"> that </w:t>
      </w:r>
      <w:r>
        <w:t xml:space="preserve">dialysis </w:t>
      </w:r>
      <w:r w:rsidRPr="00FF381C">
        <w:t>cost offsets are unlikely to be fully realised when considering a broader Australian healthcare system perspective</w:t>
      </w:r>
      <w:r>
        <w:t xml:space="preserve"> and the ICER remained </w:t>
      </w:r>
      <w:r w:rsidRPr="00A40131">
        <w:t xml:space="preserve">highly sensitive to treatment of ‘displaced </w:t>
      </w:r>
      <w:proofErr w:type="gramStart"/>
      <w:r w:rsidRPr="00A40131">
        <w:t>recipients</w:t>
      </w:r>
      <w:r>
        <w:t>’</w:t>
      </w:r>
      <w:proofErr w:type="gramEnd"/>
      <w:r>
        <w:t xml:space="preserve">.  </w:t>
      </w:r>
    </w:p>
    <w:p w14:paraId="4F57D496" w14:textId="77777777" w:rsidR="00F84BA7" w:rsidRDefault="00F84BA7" w:rsidP="00F84BA7">
      <w:r>
        <w:t>ESC noted that the pre-ESC response stated that it was incorrect to assume that</w:t>
      </w:r>
      <w:r w:rsidRPr="004B7ACA">
        <w:t xml:space="preserve"> a non-</w:t>
      </w:r>
      <w:r>
        <w:t>HS</w:t>
      </w:r>
      <w:r w:rsidRPr="004B7ACA">
        <w:t xml:space="preserve"> patient </w:t>
      </w:r>
      <w:r>
        <w:t xml:space="preserve">who </w:t>
      </w:r>
      <w:r w:rsidRPr="004B7ACA">
        <w:t>was “next in line” would be displaced by an imlifidase patient</w:t>
      </w:r>
      <w:r>
        <w:t xml:space="preserve">. Instead, </w:t>
      </w:r>
      <w:r w:rsidRPr="004B7ACA">
        <w:t xml:space="preserve">imlifidase allows </w:t>
      </w:r>
      <w:r>
        <w:t xml:space="preserve">HS </w:t>
      </w:r>
      <w:r w:rsidRPr="004B7ACA">
        <w:t>patient</w:t>
      </w:r>
      <w:r>
        <w:t>s</w:t>
      </w:r>
      <w:r w:rsidRPr="004B7ACA">
        <w:t xml:space="preserve"> </w:t>
      </w:r>
      <w:r>
        <w:t>who are at the</w:t>
      </w:r>
      <w:r w:rsidRPr="004B7ACA">
        <w:t xml:space="preserve"> top of the waitlist to claim their rightful place. The</w:t>
      </w:r>
      <w:r>
        <w:t xml:space="preserve"> pre-ESC response therefore </w:t>
      </w:r>
      <w:r w:rsidRPr="004B7ACA">
        <w:t>challenge</w:t>
      </w:r>
      <w:r>
        <w:t>d</w:t>
      </w:r>
      <w:r w:rsidRPr="004B7ACA">
        <w:t xml:space="preserve"> </w:t>
      </w:r>
      <w:r>
        <w:t xml:space="preserve">the notion </w:t>
      </w:r>
      <w:r w:rsidRPr="004B7ACA">
        <w:t xml:space="preserve">that the “displaced” patient would be a non-HS </w:t>
      </w:r>
      <w:r>
        <w:t xml:space="preserve">patient </w:t>
      </w:r>
      <w:r w:rsidRPr="004B7ACA">
        <w:t xml:space="preserve">or a patient with more favourable outcomes. Under the Australian allocation system, the “displaced” patient may </w:t>
      </w:r>
      <w:r>
        <w:t>likely</w:t>
      </w:r>
      <w:r w:rsidRPr="004B7ACA">
        <w:t xml:space="preserve"> </w:t>
      </w:r>
      <w:r>
        <w:t xml:space="preserve">also </w:t>
      </w:r>
      <w:r w:rsidRPr="004B7ACA">
        <w:t xml:space="preserve">be </w:t>
      </w:r>
      <w:r>
        <w:t xml:space="preserve">HS </w:t>
      </w:r>
      <w:r w:rsidRPr="004B7ACA">
        <w:t xml:space="preserve">(especially given that these patients are prioritised) </w:t>
      </w:r>
      <w:r>
        <w:t>but likely to be</w:t>
      </w:r>
      <w:r w:rsidRPr="004B7ACA">
        <w:t xml:space="preserve"> older, sicker, or with more comorbidities than the HS imlifidase patient.</w:t>
      </w:r>
      <w:r>
        <w:t xml:space="preserve"> The pre-ESC response also noted that opportunity costs outside the target population are not typically considered in a cost utility analysis. ESC considered that while these were reasonable responses, they still did not address concerns that the benefit to the HS population were potentially to the detriment of other groups (and that therefore imlifidase did not result in superior effectiveness for the transplant population as a whole). </w:t>
      </w:r>
    </w:p>
    <w:p w14:paraId="77836D62" w14:textId="77777777" w:rsidR="00F84BA7" w:rsidRDefault="00F84BA7" w:rsidP="00F84BA7">
      <w:r>
        <w:t xml:space="preserve">Overall ESC considered that even if the applicant’s premise that a cost utility analysis typically did not </w:t>
      </w:r>
      <w:proofErr w:type="gramStart"/>
      <w:r>
        <w:t>take into account</w:t>
      </w:r>
      <w:proofErr w:type="gramEnd"/>
      <w:r>
        <w:t xml:space="preserve"> opportunity costs outside the target population was correct, there was a case for an exception to be made in this application as the current model does not capture the full impacts of the intervention on the health system. ESC noted that previously ESC and MSAC had suggested that the impact on the waitlist could potentially be incorporated in the economic model to improve its relevance for decision-making and noted that such changes had not been made in this resubmission. ESC considered that the argument about the equity vs efficiency trade-off (more HS patients receive DD transplants while non-HS patients remain on the waitlist and dialysis for longer) to be key for MSAC decision-making but noted that data to properly assess this trade-off, such as the impact of the intervention on waitlisted non-HS patients and the differential impacts for those receiving LD and DD transplants, were not clearly presented in the application. ESC discussed that other economic evaluation approaches, specifically cost-benefit analysis, could be another way to incorporate these factors, though noted they have been rarely used to inform MSAC decision making. </w:t>
      </w:r>
    </w:p>
    <w:p w14:paraId="08084237" w14:textId="3070C652" w:rsidR="00F84BA7" w:rsidRDefault="00F84BA7" w:rsidP="00F84BA7">
      <w:r w:rsidRPr="005320BA">
        <w:t xml:space="preserve">ESC noted that the above concerns also applied to the sensitivity analyses with the additional consideration that these sensitivity analyses also included impacts from positive spillovers (from </w:t>
      </w:r>
      <w:r w:rsidRPr="005320BA">
        <w:lastRenderedPageBreak/>
        <w:t>enabling a kidney transplantation chain). ESC considered that the magnitude of these positive spillovers may have been overestimated. ESC noted that the ICER increased to $</w:t>
      </w:r>
      <w:r w:rsidR="00822E67" w:rsidRPr="005320BA">
        <w:rPr>
          <w:b/>
          <w:bCs/>
        </w:rPr>
        <w:t>redacted</w:t>
      </w:r>
      <w:r w:rsidRPr="005320BA">
        <w:t>/QALY after taking into consideration both the negative displacement effects and the positive spillovers (Table 1</w:t>
      </w:r>
      <w:r w:rsidR="00872152">
        <w:t xml:space="preserve"> ESC</w:t>
      </w:r>
      <w:r w:rsidRPr="005320BA">
        <w:t>).</w:t>
      </w:r>
      <w:r>
        <w:t xml:space="preserve"> </w:t>
      </w:r>
    </w:p>
    <w:p w14:paraId="3FE0E3F7" w14:textId="4D642DB6" w:rsidR="00F84BA7" w:rsidRDefault="00F84BA7" w:rsidP="00F84BA7">
      <w:r>
        <w:t>ESC considered that the economic case for each population was very different (e.g. there are displacement issues for DD transplants that are not present for LD transplants),</w:t>
      </w:r>
      <w:r w:rsidRPr="00B73E06">
        <w:t xml:space="preserve"> recall</w:t>
      </w:r>
      <w:r>
        <w:t>ing</w:t>
      </w:r>
      <w:r w:rsidRPr="00B73E06">
        <w:t xml:space="preserve"> that MSAC</w:t>
      </w:r>
      <w:r>
        <w:t xml:space="preserve"> in Application 1732</w:t>
      </w:r>
      <w:r w:rsidRPr="00B73E06">
        <w:t xml:space="preserve"> had also requested that the economic model be revised considering potential differentiation between patients on the LD and DD transplant waitlists after accounting for different comparators</w:t>
      </w:r>
      <w:r>
        <w:t xml:space="preserve">. ESC noted that this was partially addressed by the commentary’s additional scenario analyses which reported separate ICERs for LD and DD transplant recipients with </w:t>
      </w:r>
      <w:r w:rsidRPr="005320BA">
        <w:t>and without spillovers while retaining the same comparator of ‘dialysis until a transplant becomes available’. ESC noted that assuming 0% LD transplants (i.e. accounting only for ICERs of DD transplant recipients) while including displacement effects increased the ICER to $</w:t>
      </w:r>
      <w:r w:rsidR="00822E67" w:rsidRPr="005320BA">
        <w:rPr>
          <w:b/>
          <w:bCs/>
        </w:rPr>
        <w:t>redacted</w:t>
      </w:r>
      <w:r w:rsidRPr="005320BA">
        <w:t xml:space="preserve">/QALY, while assuming 100% LD transplants (i.e. accounting only for ICERs of LD transplant recipients) and taking positive spillovers into account resulted in imlifidase being dominant. These results are summarised in Table 1 </w:t>
      </w:r>
      <w:r w:rsidR="00872152">
        <w:t xml:space="preserve">ESC </w:t>
      </w:r>
      <w:r w:rsidRPr="005320BA">
        <w:t>below. ESC considered that reporting a different ICER for LD and DD transplant recipients as per the results reproduced below in Table</w:t>
      </w:r>
      <w:r w:rsidR="00872152">
        <w:t> </w:t>
      </w:r>
      <w:r w:rsidRPr="005320BA">
        <w:t>1</w:t>
      </w:r>
      <w:r w:rsidR="00872152">
        <w:t xml:space="preserve"> ESC </w:t>
      </w:r>
      <w:r w:rsidRPr="005320BA">
        <w:t>would help to inform MSAC decision making.</w:t>
      </w:r>
    </w:p>
    <w:p w14:paraId="3196461C" w14:textId="01122761" w:rsidR="00F84BA7" w:rsidRPr="00CE24FE" w:rsidRDefault="00F84BA7" w:rsidP="00F84BA7">
      <w:pPr>
        <w:rPr>
          <w:rFonts w:ascii="Arial Narrow" w:hAnsi="Arial Narrow"/>
          <w:b/>
          <w:bCs/>
          <w:sz w:val="20"/>
          <w:szCs w:val="20"/>
        </w:rPr>
      </w:pPr>
      <w:r w:rsidRPr="00CE24FE">
        <w:rPr>
          <w:rFonts w:ascii="Arial Narrow" w:hAnsi="Arial Narrow"/>
          <w:b/>
          <w:bCs/>
          <w:sz w:val="20"/>
          <w:szCs w:val="20"/>
        </w:rPr>
        <w:t>Table 1</w:t>
      </w:r>
      <w:r w:rsidR="000E2AFA">
        <w:rPr>
          <w:rFonts w:ascii="Arial Narrow" w:hAnsi="Arial Narrow"/>
          <w:b/>
          <w:bCs/>
          <w:sz w:val="20"/>
          <w:szCs w:val="20"/>
        </w:rPr>
        <w:t xml:space="preserve"> ESC</w:t>
      </w:r>
      <w:r w:rsidRPr="00CE24FE">
        <w:rPr>
          <w:rFonts w:ascii="Arial Narrow" w:hAnsi="Arial Narrow"/>
          <w:b/>
          <w:bCs/>
          <w:sz w:val="20"/>
          <w:szCs w:val="20"/>
        </w:rPr>
        <w:t xml:space="preserve">: Scenario analysis results incorporating </w:t>
      </w:r>
      <w:r>
        <w:rPr>
          <w:rFonts w:ascii="Arial Narrow" w:hAnsi="Arial Narrow"/>
          <w:b/>
          <w:bCs/>
          <w:sz w:val="20"/>
          <w:szCs w:val="20"/>
        </w:rPr>
        <w:t>spillovers</w:t>
      </w:r>
      <w:r w:rsidRPr="00CE24FE">
        <w:rPr>
          <w:rFonts w:ascii="Arial Narrow" w:hAnsi="Arial Narrow"/>
          <w:b/>
          <w:bCs/>
          <w:sz w:val="20"/>
          <w:szCs w:val="20"/>
        </w:rPr>
        <w:t xml:space="preserve"> segmented by LD and DD transplant </w:t>
      </w:r>
      <w:proofErr w:type="gramStart"/>
      <w:r w:rsidRPr="00CE24FE">
        <w:rPr>
          <w:rFonts w:ascii="Arial Narrow" w:hAnsi="Arial Narrow"/>
          <w:b/>
          <w:bCs/>
          <w:sz w:val="20"/>
          <w:szCs w:val="20"/>
        </w:rPr>
        <w:t>recipients</w:t>
      </w:r>
      <w:proofErr w:type="gramEnd"/>
    </w:p>
    <w:tbl>
      <w:tblPr>
        <w:tblW w:w="9020" w:type="dxa"/>
        <w:tblCellMar>
          <w:left w:w="0" w:type="dxa"/>
          <w:right w:w="0" w:type="dxa"/>
        </w:tblCellMar>
        <w:tblLook w:val="04A0" w:firstRow="1" w:lastRow="0" w:firstColumn="1" w:lastColumn="0" w:noHBand="0" w:noVBand="1"/>
      </w:tblPr>
      <w:tblGrid>
        <w:gridCol w:w="2840"/>
        <w:gridCol w:w="2060"/>
        <w:gridCol w:w="2060"/>
        <w:gridCol w:w="2060"/>
      </w:tblGrid>
      <w:tr w:rsidR="00F84BA7" w:rsidRPr="00040F81" w14:paraId="23C7073A" w14:textId="77777777" w:rsidTr="00154777">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0C6FAB" w14:textId="77777777" w:rsidR="00F84BA7" w:rsidRPr="005320BA" w:rsidRDefault="00F84BA7" w:rsidP="00154777">
            <w:pPr>
              <w:rPr>
                <w:rFonts w:ascii="Arial Narrow" w:hAnsi="Arial Narrow"/>
                <w:sz w:val="20"/>
                <w:szCs w:val="20"/>
              </w:rPr>
            </w:pPr>
            <w:r w:rsidRPr="005320BA">
              <w:rPr>
                <w:rFonts w:ascii="Arial Narrow" w:hAnsi="Arial Narrow"/>
                <w:b/>
                <w:bCs/>
                <w:sz w:val="20"/>
                <w:szCs w:val="20"/>
              </w:rPr>
              <w:t>Scenario</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24E89D" w14:textId="77777777" w:rsidR="00F84BA7" w:rsidRPr="005320BA" w:rsidRDefault="00F84BA7" w:rsidP="00154777">
            <w:pPr>
              <w:rPr>
                <w:rFonts w:ascii="Arial Narrow" w:hAnsi="Arial Narrow"/>
                <w:sz w:val="20"/>
                <w:szCs w:val="20"/>
              </w:rPr>
            </w:pPr>
            <w:r w:rsidRPr="005320BA">
              <w:rPr>
                <w:rFonts w:ascii="Arial Narrow" w:hAnsi="Arial Narrow"/>
                <w:b/>
                <w:bCs/>
                <w:sz w:val="20"/>
                <w:szCs w:val="20"/>
              </w:rPr>
              <w:t>Incremental cost</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FC7B51" w14:textId="77777777" w:rsidR="00F84BA7" w:rsidRPr="005320BA" w:rsidRDefault="00F84BA7" w:rsidP="00154777">
            <w:pPr>
              <w:rPr>
                <w:rFonts w:ascii="Arial Narrow" w:hAnsi="Arial Narrow"/>
                <w:sz w:val="20"/>
                <w:szCs w:val="20"/>
              </w:rPr>
            </w:pPr>
            <w:r w:rsidRPr="005320BA">
              <w:rPr>
                <w:rFonts w:ascii="Arial Narrow" w:hAnsi="Arial Narrow"/>
                <w:b/>
                <w:bCs/>
                <w:sz w:val="20"/>
                <w:szCs w:val="20"/>
              </w:rPr>
              <w:t>Incremental QALYs</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13B9AE" w14:textId="77777777" w:rsidR="00F84BA7" w:rsidRPr="005320BA" w:rsidRDefault="00F84BA7" w:rsidP="00154777">
            <w:pPr>
              <w:rPr>
                <w:rFonts w:ascii="Arial Narrow" w:hAnsi="Arial Narrow"/>
                <w:sz w:val="20"/>
                <w:szCs w:val="20"/>
              </w:rPr>
            </w:pPr>
            <w:r w:rsidRPr="005320BA">
              <w:rPr>
                <w:rFonts w:ascii="Arial Narrow" w:hAnsi="Arial Narrow"/>
                <w:b/>
                <w:bCs/>
                <w:sz w:val="20"/>
                <w:szCs w:val="20"/>
              </w:rPr>
              <w:t>ICER</w:t>
            </w:r>
          </w:p>
        </w:tc>
      </w:tr>
      <w:tr w:rsidR="00F84BA7" w:rsidRPr="00040F81" w14:paraId="638CCD39" w14:textId="77777777" w:rsidTr="00154777">
        <w:tc>
          <w:tcPr>
            <w:tcW w:w="902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6D0CB2" w14:textId="77777777" w:rsidR="00F84BA7" w:rsidRPr="005320BA" w:rsidRDefault="00F84BA7" w:rsidP="00154777">
            <w:pPr>
              <w:rPr>
                <w:rFonts w:ascii="Arial Narrow" w:hAnsi="Arial Narrow"/>
                <w:sz w:val="20"/>
                <w:szCs w:val="20"/>
              </w:rPr>
            </w:pPr>
            <w:r w:rsidRPr="005320BA">
              <w:rPr>
                <w:rFonts w:ascii="Arial Narrow" w:hAnsi="Arial Narrow"/>
                <w:sz w:val="20"/>
                <w:szCs w:val="20"/>
              </w:rPr>
              <w:t>Base case model</w:t>
            </w:r>
          </w:p>
        </w:tc>
      </w:tr>
      <w:tr w:rsidR="00F84BA7" w:rsidRPr="00040F81" w14:paraId="605C2913" w14:textId="77777777" w:rsidTr="00154777">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A9E544" w14:textId="77777777" w:rsidR="00F84BA7" w:rsidRPr="005320BA" w:rsidRDefault="00F84BA7" w:rsidP="00154777">
            <w:pPr>
              <w:rPr>
                <w:rFonts w:ascii="Arial Narrow" w:hAnsi="Arial Narrow"/>
                <w:sz w:val="20"/>
                <w:szCs w:val="20"/>
              </w:rPr>
            </w:pPr>
            <w:r w:rsidRPr="005320BA">
              <w:rPr>
                <w:rFonts w:ascii="Arial Narrow" w:hAnsi="Arial Narrow"/>
                <w:sz w:val="20"/>
                <w:szCs w:val="20"/>
              </w:rPr>
              <w:t>Proportion LD transplants: 24% (base case)</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CD2836" w14:textId="31CB3A33"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8C7688" w14:textId="77777777" w:rsidR="00F84BA7" w:rsidRPr="009E2F9F" w:rsidRDefault="00F84BA7" w:rsidP="00154777">
            <w:pPr>
              <w:rPr>
                <w:rFonts w:ascii="Arial Narrow" w:hAnsi="Arial Narrow"/>
                <w:sz w:val="20"/>
                <w:szCs w:val="20"/>
              </w:rPr>
            </w:pPr>
            <w:r w:rsidRPr="009E2F9F">
              <w:rPr>
                <w:rFonts w:ascii="Arial Narrow" w:hAnsi="Arial Narrow"/>
                <w:sz w:val="20"/>
                <w:szCs w:val="20"/>
              </w:rPr>
              <w:t>2.26</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AC3438" w14:textId="62531276"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r>
      <w:tr w:rsidR="00F84BA7" w:rsidRPr="00040F81" w14:paraId="6B7429E8" w14:textId="77777777" w:rsidTr="00154777">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A0AAD9" w14:textId="77777777" w:rsidR="00F84BA7" w:rsidRPr="005320BA" w:rsidRDefault="00F84BA7" w:rsidP="00154777">
            <w:pPr>
              <w:rPr>
                <w:rFonts w:ascii="Arial Narrow" w:hAnsi="Arial Narrow"/>
                <w:sz w:val="20"/>
                <w:szCs w:val="20"/>
              </w:rPr>
            </w:pPr>
            <w:r w:rsidRPr="005320BA">
              <w:rPr>
                <w:rFonts w:ascii="Arial Narrow" w:hAnsi="Arial Narrow"/>
                <w:sz w:val="20"/>
                <w:szCs w:val="20"/>
              </w:rPr>
              <w:t>Proportion LD transplants: 0%</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C724B8" w14:textId="739EF3AA"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D8712C" w14:textId="77777777" w:rsidR="00F84BA7" w:rsidRPr="009E2F9F" w:rsidRDefault="00F84BA7" w:rsidP="00154777">
            <w:pPr>
              <w:rPr>
                <w:rFonts w:ascii="Arial Narrow" w:hAnsi="Arial Narrow"/>
                <w:sz w:val="20"/>
                <w:szCs w:val="20"/>
              </w:rPr>
            </w:pPr>
            <w:r w:rsidRPr="009E2F9F">
              <w:rPr>
                <w:rFonts w:ascii="Arial Narrow" w:hAnsi="Arial Narrow"/>
                <w:sz w:val="20"/>
                <w:szCs w:val="20"/>
              </w:rPr>
              <w:t>2.26</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A8605" w14:textId="19B4CD61"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r>
      <w:tr w:rsidR="00F84BA7" w:rsidRPr="00040F81" w14:paraId="558839E1" w14:textId="77777777" w:rsidTr="00154777">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789D0B" w14:textId="77777777" w:rsidR="00F84BA7" w:rsidRPr="005320BA" w:rsidRDefault="00F84BA7" w:rsidP="00154777">
            <w:pPr>
              <w:rPr>
                <w:rFonts w:ascii="Arial Narrow" w:hAnsi="Arial Narrow"/>
                <w:sz w:val="20"/>
                <w:szCs w:val="20"/>
              </w:rPr>
            </w:pPr>
            <w:r w:rsidRPr="005320BA">
              <w:rPr>
                <w:rFonts w:ascii="Arial Narrow" w:hAnsi="Arial Narrow"/>
                <w:sz w:val="20"/>
                <w:szCs w:val="20"/>
              </w:rPr>
              <w:t>Proportion LD transplants: 100%</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2DA143" w14:textId="1E064ADA"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906142" w14:textId="77777777" w:rsidR="00F84BA7" w:rsidRPr="009E2F9F" w:rsidRDefault="00F84BA7" w:rsidP="00154777">
            <w:pPr>
              <w:rPr>
                <w:rFonts w:ascii="Arial Narrow" w:hAnsi="Arial Narrow"/>
                <w:sz w:val="20"/>
                <w:szCs w:val="20"/>
              </w:rPr>
            </w:pPr>
            <w:r w:rsidRPr="009E2F9F">
              <w:rPr>
                <w:rFonts w:ascii="Arial Narrow" w:hAnsi="Arial Narrow"/>
                <w:sz w:val="20"/>
                <w:szCs w:val="20"/>
              </w:rPr>
              <w:t>2.26</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EFD341" w14:textId="24DCF003"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r>
      <w:tr w:rsidR="00F84BA7" w:rsidRPr="00040F81" w14:paraId="29ADFEA0" w14:textId="77777777" w:rsidTr="00154777">
        <w:tc>
          <w:tcPr>
            <w:tcW w:w="902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2161B3" w14:textId="77777777" w:rsidR="00F84BA7" w:rsidRPr="005320BA" w:rsidRDefault="00F84BA7" w:rsidP="00154777">
            <w:pPr>
              <w:rPr>
                <w:rFonts w:ascii="Arial Narrow" w:hAnsi="Arial Narrow"/>
                <w:sz w:val="20"/>
                <w:szCs w:val="20"/>
              </w:rPr>
            </w:pPr>
            <w:r w:rsidRPr="005320BA">
              <w:rPr>
                <w:rFonts w:ascii="Arial Narrow" w:hAnsi="Arial Narrow"/>
                <w:sz w:val="20"/>
                <w:szCs w:val="20"/>
              </w:rPr>
              <w:t>Spillover scenario</w:t>
            </w:r>
          </w:p>
        </w:tc>
      </w:tr>
      <w:tr w:rsidR="00F84BA7" w:rsidRPr="00040F81" w14:paraId="54A6E49C" w14:textId="77777777" w:rsidTr="00154777">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0DF780" w14:textId="77777777" w:rsidR="00F84BA7" w:rsidRPr="005320BA" w:rsidRDefault="00F84BA7" w:rsidP="00154777">
            <w:pPr>
              <w:rPr>
                <w:rFonts w:ascii="Arial Narrow" w:hAnsi="Arial Narrow"/>
                <w:sz w:val="20"/>
                <w:szCs w:val="20"/>
              </w:rPr>
            </w:pPr>
            <w:r w:rsidRPr="005320BA">
              <w:rPr>
                <w:rFonts w:ascii="Arial Narrow" w:hAnsi="Arial Narrow"/>
                <w:sz w:val="20"/>
                <w:szCs w:val="20"/>
              </w:rPr>
              <w:t xml:space="preserve">Proportion LD transplants: 24% </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DCA5E5" w14:textId="027D7B9C"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D5051A" w14:textId="77777777" w:rsidR="00F84BA7" w:rsidRPr="009E2F9F" w:rsidRDefault="00F84BA7" w:rsidP="00154777">
            <w:pPr>
              <w:rPr>
                <w:rFonts w:ascii="Arial Narrow" w:hAnsi="Arial Narrow"/>
                <w:sz w:val="20"/>
                <w:szCs w:val="20"/>
              </w:rPr>
            </w:pPr>
            <w:r w:rsidRPr="009E2F9F">
              <w:rPr>
                <w:rFonts w:ascii="Arial Narrow" w:hAnsi="Arial Narrow"/>
                <w:sz w:val="20"/>
                <w:szCs w:val="20"/>
              </w:rPr>
              <w:t>3.54</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319827" w14:textId="2DFEEB8D"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r>
      <w:tr w:rsidR="00F84BA7" w:rsidRPr="00040F81" w14:paraId="02553FAC" w14:textId="77777777" w:rsidTr="00154777">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D29B6" w14:textId="77777777" w:rsidR="00F84BA7" w:rsidRPr="005320BA" w:rsidRDefault="00F84BA7" w:rsidP="00154777">
            <w:pPr>
              <w:rPr>
                <w:rFonts w:ascii="Arial Narrow" w:hAnsi="Arial Narrow"/>
                <w:sz w:val="20"/>
                <w:szCs w:val="20"/>
              </w:rPr>
            </w:pPr>
            <w:r w:rsidRPr="005320BA">
              <w:rPr>
                <w:rFonts w:ascii="Arial Narrow" w:hAnsi="Arial Narrow"/>
                <w:sz w:val="20"/>
                <w:szCs w:val="20"/>
              </w:rPr>
              <w:t>Proportion LD transplants: 0%</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55FA51" w14:textId="25F8D8E0"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70CF0A" w14:textId="77777777" w:rsidR="00F84BA7" w:rsidRPr="009E2F9F" w:rsidRDefault="00F84BA7" w:rsidP="00154777">
            <w:pPr>
              <w:rPr>
                <w:rFonts w:ascii="Arial Narrow" w:hAnsi="Arial Narrow"/>
                <w:sz w:val="20"/>
                <w:szCs w:val="20"/>
              </w:rPr>
            </w:pPr>
            <w:r w:rsidRPr="009E2F9F">
              <w:rPr>
                <w:rFonts w:ascii="Arial Narrow" w:hAnsi="Arial Narrow"/>
                <w:sz w:val="20"/>
                <w:szCs w:val="20"/>
              </w:rPr>
              <w:t>2.26</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C395C3" w14:textId="0D5D35C9"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r>
      <w:tr w:rsidR="00F84BA7" w:rsidRPr="00040F81" w14:paraId="6B7039EC" w14:textId="77777777" w:rsidTr="00154777">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785745" w14:textId="77777777" w:rsidR="00F84BA7" w:rsidRPr="005320BA" w:rsidRDefault="00F84BA7" w:rsidP="00154777">
            <w:pPr>
              <w:rPr>
                <w:rFonts w:ascii="Arial Narrow" w:hAnsi="Arial Narrow"/>
                <w:sz w:val="20"/>
                <w:szCs w:val="20"/>
              </w:rPr>
            </w:pPr>
            <w:r w:rsidRPr="005320BA">
              <w:rPr>
                <w:rFonts w:ascii="Arial Narrow" w:hAnsi="Arial Narrow"/>
                <w:sz w:val="20"/>
                <w:szCs w:val="20"/>
              </w:rPr>
              <w:t>Proportion LD transplants: 100%</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B8A4DE" w14:textId="315CFBF4"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99CF56" w14:textId="77777777" w:rsidR="00F84BA7" w:rsidRPr="009E2F9F" w:rsidRDefault="00F84BA7" w:rsidP="00154777">
            <w:pPr>
              <w:rPr>
                <w:rFonts w:ascii="Arial Narrow" w:hAnsi="Arial Narrow"/>
                <w:sz w:val="20"/>
                <w:szCs w:val="20"/>
              </w:rPr>
            </w:pPr>
            <w:r w:rsidRPr="009E2F9F">
              <w:rPr>
                <w:rFonts w:ascii="Arial Narrow" w:hAnsi="Arial Narrow"/>
                <w:sz w:val="20"/>
                <w:szCs w:val="20"/>
              </w:rPr>
              <w:t>5.35</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B3E54B" w14:textId="77777777" w:rsidR="00F84BA7" w:rsidRPr="009E2F9F" w:rsidRDefault="00F84BA7" w:rsidP="00154777">
            <w:pPr>
              <w:rPr>
                <w:rFonts w:ascii="Arial Narrow" w:hAnsi="Arial Narrow"/>
                <w:sz w:val="20"/>
                <w:szCs w:val="20"/>
              </w:rPr>
            </w:pPr>
            <w:r w:rsidRPr="009E2F9F">
              <w:rPr>
                <w:rFonts w:ascii="Arial Narrow" w:hAnsi="Arial Narrow"/>
                <w:sz w:val="20"/>
                <w:szCs w:val="20"/>
              </w:rPr>
              <w:t>Imlifidase dominant</w:t>
            </w:r>
          </w:p>
        </w:tc>
      </w:tr>
    </w:tbl>
    <w:p w14:paraId="2A7D7D94" w14:textId="77777777" w:rsidR="00F84BA7" w:rsidRDefault="00F84BA7" w:rsidP="00CF7A55">
      <w:pPr>
        <w:spacing w:before="240"/>
      </w:pPr>
      <w:r>
        <w:t xml:space="preserve">ESC recalled that in the previous ADAR </w:t>
      </w:r>
      <w:r w:rsidRPr="00F27150">
        <w:t xml:space="preserve">MSAC </w:t>
      </w:r>
      <w:r>
        <w:t>considered that</w:t>
      </w:r>
      <w:r w:rsidRPr="00F27150">
        <w:t xml:space="preserve"> the economic model underestimated the probability of transplantation without imlifidase treatment</w:t>
      </w:r>
      <w:r>
        <w:t xml:space="preserve">. The commentary considered that this had been addressed as the ADAR had used </w:t>
      </w:r>
      <w:r w:rsidRPr="009D7E1B">
        <w:t>data from OrganMatch to better estimate the probability of transplantation</w:t>
      </w:r>
      <w:r>
        <w:t xml:space="preserve">. However, ESC noted that the model assumed equal transplantation rates between the LD and DD transplant waitlists although ESC acknowledged that sensitivity analyses suggest that this assumption does not have a major impact on the ICER. </w:t>
      </w:r>
    </w:p>
    <w:p w14:paraId="2B476BD0" w14:textId="77777777" w:rsidR="00F84BA7" w:rsidRDefault="00F84BA7" w:rsidP="00F84BA7">
      <w:r>
        <w:t xml:space="preserve">ESC noted that in the previous </w:t>
      </w:r>
      <w:r w:rsidRPr="00B93295">
        <w:t>ADAR</w:t>
      </w:r>
      <w:r>
        <w:t xml:space="preserve"> MSAC </w:t>
      </w:r>
      <w:r w:rsidRPr="00F30AEA">
        <w:t>advised th</w:t>
      </w:r>
      <w:r>
        <w:t xml:space="preserve">at the </w:t>
      </w:r>
      <w:r w:rsidRPr="00F30AEA">
        <w:t xml:space="preserve">economic model </w:t>
      </w:r>
      <w:r>
        <w:t xml:space="preserve">should be revised to </w:t>
      </w:r>
      <w:r w:rsidRPr="00F30AEA">
        <w:t>includ</w:t>
      </w:r>
      <w:r>
        <w:t>e</w:t>
      </w:r>
      <w:r w:rsidRPr="00F30AEA">
        <w:t xml:space="preserve"> clinical data to fit the new proposed population and using revised comparators</w:t>
      </w:r>
      <w:r>
        <w:t>. As discussed previously this had been partially addressed in the ADAR insofar as d</w:t>
      </w:r>
      <w:r w:rsidRPr="00EE651A">
        <w:t xml:space="preserve">ata from the </w:t>
      </w:r>
      <w:r w:rsidRPr="00EE651A">
        <w:lastRenderedPageBreak/>
        <w:t xml:space="preserve">pooled AUS-UTT-A population </w:t>
      </w:r>
      <w:r>
        <w:t xml:space="preserve">had been used in the economic model which restricts the population to </w:t>
      </w:r>
      <w:r w:rsidRPr="00EE651A">
        <w:t xml:space="preserve">patients who had been receiving dialysis for ≥2 years prior to </w:t>
      </w:r>
      <w:r>
        <w:t xml:space="preserve">both </w:t>
      </w:r>
      <w:r w:rsidRPr="00EE651A">
        <w:t xml:space="preserve">DD or LD </w:t>
      </w:r>
      <w:r>
        <w:t xml:space="preserve">kidney </w:t>
      </w:r>
      <w:r w:rsidRPr="00EE651A">
        <w:t>transplant</w:t>
      </w:r>
      <w:r>
        <w:t xml:space="preserve"> (and is therefore slightly more restrictive than the proposed population for LD kidney recipients) and insofar as the ADAR continues to use the same comparator as the previous ADAR (dialysis until kidney transplant). </w:t>
      </w:r>
    </w:p>
    <w:p w14:paraId="6DFFC441" w14:textId="77777777" w:rsidR="00F84BA7" w:rsidRDefault="00F84BA7" w:rsidP="00F84BA7">
      <w:r>
        <w:t xml:space="preserve">ESC recalled that in the previous ADAR, MSAC noted that the economic model </w:t>
      </w:r>
      <w:r w:rsidRPr="00F10A55">
        <w:t>had incomplete costs for a complex implementation as it did not include the cost of extra immunological tests and increased staffing requirements and delayed or potentially no transplantation outcomes in some cases</w:t>
      </w:r>
      <w:r>
        <w:t>. ESC noted that only relatively minor changes had been made to the model to include more complete costs (c</w:t>
      </w:r>
      <w:r w:rsidRPr="0004243D">
        <w:t>osts for an additional 8 Luminex tests were included</w:t>
      </w:r>
      <w:r>
        <w:t>), and this had a limited impact on the ICER.</w:t>
      </w:r>
    </w:p>
    <w:p w14:paraId="0818EC93" w14:textId="77777777" w:rsidR="00F84BA7" w:rsidRDefault="00F84BA7" w:rsidP="00F84BA7">
      <w:r>
        <w:t>ESC noted that efficacy</w:t>
      </w:r>
      <w:r w:rsidRPr="007617FD">
        <w:t xml:space="preserve"> of imlifidase in the economic evaluation </w:t>
      </w:r>
      <w:r>
        <w:t>wa</w:t>
      </w:r>
      <w:r w:rsidRPr="007617FD">
        <w:t>s based on the pooled safety population of 54</w:t>
      </w:r>
      <w:r>
        <w:t> </w:t>
      </w:r>
      <w:r w:rsidRPr="007617FD">
        <w:t>patients</w:t>
      </w:r>
      <w:r>
        <w:t>, deemed to be</w:t>
      </w:r>
      <w:r w:rsidRPr="007617FD">
        <w:t xml:space="preserve"> 96.3% (i.e. </w:t>
      </w:r>
      <w:r>
        <w:t>two patients</w:t>
      </w:r>
      <w:r w:rsidRPr="007617FD">
        <w:t xml:space="preserve"> did not receive </w:t>
      </w:r>
      <w:r>
        <w:t xml:space="preserve">the </w:t>
      </w:r>
      <w:r w:rsidRPr="007617FD">
        <w:t>full dose</w:t>
      </w:r>
      <w:r>
        <w:t xml:space="preserve"> </w:t>
      </w:r>
      <w:r>
        <w:rPr>
          <w:color w:val="000000" w:themeColor="text1"/>
        </w:rPr>
        <w:t>and were therefore not successfully converted to crossmatch negative</w:t>
      </w:r>
      <w:r w:rsidRPr="007617FD">
        <w:t>)</w:t>
      </w:r>
      <w:r>
        <w:t xml:space="preserve">. </w:t>
      </w:r>
      <w:r w:rsidRPr="007617FD">
        <w:t>Patient survival with a functioning graft and death-censored graft survival w</w:t>
      </w:r>
      <w:r>
        <w:t>as</w:t>
      </w:r>
      <w:r w:rsidRPr="007617FD">
        <w:t xml:space="preserve"> estimated based on</w:t>
      </w:r>
      <w:r>
        <w:t xml:space="preserve"> a</w:t>
      </w:r>
      <w:r w:rsidRPr="007617FD">
        <w:t xml:space="preserve"> parametric survival analysis of clinical trial data</w:t>
      </w:r>
      <w:r>
        <w:t>. The d</w:t>
      </w:r>
      <w:r w:rsidRPr="007617FD">
        <w:t xml:space="preserve">ata </w:t>
      </w:r>
      <w:r>
        <w:t xml:space="preserve">were </w:t>
      </w:r>
      <w:r w:rsidRPr="007617FD">
        <w:t xml:space="preserve">revised in this </w:t>
      </w:r>
      <w:r>
        <w:t>ADAR</w:t>
      </w:r>
      <w:r w:rsidRPr="007617FD">
        <w:t xml:space="preserve"> to use the pooled AUS-UTT-A population</w:t>
      </w:r>
      <w:r>
        <w:t>, which was</w:t>
      </w:r>
      <w:r w:rsidRPr="007617FD">
        <w:t xml:space="preserve"> smaller than </w:t>
      </w:r>
      <w:r>
        <w:t xml:space="preserve">that for the </w:t>
      </w:r>
      <w:r w:rsidRPr="007617FD">
        <w:t xml:space="preserve">previous </w:t>
      </w:r>
      <w:r>
        <w:t xml:space="preserve">application </w:t>
      </w:r>
      <w:r w:rsidRPr="007617FD">
        <w:t>but more applicable</w:t>
      </w:r>
      <w:r>
        <w:t xml:space="preserve">. </w:t>
      </w:r>
      <w:r w:rsidRPr="007617FD">
        <w:t xml:space="preserve">Parametric models were fitted to clinical trial data to extrapolate graft survival and patient survival with a functioning graft over the model time horizon. </w:t>
      </w:r>
      <w:r>
        <w:t>ESC noted that the applicant explored</w:t>
      </w:r>
      <w:r w:rsidRPr="007617FD">
        <w:t xml:space="preserve"> various</w:t>
      </w:r>
      <w:r>
        <w:t xml:space="preserve"> models and</w:t>
      </w:r>
      <w:r w:rsidRPr="007617FD">
        <w:t xml:space="preserve"> chose</w:t>
      </w:r>
      <w:r>
        <w:t xml:space="preserve"> an</w:t>
      </w:r>
      <w:r w:rsidRPr="007617FD">
        <w:t xml:space="preserve"> exponential </w:t>
      </w:r>
      <w:r>
        <w:t xml:space="preserve">model </w:t>
      </w:r>
      <w:r w:rsidRPr="007617FD">
        <w:t>(</w:t>
      </w:r>
      <w:r>
        <w:t xml:space="preserve">the </w:t>
      </w:r>
      <w:r w:rsidRPr="007617FD">
        <w:t>most conservative)</w:t>
      </w:r>
      <w:r>
        <w:t>. ESC considered that this i</w:t>
      </w:r>
      <w:r w:rsidRPr="007617FD">
        <w:t xml:space="preserve">mplies a constant rate of failure over time, </w:t>
      </w:r>
      <w:r>
        <w:t xml:space="preserve">which </w:t>
      </w:r>
      <w:r w:rsidRPr="007617FD">
        <w:t>may not be clinically feasible</w:t>
      </w:r>
      <w:r>
        <w:t>. However, this was not found to have a large impact on the economic results.</w:t>
      </w:r>
    </w:p>
    <w:p w14:paraId="3F3879BA" w14:textId="77777777" w:rsidR="00F84BA7" w:rsidRDefault="00F84BA7" w:rsidP="00F84BA7">
      <w:r>
        <w:t xml:space="preserve">ESC also noted that </w:t>
      </w:r>
      <w:proofErr w:type="spellStart"/>
      <w:r>
        <w:t>disutilities</w:t>
      </w:r>
      <w:proofErr w:type="spellEnd"/>
      <w:r>
        <w:t xml:space="preserve"> associated with treatment-related adverse events were not captured but the current ADAR argued that these would be small and would only add complexity to the model structure without being meaningful.</w:t>
      </w:r>
    </w:p>
    <w:p w14:paraId="74A2A27E" w14:textId="77777777" w:rsidR="00F84BA7" w:rsidRPr="00C2514F" w:rsidRDefault="00F84BA7" w:rsidP="00F84BA7">
      <w:r>
        <w:t xml:space="preserve">For the costs, ESC noted that the applicant used a micro-costing approach (as opposed to the </w:t>
      </w:r>
      <w:r w:rsidRPr="00C2514F">
        <w:t>public Kidney Health Australia inflated cost data). This significantly affects the ICER:</w:t>
      </w:r>
    </w:p>
    <w:p w14:paraId="1E40B862" w14:textId="39A1168C" w:rsidR="00F84BA7" w:rsidRPr="00C2514F" w:rsidRDefault="00F84BA7" w:rsidP="00F84BA7">
      <w:pPr>
        <w:pStyle w:val="ListParagraph"/>
        <w:numPr>
          <w:ilvl w:val="0"/>
          <w:numId w:val="49"/>
        </w:numPr>
        <w:spacing w:before="0" w:after="240" w:line="240" w:lineRule="auto"/>
      </w:pPr>
      <w:r w:rsidRPr="00C2514F">
        <w:t>Using Kidney Health Australia costs for dialysis increased the ICER to $</w:t>
      </w:r>
      <w:r w:rsidR="006B2153" w:rsidRPr="00C2514F">
        <w:rPr>
          <w:b/>
          <w:bCs/>
        </w:rPr>
        <w:t>redacted</w:t>
      </w:r>
      <w:r w:rsidRPr="00C2514F">
        <w:t>/QALY (+</w:t>
      </w:r>
      <w:r w:rsidRPr="009E2F9F">
        <w:t>105.9</w:t>
      </w:r>
      <w:r w:rsidRPr="00C2514F">
        <w:t>%).</w:t>
      </w:r>
    </w:p>
    <w:p w14:paraId="33EE3DC7" w14:textId="101E0BAC" w:rsidR="00F84BA7" w:rsidRPr="00C2514F" w:rsidRDefault="00F84BA7" w:rsidP="00F84BA7">
      <w:pPr>
        <w:pStyle w:val="ListParagraph"/>
        <w:numPr>
          <w:ilvl w:val="0"/>
          <w:numId w:val="49"/>
        </w:numPr>
        <w:spacing w:before="0" w:after="240" w:line="240" w:lineRule="auto"/>
      </w:pPr>
      <w:r w:rsidRPr="00C2514F">
        <w:t>Using Kidney Health Australia costs for transplants increased the ICER to $</w:t>
      </w:r>
      <w:r w:rsidR="006B2153" w:rsidRPr="00C2514F">
        <w:rPr>
          <w:b/>
          <w:bCs/>
        </w:rPr>
        <w:t>redacted</w:t>
      </w:r>
      <w:r w:rsidR="006B2153" w:rsidRPr="009E2F9F" w:rsidDel="006B2153">
        <w:t xml:space="preserve"> </w:t>
      </w:r>
      <w:r w:rsidRPr="00C2514F">
        <w:t>/QALY (+</w:t>
      </w:r>
      <w:r w:rsidRPr="009E2F9F">
        <w:t>31.1</w:t>
      </w:r>
      <w:r w:rsidRPr="00C2514F">
        <w:t>%).</w:t>
      </w:r>
    </w:p>
    <w:p w14:paraId="55C4BB48" w14:textId="4580B91C" w:rsidR="00F84BA7" w:rsidRPr="00C2514F" w:rsidRDefault="00F84BA7" w:rsidP="00F84BA7">
      <w:pPr>
        <w:pStyle w:val="ListParagraph"/>
        <w:numPr>
          <w:ilvl w:val="0"/>
          <w:numId w:val="49"/>
        </w:numPr>
        <w:spacing w:before="0" w:after="240" w:line="240" w:lineRule="auto"/>
      </w:pPr>
      <w:r w:rsidRPr="00C2514F">
        <w:t>Using inflation-adjusted Kidney Health Australia costs for both dialysis and transplant costs increased the ICER to $</w:t>
      </w:r>
      <w:r w:rsidR="006B2153" w:rsidRPr="00C2514F">
        <w:rPr>
          <w:b/>
          <w:bCs/>
        </w:rPr>
        <w:t>redacted</w:t>
      </w:r>
      <w:r w:rsidRPr="00C2514F">
        <w:t>/QALY (+</w:t>
      </w:r>
      <w:r w:rsidRPr="009E2F9F">
        <w:t>137</w:t>
      </w:r>
      <w:r w:rsidRPr="00C2514F">
        <w:t>%).</w:t>
      </w:r>
    </w:p>
    <w:p w14:paraId="775197A3" w14:textId="3A7D59FD" w:rsidR="00F84BA7" w:rsidRPr="00C2514F" w:rsidRDefault="00F84BA7" w:rsidP="00F84BA7">
      <w:r w:rsidRPr="00C2514F">
        <w:t>ESC noted the cost of imlifidase to all governments, which were estimated to be around $</w:t>
      </w:r>
      <w:r w:rsidR="006B2153" w:rsidRPr="00C2514F">
        <w:rPr>
          <w:b/>
          <w:bCs/>
        </w:rPr>
        <w:t>redacted</w:t>
      </w:r>
      <w:r w:rsidRPr="00C2514F">
        <w:t xml:space="preserve"> in year 1, increasing to $</w:t>
      </w:r>
      <w:r w:rsidR="006B2153" w:rsidRPr="00C2514F">
        <w:rPr>
          <w:b/>
          <w:bCs/>
        </w:rPr>
        <w:t>redacted</w:t>
      </w:r>
      <w:r w:rsidRPr="00C2514F">
        <w:t xml:space="preserve"> in year 6. However, ESC agreed with the commentary that there were many uncertainties in the estimates. ESC noted that:</w:t>
      </w:r>
    </w:p>
    <w:p w14:paraId="10334A4B" w14:textId="77777777" w:rsidR="00F84BA7" w:rsidRPr="00C2514F" w:rsidRDefault="00F84BA7" w:rsidP="00F84BA7">
      <w:pPr>
        <w:pStyle w:val="ListParagraph"/>
        <w:numPr>
          <w:ilvl w:val="0"/>
          <w:numId w:val="51"/>
        </w:numPr>
        <w:spacing w:before="0" w:after="240" w:line="240" w:lineRule="auto"/>
      </w:pPr>
      <w:r w:rsidRPr="00C2514F">
        <w:t>the patient number estimates were inconsistent (year 1 figures were based on indirect overseas data rather than the OrganMatch Australian data)</w:t>
      </w:r>
    </w:p>
    <w:p w14:paraId="1AB5DF50" w14:textId="77777777" w:rsidR="00F84BA7" w:rsidRPr="00C2514F" w:rsidRDefault="00F84BA7" w:rsidP="00F84BA7">
      <w:pPr>
        <w:pStyle w:val="ListParagraph"/>
        <w:numPr>
          <w:ilvl w:val="0"/>
          <w:numId w:val="51"/>
        </w:numPr>
        <w:spacing w:before="0" w:after="240" w:line="240" w:lineRule="auto"/>
      </w:pPr>
      <w:r w:rsidRPr="00C2514F">
        <w:t>incorrect methods were used for calculating the number of ineligible patients.</w:t>
      </w:r>
    </w:p>
    <w:p w14:paraId="4E44BF27" w14:textId="7E3C1D5B" w:rsidR="00F84BA7" w:rsidRPr="00F63EBD" w:rsidRDefault="00F84BA7" w:rsidP="00F84BA7">
      <w:r w:rsidRPr="00C2514F">
        <w:t>ESC noted that these issues resulted in an overestimation of HS patients over the 6 projected years, consequently resulting in an overestimation of the total financial impact (possibly by up to 30%). Additionally, assumptions around uptake of the intervention (</w:t>
      </w:r>
      <w:r w:rsidR="006B2153" w:rsidRPr="00C2514F">
        <w:rPr>
          <w:b/>
          <w:bCs/>
        </w:rPr>
        <w:t>redacted</w:t>
      </w:r>
      <w:r w:rsidRPr="00C2514F">
        <w:t xml:space="preserve">% in year 1 to </w:t>
      </w:r>
      <w:r w:rsidR="006B2153" w:rsidRPr="00C2514F">
        <w:rPr>
          <w:b/>
          <w:bCs/>
        </w:rPr>
        <w:t>redacted</w:t>
      </w:r>
      <w:r w:rsidRPr="00C2514F">
        <w:t xml:space="preserve">% in year 6) had not been justified. ESC considered that the changes to the financials suggested in the commentary could be made by the applicant prior to MSAC consideration. ESC also noted that the base case financials assumed that a transplant chain could not be formed in the absence of imlifidase and noted that the commentary considered this assumption unjustified </w:t>
      </w:r>
      <w:r w:rsidRPr="00C2514F">
        <w:lastRenderedPageBreak/>
        <w:t>and likely to lead to an overestimate of the dialysis cost offset in the financial scenario analyses around the length of kidney chains. However, the estimated projection acknowledges that there are no net dialysis cost offsets from DD transplantations due to the health budget.</w:t>
      </w:r>
    </w:p>
    <w:p w14:paraId="3E6612C2" w14:textId="0671EB34" w:rsidR="00F84BA7" w:rsidRDefault="00F84BA7" w:rsidP="00F84BA7">
      <w:r w:rsidRPr="00515A9B">
        <w:t xml:space="preserve">Regarding MSAC’s previous concerns regarding the estimated budgetary impact, ESC noted that the ADAR addressed the restriction issue by aligning with PASC’s recommendation and proposing </w:t>
      </w:r>
      <w:r w:rsidR="003174B4" w:rsidRPr="009E2F9F">
        <w:rPr>
          <w:b/>
          <w:bCs/>
        </w:rPr>
        <w:t>redacted</w:t>
      </w:r>
      <w:r w:rsidRPr="00515A9B">
        <w:t xml:space="preserve">. Regarding MSAC’s proposed financial cap after </w:t>
      </w:r>
      <w:r w:rsidR="006B2153" w:rsidRPr="00515A9B">
        <w:rPr>
          <w:b/>
          <w:bCs/>
        </w:rPr>
        <w:t>redacted</w:t>
      </w:r>
      <w:r w:rsidRPr="00515A9B">
        <w:t xml:space="preserve"> patients </w:t>
      </w:r>
      <w:r w:rsidRPr="009E2F9F">
        <w:t>(</w:t>
      </w:r>
      <w:r w:rsidR="006B2153" w:rsidRPr="00515A9B">
        <w:rPr>
          <w:b/>
          <w:bCs/>
        </w:rPr>
        <w:t>redacted</w:t>
      </w:r>
      <w:r w:rsidRPr="009E2F9F">
        <w:t> DD and</w:t>
      </w:r>
      <w:r w:rsidR="006B2153" w:rsidRPr="00515A9B">
        <w:rPr>
          <w:b/>
          <w:bCs/>
        </w:rPr>
        <w:t xml:space="preserve"> redacted</w:t>
      </w:r>
      <w:r w:rsidRPr="009E2F9F">
        <w:t> LD)</w:t>
      </w:r>
      <w:r w:rsidRPr="00515A9B">
        <w:t xml:space="preserve"> per year, the ADAR argued that such</w:t>
      </w:r>
      <w:r>
        <w:t xml:space="preserve"> a restriction would fail to address the backlog bolus of HS patients waiting for a kidney transplant and would be inadequate to address the incident patients joining the waitlist (around 26 per year), so therefore proposed that there should be no financial cap on patient numbers and did not model the financial impacts of the cap. ESC considered these to be valid arguments that should be considered as part of the decision-making process, but they impact utilisation and cost estimates and increase uncertainty.</w:t>
      </w:r>
    </w:p>
    <w:p w14:paraId="6CEA8347" w14:textId="73055FB0" w:rsidR="00F84BA7" w:rsidRDefault="00F84BA7" w:rsidP="00F84BA7">
      <w:r w:rsidRPr="00515A9B">
        <w:t xml:space="preserve">ESC noted that the applicant responded to MSAC’s request to lower the price for treatment by adding a </w:t>
      </w:r>
      <w:r w:rsidR="006B2153" w:rsidRPr="00515A9B">
        <w:rPr>
          <w:b/>
          <w:bCs/>
        </w:rPr>
        <w:t>redacted</w:t>
      </w:r>
      <w:r w:rsidRPr="00515A9B">
        <w:t>% discount to the original proposed price per vial of $</w:t>
      </w:r>
      <w:r w:rsidR="006B2153" w:rsidRPr="00515A9B">
        <w:rPr>
          <w:b/>
          <w:bCs/>
        </w:rPr>
        <w:t>redacted</w:t>
      </w:r>
      <w:r w:rsidRPr="00515A9B">
        <w:t>. ESC noted from the commentary that the amended (i.e. fixed) costing structure shifts costs from the healthcare system to the company.</w:t>
      </w:r>
    </w:p>
    <w:p w14:paraId="7BBB1CB9" w14:textId="77777777" w:rsidR="00F84BA7" w:rsidRDefault="00F84BA7" w:rsidP="00F84BA7">
      <w:r>
        <w:t xml:space="preserve">Regarding MSAC’s advice about considering mechanisms for data monitoring and post-implementation review, ESC noted that the applicant stated they would provide clinical study reports, including for an Australian observational study of renal transplant recipients (from DDs and LDs) following desensitisation with imlifidase. ESC questioned the details of this observational study, and whether the applicant will fund the study design, implementation, data collection and analysis, and writing of the report. </w:t>
      </w:r>
    </w:p>
    <w:p w14:paraId="5449CEA1" w14:textId="77777777" w:rsidR="00F84BA7" w:rsidRPr="00515A9B" w:rsidRDefault="00F84BA7" w:rsidP="00F84BA7">
      <w:r>
        <w:t xml:space="preserve">ESC </w:t>
      </w:r>
      <w:r w:rsidRPr="00515A9B">
        <w:t>suggested that the following information was needed ahead of MSAC’s consideration:</w:t>
      </w:r>
    </w:p>
    <w:p w14:paraId="2E88E635" w14:textId="77777777" w:rsidR="00F84BA7" w:rsidRPr="00515A9B" w:rsidRDefault="00F84BA7" w:rsidP="00F84BA7">
      <w:pPr>
        <w:pStyle w:val="ListParagraph"/>
        <w:numPr>
          <w:ilvl w:val="0"/>
          <w:numId w:val="47"/>
        </w:numPr>
        <w:spacing w:before="0" w:after="240" w:line="240" w:lineRule="auto"/>
      </w:pPr>
      <w:r w:rsidRPr="00515A9B">
        <w:t xml:space="preserve">The applicant should identify, </w:t>
      </w:r>
      <w:proofErr w:type="gramStart"/>
      <w:r w:rsidRPr="00515A9B">
        <w:t>collate</w:t>
      </w:r>
      <w:proofErr w:type="gramEnd"/>
      <w:r w:rsidRPr="00515A9B">
        <w:t xml:space="preserve"> and evaluate any additional evidence of the effectiveness of other desensitisation treatments. </w:t>
      </w:r>
    </w:p>
    <w:p w14:paraId="54F4526C" w14:textId="6C160286" w:rsidR="00F84BA7" w:rsidRPr="00515A9B" w:rsidRDefault="00F84BA7" w:rsidP="00F84BA7">
      <w:pPr>
        <w:pStyle w:val="ListParagraph"/>
        <w:numPr>
          <w:ilvl w:val="0"/>
          <w:numId w:val="47"/>
        </w:numPr>
        <w:spacing w:before="0" w:after="240" w:line="240" w:lineRule="auto"/>
      </w:pPr>
      <w:r w:rsidRPr="00515A9B">
        <w:t xml:space="preserve">If possible, provide details of estimated numbers of patients in the ANZDATA with </w:t>
      </w:r>
      <w:proofErr w:type="spellStart"/>
      <w:r w:rsidRPr="00515A9B">
        <w:t>cPRA</w:t>
      </w:r>
      <w:proofErr w:type="spellEnd"/>
      <w:r w:rsidRPr="00515A9B">
        <w:t xml:space="preserve"> ≥99% (135 in 2022) who would potentially be able to receive a transplant if imlifidase was available to them and provide details on how sociodemographic and clinical data for these patients compare with those in the trials. This would assist in an evaluation of the applicability of the evidence provided in the ADAR to the Australian patient population. Post-ESC, it was agreed that the </w:t>
      </w:r>
      <w:r w:rsidR="00EB447F" w:rsidRPr="00515A9B">
        <w:t>d</w:t>
      </w:r>
      <w:r w:rsidRPr="00515A9B">
        <w:t xml:space="preserve">epartment would consult with relevant stakeholders (ANZDATA and RTAC) to obtain this information. </w:t>
      </w:r>
    </w:p>
    <w:p w14:paraId="3C0AEAE7" w14:textId="7BE40C07" w:rsidR="00F84BA7" w:rsidRPr="00515A9B" w:rsidRDefault="00F84BA7" w:rsidP="00F84BA7">
      <w:pPr>
        <w:pStyle w:val="ListParagraph"/>
        <w:numPr>
          <w:ilvl w:val="0"/>
          <w:numId w:val="47"/>
        </w:numPr>
        <w:spacing w:before="0" w:after="240" w:line="240" w:lineRule="auto"/>
      </w:pPr>
      <w:r w:rsidRPr="00515A9B">
        <w:t xml:space="preserve">Investigate the costs of health resources used </w:t>
      </w:r>
      <w:r w:rsidR="006B2153" w:rsidRPr="00515A9B">
        <w:rPr>
          <w:b/>
          <w:bCs/>
        </w:rPr>
        <w:t>redacted</w:t>
      </w:r>
      <w:r w:rsidRPr="00515A9B">
        <w:t>.</w:t>
      </w:r>
      <w:r w:rsidR="002933B1">
        <w:t xml:space="preserve"> </w:t>
      </w:r>
      <w:r w:rsidR="002933B1" w:rsidRPr="009E2F9F">
        <w:rPr>
          <w:b/>
          <w:bCs/>
        </w:rPr>
        <w:t>Redacted</w:t>
      </w:r>
      <w:r w:rsidRPr="00515A9B">
        <w:t xml:space="preserve"> ESC also considered that it was worth investigating what the results of the economic model would be if these costs were included in the cost utility model. </w:t>
      </w:r>
    </w:p>
    <w:p w14:paraId="09E26874" w14:textId="77777777" w:rsidR="00F84BA7" w:rsidRPr="00515A9B" w:rsidRDefault="00F84BA7" w:rsidP="00F84BA7">
      <w:pPr>
        <w:pStyle w:val="ListParagraph"/>
        <w:numPr>
          <w:ilvl w:val="0"/>
          <w:numId w:val="47"/>
        </w:numPr>
        <w:spacing w:before="0" w:after="240" w:line="240" w:lineRule="auto"/>
      </w:pPr>
      <w:r w:rsidRPr="00515A9B">
        <w:t xml:space="preserve">Provide any updated information scheduled to be provided to NICE in 2023, noting use in the UK and Europe is only for recipients of transplants from deceased donors (as suggested by the consultation feedback from Western Australia). This information should be provided by the applicant. </w:t>
      </w:r>
    </w:p>
    <w:p w14:paraId="4DCDD706" w14:textId="77777777" w:rsidR="00F84BA7" w:rsidRPr="00515A9B" w:rsidRDefault="00F84BA7" w:rsidP="00F84BA7">
      <w:pPr>
        <w:pStyle w:val="ListParagraph"/>
        <w:numPr>
          <w:ilvl w:val="0"/>
          <w:numId w:val="47"/>
        </w:numPr>
        <w:spacing w:before="0" w:after="240" w:line="240" w:lineRule="auto"/>
      </w:pPr>
      <w:r w:rsidRPr="00515A9B">
        <w:t>Provide details on the planned Australian observational study of renal transplant recipients (from DDs or LDs) following desensitisation with imlifidase, including funding and data collection mechanisms. This information should be provided by the applicant.</w:t>
      </w:r>
    </w:p>
    <w:p w14:paraId="6CBED373" w14:textId="77777777" w:rsidR="00F84BA7" w:rsidRDefault="00F84BA7" w:rsidP="00F84BA7">
      <w:r>
        <w:t>ESC also suggested that the department:</w:t>
      </w:r>
    </w:p>
    <w:p w14:paraId="6FC2CD8C" w14:textId="77777777" w:rsidR="00F84BA7" w:rsidRDefault="00F84BA7" w:rsidP="00F84BA7">
      <w:pPr>
        <w:pStyle w:val="ListParagraph"/>
        <w:numPr>
          <w:ilvl w:val="0"/>
          <w:numId w:val="48"/>
        </w:numPr>
        <w:spacing w:before="0" w:after="240" w:line="240" w:lineRule="auto"/>
      </w:pPr>
      <w:r>
        <w:t>c</w:t>
      </w:r>
      <w:r w:rsidRPr="003A0FCD">
        <w:t xml:space="preserve">onsult OrganMatch about the potential patient pool according to revised eligibility </w:t>
      </w:r>
      <w:proofErr w:type="gramStart"/>
      <w:r w:rsidRPr="003A0FCD">
        <w:t>criteria, if</w:t>
      </w:r>
      <w:proofErr w:type="gramEnd"/>
      <w:r w:rsidRPr="003A0FCD">
        <w:t xml:space="preserve"> other patients might be disadvantaged</w:t>
      </w:r>
      <w:r>
        <w:t xml:space="preserve"> and whether OrganMatch intends </w:t>
      </w:r>
      <w:r w:rsidRPr="003A0FCD">
        <w:t xml:space="preserve">to undertake modelling studies and simulation testing of the impact of imlifidase on the </w:t>
      </w:r>
      <w:r w:rsidRPr="003A0FCD">
        <w:lastRenderedPageBreak/>
        <w:t xml:space="preserve">kidney donation program </w:t>
      </w:r>
      <w:r>
        <w:t>(as suggested by consultation feedback from Western Australia)</w:t>
      </w:r>
      <w:r w:rsidRPr="003A0FCD">
        <w:t>.</w:t>
      </w:r>
    </w:p>
    <w:p w14:paraId="1F546DEB" w14:textId="77777777" w:rsidR="00F84BA7" w:rsidRDefault="00F84BA7" w:rsidP="00F84BA7">
      <w:pPr>
        <w:pStyle w:val="ListParagraph"/>
        <w:numPr>
          <w:ilvl w:val="0"/>
          <w:numId w:val="48"/>
        </w:numPr>
        <w:spacing w:before="0" w:after="240" w:line="240" w:lineRule="auto"/>
      </w:pPr>
      <w:r>
        <w:t>c</w:t>
      </w:r>
      <w:r w:rsidRPr="006F7614">
        <w:t xml:space="preserve">onsult </w:t>
      </w:r>
      <w:r>
        <w:t xml:space="preserve">the TSANZ </w:t>
      </w:r>
      <w:r w:rsidRPr="006F7614">
        <w:t xml:space="preserve">about plans to develop guidelines equivalent to those of the </w:t>
      </w:r>
      <w:r>
        <w:t>British</w:t>
      </w:r>
      <w:r w:rsidRPr="006F7614">
        <w:t xml:space="preserve"> Transplant</w:t>
      </w:r>
      <w:r>
        <w:t>ation</w:t>
      </w:r>
      <w:r w:rsidRPr="006F7614">
        <w:t xml:space="preserve"> Society</w:t>
      </w:r>
      <w:r>
        <w:t xml:space="preserve"> (as suggested by consultation feedback from Western Australia).</w:t>
      </w:r>
    </w:p>
    <w:p w14:paraId="2039614E" w14:textId="77777777" w:rsidR="00CF7A55" w:rsidRDefault="00CF7A55" w:rsidP="00CF7A55">
      <w:pPr>
        <w:pStyle w:val="Heading2"/>
        <w:numPr>
          <w:ilvl w:val="0"/>
          <w:numId w:val="0"/>
        </w:numPr>
      </w:pPr>
      <w:r>
        <w:t>17.</w:t>
      </w:r>
      <w:r>
        <w:tab/>
        <w:t>Applicant comments on MSAC’s Public Summary Document</w:t>
      </w:r>
    </w:p>
    <w:p w14:paraId="70343EFD" w14:textId="173A7F41" w:rsidR="00966DC2" w:rsidRPr="00872152" w:rsidRDefault="00B915E0" w:rsidP="00CF7A55">
      <w:pPr>
        <w:spacing w:after="240"/>
      </w:pPr>
      <w:r w:rsidRPr="007A3AB9">
        <w:t xml:space="preserve">The applicant </w:t>
      </w:r>
      <w:r w:rsidR="00F7419D" w:rsidRPr="007A3AB9">
        <w:t xml:space="preserve">appreciates that </w:t>
      </w:r>
      <w:r w:rsidR="00035E61" w:rsidRPr="007A3AB9">
        <w:t xml:space="preserve">MSAC has highlighted there is a high unmet clinical need for imlifidase </w:t>
      </w:r>
      <w:r w:rsidR="00AA13A6" w:rsidRPr="007A3AB9">
        <w:t>to be made available for</w:t>
      </w:r>
      <w:r w:rsidR="00035E61" w:rsidRPr="007A3AB9">
        <w:t xml:space="preserve"> highly sensitised Australian patients </w:t>
      </w:r>
      <w:proofErr w:type="gramStart"/>
      <w:r w:rsidR="00201DE4" w:rsidRPr="007A3AB9">
        <w:t>in order to</w:t>
      </w:r>
      <w:proofErr w:type="gramEnd"/>
      <w:r w:rsidR="00035E61" w:rsidRPr="007A3AB9">
        <w:t xml:space="preserve"> receive </w:t>
      </w:r>
      <w:r w:rsidR="00973FA9" w:rsidRPr="007A3AB9">
        <w:t xml:space="preserve">a life altering </w:t>
      </w:r>
      <w:r w:rsidR="00035E61" w:rsidRPr="007A3AB9">
        <w:t>donor kidney.</w:t>
      </w:r>
      <w:r w:rsidR="00013A5E" w:rsidRPr="007A3AB9">
        <w:t xml:space="preserve"> Imlifidase is likely to have superior effectiveness and safety compared with remaining on dialysis. </w:t>
      </w:r>
      <w:r w:rsidR="00C85F9A" w:rsidRPr="007A3AB9">
        <w:t>The applicant recognise</w:t>
      </w:r>
      <w:r w:rsidR="0022348A" w:rsidRPr="007A3AB9">
        <w:t>s</w:t>
      </w:r>
      <w:r w:rsidR="00C85F9A" w:rsidRPr="007A3AB9">
        <w:t xml:space="preserve"> that there are </w:t>
      </w:r>
      <w:r w:rsidR="00201DE4" w:rsidRPr="007A3AB9">
        <w:t>only a</w:t>
      </w:r>
      <w:r w:rsidR="00C85F9A" w:rsidRPr="007A3AB9">
        <w:t xml:space="preserve"> few remaining uncertainties and is grateful for MSAC and the </w:t>
      </w:r>
      <w:r w:rsidR="00260C74" w:rsidRPr="007A3AB9">
        <w:t>D</w:t>
      </w:r>
      <w:r w:rsidR="00C85F9A" w:rsidRPr="007A3AB9">
        <w:t xml:space="preserve">epartment </w:t>
      </w:r>
      <w:r w:rsidR="00470DB3" w:rsidRPr="007A3AB9">
        <w:t xml:space="preserve">working </w:t>
      </w:r>
      <w:r w:rsidR="00C85F9A" w:rsidRPr="007A3AB9">
        <w:t>to</w:t>
      </w:r>
      <w:r w:rsidR="00470DB3" w:rsidRPr="007A3AB9">
        <w:t>gether to</w:t>
      </w:r>
      <w:r w:rsidR="00C85F9A" w:rsidRPr="007A3AB9">
        <w:t xml:space="preserve"> come up with a series of questions to clarify and resolve these outstanding issues with the pertinent stakeholders. </w:t>
      </w:r>
      <w:r w:rsidR="00035E61" w:rsidRPr="007A3AB9">
        <w:t xml:space="preserve"> </w:t>
      </w:r>
      <w:r w:rsidR="0022348A" w:rsidRPr="007A3AB9">
        <w:t xml:space="preserve">The applicant looks forward </w:t>
      </w:r>
      <w:r w:rsidR="00470DB3" w:rsidRPr="007A3AB9">
        <w:t xml:space="preserve">to </w:t>
      </w:r>
      <w:r w:rsidR="0022348A" w:rsidRPr="007A3AB9">
        <w:t xml:space="preserve">engaging with MSAC and the Department on the </w:t>
      </w:r>
      <w:r w:rsidR="00536087" w:rsidRPr="007A3AB9">
        <w:t>design</w:t>
      </w:r>
      <w:r w:rsidR="00260C74" w:rsidRPr="007A3AB9">
        <w:t xml:space="preserve"> of an</w:t>
      </w:r>
      <w:r w:rsidR="00536087" w:rsidRPr="007A3AB9">
        <w:t xml:space="preserve"> </w:t>
      </w:r>
      <w:r w:rsidRPr="007A3AB9">
        <w:t>appropriate pay for performance scheme with a risk sharing arrangement to help address any</w:t>
      </w:r>
      <w:r w:rsidR="00BC1363" w:rsidRPr="007A3AB9">
        <w:t xml:space="preserve"> </w:t>
      </w:r>
      <w:proofErr w:type="gramStart"/>
      <w:r w:rsidR="00BC1363" w:rsidRPr="007A3AB9">
        <w:t>still</w:t>
      </w:r>
      <w:r w:rsidRPr="007A3AB9">
        <w:t xml:space="preserve"> remaining</w:t>
      </w:r>
      <w:proofErr w:type="gramEnd"/>
      <w:r w:rsidRPr="007A3AB9">
        <w:t xml:space="preserve"> clinical, economic and financial uncertainties. </w:t>
      </w:r>
      <w:r w:rsidR="00260C74" w:rsidRPr="007A3AB9">
        <w:t>Imlifidase</w:t>
      </w:r>
      <w:r w:rsidR="00035E61" w:rsidRPr="007A3AB9">
        <w:t xml:space="preserve"> helps enable equity of access to the standard of care, kidney transplantation, to a small number of highly sensitised patients</w:t>
      </w:r>
      <w:r w:rsidRPr="007A3AB9">
        <w:t xml:space="preserve">. </w:t>
      </w:r>
      <w:r w:rsidR="00D52890" w:rsidRPr="007A3AB9">
        <w:t xml:space="preserve">The applicant </w:t>
      </w:r>
      <w:r w:rsidR="0013691E" w:rsidRPr="007A3AB9">
        <w:t xml:space="preserve">wishes to </w:t>
      </w:r>
      <w:r w:rsidR="0093509E" w:rsidRPr="007A3AB9">
        <w:t xml:space="preserve">acknowledge the support the application has received from a broad array of stakeholders. </w:t>
      </w:r>
      <w:r w:rsidRPr="007A3AB9">
        <w:t>The applicant</w:t>
      </w:r>
      <w:r w:rsidR="00035E61" w:rsidRPr="007A3AB9">
        <w:t xml:space="preserve"> remains fully committed to </w:t>
      </w:r>
      <w:r w:rsidR="00823C6D" w:rsidRPr="007A3AB9">
        <w:t>diligently working</w:t>
      </w:r>
      <w:r w:rsidR="00035E61" w:rsidRPr="007A3AB9">
        <w:t xml:space="preserve"> with MSAC and the </w:t>
      </w:r>
      <w:r w:rsidR="00823C6D" w:rsidRPr="007A3AB9">
        <w:t>Department</w:t>
      </w:r>
      <w:r w:rsidR="00035E61" w:rsidRPr="007A3AB9">
        <w:t xml:space="preserve"> to ensure Australian patients have public funding for Idefirix</w:t>
      </w:r>
      <w:r w:rsidRPr="007A3AB9">
        <w:t xml:space="preserve"> in the most expeditious manner possible. </w:t>
      </w:r>
    </w:p>
    <w:p w14:paraId="1D9D181F" w14:textId="77777777" w:rsidR="00CF7A55" w:rsidRDefault="00CF7A55" w:rsidP="00CF7A55">
      <w:pPr>
        <w:pStyle w:val="Heading2"/>
        <w:numPr>
          <w:ilvl w:val="0"/>
          <w:numId w:val="0"/>
        </w:numPr>
      </w:pPr>
      <w:r>
        <w:t>18.</w:t>
      </w:r>
      <w:r>
        <w:tab/>
        <w:t>Further information on MSAC</w:t>
      </w:r>
    </w:p>
    <w:p w14:paraId="76C41BBC" w14:textId="1E2E35B8" w:rsidR="00F84BA7" w:rsidRPr="00CF7A55" w:rsidRDefault="00CF7A55" w:rsidP="00CF7A55">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17" w:tooltip="Link to the MSAC website" w:history="1">
        <w:r w:rsidRPr="00F309FA">
          <w:rPr>
            <w:rStyle w:val="Hyperlink"/>
            <w:rFonts w:ascii="Franklin Gothic Book" w:hAnsi="Franklin Gothic Book"/>
            <w:iCs/>
            <w:sz w:val="22"/>
          </w:rPr>
          <w:t>visit the MSAC website</w:t>
        </w:r>
      </w:hyperlink>
    </w:p>
    <w:sectPr w:rsidR="00F84BA7" w:rsidRPr="00CF7A55" w:rsidSect="00495D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4114" w14:textId="77777777" w:rsidR="00246F51" w:rsidRDefault="00246F51" w:rsidP="00B62DF2">
      <w:pPr>
        <w:spacing w:after="0" w:line="240" w:lineRule="auto"/>
      </w:pPr>
      <w:r>
        <w:separator/>
      </w:r>
    </w:p>
  </w:endnote>
  <w:endnote w:type="continuationSeparator" w:id="0">
    <w:p w14:paraId="04347A31" w14:textId="77777777" w:rsidR="00246F51" w:rsidRDefault="00246F51" w:rsidP="00B62DF2">
      <w:pPr>
        <w:spacing w:after="0" w:line="240" w:lineRule="auto"/>
      </w:pPr>
      <w:r>
        <w:continuationSeparator/>
      </w:r>
    </w:p>
  </w:endnote>
  <w:endnote w:type="continuationNotice" w:id="1">
    <w:p w14:paraId="7BC8C427" w14:textId="77777777" w:rsidR="00246F51" w:rsidRDefault="00246F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0C760177" w:rsidR="005947B5" w:rsidRDefault="00B20E1B" w:rsidP="00B762F8">
    <w:pPr>
      <w:pStyle w:val="Footer"/>
      <w:jc w:val="right"/>
    </w:pPr>
    <w:sdt>
      <w:sdtPr>
        <w:id w:val="-1756204188"/>
        <w:docPartObj>
          <w:docPartGallery w:val="Page Numbers (Bottom of Page)"/>
          <w:docPartUnique/>
        </w:docPartObj>
      </w:sdtPr>
      <w:sdtEndPr>
        <w:rPr>
          <w:noProof/>
        </w:rPr>
      </w:sdtEndPr>
      <w:sdtContent>
        <w:r w:rsidR="005947B5" w:rsidRPr="00B762F8">
          <w:fldChar w:fldCharType="begin"/>
        </w:r>
        <w:r w:rsidR="005947B5" w:rsidRPr="00B762F8">
          <w:instrText xml:space="preserve"> PAGE   \* MERGEFORMAT </w:instrText>
        </w:r>
        <w:r w:rsidR="005947B5" w:rsidRPr="00B762F8">
          <w:fldChar w:fldCharType="separate"/>
        </w:r>
        <w:r w:rsidR="00120BD3" w:rsidRPr="00B762F8">
          <w:rPr>
            <w:noProof/>
          </w:rPr>
          <w:t>22</w:t>
        </w:r>
        <w:r w:rsidR="005947B5" w:rsidRPr="00B762F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175213"/>
      <w:docPartObj>
        <w:docPartGallery w:val="Page Numbers (Bottom of Page)"/>
        <w:docPartUnique/>
      </w:docPartObj>
    </w:sdtPr>
    <w:sdtEndPr>
      <w:rPr>
        <w:noProof/>
      </w:rPr>
    </w:sdtEndPr>
    <w:sdtContent>
      <w:p w14:paraId="6BE9385A" w14:textId="372E7FDD" w:rsidR="005947B5" w:rsidRDefault="005947B5" w:rsidP="00F84BA7">
        <w:pPr>
          <w:pStyle w:val="Footer"/>
          <w:jc w:val="right"/>
        </w:pPr>
        <w:r w:rsidRPr="00B762F8">
          <w:fldChar w:fldCharType="begin"/>
        </w:r>
        <w:r w:rsidRPr="00B762F8">
          <w:instrText xml:space="preserve"> PAGE   \* MERGEFORMAT </w:instrText>
        </w:r>
        <w:r w:rsidRPr="00B762F8">
          <w:fldChar w:fldCharType="separate"/>
        </w:r>
        <w:r w:rsidR="00120BD3" w:rsidRPr="00B762F8">
          <w:rPr>
            <w:noProof/>
          </w:rPr>
          <w:t>21</w:t>
        </w:r>
        <w:r w:rsidRPr="00B762F8">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8556" w14:textId="77777777" w:rsidR="008A6728" w:rsidRDefault="008A6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FE49" w14:textId="77777777" w:rsidR="00246F51" w:rsidRDefault="00246F51" w:rsidP="00B62DF2">
      <w:pPr>
        <w:spacing w:after="0" w:line="240" w:lineRule="auto"/>
      </w:pPr>
      <w:r>
        <w:separator/>
      </w:r>
    </w:p>
  </w:footnote>
  <w:footnote w:type="continuationSeparator" w:id="0">
    <w:p w14:paraId="4756D8FD" w14:textId="77777777" w:rsidR="00246F51" w:rsidRDefault="00246F51" w:rsidP="00B62DF2">
      <w:pPr>
        <w:spacing w:after="0" w:line="240" w:lineRule="auto"/>
      </w:pPr>
      <w:r>
        <w:continuationSeparator/>
      </w:r>
    </w:p>
  </w:footnote>
  <w:footnote w:type="continuationNotice" w:id="1">
    <w:p w14:paraId="4DE949C9" w14:textId="77777777" w:rsidR="00246F51" w:rsidRDefault="00246F51">
      <w:pPr>
        <w:spacing w:before="0" w:after="0" w:line="240" w:lineRule="auto"/>
      </w:pPr>
    </w:p>
  </w:footnote>
  <w:footnote w:id="2">
    <w:p w14:paraId="20BD682C" w14:textId="79C96E38" w:rsidR="00CE3679" w:rsidRPr="00CE3679" w:rsidRDefault="00CE3679" w:rsidP="004910AB">
      <w:pPr>
        <w:pStyle w:val="Tablenotes0"/>
        <w:rPr>
          <w:lang w:val="en-US"/>
        </w:rPr>
      </w:pPr>
      <w:r>
        <w:rPr>
          <w:rStyle w:val="FootnoteReference"/>
        </w:rPr>
        <w:footnoteRef/>
      </w:r>
      <w:r>
        <w:t xml:space="preserve"> </w:t>
      </w:r>
      <w:r w:rsidR="004910AB" w:rsidRPr="004910AB">
        <w:t xml:space="preserve">Medical Services Advisory Committee 2023, 'Public Summary Document </w:t>
      </w:r>
      <w:r w:rsidR="00821241">
        <w:t>–</w:t>
      </w:r>
      <w:r w:rsidR="004910AB" w:rsidRPr="004910AB">
        <w:t xml:space="preserve"> Application No. 1732: Imlifidase in the desensitisation treatment of highly sensitised adult kidney transplant patients with a positive crossmatch against an available deceased donor or living donor, who are unlikely to be transplanted under current kidney allocation systems', </w:t>
      </w:r>
      <w:hyperlink r:id="rId1" w:history="1">
        <w:r w:rsidR="00671291">
          <w:rPr>
            <w:rStyle w:val="Hyperlink"/>
          </w:rPr>
          <w:t>1732 Final PSD - July 2023 (redacted).pdf (msac.gov.au)</w:t>
        </w:r>
      </w:hyperlink>
      <w:r w:rsidR="004910AB" w:rsidRPr="004910AB">
        <w:t>.</w:t>
      </w:r>
    </w:p>
  </w:footnote>
  <w:footnote w:id="3">
    <w:p w14:paraId="0951BFF2" w14:textId="64B97345" w:rsidR="00851053" w:rsidRPr="00C644E6" w:rsidRDefault="00851053" w:rsidP="00C644E6">
      <w:pPr>
        <w:pStyle w:val="Tablenotes"/>
        <w:rPr>
          <w:lang w:val="en-US"/>
        </w:rPr>
      </w:pPr>
      <w:r>
        <w:rPr>
          <w:rStyle w:val="FootnoteReference"/>
        </w:rPr>
        <w:footnoteRef/>
      </w:r>
      <w:r>
        <w:t xml:space="preserve"> </w:t>
      </w:r>
      <w:proofErr w:type="spellStart"/>
      <w:r w:rsidR="00C644E6">
        <w:t>Couzi</w:t>
      </w:r>
      <w:proofErr w:type="spellEnd"/>
      <w:r w:rsidR="00C644E6">
        <w:t xml:space="preserve">, L, Malvezzi, P, </w:t>
      </w:r>
      <w:proofErr w:type="spellStart"/>
      <w:r w:rsidR="00C644E6">
        <w:t>Amrouche</w:t>
      </w:r>
      <w:proofErr w:type="spellEnd"/>
      <w:r w:rsidR="00C644E6">
        <w:t xml:space="preserve">, L, </w:t>
      </w:r>
      <w:proofErr w:type="spellStart"/>
      <w:r w:rsidR="00C644E6">
        <w:t>Anglicheau</w:t>
      </w:r>
      <w:proofErr w:type="spellEnd"/>
      <w:r w:rsidR="00C644E6">
        <w:t xml:space="preserve">, D, </w:t>
      </w:r>
      <w:proofErr w:type="spellStart"/>
      <w:r w:rsidR="00C644E6">
        <w:t>Blancho</w:t>
      </w:r>
      <w:proofErr w:type="spellEnd"/>
      <w:r w:rsidR="00C644E6">
        <w:t xml:space="preserve">, G, </w:t>
      </w:r>
      <w:proofErr w:type="spellStart"/>
      <w:r w:rsidR="00C644E6">
        <w:t>Caillard</w:t>
      </w:r>
      <w:proofErr w:type="spellEnd"/>
      <w:r w:rsidR="00C644E6">
        <w:t xml:space="preserve">, S, </w:t>
      </w:r>
      <w:proofErr w:type="spellStart"/>
      <w:r w:rsidR="00C644E6">
        <w:t>Freist</w:t>
      </w:r>
      <w:proofErr w:type="spellEnd"/>
      <w:r w:rsidR="00C644E6">
        <w:t xml:space="preserve">, M, Guidicelli, GL, Kamar, N, </w:t>
      </w:r>
      <w:proofErr w:type="spellStart"/>
      <w:r w:rsidR="00C644E6">
        <w:t>Lefaucheur</w:t>
      </w:r>
      <w:proofErr w:type="spellEnd"/>
      <w:r w:rsidR="00C644E6">
        <w:t xml:space="preserve">, C, </w:t>
      </w:r>
      <w:proofErr w:type="spellStart"/>
      <w:r w:rsidR="00C644E6">
        <w:t>Mariat</w:t>
      </w:r>
      <w:proofErr w:type="spellEnd"/>
      <w:r w:rsidR="00C644E6">
        <w:t xml:space="preserve">, C, Koenig, A, Noble, J, </w:t>
      </w:r>
      <w:proofErr w:type="spellStart"/>
      <w:r w:rsidR="00C644E6">
        <w:t>Thaunat</w:t>
      </w:r>
      <w:proofErr w:type="spellEnd"/>
      <w:r w:rsidR="00C644E6">
        <w:t xml:space="preserve">, O, Thierry, A, Taupin, JL &amp; Bertrand, D 2023, 'Imlifidase for </w:t>
      </w:r>
      <w:r w:rsidR="005641AC">
        <w:t>k</w:t>
      </w:r>
      <w:r w:rsidR="00C644E6">
        <w:t xml:space="preserve">idney </w:t>
      </w:r>
      <w:r w:rsidR="005641AC">
        <w:t>t</w:t>
      </w:r>
      <w:r w:rsidR="00C644E6">
        <w:t xml:space="preserve">ransplantation of </w:t>
      </w:r>
      <w:r w:rsidR="005641AC">
        <w:t>h</w:t>
      </w:r>
      <w:r w:rsidR="00C644E6">
        <w:t xml:space="preserve">ighly </w:t>
      </w:r>
      <w:r w:rsidR="005641AC">
        <w:t>s</w:t>
      </w:r>
      <w:r w:rsidR="00C644E6">
        <w:t xml:space="preserve">ensitized </w:t>
      </w:r>
      <w:r w:rsidR="005641AC">
        <w:t>p</w:t>
      </w:r>
      <w:r w:rsidR="00C644E6">
        <w:t xml:space="preserve">atients </w:t>
      </w:r>
      <w:r w:rsidR="005641AC">
        <w:t>w</w:t>
      </w:r>
      <w:r w:rsidR="00C644E6">
        <w:t xml:space="preserve">ith a </w:t>
      </w:r>
      <w:r w:rsidR="005641AC">
        <w:t>p</w:t>
      </w:r>
      <w:r w:rsidR="00C644E6">
        <w:t xml:space="preserve">ositive </w:t>
      </w:r>
      <w:r w:rsidR="005641AC">
        <w:t>c</w:t>
      </w:r>
      <w:r w:rsidR="00C644E6">
        <w:t xml:space="preserve">rossmatch: </w:t>
      </w:r>
      <w:r w:rsidR="005641AC">
        <w:t>t</w:t>
      </w:r>
      <w:r w:rsidR="00C644E6">
        <w:t xml:space="preserve">he French </w:t>
      </w:r>
      <w:r w:rsidR="005641AC">
        <w:t>c</w:t>
      </w:r>
      <w:r w:rsidR="00C644E6">
        <w:t xml:space="preserve">onsensus </w:t>
      </w:r>
      <w:r w:rsidR="005641AC">
        <w:t>g</w:t>
      </w:r>
      <w:r w:rsidR="00C644E6">
        <w:t xml:space="preserve">uidelines', </w:t>
      </w:r>
      <w:proofErr w:type="spellStart"/>
      <w:r w:rsidR="00C644E6">
        <w:rPr>
          <w:i/>
          <w:iCs/>
        </w:rPr>
        <w:t>Transpl</w:t>
      </w:r>
      <w:proofErr w:type="spellEnd"/>
      <w:r w:rsidR="00C644E6">
        <w:rPr>
          <w:i/>
          <w:iCs/>
        </w:rPr>
        <w:t xml:space="preserve"> Int</w:t>
      </w:r>
      <w:r w:rsidR="00C644E6">
        <w:t>, vol. 36, p. 11244.</w:t>
      </w:r>
    </w:p>
  </w:footnote>
  <w:footnote w:id="4">
    <w:p w14:paraId="2E9861E6" w14:textId="3197416F" w:rsidR="00BA1441" w:rsidRPr="00FF3A09" w:rsidRDefault="00BA1441" w:rsidP="00FF3A09">
      <w:pPr>
        <w:pStyle w:val="Tablenotes"/>
      </w:pPr>
      <w:r>
        <w:rPr>
          <w:rStyle w:val="FootnoteReference"/>
        </w:rPr>
        <w:footnoteRef/>
      </w:r>
      <w:r>
        <w:t xml:space="preserve"> Therapeutic Goods Administration 2023, </w:t>
      </w:r>
      <w:r>
        <w:rPr>
          <w:i/>
          <w:iCs/>
        </w:rPr>
        <w:t>Idefirix</w:t>
      </w:r>
      <w:r>
        <w:t xml:space="preserve">, viewed 8 April 2024, </w:t>
      </w:r>
      <w:hyperlink r:id="rId2" w:history="1">
        <w:r w:rsidR="00EF5D2A">
          <w:rPr>
            <w:rStyle w:val="Hyperlink"/>
          </w:rPr>
          <w:t>Idefirix | Therapeutic Goods Administration (TGA)</w:t>
        </w:r>
      </w:hyperlink>
      <w:r>
        <w:t>.</w:t>
      </w:r>
    </w:p>
  </w:footnote>
  <w:footnote w:id="5">
    <w:p w14:paraId="1A42B982" w14:textId="493EE3E4" w:rsidR="00544A45" w:rsidRDefault="00544A45">
      <w:pPr>
        <w:pStyle w:val="FootnoteText"/>
      </w:pPr>
      <w:r>
        <w:rPr>
          <w:rStyle w:val="FootnoteReference"/>
        </w:rPr>
        <w:footnoteRef/>
      </w:r>
      <w:r>
        <w:t xml:space="preserve"> As detailed in the </w:t>
      </w:r>
      <w:r w:rsidR="00973F57">
        <w:t>PSD for the previous application</w:t>
      </w:r>
      <w:r w:rsidR="00B748D9" w:rsidRPr="00B748D9">
        <w:t xml:space="preserve"> </w:t>
      </w:r>
      <w:r w:rsidR="00AE0881">
        <w:t>i</w:t>
      </w:r>
      <w:r w:rsidR="00B748D9" w:rsidRPr="00B748D9">
        <w:t xml:space="preserve">t was agreed </w:t>
      </w:r>
      <w:r w:rsidR="00B748D9">
        <w:t>at a meeting of</w:t>
      </w:r>
      <w:r w:rsidR="00564650">
        <w:t xml:space="preserve"> Joint Chairs of MSAC and PBAC </w:t>
      </w:r>
      <w:r w:rsidR="00B748D9" w:rsidRPr="00B748D9">
        <w:t>which includes a representative of the states and territories (that imlifidase me</w:t>
      </w:r>
      <w:r w:rsidR="00564650">
        <w:t xml:space="preserve">t the criteria for such funding. </w:t>
      </w:r>
    </w:p>
  </w:footnote>
  <w:footnote w:id="6">
    <w:p w14:paraId="2105D6BD" w14:textId="20CBB04F" w:rsidR="00CF779D" w:rsidRDefault="00CF779D">
      <w:pPr>
        <w:pStyle w:val="FootnoteText"/>
      </w:pPr>
      <w:r w:rsidRPr="00527717">
        <w:rPr>
          <w:rFonts w:ascii="Arial Narrow" w:eastAsia="Times New Roman" w:hAnsi="Arial Narrow" w:cs="Arial"/>
          <w:snapToGrid w:val="0"/>
        </w:rPr>
        <w:footnoteRef/>
      </w:r>
      <w:r w:rsidRPr="00527717">
        <w:rPr>
          <w:rFonts w:ascii="Arial Narrow" w:eastAsia="Times New Roman" w:hAnsi="Arial Narrow" w:cs="Arial"/>
          <w:snapToGrid w:val="0"/>
        </w:rPr>
        <w:t xml:space="preserve"> </w:t>
      </w:r>
      <w:r w:rsidR="0020227D">
        <w:rPr>
          <w:rFonts w:ascii="Arial Narrow" w:eastAsia="Times New Roman" w:hAnsi="Arial Narrow" w:cs="Arial"/>
          <w:snapToGrid w:val="0"/>
        </w:rPr>
        <w:t>P</w:t>
      </w:r>
      <w:r w:rsidRPr="00527717">
        <w:rPr>
          <w:rFonts w:ascii="Arial Narrow" w:eastAsia="Times New Roman" w:hAnsi="Arial Narrow" w:cs="Arial"/>
          <w:snapToGrid w:val="0"/>
        </w:rPr>
        <w:t xml:space="preserve">. 12 of Medical Services Advisory Committee 2023, 'Public Summary Document </w:t>
      </w:r>
      <w:r w:rsidR="00E85077">
        <w:t>–</w:t>
      </w:r>
      <w:r w:rsidRPr="00527717">
        <w:rPr>
          <w:rFonts w:ascii="Arial Narrow" w:eastAsia="Times New Roman" w:hAnsi="Arial Narrow" w:cs="Arial"/>
          <w:snapToGrid w:val="0"/>
        </w:rPr>
        <w:t xml:space="preserve"> Application No. 1732: Imlifidase in the desensitisation treatment of highly sensitised adult kidney transplant patients with a positive crossmatch against an available deceased donor or living donor, who are unlikely to be transplanted under current kidney allocation systems', </w:t>
      </w:r>
      <w:hyperlink r:id="rId3" w:history="1">
        <w:r w:rsidR="00354D01" w:rsidRPr="00527717">
          <w:rPr>
            <w:rStyle w:val="Hyperlink"/>
            <w:rFonts w:ascii="Arial Narrow" w:hAnsi="Arial Narrow"/>
          </w:rPr>
          <w:t>1732 Final PSD - July 2023 (redacted).pdf (msac.gov.au)</w:t>
        </w:r>
      </w:hyperlink>
      <w:r w:rsidR="00FF6FF0">
        <w:rPr>
          <w:rFonts w:ascii="Arial Narrow" w:hAnsi="Arial Narrow"/>
        </w:rPr>
        <w:t>.</w:t>
      </w:r>
      <w:r w:rsidR="00354D01" w:rsidRPr="00527717">
        <w:rPr>
          <w:rFonts w:ascii="Arial Narrow" w:hAnsi="Arial Narrow"/>
        </w:rPr>
        <w:t xml:space="preserve"> </w:t>
      </w:r>
    </w:p>
  </w:footnote>
  <w:footnote w:id="7">
    <w:p w14:paraId="3CD66665" w14:textId="37F12CA3" w:rsidR="00E82ABB" w:rsidRPr="00E82ABB" w:rsidRDefault="00E82ABB" w:rsidP="00466A4C">
      <w:pPr>
        <w:pStyle w:val="Tablenotes"/>
        <w:rPr>
          <w:lang w:val="en-US"/>
        </w:rPr>
      </w:pPr>
      <w:r>
        <w:rPr>
          <w:rStyle w:val="FootnoteReference"/>
        </w:rPr>
        <w:footnoteRef/>
      </w:r>
      <w:r>
        <w:t xml:space="preserve"> </w:t>
      </w:r>
      <w:proofErr w:type="spellStart"/>
      <w:r w:rsidR="00B85BA8">
        <w:t>Mamode</w:t>
      </w:r>
      <w:proofErr w:type="spellEnd"/>
      <w:r w:rsidR="00B85BA8">
        <w:t xml:space="preserve">, N, </w:t>
      </w:r>
      <w:proofErr w:type="spellStart"/>
      <w:r w:rsidR="00B85BA8">
        <w:t>Bestard</w:t>
      </w:r>
      <w:proofErr w:type="spellEnd"/>
      <w:r w:rsidR="00B85BA8">
        <w:t xml:space="preserve">, O, </w:t>
      </w:r>
      <w:proofErr w:type="spellStart"/>
      <w:r w:rsidR="00B85BA8">
        <w:t>Claas</w:t>
      </w:r>
      <w:proofErr w:type="spellEnd"/>
      <w:r w:rsidR="00B85BA8">
        <w:t xml:space="preserve">, F, </w:t>
      </w:r>
      <w:proofErr w:type="spellStart"/>
      <w:r w:rsidR="00B85BA8">
        <w:t>Furian</w:t>
      </w:r>
      <w:proofErr w:type="spellEnd"/>
      <w:r w:rsidR="00B85BA8">
        <w:t xml:space="preserve">, L, Griffin, S, Legendre, C, </w:t>
      </w:r>
      <w:proofErr w:type="spellStart"/>
      <w:r w:rsidR="00B85BA8">
        <w:t>Pengel</w:t>
      </w:r>
      <w:proofErr w:type="spellEnd"/>
      <w:r w:rsidR="00B85BA8">
        <w:t xml:space="preserve">, L &amp; </w:t>
      </w:r>
      <w:proofErr w:type="spellStart"/>
      <w:r w:rsidR="00B85BA8">
        <w:t>Naesens</w:t>
      </w:r>
      <w:proofErr w:type="spellEnd"/>
      <w:r w:rsidR="00B85BA8">
        <w:t xml:space="preserve">, M 2022, </w:t>
      </w:r>
      <w:r w:rsidR="00FF6FF0">
        <w:t>‘</w:t>
      </w:r>
      <w:r w:rsidR="00B85BA8">
        <w:t xml:space="preserve">European Guideline for the Management of Kidney Transplant Patients </w:t>
      </w:r>
      <w:r w:rsidR="005F1CF9">
        <w:t>w</w:t>
      </w:r>
      <w:r w:rsidR="00B85BA8">
        <w:t xml:space="preserve">ith HLA Antibodies: </w:t>
      </w:r>
      <w:r w:rsidR="005F1CF9">
        <w:t>b</w:t>
      </w:r>
      <w:r w:rsidR="00B85BA8">
        <w:t>y the European Society for Organ Transplantation Working Group</w:t>
      </w:r>
      <w:r w:rsidR="00FF6FF0">
        <w:t>’</w:t>
      </w:r>
      <w:r w:rsidR="00B85BA8">
        <w:t xml:space="preserve">, </w:t>
      </w:r>
      <w:proofErr w:type="spellStart"/>
      <w:r w:rsidR="00B85BA8">
        <w:rPr>
          <w:i/>
          <w:iCs/>
        </w:rPr>
        <w:t>Transpl</w:t>
      </w:r>
      <w:proofErr w:type="spellEnd"/>
      <w:r w:rsidR="00B85BA8">
        <w:rPr>
          <w:i/>
          <w:iCs/>
        </w:rPr>
        <w:t xml:space="preserve"> Int</w:t>
      </w:r>
      <w:r w:rsidR="00B85BA8">
        <w:t>, vol. 35, p. 10511.</w:t>
      </w:r>
    </w:p>
  </w:footnote>
  <w:footnote w:id="8">
    <w:p w14:paraId="40A65A1F" w14:textId="4CEF3C15" w:rsidR="00913AC5" w:rsidRPr="00913AC5" w:rsidRDefault="00913AC5" w:rsidP="00466A4C">
      <w:pPr>
        <w:pStyle w:val="Tablenotes"/>
        <w:rPr>
          <w:lang w:val="en-US"/>
        </w:rPr>
      </w:pPr>
      <w:r>
        <w:rPr>
          <w:rStyle w:val="FootnoteReference"/>
        </w:rPr>
        <w:footnoteRef/>
      </w:r>
      <w:r>
        <w:t xml:space="preserve"> </w:t>
      </w:r>
      <w:r w:rsidR="00D43954">
        <w:t xml:space="preserve">Clayton, PA &amp; Coates, PT 2017, </w:t>
      </w:r>
      <w:r w:rsidR="00FF6FF0">
        <w:t>‘</w:t>
      </w:r>
      <w:r w:rsidR="00D43954">
        <w:t>Are sensitized patients better off with a desensitization transplant or waiting on dialysis?</w:t>
      </w:r>
      <w:r w:rsidR="00FF6FF0">
        <w:t>’</w:t>
      </w:r>
      <w:r w:rsidR="00D43954">
        <w:t xml:space="preserve">, </w:t>
      </w:r>
      <w:r w:rsidR="00D43954">
        <w:rPr>
          <w:i/>
          <w:iCs/>
        </w:rPr>
        <w:t>Kidney Int</w:t>
      </w:r>
      <w:r w:rsidR="00D43954">
        <w:t>, vol. 91, no. 6, pp. 1266</w:t>
      </w:r>
      <w:r w:rsidR="006003E2">
        <w:t>–</w:t>
      </w:r>
      <w:r w:rsidR="00D43954">
        <w:t>8.</w:t>
      </w:r>
    </w:p>
  </w:footnote>
  <w:footnote w:id="9">
    <w:p w14:paraId="6FD89A1A" w14:textId="54811124" w:rsidR="00D43954" w:rsidRPr="00D43954" w:rsidRDefault="00D43954" w:rsidP="00466A4C">
      <w:pPr>
        <w:pStyle w:val="Tablenotes"/>
        <w:rPr>
          <w:lang w:val="en-US"/>
        </w:rPr>
      </w:pPr>
      <w:r>
        <w:rPr>
          <w:rStyle w:val="FootnoteReference"/>
        </w:rPr>
        <w:footnoteRef/>
      </w:r>
      <w:r>
        <w:t xml:space="preserve"> </w:t>
      </w:r>
      <w:proofErr w:type="spellStart"/>
      <w:r>
        <w:t>Kuppachi</w:t>
      </w:r>
      <w:proofErr w:type="spellEnd"/>
      <w:r>
        <w:t xml:space="preserve">, S &amp; Axelrod, DA 2020, </w:t>
      </w:r>
      <w:r w:rsidR="00FF6FF0">
        <w:t>‘</w:t>
      </w:r>
      <w:r>
        <w:t>Desensitization strategies: is it worth it?</w:t>
      </w:r>
      <w:r w:rsidR="00FF6FF0">
        <w:t>’</w:t>
      </w:r>
      <w:r>
        <w:t xml:space="preserve">, </w:t>
      </w:r>
      <w:proofErr w:type="spellStart"/>
      <w:r>
        <w:rPr>
          <w:i/>
          <w:iCs/>
        </w:rPr>
        <w:t>Transpl</w:t>
      </w:r>
      <w:proofErr w:type="spellEnd"/>
      <w:r>
        <w:rPr>
          <w:i/>
          <w:iCs/>
        </w:rPr>
        <w:t xml:space="preserve"> Int</w:t>
      </w:r>
      <w:r>
        <w:t>, vol. 33, no. 3, pp. 251</w:t>
      </w:r>
      <w:r w:rsidR="00F2375D">
        <w:t>–</w:t>
      </w:r>
      <w:r>
        <w:t>9.</w:t>
      </w:r>
    </w:p>
  </w:footnote>
  <w:footnote w:id="10">
    <w:p w14:paraId="496BF396" w14:textId="34802920" w:rsidR="007B3AF2" w:rsidRPr="00527717" w:rsidRDefault="007B3AF2">
      <w:pPr>
        <w:pStyle w:val="FootnoteText"/>
        <w:rPr>
          <w:lang w:val="en-US"/>
        </w:rPr>
      </w:pPr>
      <w:r w:rsidRPr="00527717">
        <w:rPr>
          <w:rFonts w:ascii="Arial Narrow" w:eastAsia="Times New Roman" w:hAnsi="Arial Narrow" w:cs="Arial"/>
          <w:snapToGrid w:val="0"/>
        </w:rPr>
        <w:footnoteRef/>
      </w:r>
      <w:r w:rsidRPr="00527717">
        <w:rPr>
          <w:rFonts w:ascii="Arial Narrow" w:eastAsia="Times New Roman" w:hAnsi="Arial Narrow" w:cs="Arial"/>
          <w:snapToGrid w:val="0"/>
        </w:rPr>
        <w:t xml:space="preserve"> </w:t>
      </w:r>
      <w:r w:rsidR="003B3171" w:rsidRPr="00527717">
        <w:rPr>
          <w:rFonts w:ascii="Arial Narrow" w:eastAsia="Times New Roman" w:hAnsi="Arial Narrow" w:cs="Arial"/>
          <w:snapToGrid w:val="0"/>
        </w:rPr>
        <w:t>Meier-</w:t>
      </w:r>
      <w:proofErr w:type="spellStart"/>
      <w:r w:rsidR="003B3171" w:rsidRPr="00527717">
        <w:rPr>
          <w:rFonts w:ascii="Arial Narrow" w:eastAsia="Times New Roman" w:hAnsi="Arial Narrow" w:cs="Arial"/>
          <w:snapToGrid w:val="0"/>
        </w:rPr>
        <w:t>Kriesche</w:t>
      </w:r>
      <w:proofErr w:type="spellEnd"/>
      <w:r w:rsidR="003B3171" w:rsidRPr="00527717">
        <w:rPr>
          <w:rFonts w:ascii="Arial Narrow" w:eastAsia="Times New Roman" w:hAnsi="Arial Narrow" w:cs="Arial"/>
          <w:snapToGrid w:val="0"/>
        </w:rPr>
        <w:t xml:space="preserve">, HU, Port, FK, Ojo, AO, </w:t>
      </w:r>
      <w:proofErr w:type="spellStart"/>
      <w:r w:rsidR="003B3171" w:rsidRPr="00527717">
        <w:rPr>
          <w:rFonts w:ascii="Arial Narrow" w:eastAsia="Times New Roman" w:hAnsi="Arial Narrow" w:cs="Arial"/>
          <w:snapToGrid w:val="0"/>
        </w:rPr>
        <w:t>Rudich</w:t>
      </w:r>
      <w:proofErr w:type="spellEnd"/>
      <w:r w:rsidR="003B3171" w:rsidRPr="00527717">
        <w:rPr>
          <w:rFonts w:ascii="Arial Narrow" w:eastAsia="Times New Roman" w:hAnsi="Arial Narrow" w:cs="Arial"/>
          <w:snapToGrid w:val="0"/>
        </w:rPr>
        <w:t xml:space="preserve">, SM, Hanson, JA, </w:t>
      </w:r>
      <w:proofErr w:type="spellStart"/>
      <w:r w:rsidR="003B3171" w:rsidRPr="00527717">
        <w:rPr>
          <w:rFonts w:ascii="Arial Narrow" w:eastAsia="Times New Roman" w:hAnsi="Arial Narrow" w:cs="Arial"/>
          <w:snapToGrid w:val="0"/>
        </w:rPr>
        <w:t>Cibrik</w:t>
      </w:r>
      <w:proofErr w:type="spellEnd"/>
      <w:r w:rsidR="003B3171" w:rsidRPr="00527717">
        <w:rPr>
          <w:rFonts w:ascii="Arial Narrow" w:eastAsia="Times New Roman" w:hAnsi="Arial Narrow" w:cs="Arial"/>
          <w:snapToGrid w:val="0"/>
        </w:rPr>
        <w:t xml:space="preserve">, DM, </w:t>
      </w:r>
      <w:proofErr w:type="spellStart"/>
      <w:r w:rsidR="003B3171" w:rsidRPr="00527717">
        <w:rPr>
          <w:rFonts w:ascii="Arial Narrow" w:eastAsia="Times New Roman" w:hAnsi="Arial Narrow" w:cs="Arial"/>
          <w:snapToGrid w:val="0"/>
        </w:rPr>
        <w:t>Leichtman</w:t>
      </w:r>
      <w:proofErr w:type="spellEnd"/>
      <w:r w:rsidR="003B3171" w:rsidRPr="00527717">
        <w:rPr>
          <w:rFonts w:ascii="Arial Narrow" w:eastAsia="Times New Roman" w:hAnsi="Arial Narrow" w:cs="Arial"/>
          <w:snapToGrid w:val="0"/>
        </w:rPr>
        <w:t>, AB &amp; Kaplan, B 2000, 'Effect of waiting time on renal transplant outcome', Kidney Int, vol. 58, no. 3, pp. 1311</w:t>
      </w:r>
      <w:r w:rsidR="009954CB">
        <w:t>–</w:t>
      </w:r>
      <w:r w:rsidR="003B3171" w:rsidRPr="00527717">
        <w:rPr>
          <w:rFonts w:ascii="Arial Narrow" w:eastAsia="Times New Roman" w:hAnsi="Arial Narrow" w:cs="Arial"/>
          <w:snapToGrid w:val="0"/>
        </w:rPr>
        <w:t>7.</w:t>
      </w:r>
    </w:p>
  </w:footnote>
  <w:footnote w:id="11">
    <w:p w14:paraId="3CEE939F" w14:textId="5661D6E6" w:rsidR="00C715C0" w:rsidRPr="00C715C0" w:rsidRDefault="00C715C0" w:rsidP="00C715C0">
      <w:pPr>
        <w:pStyle w:val="Tablenotes0"/>
        <w:rPr>
          <w:lang w:val="en-US"/>
        </w:rPr>
      </w:pPr>
      <w:r>
        <w:rPr>
          <w:rStyle w:val="FootnoteReference"/>
        </w:rPr>
        <w:footnoteRef/>
      </w:r>
      <w:r>
        <w:t xml:space="preserve"> European Medicines Agency 2020, </w:t>
      </w:r>
      <w:r w:rsidR="00FF6FF0">
        <w:t>‘</w:t>
      </w:r>
      <w:r>
        <w:t xml:space="preserve">Imlifidase </w:t>
      </w:r>
      <w:r w:rsidR="00B342A3">
        <w:t>–</w:t>
      </w:r>
      <w:r>
        <w:t xml:space="preserve"> Summary of product characteristics (SmPC) and European public assessment report (EPAR)</w:t>
      </w:r>
      <w:r w:rsidR="00FF6FF0">
        <w:t>’</w:t>
      </w:r>
      <w:r>
        <w:t xml:space="preserve">, </w:t>
      </w:r>
      <w:r w:rsidRPr="00C715C0">
        <w:t xml:space="preserve"> </w:t>
      </w:r>
      <w:hyperlink r:id="rId4" w:history="1">
        <w:r>
          <w:rPr>
            <w:rStyle w:val="Hyperlink"/>
          </w:rPr>
          <w:t>Idefirix, INN-imlifidase (europa.eu)</w:t>
        </w:r>
      </w:hyperlink>
      <w:r w:rsidR="00FF6FF0">
        <w:rPr>
          <w:rStyle w:val="Hyperlink"/>
        </w:rPr>
        <w:t>.</w:t>
      </w:r>
      <w:r>
        <w:t xml:space="preserve"> </w:t>
      </w:r>
    </w:p>
  </w:footnote>
  <w:footnote w:id="12">
    <w:p w14:paraId="5C9720C9" w14:textId="027E219B" w:rsidR="00B55AF1" w:rsidRPr="00B55AF1" w:rsidRDefault="00B55AF1" w:rsidP="00724217">
      <w:pPr>
        <w:pStyle w:val="Tablenotes"/>
        <w:rPr>
          <w:lang w:val="en-US"/>
        </w:rPr>
      </w:pPr>
      <w:r>
        <w:rPr>
          <w:rStyle w:val="FootnoteReference"/>
        </w:rPr>
        <w:footnoteRef/>
      </w:r>
      <w:r>
        <w:t xml:space="preserve"> </w:t>
      </w:r>
      <w:proofErr w:type="spellStart"/>
      <w:r w:rsidR="00724217">
        <w:t>Orandi</w:t>
      </w:r>
      <w:proofErr w:type="spellEnd"/>
      <w:r w:rsidR="00724217">
        <w:t xml:space="preserve">, BJ, James, NT, Hall, EC, Van </w:t>
      </w:r>
      <w:proofErr w:type="spellStart"/>
      <w:r w:rsidR="00724217">
        <w:t>Arendonk</w:t>
      </w:r>
      <w:proofErr w:type="spellEnd"/>
      <w:r w:rsidR="00724217">
        <w:t xml:space="preserve">, KJ, </w:t>
      </w:r>
      <w:proofErr w:type="spellStart"/>
      <w:r w:rsidR="00724217">
        <w:t>Garonzik</w:t>
      </w:r>
      <w:proofErr w:type="spellEnd"/>
      <w:r w:rsidR="00724217">
        <w:t xml:space="preserve">-Wang, JM, Gupta, N, Montgomery, RA, Desai, NM &amp; </w:t>
      </w:r>
      <w:proofErr w:type="spellStart"/>
      <w:r w:rsidR="00724217">
        <w:t>Segev</w:t>
      </w:r>
      <w:proofErr w:type="spellEnd"/>
      <w:r w:rsidR="00724217">
        <w:t>, DL 2015, '</w:t>
      </w:r>
      <w:proofErr w:type="spellStart"/>
      <w:r w:rsidR="00724217">
        <w:t>Center</w:t>
      </w:r>
      <w:proofErr w:type="spellEnd"/>
      <w:r w:rsidR="00724217">
        <w:t xml:space="preserve">-level variation in the development of delayed graft function after deceased donor kidney transplantation', </w:t>
      </w:r>
      <w:r w:rsidR="00724217">
        <w:rPr>
          <w:i/>
          <w:iCs/>
        </w:rPr>
        <w:t>Transplantation</w:t>
      </w:r>
      <w:r w:rsidR="00724217">
        <w:t>, vol. 99, no. 5, pp. 997</w:t>
      </w:r>
      <w:r w:rsidR="004F11A5">
        <w:t>–</w:t>
      </w:r>
      <w:r w:rsidR="00724217">
        <w:t>1002.</w:t>
      </w:r>
    </w:p>
  </w:footnote>
  <w:footnote w:id="13">
    <w:p w14:paraId="067AB71B" w14:textId="6DE2C0F4" w:rsidR="00672CBD" w:rsidRPr="00672CBD" w:rsidRDefault="00672CBD" w:rsidP="00672CBD">
      <w:pPr>
        <w:pStyle w:val="Tablenotes"/>
        <w:rPr>
          <w:lang w:val="en-US"/>
        </w:rPr>
      </w:pPr>
      <w:r>
        <w:rPr>
          <w:rStyle w:val="FootnoteReference"/>
        </w:rPr>
        <w:footnoteRef/>
      </w:r>
      <w:r>
        <w:t xml:space="preserve"> </w:t>
      </w:r>
      <w:proofErr w:type="spellStart"/>
      <w:r>
        <w:t>Budhiraja</w:t>
      </w:r>
      <w:proofErr w:type="spellEnd"/>
      <w:r>
        <w:t xml:space="preserve">, P, Reddy, KS, Butterfield, RJ, </w:t>
      </w:r>
      <w:proofErr w:type="spellStart"/>
      <w:r>
        <w:t>Jadlowiec</w:t>
      </w:r>
      <w:proofErr w:type="spellEnd"/>
      <w:r>
        <w:t xml:space="preserve">, CC, Moss, AA, </w:t>
      </w:r>
      <w:proofErr w:type="spellStart"/>
      <w:r>
        <w:t>Khamash</w:t>
      </w:r>
      <w:proofErr w:type="spellEnd"/>
      <w:r>
        <w:t xml:space="preserve">, HA, Kodali, L, Misra, SS &amp; Heilman, RL 2022, 'Duration of delayed graft function and its impact on graft outcomes in deceased donor kidney transplantation', </w:t>
      </w:r>
      <w:r>
        <w:rPr>
          <w:i/>
          <w:iCs/>
        </w:rPr>
        <w:t>BMC Nephrol</w:t>
      </w:r>
      <w:r>
        <w:t>, vol. 23, no. 1, p. 154.</w:t>
      </w:r>
    </w:p>
  </w:footnote>
  <w:footnote w:id="14">
    <w:p w14:paraId="7D2691E6" w14:textId="7E5DB79B" w:rsidR="00AC52B2" w:rsidRPr="00AC52B2" w:rsidRDefault="00AC52B2" w:rsidP="005B1841">
      <w:pPr>
        <w:pStyle w:val="Tablenotes"/>
      </w:pPr>
      <w:r>
        <w:rPr>
          <w:rStyle w:val="FootnoteReference"/>
        </w:rPr>
        <w:footnoteRef/>
      </w:r>
      <w:r>
        <w:t xml:space="preserve"> Australia &amp; New Zealand Dialysis &amp; Transplant Registry 2024, </w:t>
      </w:r>
      <w:r>
        <w:rPr>
          <w:i/>
          <w:iCs/>
        </w:rPr>
        <w:t>ANZDATA 46th Annual Report 2023 (Data to 2022)</w:t>
      </w:r>
      <w:r>
        <w:t xml:space="preserve">, viewed 9 April 2023, </w:t>
      </w:r>
      <w:hyperlink r:id="rId5" w:history="1">
        <w:r w:rsidR="005B1841">
          <w:rPr>
            <w:rStyle w:val="Hyperlink"/>
          </w:rPr>
          <w:t>ANZDATA 46th Annual Report 2023 (Data to 2022) - ANZDATA</w:t>
        </w:r>
      </w:hyperlink>
      <w:r w:rsidR="00AB6232">
        <w:rPr>
          <w:rStyle w:val="Hyperlink"/>
        </w:rPr>
        <w:t>.</w:t>
      </w:r>
    </w:p>
  </w:footnote>
  <w:footnote w:id="15">
    <w:p w14:paraId="77C53399" w14:textId="56FA4B57" w:rsidR="000B3AE0" w:rsidRPr="00527717" w:rsidRDefault="000B3AE0">
      <w:pPr>
        <w:pStyle w:val="FootnoteText"/>
        <w:rPr>
          <w:lang w:val="en-US"/>
        </w:rPr>
      </w:pPr>
      <w:r w:rsidRPr="00527717">
        <w:rPr>
          <w:rFonts w:ascii="Arial Narrow" w:eastAsia="Times New Roman" w:hAnsi="Arial Narrow" w:cs="Arial"/>
          <w:snapToGrid w:val="0"/>
        </w:rPr>
        <w:footnoteRef/>
      </w:r>
      <w:r w:rsidRPr="00527717">
        <w:rPr>
          <w:rFonts w:ascii="Arial Narrow" w:eastAsia="Times New Roman" w:hAnsi="Arial Narrow" w:cs="Arial"/>
          <w:snapToGrid w:val="0"/>
        </w:rPr>
        <w:t xml:space="preserve"> Therapeutic Goods Administration 2023, 'IDEFIRIX imlifidase 11 mg powder for concentrate for solution for infusion (391413) - Product Information', </w:t>
      </w:r>
      <w:hyperlink r:id="rId6" w:history="1">
        <w:r w:rsidRPr="00527717">
          <w:rPr>
            <w:rStyle w:val="Hyperlink"/>
            <w:rFonts w:ascii="Arial Narrow" w:eastAsia="Times New Roman" w:hAnsi="Arial Narrow" w:cs="Arial"/>
            <w:snapToGrid w:val="0"/>
          </w:rPr>
          <w:t>https://www.tga.gov.au/resources/artg/391413</w:t>
        </w:r>
      </w:hyperlink>
      <w:r w:rsidR="00AB6232">
        <w:rPr>
          <w:rFonts w:ascii="Arial Narrow" w:eastAsia="Times New Roman" w:hAnsi="Arial Narrow" w:cs="Arial"/>
          <w:snapToGrid w:val="0"/>
        </w:rPr>
        <w:t>.</w:t>
      </w:r>
      <w:r>
        <w:rPr>
          <w:rFonts w:ascii="Arial Narrow" w:eastAsia="Times New Roman" w:hAnsi="Arial Narrow" w:cs="Arial"/>
          <w:snapToGrid w:val="0"/>
        </w:rPr>
        <w:t xml:space="preserve"> </w:t>
      </w:r>
    </w:p>
  </w:footnote>
  <w:footnote w:id="16">
    <w:p w14:paraId="4B8F2157" w14:textId="6C59A8D8" w:rsidR="00321195" w:rsidRPr="00321195" w:rsidRDefault="00321195" w:rsidP="00321195">
      <w:pPr>
        <w:pStyle w:val="Tablenotes0"/>
      </w:pPr>
      <w:r w:rsidRPr="00321195">
        <w:rPr>
          <w:rStyle w:val="FootnoteReference"/>
          <w:vertAlign w:val="baseline"/>
        </w:rPr>
        <w:footnoteRef/>
      </w:r>
      <w:r w:rsidRPr="00321195">
        <w:t xml:space="preserve"> The criterion for patients with a living donor needing to have been active on the ANZKX donor transplant list for at least 2 years was removed from the proposed population descriptor, per RTAC advice</w:t>
      </w:r>
      <w:r w:rsidR="00E76084">
        <w:t>; h</w:t>
      </w:r>
      <w:r w:rsidRPr="00321195">
        <w:t xml:space="preserve">owever, this criterion has been retained for the financial analysis.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B3C8" w14:textId="77777777" w:rsidR="008A6728" w:rsidRDefault="008A6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1DAE" w14:textId="77777777" w:rsidR="008A6728" w:rsidRDefault="008A6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BC4" w14:textId="77777777" w:rsidR="008A6728" w:rsidRDefault="008A6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201"/>
    <w:multiLevelType w:val="hybridMultilevel"/>
    <w:tmpl w:val="B3508E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B3769"/>
    <w:multiLevelType w:val="hybridMultilevel"/>
    <w:tmpl w:val="1130D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64C9B"/>
    <w:multiLevelType w:val="hybridMultilevel"/>
    <w:tmpl w:val="59F6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E12D7"/>
    <w:multiLevelType w:val="multilevel"/>
    <w:tmpl w:val="D1F4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477CF"/>
    <w:multiLevelType w:val="hybridMultilevel"/>
    <w:tmpl w:val="0C8EE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0429E5"/>
    <w:multiLevelType w:val="hybridMultilevel"/>
    <w:tmpl w:val="0656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773669"/>
    <w:multiLevelType w:val="hybridMultilevel"/>
    <w:tmpl w:val="15082394"/>
    <w:lvl w:ilvl="0" w:tplc="62389A18">
      <w:start w:val="1"/>
      <w:numFmt w:val="bullet"/>
      <w:lvlText w:val=""/>
      <w:lvlJc w:val="left"/>
      <w:pPr>
        <w:ind w:left="1420" w:hanging="360"/>
      </w:pPr>
      <w:rPr>
        <w:rFonts w:ascii="Symbol" w:hAnsi="Symbol"/>
      </w:rPr>
    </w:lvl>
    <w:lvl w:ilvl="1" w:tplc="08A030F8">
      <w:start w:val="1"/>
      <w:numFmt w:val="bullet"/>
      <w:lvlText w:val=""/>
      <w:lvlJc w:val="left"/>
      <w:pPr>
        <w:ind w:left="1420" w:hanging="360"/>
      </w:pPr>
      <w:rPr>
        <w:rFonts w:ascii="Symbol" w:hAnsi="Symbol"/>
      </w:rPr>
    </w:lvl>
    <w:lvl w:ilvl="2" w:tplc="E7D6C10E">
      <w:start w:val="1"/>
      <w:numFmt w:val="bullet"/>
      <w:lvlText w:val=""/>
      <w:lvlJc w:val="left"/>
      <w:pPr>
        <w:ind w:left="1420" w:hanging="360"/>
      </w:pPr>
      <w:rPr>
        <w:rFonts w:ascii="Symbol" w:hAnsi="Symbol"/>
      </w:rPr>
    </w:lvl>
    <w:lvl w:ilvl="3" w:tplc="C6786F70">
      <w:start w:val="1"/>
      <w:numFmt w:val="bullet"/>
      <w:lvlText w:val=""/>
      <w:lvlJc w:val="left"/>
      <w:pPr>
        <w:ind w:left="1420" w:hanging="360"/>
      </w:pPr>
      <w:rPr>
        <w:rFonts w:ascii="Symbol" w:hAnsi="Symbol"/>
      </w:rPr>
    </w:lvl>
    <w:lvl w:ilvl="4" w:tplc="759ED38C">
      <w:start w:val="1"/>
      <w:numFmt w:val="bullet"/>
      <w:lvlText w:val=""/>
      <w:lvlJc w:val="left"/>
      <w:pPr>
        <w:ind w:left="1420" w:hanging="360"/>
      </w:pPr>
      <w:rPr>
        <w:rFonts w:ascii="Symbol" w:hAnsi="Symbol"/>
      </w:rPr>
    </w:lvl>
    <w:lvl w:ilvl="5" w:tplc="5A6431A0">
      <w:start w:val="1"/>
      <w:numFmt w:val="bullet"/>
      <w:lvlText w:val=""/>
      <w:lvlJc w:val="left"/>
      <w:pPr>
        <w:ind w:left="1420" w:hanging="360"/>
      </w:pPr>
      <w:rPr>
        <w:rFonts w:ascii="Symbol" w:hAnsi="Symbol"/>
      </w:rPr>
    </w:lvl>
    <w:lvl w:ilvl="6" w:tplc="5442C226">
      <w:start w:val="1"/>
      <w:numFmt w:val="bullet"/>
      <w:lvlText w:val=""/>
      <w:lvlJc w:val="left"/>
      <w:pPr>
        <w:ind w:left="1420" w:hanging="360"/>
      </w:pPr>
      <w:rPr>
        <w:rFonts w:ascii="Symbol" w:hAnsi="Symbol"/>
      </w:rPr>
    </w:lvl>
    <w:lvl w:ilvl="7" w:tplc="E55A7286">
      <w:start w:val="1"/>
      <w:numFmt w:val="bullet"/>
      <w:lvlText w:val=""/>
      <w:lvlJc w:val="left"/>
      <w:pPr>
        <w:ind w:left="1420" w:hanging="360"/>
      </w:pPr>
      <w:rPr>
        <w:rFonts w:ascii="Symbol" w:hAnsi="Symbol"/>
      </w:rPr>
    </w:lvl>
    <w:lvl w:ilvl="8" w:tplc="F0AE0D86">
      <w:start w:val="1"/>
      <w:numFmt w:val="bullet"/>
      <w:lvlText w:val=""/>
      <w:lvlJc w:val="left"/>
      <w:pPr>
        <w:ind w:left="1420" w:hanging="360"/>
      </w:pPr>
      <w:rPr>
        <w:rFonts w:ascii="Symbol" w:hAnsi="Symbol"/>
      </w:rPr>
    </w:lvl>
  </w:abstractNum>
  <w:abstractNum w:abstractNumId="7" w15:restartNumberingAfterBreak="0">
    <w:nsid w:val="0DE3738B"/>
    <w:multiLevelType w:val="hybridMultilevel"/>
    <w:tmpl w:val="E3EC767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0F5F64FB"/>
    <w:multiLevelType w:val="hybridMultilevel"/>
    <w:tmpl w:val="9ECA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4E326A"/>
    <w:multiLevelType w:val="hybridMultilevel"/>
    <w:tmpl w:val="B4827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790D28"/>
    <w:multiLevelType w:val="hybridMultilevel"/>
    <w:tmpl w:val="E2FEB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102A3B"/>
    <w:multiLevelType w:val="hybridMultilevel"/>
    <w:tmpl w:val="9BDCE40C"/>
    <w:lvl w:ilvl="0" w:tplc="2F96EC74">
      <w:start w:val="1"/>
      <w:numFmt w:val="bullet"/>
      <w:lvlText w:val=""/>
      <w:lvlJc w:val="left"/>
      <w:pPr>
        <w:ind w:left="2160" w:hanging="360"/>
      </w:pPr>
      <w:rPr>
        <w:rFonts w:ascii="Symbol" w:hAnsi="Symbol"/>
      </w:rPr>
    </w:lvl>
    <w:lvl w:ilvl="1" w:tplc="B726E3F6">
      <w:start w:val="1"/>
      <w:numFmt w:val="bullet"/>
      <w:lvlText w:val=""/>
      <w:lvlJc w:val="left"/>
      <w:pPr>
        <w:ind w:left="2160" w:hanging="360"/>
      </w:pPr>
      <w:rPr>
        <w:rFonts w:ascii="Symbol" w:hAnsi="Symbol"/>
      </w:rPr>
    </w:lvl>
    <w:lvl w:ilvl="2" w:tplc="FC4ED8E0">
      <w:start w:val="1"/>
      <w:numFmt w:val="bullet"/>
      <w:lvlText w:val=""/>
      <w:lvlJc w:val="left"/>
      <w:pPr>
        <w:ind w:left="2160" w:hanging="360"/>
      </w:pPr>
      <w:rPr>
        <w:rFonts w:ascii="Symbol" w:hAnsi="Symbol"/>
      </w:rPr>
    </w:lvl>
    <w:lvl w:ilvl="3" w:tplc="AF306210">
      <w:start w:val="1"/>
      <w:numFmt w:val="bullet"/>
      <w:lvlText w:val=""/>
      <w:lvlJc w:val="left"/>
      <w:pPr>
        <w:ind w:left="2160" w:hanging="360"/>
      </w:pPr>
      <w:rPr>
        <w:rFonts w:ascii="Symbol" w:hAnsi="Symbol"/>
      </w:rPr>
    </w:lvl>
    <w:lvl w:ilvl="4" w:tplc="97E6C1C8">
      <w:start w:val="1"/>
      <w:numFmt w:val="bullet"/>
      <w:lvlText w:val=""/>
      <w:lvlJc w:val="left"/>
      <w:pPr>
        <w:ind w:left="2160" w:hanging="360"/>
      </w:pPr>
      <w:rPr>
        <w:rFonts w:ascii="Symbol" w:hAnsi="Symbol"/>
      </w:rPr>
    </w:lvl>
    <w:lvl w:ilvl="5" w:tplc="99F82532">
      <w:start w:val="1"/>
      <w:numFmt w:val="bullet"/>
      <w:lvlText w:val=""/>
      <w:lvlJc w:val="left"/>
      <w:pPr>
        <w:ind w:left="2160" w:hanging="360"/>
      </w:pPr>
      <w:rPr>
        <w:rFonts w:ascii="Symbol" w:hAnsi="Symbol"/>
      </w:rPr>
    </w:lvl>
    <w:lvl w:ilvl="6" w:tplc="493E1BBE">
      <w:start w:val="1"/>
      <w:numFmt w:val="bullet"/>
      <w:lvlText w:val=""/>
      <w:lvlJc w:val="left"/>
      <w:pPr>
        <w:ind w:left="2160" w:hanging="360"/>
      </w:pPr>
      <w:rPr>
        <w:rFonts w:ascii="Symbol" w:hAnsi="Symbol"/>
      </w:rPr>
    </w:lvl>
    <w:lvl w:ilvl="7" w:tplc="A6EC3A3C">
      <w:start w:val="1"/>
      <w:numFmt w:val="bullet"/>
      <w:lvlText w:val=""/>
      <w:lvlJc w:val="left"/>
      <w:pPr>
        <w:ind w:left="2160" w:hanging="360"/>
      </w:pPr>
      <w:rPr>
        <w:rFonts w:ascii="Symbol" w:hAnsi="Symbol"/>
      </w:rPr>
    </w:lvl>
    <w:lvl w:ilvl="8" w:tplc="873C8C12">
      <w:start w:val="1"/>
      <w:numFmt w:val="bullet"/>
      <w:lvlText w:val=""/>
      <w:lvlJc w:val="left"/>
      <w:pPr>
        <w:ind w:left="2160" w:hanging="360"/>
      </w:pPr>
      <w:rPr>
        <w:rFonts w:ascii="Symbol" w:hAnsi="Symbol"/>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85BDE"/>
    <w:multiLevelType w:val="hybridMultilevel"/>
    <w:tmpl w:val="C47E94A2"/>
    <w:lvl w:ilvl="0" w:tplc="687CEC32">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725D26"/>
    <w:multiLevelType w:val="hybridMultilevel"/>
    <w:tmpl w:val="95DC7D8C"/>
    <w:lvl w:ilvl="0" w:tplc="5816D19A">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7" w15:restartNumberingAfterBreak="0">
    <w:nsid w:val="265A0C0C"/>
    <w:multiLevelType w:val="hybridMultilevel"/>
    <w:tmpl w:val="2F540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DF60EE"/>
    <w:multiLevelType w:val="hybridMultilevel"/>
    <w:tmpl w:val="BF62C72C"/>
    <w:lvl w:ilvl="0" w:tplc="5816D19A">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2E2A41FA"/>
    <w:multiLevelType w:val="hybridMultilevel"/>
    <w:tmpl w:val="16D65E4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1105FF5"/>
    <w:multiLevelType w:val="hybridMultilevel"/>
    <w:tmpl w:val="2A10FE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1F7ABD"/>
    <w:multiLevelType w:val="multilevel"/>
    <w:tmpl w:val="EFA2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25715F"/>
    <w:multiLevelType w:val="hybridMultilevel"/>
    <w:tmpl w:val="3D705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0A0D29"/>
    <w:multiLevelType w:val="hybridMultilevel"/>
    <w:tmpl w:val="20744C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A1A2EC3"/>
    <w:multiLevelType w:val="hybridMultilevel"/>
    <w:tmpl w:val="A438A13A"/>
    <w:lvl w:ilvl="0" w:tplc="6BA2AA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9A1254"/>
    <w:multiLevelType w:val="hybridMultilevel"/>
    <w:tmpl w:val="A0D0F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A24C8A"/>
    <w:multiLevelType w:val="hybridMultilevel"/>
    <w:tmpl w:val="2CFE6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D96BE3"/>
    <w:multiLevelType w:val="hybridMultilevel"/>
    <w:tmpl w:val="C5B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E10280"/>
    <w:multiLevelType w:val="hybridMultilevel"/>
    <w:tmpl w:val="3668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48454CC2"/>
    <w:multiLevelType w:val="hybridMultilevel"/>
    <w:tmpl w:val="06346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E526C8"/>
    <w:multiLevelType w:val="hybridMultilevel"/>
    <w:tmpl w:val="05D2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F57732"/>
    <w:multiLevelType w:val="hybridMultilevel"/>
    <w:tmpl w:val="9C68AB54"/>
    <w:lvl w:ilvl="0" w:tplc="47B8BF54">
      <w:start w:val="1"/>
      <w:numFmt w:val="bullet"/>
      <w:lvlText w:val=""/>
      <w:lvlJc w:val="left"/>
      <w:pPr>
        <w:ind w:left="1440" w:hanging="360"/>
      </w:pPr>
      <w:rPr>
        <w:rFonts w:ascii="Symbol" w:hAnsi="Symbol"/>
      </w:rPr>
    </w:lvl>
    <w:lvl w:ilvl="1" w:tplc="4C30212C">
      <w:start w:val="1"/>
      <w:numFmt w:val="bullet"/>
      <w:lvlText w:val=""/>
      <w:lvlJc w:val="left"/>
      <w:pPr>
        <w:ind w:left="2160" w:hanging="360"/>
      </w:pPr>
      <w:rPr>
        <w:rFonts w:ascii="Symbol" w:hAnsi="Symbol"/>
      </w:rPr>
    </w:lvl>
    <w:lvl w:ilvl="2" w:tplc="D06C463E">
      <w:start w:val="1"/>
      <w:numFmt w:val="bullet"/>
      <w:lvlText w:val=""/>
      <w:lvlJc w:val="left"/>
      <w:pPr>
        <w:ind w:left="1440" w:hanging="360"/>
      </w:pPr>
      <w:rPr>
        <w:rFonts w:ascii="Symbol" w:hAnsi="Symbol"/>
      </w:rPr>
    </w:lvl>
    <w:lvl w:ilvl="3" w:tplc="40FA4186">
      <w:start w:val="1"/>
      <w:numFmt w:val="bullet"/>
      <w:lvlText w:val=""/>
      <w:lvlJc w:val="left"/>
      <w:pPr>
        <w:ind w:left="1440" w:hanging="360"/>
      </w:pPr>
      <w:rPr>
        <w:rFonts w:ascii="Symbol" w:hAnsi="Symbol"/>
      </w:rPr>
    </w:lvl>
    <w:lvl w:ilvl="4" w:tplc="0404774A">
      <w:start w:val="1"/>
      <w:numFmt w:val="bullet"/>
      <w:lvlText w:val=""/>
      <w:lvlJc w:val="left"/>
      <w:pPr>
        <w:ind w:left="1440" w:hanging="360"/>
      </w:pPr>
      <w:rPr>
        <w:rFonts w:ascii="Symbol" w:hAnsi="Symbol"/>
      </w:rPr>
    </w:lvl>
    <w:lvl w:ilvl="5" w:tplc="C76CF4F8">
      <w:start w:val="1"/>
      <w:numFmt w:val="bullet"/>
      <w:lvlText w:val=""/>
      <w:lvlJc w:val="left"/>
      <w:pPr>
        <w:ind w:left="1440" w:hanging="360"/>
      </w:pPr>
      <w:rPr>
        <w:rFonts w:ascii="Symbol" w:hAnsi="Symbol"/>
      </w:rPr>
    </w:lvl>
    <w:lvl w:ilvl="6" w:tplc="99EC759C">
      <w:start w:val="1"/>
      <w:numFmt w:val="bullet"/>
      <w:lvlText w:val=""/>
      <w:lvlJc w:val="left"/>
      <w:pPr>
        <w:ind w:left="1440" w:hanging="360"/>
      </w:pPr>
      <w:rPr>
        <w:rFonts w:ascii="Symbol" w:hAnsi="Symbol"/>
      </w:rPr>
    </w:lvl>
    <w:lvl w:ilvl="7" w:tplc="5F9091D6">
      <w:start w:val="1"/>
      <w:numFmt w:val="bullet"/>
      <w:lvlText w:val=""/>
      <w:lvlJc w:val="left"/>
      <w:pPr>
        <w:ind w:left="1440" w:hanging="360"/>
      </w:pPr>
      <w:rPr>
        <w:rFonts w:ascii="Symbol" w:hAnsi="Symbol"/>
      </w:rPr>
    </w:lvl>
    <w:lvl w:ilvl="8" w:tplc="3080219C">
      <w:start w:val="1"/>
      <w:numFmt w:val="bullet"/>
      <w:lvlText w:val=""/>
      <w:lvlJc w:val="left"/>
      <w:pPr>
        <w:ind w:left="1440" w:hanging="360"/>
      </w:pPr>
      <w:rPr>
        <w:rFonts w:ascii="Symbol" w:hAnsi="Symbol"/>
      </w:rPr>
    </w:lvl>
  </w:abstractNum>
  <w:abstractNum w:abstractNumId="37" w15:restartNumberingAfterBreak="0">
    <w:nsid w:val="523337F7"/>
    <w:multiLevelType w:val="hybridMultilevel"/>
    <w:tmpl w:val="99A8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7B7749"/>
    <w:multiLevelType w:val="multilevel"/>
    <w:tmpl w:val="1F2C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2FB1C56"/>
    <w:multiLevelType w:val="hybridMultilevel"/>
    <w:tmpl w:val="7A72D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0C2625"/>
    <w:multiLevelType w:val="hybridMultilevel"/>
    <w:tmpl w:val="4A2012A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1D15C4"/>
    <w:multiLevelType w:val="hybridMultilevel"/>
    <w:tmpl w:val="5A98DF8A"/>
    <w:lvl w:ilvl="0" w:tplc="53126D26">
      <w:start w:val="1"/>
      <w:numFmt w:val="bullet"/>
      <w:lvlText w:val=""/>
      <w:lvlJc w:val="left"/>
      <w:pPr>
        <w:ind w:left="2160" w:hanging="360"/>
      </w:pPr>
      <w:rPr>
        <w:rFonts w:ascii="Symbol" w:hAnsi="Symbol"/>
      </w:rPr>
    </w:lvl>
    <w:lvl w:ilvl="1" w:tplc="AEA47DF4">
      <w:start w:val="1"/>
      <w:numFmt w:val="bullet"/>
      <w:lvlText w:val=""/>
      <w:lvlJc w:val="left"/>
      <w:pPr>
        <w:ind w:left="2160" w:hanging="360"/>
      </w:pPr>
      <w:rPr>
        <w:rFonts w:ascii="Symbol" w:hAnsi="Symbol"/>
      </w:rPr>
    </w:lvl>
    <w:lvl w:ilvl="2" w:tplc="765E77DE">
      <w:start w:val="1"/>
      <w:numFmt w:val="bullet"/>
      <w:lvlText w:val=""/>
      <w:lvlJc w:val="left"/>
      <w:pPr>
        <w:ind w:left="2160" w:hanging="360"/>
      </w:pPr>
      <w:rPr>
        <w:rFonts w:ascii="Symbol" w:hAnsi="Symbol"/>
      </w:rPr>
    </w:lvl>
    <w:lvl w:ilvl="3" w:tplc="EED4E932">
      <w:start w:val="1"/>
      <w:numFmt w:val="bullet"/>
      <w:lvlText w:val=""/>
      <w:lvlJc w:val="left"/>
      <w:pPr>
        <w:ind w:left="2160" w:hanging="360"/>
      </w:pPr>
      <w:rPr>
        <w:rFonts w:ascii="Symbol" w:hAnsi="Symbol"/>
      </w:rPr>
    </w:lvl>
    <w:lvl w:ilvl="4" w:tplc="C5CCC296">
      <w:start w:val="1"/>
      <w:numFmt w:val="bullet"/>
      <w:lvlText w:val=""/>
      <w:lvlJc w:val="left"/>
      <w:pPr>
        <w:ind w:left="2160" w:hanging="360"/>
      </w:pPr>
      <w:rPr>
        <w:rFonts w:ascii="Symbol" w:hAnsi="Symbol"/>
      </w:rPr>
    </w:lvl>
    <w:lvl w:ilvl="5" w:tplc="74AE9178">
      <w:start w:val="1"/>
      <w:numFmt w:val="bullet"/>
      <w:lvlText w:val=""/>
      <w:lvlJc w:val="left"/>
      <w:pPr>
        <w:ind w:left="2160" w:hanging="360"/>
      </w:pPr>
      <w:rPr>
        <w:rFonts w:ascii="Symbol" w:hAnsi="Symbol"/>
      </w:rPr>
    </w:lvl>
    <w:lvl w:ilvl="6" w:tplc="56706422">
      <w:start w:val="1"/>
      <w:numFmt w:val="bullet"/>
      <w:lvlText w:val=""/>
      <w:lvlJc w:val="left"/>
      <w:pPr>
        <w:ind w:left="2160" w:hanging="360"/>
      </w:pPr>
      <w:rPr>
        <w:rFonts w:ascii="Symbol" w:hAnsi="Symbol"/>
      </w:rPr>
    </w:lvl>
    <w:lvl w:ilvl="7" w:tplc="CA8A8756">
      <w:start w:val="1"/>
      <w:numFmt w:val="bullet"/>
      <w:lvlText w:val=""/>
      <w:lvlJc w:val="left"/>
      <w:pPr>
        <w:ind w:left="2160" w:hanging="360"/>
      </w:pPr>
      <w:rPr>
        <w:rFonts w:ascii="Symbol" w:hAnsi="Symbol"/>
      </w:rPr>
    </w:lvl>
    <w:lvl w:ilvl="8" w:tplc="6C8E1B12">
      <w:start w:val="1"/>
      <w:numFmt w:val="bullet"/>
      <w:lvlText w:val=""/>
      <w:lvlJc w:val="left"/>
      <w:pPr>
        <w:ind w:left="2160" w:hanging="360"/>
      </w:pPr>
      <w:rPr>
        <w:rFonts w:ascii="Symbol" w:hAnsi="Symbol"/>
      </w:rPr>
    </w:lvl>
  </w:abstractNum>
  <w:abstractNum w:abstractNumId="42" w15:restartNumberingAfterBreak="0">
    <w:nsid w:val="5BBC073F"/>
    <w:multiLevelType w:val="hybridMultilevel"/>
    <w:tmpl w:val="4970A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A979E6"/>
    <w:multiLevelType w:val="hybridMultilevel"/>
    <w:tmpl w:val="117AD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512EA7"/>
    <w:multiLevelType w:val="hybridMultilevel"/>
    <w:tmpl w:val="DB3C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975CF9"/>
    <w:multiLevelType w:val="hybridMultilevel"/>
    <w:tmpl w:val="E084A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2C55C15"/>
    <w:multiLevelType w:val="hybridMultilevel"/>
    <w:tmpl w:val="A8EE1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58566EF"/>
    <w:multiLevelType w:val="hybridMultilevel"/>
    <w:tmpl w:val="5C4A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2D2BB2"/>
    <w:multiLevelType w:val="hybridMultilevel"/>
    <w:tmpl w:val="1D2C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2E0243"/>
    <w:multiLevelType w:val="hybridMultilevel"/>
    <w:tmpl w:val="F1BC6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D056AD"/>
    <w:multiLevelType w:val="hybridMultilevel"/>
    <w:tmpl w:val="CAC6B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320C60"/>
    <w:multiLevelType w:val="hybridMultilevel"/>
    <w:tmpl w:val="6D98CC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B35FAA"/>
    <w:multiLevelType w:val="hybridMultilevel"/>
    <w:tmpl w:val="AC7C9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3DD2D5C"/>
    <w:multiLevelType w:val="hybridMultilevel"/>
    <w:tmpl w:val="A7BE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DA256B"/>
    <w:multiLevelType w:val="hybridMultilevel"/>
    <w:tmpl w:val="52E2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53D691B"/>
    <w:multiLevelType w:val="multilevel"/>
    <w:tmpl w:val="0BA2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5A4642"/>
    <w:multiLevelType w:val="multilevel"/>
    <w:tmpl w:val="0940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C976EB6"/>
    <w:multiLevelType w:val="hybridMultilevel"/>
    <w:tmpl w:val="2D58F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749109160">
    <w:abstractNumId w:val="26"/>
  </w:num>
  <w:num w:numId="2" w16cid:durableId="1270162788">
    <w:abstractNumId w:val="60"/>
  </w:num>
  <w:num w:numId="3" w16cid:durableId="1754930659">
    <w:abstractNumId w:val="9"/>
  </w:num>
  <w:num w:numId="4" w16cid:durableId="410388863">
    <w:abstractNumId w:val="16"/>
  </w:num>
  <w:num w:numId="5" w16cid:durableId="1821774551">
    <w:abstractNumId w:val="57"/>
  </w:num>
  <w:num w:numId="6" w16cid:durableId="758334604">
    <w:abstractNumId w:val="18"/>
  </w:num>
  <w:num w:numId="7" w16cid:durableId="1414619933">
    <w:abstractNumId w:val="20"/>
  </w:num>
  <w:num w:numId="8" w16cid:durableId="747844684">
    <w:abstractNumId w:val="23"/>
  </w:num>
  <w:num w:numId="9" w16cid:durableId="1180662619">
    <w:abstractNumId w:val="33"/>
  </w:num>
  <w:num w:numId="10" w16cid:durableId="627315842">
    <w:abstractNumId w:val="52"/>
  </w:num>
  <w:num w:numId="11" w16cid:durableId="29652964">
    <w:abstractNumId w:val="27"/>
  </w:num>
  <w:num w:numId="12" w16cid:durableId="36667371">
    <w:abstractNumId w:val="5"/>
  </w:num>
  <w:num w:numId="13" w16cid:durableId="2024238075">
    <w:abstractNumId w:val="42"/>
  </w:num>
  <w:num w:numId="14" w16cid:durableId="1325741698">
    <w:abstractNumId w:val="46"/>
  </w:num>
  <w:num w:numId="15" w16cid:durableId="544215397">
    <w:abstractNumId w:val="10"/>
  </w:num>
  <w:num w:numId="16" w16cid:durableId="1852332951">
    <w:abstractNumId w:val="53"/>
  </w:num>
  <w:num w:numId="17" w16cid:durableId="1675917769">
    <w:abstractNumId w:val="54"/>
  </w:num>
  <w:num w:numId="18" w16cid:durableId="1134952670">
    <w:abstractNumId w:val="59"/>
  </w:num>
  <w:num w:numId="19" w16cid:durableId="733314359">
    <w:abstractNumId w:val="4"/>
  </w:num>
  <w:num w:numId="20" w16cid:durableId="1049692690">
    <w:abstractNumId w:val="55"/>
  </w:num>
  <w:num w:numId="21" w16cid:durableId="223373161">
    <w:abstractNumId w:val="1"/>
  </w:num>
  <w:num w:numId="22" w16cid:durableId="1501702908">
    <w:abstractNumId w:val="34"/>
  </w:num>
  <w:num w:numId="23" w16cid:durableId="1412311447">
    <w:abstractNumId w:val="30"/>
  </w:num>
  <w:num w:numId="24" w16cid:durableId="1520776779">
    <w:abstractNumId w:val="17"/>
  </w:num>
  <w:num w:numId="25" w16cid:durableId="955210306">
    <w:abstractNumId w:val="50"/>
  </w:num>
  <w:num w:numId="26" w16cid:durableId="78523410">
    <w:abstractNumId w:val="6"/>
  </w:num>
  <w:num w:numId="27" w16cid:durableId="1865751932">
    <w:abstractNumId w:val="39"/>
  </w:num>
  <w:num w:numId="28" w16cid:durableId="1420365038">
    <w:abstractNumId w:val="15"/>
  </w:num>
  <w:num w:numId="29" w16cid:durableId="1071346904">
    <w:abstractNumId w:val="47"/>
  </w:num>
  <w:num w:numId="30" w16cid:durableId="20206699">
    <w:abstractNumId w:val="31"/>
  </w:num>
  <w:num w:numId="31" w16cid:durableId="1112214319">
    <w:abstractNumId w:val="25"/>
  </w:num>
  <w:num w:numId="32" w16cid:durableId="1362635105">
    <w:abstractNumId w:val="19"/>
  </w:num>
  <w:num w:numId="33" w16cid:durableId="1238709928">
    <w:abstractNumId w:val="21"/>
  </w:num>
  <w:num w:numId="34" w16cid:durableId="1363745807">
    <w:abstractNumId w:val="11"/>
  </w:num>
  <w:num w:numId="35" w16cid:durableId="1524631732">
    <w:abstractNumId w:val="8"/>
  </w:num>
  <w:num w:numId="36" w16cid:durableId="137379601">
    <w:abstractNumId w:val="29"/>
  </w:num>
  <w:num w:numId="37" w16cid:durableId="1757818649">
    <w:abstractNumId w:val="36"/>
  </w:num>
  <w:num w:numId="38" w16cid:durableId="1973173456">
    <w:abstractNumId w:val="41"/>
  </w:num>
  <w:num w:numId="39" w16cid:durableId="469251631">
    <w:abstractNumId w:val="12"/>
  </w:num>
  <w:num w:numId="40" w16cid:durableId="1094279463">
    <w:abstractNumId w:val="40"/>
  </w:num>
  <w:num w:numId="41" w16cid:durableId="2119793940">
    <w:abstractNumId w:val="22"/>
  </w:num>
  <w:num w:numId="42" w16cid:durableId="1387294280">
    <w:abstractNumId w:val="0"/>
  </w:num>
  <w:num w:numId="43" w16cid:durableId="892540140">
    <w:abstractNumId w:val="44"/>
  </w:num>
  <w:num w:numId="44" w16cid:durableId="10843563">
    <w:abstractNumId w:val="43"/>
  </w:num>
  <w:num w:numId="45" w16cid:durableId="1962609525">
    <w:abstractNumId w:val="13"/>
  </w:num>
  <w:num w:numId="46" w16cid:durableId="987585807">
    <w:abstractNumId w:val="49"/>
  </w:num>
  <w:num w:numId="47" w16cid:durableId="1204750473">
    <w:abstractNumId w:val="2"/>
  </w:num>
  <w:num w:numId="48" w16cid:durableId="772820599">
    <w:abstractNumId w:val="45"/>
  </w:num>
  <w:num w:numId="49" w16cid:durableId="1900628977">
    <w:abstractNumId w:val="37"/>
  </w:num>
  <w:num w:numId="50" w16cid:durableId="547112214">
    <w:abstractNumId w:val="35"/>
  </w:num>
  <w:num w:numId="51" w16cid:durableId="672875126">
    <w:abstractNumId w:val="32"/>
  </w:num>
  <w:num w:numId="52" w16cid:durableId="1090346778">
    <w:abstractNumId w:val="7"/>
  </w:num>
  <w:num w:numId="53" w16cid:durableId="2109419767">
    <w:abstractNumId w:val="28"/>
  </w:num>
  <w:num w:numId="54" w16cid:durableId="389890913">
    <w:abstractNumId w:val="14"/>
  </w:num>
  <w:num w:numId="55" w16cid:durableId="1502309693">
    <w:abstractNumId w:val="58"/>
  </w:num>
  <w:num w:numId="56" w16cid:durableId="1063866446">
    <w:abstractNumId w:val="3"/>
  </w:num>
  <w:num w:numId="57" w16cid:durableId="136728405">
    <w:abstractNumId w:val="56"/>
  </w:num>
  <w:num w:numId="58" w16cid:durableId="1103263870">
    <w:abstractNumId w:val="24"/>
  </w:num>
  <w:num w:numId="59" w16cid:durableId="211621034">
    <w:abstractNumId w:val="38"/>
  </w:num>
  <w:num w:numId="60" w16cid:durableId="1252542397">
    <w:abstractNumId w:val="51"/>
  </w:num>
  <w:num w:numId="61" w16cid:durableId="1228422593">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0MDK0sLQ0NzIzsTBW0lEKTi0uzszPAykwrQUAEmvZyywAAAA="/>
  </w:docVars>
  <w:rsids>
    <w:rsidRoot w:val="008157F1"/>
    <w:rsid w:val="00000232"/>
    <w:rsid w:val="000002B1"/>
    <w:rsid w:val="00000457"/>
    <w:rsid w:val="000006B1"/>
    <w:rsid w:val="00000768"/>
    <w:rsid w:val="0000106B"/>
    <w:rsid w:val="0000109A"/>
    <w:rsid w:val="000011D0"/>
    <w:rsid w:val="000017C6"/>
    <w:rsid w:val="00001876"/>
    <w:rsid w:val="00001AC8"/>
    <w:rsid w:val="00001AE6"/>
    <w:rsid w:val="00001D55"/>
    <w:rsid w:val="00002772"/>
    <w:rsid w:val="00002A8F"/>
    <w:rsid w:val="00002B55"/>
    <w:rsid w:val="00002D26"/>
    <w:rsid w:val="0000312B"/>
    <w:rsid w:val="00003162"/>
    <w:rsid w:val="00003278"/>
    <w:rsid w:val="00003325"/>
    <w:rsid w:val="000033D4"/>
    <w:rsid w:val="0000344D"/>
    <w:rsid w:val="000038A3"/>
    <w:rsid w:val="0000392A"/>
    <w:rsid w:val="00003C37"/>
    <w:rsid w:val="0000412E"/>
    <w:rsid w:val="00004D69"/>
    <w:rsid w:val="00004F7F"/>
    <w:rsid w:val="0000515B"/>
    <w:rsid w:val="000054A8"/>
    <w:rsid w:val="000054C9"/>
    <w:rsid w:val="00005563"/>
    <w:rsid w:val="0000570A"/>
    <w:rsid w:val="000058FE"/>
    <w:rsid w:val="0000610F"/>
    <w:rsid w:val="000065F7"/>
    <w:rsid w:val="000066A5"/>
    <w:rsid w:val="000066BB"/>
    <w:rsid w:val="00006844"/>
    <w:rsid w:val="00006B36"/>
    <w:rsid w:val="000071CA"/>
    <w:rsid w:val="000073A3"/>
    <w:rsid w:val="00007856"/>
    <w:rsid w:val="000078D8"/>
    <w:rsid w:val="00007BD8"/>
    <w:rsid w:val="00007C25"/>
    <w:rsid w:val="00007E1F"/>
    <w:rsid w:val="0001062E"/>
    <w:rsid w:val="00010A3A"/>
    <w:rsid w:val="00010C86"/>
    <w:rsid w:val="00010E2C"/>
    <w:rsid w:val="000113CB"/>
    <w:rsid w:val="00011568"/>
    <w:rsid w:val="000118C9"/>
    <w:rsid w:val="000118EB"/>
    <w:rsid w:val="000119CD"/>
    <w:rsid w:val="00011FDB"/>
    <w:rsid w:val="00012CC1"/>
    <w:rsid w:val="00012E9F"/>
    <w:rsid w:val="000132D5"/>
    <w:rsid w:val="000134E5"/>
    <w:rsid w:val="00013579"/>
    <w:rsid w:val="00013945"/>
    <w:rsid w:val="000139C8"/>
    <w:rsid w:val="00013A5E"/>
    <w:rsid w:val="00013CB9"/>
    <w:rsid w:val="000141EE"/>
    <w:rsid w:val="000144A6"/>
    <w:rsid w:val="00014974"/>
    <w:rsid w:val="00014E8F"/>
    <w:rsid w:val="00014F74"/>
    <w:rsid w:val="00015994"/>
    <w:rsid w:val="00015B3F"/>
    <w:rsid w:val="00015ED5"/>
    <w:rsid w:val="000161E7"/>
    <w:rsid w:val="000165AF"/>
    <w:rsid w:val="0001683F"/>
    <w:rsid w:val="0001700B"/>
    <w:rsid w:val="00017194"/>
    <w:rsid w:val="00017638"/>
    <w:rsid w:val="00017758"/>
    <w:rsid w:val="00017C33"/>
    <w:rsid w:val="0002029A"/>
    <w:rsid w:val="000204C3"/>
    <w:rsid w:val="00020716"/>
    <w:rsid w:val="000208CA"/>
    <w:rsid w:val="00020D3F"/>
    <w:rsid w:val="00020E67"/>
    <w:rsid w:val="0002100B"/>
    <w:rsid w:val="0002107B"/>
    <w:rsid w:val="000215BA"/>
    <w:rsid w:val="00021B1C"/>
    <w:rsid w:val="00022316"/>
    <w:rsid w:val="0002270C"/>
    <w:rsid w:val="0002286B"/>
    <w:rsid w:val="000228B8"/>
    <w:rsid w:val="000229C2"/>
    <w:rsid w:val="00022F6F"/>
    <w:rsid w:val="00023220"/>
    <w:rsid w:val="000236AD"/>
    <w:rsid w:val="0002381B"/>
    <w:rsid w:val="0002399B"/>
    <w:rsid w:val="00023A6E"/>
    <w:rsid w:val="00024480"/>
    <w:rsid w:val="00024A52"/>
    <w:rsid w:val="00024EA5"/>
    <w:rsid w:val="00026255"/>
    <w:rsid w:val="00026703"/>
    <w:rsid w:val="000267B5"/>
    <w:rsid w:val="00026C89"/>
    <w:rsid w:val="00026CE0"/>
    <w:rsid w:val="00026D99"/>
    <w:rsid w:val="00026FAB"/>
    <w:rsid w:val="0002755F"/>
    <w:rsid w:val="000276AA"/>
    <w:rsid w:val="00027B6F"/>
    <w:rsid w:val="000303A9"/>
    <w:rsid w:val="000304E9"/>
    <w:rsid w:val="00030524"/>
    <w:rsid w:val="00030994"/>
    <w:rsid w:val="000310C5"/>
    <w:rsid w:val="000311AF"/>
    <w:rsid w:val="00031324"/>
    <w:rsid w:val="00031379"/>
    <w:rsid w:val="00031797"/>
    <w:rsid w:val="00032131"/>
    <w:rsid w:val="00032313"/>
    <w:rsid w:val="00032763"/>
    <w:rsid w:val="00032CB8"/>
    <w:rsid w:val="00032D12"/>
    <w:rsid w:val="0003301E"/>
    <w:rsid w:val="000332BE"/>
    <w:rsid w:val="000332E3"/>
    <w:rsid w:val="000333B0"/>
    <w:rsid w:val="00033B82"/>
    <w:rsid w:val="00033C9A"/>
    <w:rsid w:val="0003423A"/>
    <w:rsid w:val="000343A6"/>
    <w:rsid w:val="0003451F"/>
    <w:rsid w:val="00034617"/>
    <w:rsid w:val="0003477F"/>
    <w:rsid w:val="00034E6C"/>
    <w:rsid w:val="000351FF"/>
    <w:rsid w:val="000355B3"/>
    <w:rsid w:val="0003563D"/>
    <w:rsid w:val="00035839"/>
    <w:rsid w:val="00035844"/>
    <w:rsid w:val="00035856"/>
    <w:rsid w:val="000358EA"/>
    <w:rsid w:val="00035E61"/>
    <w:rsid w:val="000360B4"/>
    <w:rsid w:val="000369CA"/>
    <w:rsid w:val="00036AC7"/>
    <w:rsid w:val="00036AD7"/>
    <w:rsid w:val="00036AD8"/>
    <w:rsid w:val="00036DD9"/>
    <w:rsid w:val="00037037"/>
    <w:rsid w:val="00037302"/>
    <w:rsid w:val="00037E6A"/>
    <w:rsid w:val="0004005D"/>
    <w:rsid w:val="000406D4"/>
    <w:rsid w:val="00040ADF"/>
    <w:rsid w:val="00040F81"/>
    <w:rsid w:val="00040FB4"/>
    <w:rsid w:val="00040FD7"/>
    <w:rsid w:val="00041669"/>
    <w:rsid w:val="0004178C"/>
    <w:rsid w:val="0004180D"/>
    <w:rsid w:val="000419BE"/>
    <w:rsid w:val="00041C42"/>
    <w:rsid w:val="00041EEC"/>
    <w:rsid w:val="00041F5D"/>
    <w:rsid w:val="00042322"/>
    <w:rsid w:val="0004243D"/>
    <w:rsid w:val="00042839"/>
    <w:rsid w:val="00042910"/>
    <w:rsid w:val="00042ACA"/>
    <w:rsid w:val="00042B2A"/>
    <w:rsid w:val="00042BAE"/>
    <w:rsid w:val="00042DB1"/>
    <w:rsid w:val="00042DF2"/>
    <w:rsid w:val="0004338F"/>
    <w:rsid w:val="000434DE"/>
    <w:rsid w:val="00043564"/>
    <w:rsid w:val="0004382A"/>
    <w:rsid w:val="00043CB1"/>
    <w:rsid w:val="000443A6"/>
    <w:rsid w:val="000449D1"/>
    <w:rsid w:val="00044A9F"/>
    <w:rsid w:val="00044B1C"/>
    <w:rsid w:val="00044EEF"/>
    <w:rsid w:val="000450CA"/>
    <w:rsid w:val="000451FB"/>
    <w:rsid w:val="00045B8D"/>
    <w:rsid w:val="00045CC5"/>
    <w:rsid w:val="00045DD9"/>
    <w:rsid w:val="0004647F"/>
    <w:rsid w:val="000466B2"/>
    <w:rsid w:val="000467E8"/>
    <w:rsid w:val="00046B6A"/>
    <w:rsid w:val="00046BB1"/>
    <w:rsid w:val="00046F5B"/>
    <w:rsid w:val="000472D4"/>
    <w:rsid w:val="000477DF"/>
    <w:rsid w:val="00047B56"/>
    <w:rsid w:val="00047FAE"/>
    <w:rsid w:val="000500AF"/>
    <w:rsid w:val="000502CE"/>
    <w:rsid w:val="0005062C"/>
    <w:rsid w:val="0005081D"/>
    <w:rsid w:val="000508F2"/>
    <w:rsid w:val="00051292"/>
    <w:rsid w:val="00051322"/>
    <w:rsid w:val="00051CB6"/>
    <w:rsid w:val="00051E8F"/>
    <w:rsid w:val="00052964"/>
    <w:rsid w:val="00052BCB"/>
    <w:rsid w:val="00052CD9"/>
    <w:rsid w:val="00052DB7"/>
    <w:rsid w:val="00052DD3"/>
    <w:rsid w:val="0005326D"/>
    <w:rsid w:val="00053AA4"/>
    <w:rsid w:val="00053D85"/>
    <w:rsid w:val="00053F6C"/>
    <w:rsid w:val="00054015"/>
    <w:rsid w:val="0005426B"/>
    <w:rsid w:val="000544DD"/>
    <w:rsid w:val="00054ACA"/>
    <w:rsid w:val="00054D13"/>
    <w:rsid w:val="0005507C"/>
    <w:rsid w:val="000551C1"/>
    <w:rsid w:val="00055256"/>
    <w:rsid w:val="00055520"/>
    <w:rsid w:val="0005591C"/>
    <w:rsid w:val="00055D3F"/>
    <w:rsid w:val="0005607B"/>
    <w:rsid w:val="0005621D"/>
    <w:rsid w:val="000562FD"/>
    <w:rsid w:val="0005630E"/>
    <w:rsid w:val="000565C5"/>
    <w:rsid w:val="00056603"/>
    <w:rsid w:val="00056A40"/>
    <w:rsid w:val="00056F9E"/>
    <w:rsid w:val="00056FC7"/>
    <w:rsid w:val="00057308"/>
    <w:rsid w:val="000575C1"/>
    <w:rsid w:val="00057973"/>
    <w:rsid w:val="00057ED7"/>
    <w:rsid w:val="00060072"/>
    <w:rsid w:val="00060D45"/>
    <w:rsid w:val="00060EBA"/>
    <w:rsid w:val="000613D0"/>
    <w:rsid w:val="00061706"/>
    <w:rsid w:val="0006188D"/>
    <w:rsid w:val="00061A45"/>
    <w:rsid w:val="00061C40"/>
    <w:rsid w:val="00061CB0"/>
    <w:rsid w:val="00061F3B"/>
    <w:rsid w:val="0006246C"/>
    <w:rsid w:val="00062BD0"/>
    <w:rsid w:val="00062C6C"/>
    <w:rsid w:val="00062C7B"/>
    <w:rsid w:val="00062ECB"/>
    <w:rsid w:val="0006339C"/>
    <w:rsid w:val="00063618"/>
    <w:rsid w:val="00063655"/>
    <w:rsid w:val="000636D1"/>
    <w:rsid w:val="00063B3D"/>
    <w:rsid w:val="00063DB7"/>
    <w:rsid w:val="00063DCF"/>
    <w:rsid w:val="00064179"/>
    <w:rsid w:val="000642CC"/>
    <w:rsid w:val="00064318"/>
    <w:rsid w:val="0006462D"/>
    <w:rsid w:val="00064783"/>
    <w:rsid w:val="000647C2"/>
    <w:rsid w:val="00064980"/>
    <w:rsid w:val="00064D31"/>
    <w:rsid w:val="00064DAC"/>
    <w:rsid w:val="000651C1"/>
    <w:rsid w:val="000652B8"/>
    <w:rsid w:val="000653F6"/>
    <w:rsid w:val="000656EA"/>
    <w:rsid w:val="00065B65"/>
    <w:rsid w:val="00065D25"/>
    <w:rsid w:val="00066332"/>
    <w:rsid w:val="00066E8B"/>
    <w:rsid w:val="0006774F"/>
    <w:rsid w:val="00067DF4"/>
    <w:rsid w:val="0007021F"/>
    <w:rsid w:val="000703D3"/>
    <w:rsid w:val="00070562"/>
    <w:rsid w:val="000709A0"/>
    <w:rsid w:val="000709D3"/>
    <w:rsid w:val="000709EC"/>
    <w:rsid w:val="00070CC5"/>
    <w:rsid w:val="00071048"/>
    <w:rsid w:val="00071824"/>
    <w:rsid w:val="00072148"/>
    <w:rsid w:val="0007284E"/>
    <w:rsid w:val="00072DA9"/>
    <w:rsid w:val="00072EBE"/>
    <w:rsid w:val="00072EC2"/>
    <w:rsid w:val="00073195"/>
    <w:rsid w:val="000732C1"/>
    <w:rsid w:val="00073344"/>
    <w:rsid w:val="00073905"/>
    <w:rsid w:val="0007392D"/>
    <w:rsid w:val="00073EAA"/>
    <w:rsid w:val="00074199"/>
    <w:rsid w:val="000746DA"/>
    <w:rsid w:val="000746F8"/>
    <w:rsid w:val="000747A5"/>
    <w:rsid w:val="00074B3F"/>
    <w:rsid w:val="00074DD5"/>
    <w:rsid w:val="000754B8"/>
    <w:rsid w:val="00075BCC"/>
    <w:rsid w:val="00076264"/>
    <w:rsid w:val="000762E9"/>
    <w:rsid w:val="000768DE"/>
    <w:rsid w:val="00076C9B"/>
    <w:rsid w:val="00076D0B"/>
    <w:rsid w:val="00076D10"/>
    <w:rsid w:val="000770B1"/>
    <w:rsid w:val="0007775A"/>
    <w:rsid w:val="0007775C"/>
    <w:rsid w:val="00077911"/>
    <w:rsid w:val="00077939"/>
    <w:rsid w:val="00077967"/>
    <w:rsid w:val="00077D5A"/>
    <w:rsid w:val="00077E29"/>
    <w:rsid w:val="00077FBC"/>
    <w:rsid w:val="00080241"/>
    <w:rsid w:val="000802B7"/>
    <w:rsid w:val="000802DF"/>
    <w:rsid w:val="000806CF"/>
    <w:rsid w:val="00080E4A"/>
    <w:rsid w:val="00081271"/>
    <w:rsid w:val="0008147D"/>
    <w:rsid w:val="00081778"/>
    <w:rsid w:val="000817B3"/>
    <w:rsid w:val="000817BA"/>
    <w:rsid w:val="00081E24"/>
    <w:rsid w:val="00082075"/>
    <w:rsid w:val="00082717"/>
    <w:rsid w:val="000827FC"/>
    <w:rsid w:val="00082BF9"/>
    <w:rsid w:val="00082EFD"/>
    <w:rsid w:val="0008321A"/>
    <w:rsid w:val="000832BD"/>
    <w:rsid w:val="0008413A"/>
    <w:rsid w:val="000846DD"/>
    <w:rsid w:val="00084DB9"/>
    <w:rsid w:val="00084F23"/>
    <w:rsid w:val="000850C8"/>
    <w:rsid w:val="000855C0"/>
    <w:rsid w:val="00085C02"/>
    <w:rsid w:val="00085DAE"/>
    <w:rsid w:val="0008648A"/>
    <w:rsid w:val="000865D7"/>
    <w:rsid w:val="00086B32"/>
    <w:rsid w:val="000870B6"/>
    <w:rsid w:val="00087528"/>
    <w:rsid w:val="00087836"/>
    <w:rsid w:val="00087A02"/>
    <w:rsid w:val="00087BF4"/>
    <w:rsid w:val="000901AE"/>
    <w:rsid w:val="00090440"/>
    <w:rsid w:val="000905BD"/>
    <w:rsid w:val="0009060E"/>
    <w:rsid w:val="00090613"/>
    <w:rsid w:val="000908C1"/>
    <w:rsid w:val="00090BD1"/>
    <w:rsid w:val="00090EB1"/>
    <w:rsid w:val="00091061"/>
    <w:rsid w:val="000910A6"/>
    <w:rsid w:val="0009111F"/>
    <w:rsid w:val="00091251"/>
    <w:rsid w:val="00091857"/>
    <w:rsid w:val="00091C59"/>
    <w:rsid w:val="000922F8"/>
    <w:rsid w:val="00092475"/>
    <w:rsid w:val="00092A21"/>
    <w:rsid w:val="00092A6D"/>
    <w:rsid w:val="00092B7B"/>
    <w:rsid w:val="00093007"/>
    <w:rsid w:val="0009338F"/>
    <w:rsid w:val="00093402"/>
    <w:rsid w:val="0009355B"/>
    <w:rsid w:val="0009380C"/>
    <w:rsid w:val="00093D9A"/>
    <w:rsid w:val="00094656"/>
    <w:rsid w:val="00094A82"/>
    <w:rsid w:val="00094C57"/>
    <w:rsid w:val="0009579D"/>
    <w:rsid w:val="00095B93"/>
    <w:rsid w:val="00095EA2"/>
    <w:rsid w:val="00096942"/>
    <w:rsid w:val="00096B52"/>
    <w:rsid w:val="000970DF"/>
    <w:rsid w:val="000970E4"/>
    <w:rsid w:val="00097552"/>
    <w:rsid w:val="00097D06"/>
    <w:rsid w:val="000A0436"/>
    <w:rsid w:val="000A0585"/>
    <w:rsid w:val="000A09ED"/>
    <w:rsid w:val="000A0CC6"/>
    <w:rsid w:val="000A10BF"/>
    <w:rsid w:val="000A1330"/>
    <w:rsid w:val="000A1725"/>
    <w:rsid w:val="000A1AE6"/>
    <w:rsid w:val="000A1E51"/>
    <w:rsid w:val="000A1FA9"/>
    <w:rsid w:val="000A2163"/>
    <w:rsid w:val="000A22C6"/>
    <w:rsid w:val="000A26B7"/>
    <w:rsid w:val="000A2ACD"/>
    <w:rsid w:val="000A2B65"/>
    <w:rsid w:val="000A2DA8"/>
    <w:rsid w:val="000A3F06"/>
    <w:rsid w:val="000A4026"/>
    <w:rsid w:val="000A4330"/>
    <w:rsid w:val="000A4759"/>
    <w:rsid w:val="000A51D5"/>
    <w:rsid w:val="000A5586"/>
    <w:rsid w:val="000A5747"/>
    <w:rsid w:val="000A5C47"/>
    <w:rsid w:val="000A5C94"/>
    <w:rsid w:val="000A5F50"/>
    <w:rsid w:val="000A60E5"/>
    <w:rsid w:val="000A6157"/>
    <w:rsid w:val="000A61B4"/>
    <w:rsid w:val="000A629E"/>
    <w:rsid w:val="000A6508"/>
    <w:rsid w:val="000A670B"/>
    <w:rsid w:val="000A6748"/>
    <w:rsid w:val="000A6846"/>
    <w:rsid w:val="000A68E2"/>
    <w:rsid w:val="000A6B30"/>
    <w:rsid w:val="000A6C25"/>
    <w:rsid w:val="000A74F2"/>
    <w:rsid w:val="000A7572"/>
    <w:rsid w:val="000A7962"/>
    <w:rsid w:val="000A79A2"/>
    <w:rsid w:val="000A7BCF"/>
    <w:rsid w:val="000A7BDA"/>
    <w:rsid w:val="000B067B"/>
    <w:rsid w:val="000B0762"/>
    <w:rsid w:val="000B0DCA"/>
    <w:rsid w:val="000B1041"/>
    <w:rsid w:val="000B13EB"/>
    <w:rsid w:val="000B1956"/>
    <w:rsid w:val="000B1DC2"/>
    <w:rsid w:val="000B234E"/>
    <w:rsid w:val="000B25F8"/>
    <w:rsid w:val="000B2F17"/>
    <w:rsid w:val="000B3012"/>
    <w:rsid w:val="000B322B"/>
    <w:rsid w:val="000B3330"/>
    <w:rsid w:val="000B349D"/>
    <w:rsid w:val="000B35BB"/>
    <w:rsid w:val="000B3903"/>
    <w:rsid w:val="000B39E4"/>
    <w:rsid w:val="000B3AE0"/>
    <w:rsid w:val="000B3C43"/>
    <w:rsid w:val="000B400D"/>
    <w:rsid w:val="000B4E4F"/>
    <w:rsid w:val="000B53EB"/>
    <w:rsid w:val="000B5787"/>
    <w:rsid w:val="000B59AC"/>
    <w:rsid w:val="000B5A18"/>
    <w:rsid w:val="000B5B8F"/>
    <w:rsid w:val="000B5C8A"/>
    <w:rsid w:val="000B5CB3"/>
    <w:rsid w:val="000B5E37"/>
    <w:rsid w:val="000B5F5B"/>
    <w:rsid w:val="000B62BD"/>
    <w:rsid w:val="000B69E7"/>
    <w:rsid w:val="000B6B15"/>
    <w:rsid w:val="000B6CF0"/>
    <w:rsid w:val="000B7207"/>
    <w:rsid w:val="000B720C"/>
    <w:rsid w:val="000B74FB"/>
    <w:rsid w:val="000B752C"/>
    <w:rsid w:val="000B7665"/>
    <w:rsid w:val="000B7953"/>
    <w:rsid w:val="000B7B56"/>
    <w:rsid w:val="000C0338"/>
    <w:rsid w:val="000C04F2"/>
    <w:rsid w:val="000C0AA2"/>
    <w:rsid w:val="000C105E"/>
    <w:rsid w:val="000C1A50"/>
    <w:rsid w:val="000C1E97"/>
    <w:rsid w:val="000C2114"/>
    <w:rsid w:val="000C2393"/>
    <w:rsid w:val="000C24AA"/>
    <w:rsid w:val="000C2C90"/>
    <w:rsid w:val="000C2C9D"/>
    <w:rsid w:val="000C2CEF"/>
    <w:rsid w:val="000C377F"/>
    <w:rsid w:val="000C410A"/>
    <w:rsid w:val="000C430B"/>
    <w:rsid w:val="000C450F"/>
    <w:rsid w:val="000C4562"/>
    <w:rsid w:val="000C45B2"/>
    <w:rsid w:val="000C46C2"/>
    <w:rsid w:val="000C4AF0"/>
    <w:rsid w:val="000C5170"/>
    <w:rsid w:val="000C539A"/>
    <w:rsid w:val="000C54B3"/>
    <w:rsid w:val="000C55DD"/>
    <w:rsid w:val="000C57C8"/>
    <w:rsid w:val="000C595B"/>
    <w:rsid w:val="000C5C9B"/>
    <w:rsid w:val="000C5D1F"/>
    <w:rsid w:val="000C5D3C"/>
    <w:rsid w:val="000C62EE"/>
    <w:rsid w:val="000C6551"/>
    <w:rsid w:val="000C7151"/>
    <w:rsid w:val="000C717E"/>
    <w:rsid w:val="000C7366"/>
    <w:rsid w:val="000C74B3"/>
    <w:rsid w:val="000C7897"/>
    <w:rsid w:val="000C7C46"/>
    <w:rsid w:val="000D0413"/>
    <w:rsid w:val="000D0877"/>
    <w:rsid w:val="000D0949"/>
    <w:rsid w:val="000D09E3"/>
    <w:rsid w:val="000D0A55"/>
    <w:rsid w:val="000D0C5F"/>
    <w:rsid w:val="000D0D2B"/>
    <w:rsid w:val="000D10D2"/>
    <w:rsid w:val="000D10EA"/>
    <w:rsid w:val="000D1B52"/>
    <w:rsid w:val="000D1BCF"/>
    <w:rsid w:val="000D1E4D"/>
    <w:rsid w:val="000D2664"/>
    <w:rsid w:val="000D268A"/>
    <w:rsid w:val="000D27E6"/>
    <w:rsid w:val="000D2A19"/>
    <w:rsid w:val="000D2A34"/>
    <w:rsid w:val="000D2E6E"/>
    <w:rsid w:val="000D3570"/>
    <w:rsid w:val="000D3C83"/>
    <w:rsid w:val="000D4000"/>
    <w:rsid w:val="000D4002"/>
    <w:rsid w:val="000D4318"/>
    <w:rsid w:val="000D45E9"/>
    <w:rsid w:val="000D4826"/>
    <w:rsid w:val="000D4A07"/>
    <w:rsid w:val="000D4A78"/>
    <w:rsid w:val="000D4C07"/>
    <w:rsid w:val="000D4C1B"/>
    <w:rsid w:val="000D507E"/>
    <w:rsid w:val="000D5523"/>
    <w:rsid w:val="000D5699"/>
    <w:rsid w:val="000D5A0D"/>
    <w:rsid w:val="000D65EC"/>
    <w:rsid w:val="000D6C44"/>
    <w:rsid w:val="000D7219"/>
    <w:rsid w:val="000D7E0A"/>
    <w:rsid w:val="000E02FB"/>
    <w:rsid w:val="000E03DC"/>
    <w:rsid w:val="000E0465"/>
    <w:rsid w:val="000E1124"/>
    <w:rsid w:val="000E146D"/>
    <w:rsid w:val="000E1550"/>
    <w:rsid w:val="000E18B6"/>
    <w:rsid w:val="000E23FD"/>
    <w:rsid w:val="000E24AF"/>
    <w:rsid w:val="000E25E9"/>
    <w:rsid w:val="000E26D2"/>
    <w:rsid w:val="000E2AFA"/>
    <w:rsid w:val="000E3814"/>
    <w:rsid w:val="000E3AAA"/>
    <w:rsid w:val="000E3B8A"/>
    <w:rsid w:val="000E3D05"/>
    <w:rsid w:val="000E4157"/>
    <w:rsid w:val="000E41FA"/>
    <w:rsid w:val="000E42AA"/>
    <w:rsid w:val="000E4E53"/>
    <w:rsid w:val="000E550C"/>
    <w:rsid w:val="000E5531"/>
    <w:rsid w:val="000E5680"/>
    <w:rsid w:val="000E5B8F"/>
    <w:rsid w:val="000E5E0D"/>
    <w:rsid w:val="000E5F04"/>
    <w:rsid w:val="000E6070"/>
    <w:rsid w:val="000E6410"/>
    <w:rsid w:val="000E6680"/>
    <w:rsid w:val="000E678B"/>
    <w:rsid w:val="000E67A2"/>
    <w:rsid w:val="000E6B56"/>
    <w:rsid w:val="000E6C30"/>
    <w:rsid w:val="000E6D98"/>
    <w:rsid w:val="000E6E0C"/>
    <w:rsid w:val="000F034B"/>
    <w:rsid w:val="000F05F3"/>
    <w:rsid w:val="000F0743"/>
    <w:rsid w:val="000F0854"/>
    <w:rsid w:val="000F0DAC"/>
    <w:rsid w:val="000F140B"/>
    <w:rsid w:val="000F1590"/>
    <w:rsid w:val="000F174B"/>
    <w:rsid w:val="000F179A"/>
    <w:rsid w:val="000F1BB5"/>
    <w:rsid w:val="000F1CC9"/>
    <w:rsid w:val="000F1F2D"/>
    <w:rsid w:val="000F2DFB"/>
    <w:rsid w:val="000F2E01"/>
    <w:rsid w:val="000F3339"/>
    <w:rsid w:val="000F34B8"/>
    <w:rsid w:val="000F3B47"/>
    <w:rsid w:val="000F3C37"/>
    <w:rsid w:val="000F3C48"/>
    <w:rsid w:val="000F423F"/>
    <w:rsid w:val="000F4514"/>
    <w:rsid w:val="000F4662"/>
    <w:rsid w:val="000F516A"/>
    <w:rsid w:val="000F5296"/>
    <w:rsid w:val="000F55CA"/>
    <w:rsid w:val="000F56D1"/>
    <w:rsid w:val="000F5A54"/>
    <w:rsid w:val="000F6942"/>
    <w:rsid w:val="000F6F90"/>
    <w:rsid w:val="000F7581"/>
    <w:rsid w:val="000F77D5"/>
    <w:rsid w:val="000F7987"/>
    <w:rsid w:val="000F7E5E"/>
    <w:rsid w:val="001000BB"/>
    <w:rsid w:val="00100169"/>
    <w:rsid w:val="0010051C"/>
    <w:rsid w:val="0010258F"/>
    <w:rsid w:val="00102FB5"/>
    <w:rsid w:val="00103274"/>
    <w:rsid w:val="001039C5"/>
    <w:rsid w:val="00103D66"/>
    <w:rsid w:val="00103D81"/>
    <w:rsid w:val="0010404F"/>
    <w:rsid w:val="0010448B"/>
    <w:rsid w:val="0010488D"/>
    <w:rsid w:val="00104E4B"/>
    <w:rsid w:val="0010521F"/>
    <w:rsid w:val="00105741"/>
    <w:rsid w:val="00105A2F"/>
    <w:rsid w:val="00105E8D"/>
    <w:rsid w:val="00105F88"/>
    <w:rsid w:val="00106042"/>
    <w:rsid w:val="0010614A"/>
    <w:rsid w:val="0010625A"/>
    <w:rsid w:val="001062EA"/>
    <w:rsid w:val="00106394"/>
    <w:rsid w:val="001065B1"/>
    <w:rsid w:val="00106742"/>
    <w:rsid w:val="00106759"/>
    <w:rsid w:val="00106C6C"/>
    <w:rsid w:val="00106DB0"/>
    <w:rsid w:val="00106F28"/>
    <w:rsid w:val="00107207"/>
    <w:rsid w:val="00107524"/>
    <w:rsid w:val="00107569"/>
    <w:rsid w:val="001079B7"/>
    <w:rsid w:val="00107DCD"/>
    <w:rsid w:val="00107EF0"/>
    <w:rsid w:val="00110424"/>
    <w:rsid w:val="00110455"/>
    <w:rsid w:val="001105E8"/>
    <w:rsid w:val="00110890"/>
    <w:rsid w:val="00110C12"/>
    <w:rsid w:val="00110E6D"/>
    <w:rsid w:val="00111417"/>
    <w:rsid w:val="00111575"/>
    <w:rsid w:val="00111856"/>
    <w:rsid w:val="00111B99"/>
    <w:rsid w:val="00111C97"/>
    <w:rsid w:val="00111CC2"/>
    <w:rsid w:val="00111D92"/>
    <w:rsid w:val="00111E8E"/>
    <w:rsid w:val="00112395"/>
    <w:rsid w:val="001125DF"/>
    <w:rsid w:val="00113488"/>
    <w:rsid w:val="001137AF"/>
    <w:rsid w:val="00113874"/>
    <w:rsid w:val="00113A93"/>
    <w:rsid w:val="00113C5E"/>
    <w:rsid w:val="00113C60"/>
    <w:rsid w:val="00113F20"/>
    <w:rsid w:val="00114034"/>
    <w:rsid w:val="00114C3B"/>
    <w:rsid w:val="00114FFF"/>
    <w:rsid w:val="00115691"/>
    <w:rsid w:val="00115887"/>
    <w:rsid w:val="001160FD"/>
    <w:rsid w:val="00116EE9"/>
    <w:rsid w:val="00117039"/>
    <w:rsid w:val="00117331"/>
    <w:rsid w:val="001175F0"/>
    <w:rsid w:val="00117CBA"/>
    <w:rsid w:val="00117F04"/>
    <w:rsid w:val="00120007"/>
    <w:rsid w:val="00120098"/>
    <w:rsid w:val="00120312"/>
    <w:rsid w:val="0012054E"/>
    <w:rsid w:val="001206AE"/>
    <w:rsid w:val="00120BD3"/>
    <w:rsid w:val="00120C8A"/>
    <w:rsid w:val="00120EEB"/>
    <w:rsid w:val="00120FA4"/>
    <w:rsid w:val="00121537"/>
    <w:rsid w:val="00121AF3"/>
    <w:rsid w:val="00121C4F"/>
    <w:rsid w:val="00121CA1"/>
    <w:rsid w:val="00121D00"/>
    <w:rsid w:val="001220B0"/>
    <w:rsid w:val="00122411"/>
    <w:rsid w:val="001228FD"/>
    <w:rsid w:val="00122A9C"/>
    <w:rsid w:val="00122AC1"/>
    <w:rsid w:val="00122AE3"/>
    <w:rsid w:val="00122BF1"/>
    <w:rsid w:val="00122EE1"/>
    <w:rsid w:val="00122F00"/>
    <w:rsid w:val="001234F7"/>
    <w:rsid w:val="00123658"/>
    <w:rsid w:val="001237AF"/>
    <w:rsid w:val="001247EB"/>
    <w:rsid w:val="00124F3C"/>
    <w:rsid w:val="001255BA"/>
    <w:rsid w:val="00125B61"/>
    <w:rsid w:val="00125E18"/>
    <w:rsid w:val="00126122"/>
    <w:rsid w:val="00126C37"/>
    <w:rsid w:val="00126F19"/>
    <w:rsid w:val="001276AA"/>
    <w:rsid w:val="00127C65"/>
    <w:rsid w:val="00127C75"/>
    <w:rsid w:val="00127E39"/>
    <w:rsid w:val="00130252"/>
    <w:rsid w:val="00130395"/>
    <w:rsid w:val="00130421"/>
    <w:rsid w:val="00130994"/>
    <w:rsid w:val="00130C2E"/>
    <w:rsid w:val="00131292"/>
    <w:rsid w:val="00131686"/>
    <w:rsid w:val="00131837"/>
    <w:rsid w:val="00131D45"/>
    <w:rsid w:val="001320F0"/>
    <w:rsid w:val="0013228B"/>
    <w:rsid w:val="001322E1"/>
    <w:rsid w:val="00132544"/>
    <w:rsid w:val="00132815"/>
    <w:rsid w:val="00132970"/>
    <w:rsid w:val="00132A4B"/>
    <w:rsid w:val="00132D1A"/>
    <w:rsid w:val="00132F67"/>
    <w:rsid w:val="001336E0"/>
    <w:rsid w:val="001338A1"/>
    <w:rsid w:val="00133C59"/>
    <w:rsid w:val="00133F34"/>
    <w:rsid w:val="00135051"/>
    <w:rsid w:val="00135273"/>
    <w:rsid w:val="00135287"/>
    <w:rsid w:val="00135451"/>
    <w:rsid w:val="001354AA"/>
    <w:rsid w:val="00135577"/>
    <w:rsid w:val="001355FF"/>
    <w:rsid w:val="00135CA0"/>
    <w:rsid w:val="00135D3C"/>
    <w:rsid w:val="00135D75"/>
    <w:rsid w:val="00135FC9"/>
    <w:rsid w:val="00136021"/>
    <w:rsid w:val="00136209"/>
    <w:rsid w:val="00136536"/>
    <w:rsid w:val="0013691E"/>
    <w:rsid w:val="00136CED"/>
    <w:rsid w:val="00136D4D"/>
    <w:rsid w:val="00136FB4"/>
    <w:rsid w:val="001370FF"/>
    <w:rsid w:val="0013731D"/>
    <w:rsid w:val="001378D8"/>
    <w:rsid w:val="00137A8C"/>
    <w:rsid w:val="00137BFE"/>
    <w:rsid w:val="00137CEF"/>
    <w:rsid w:val="00137FAE"/>
    <w:rsid w:val="00137FEB"/>
    <w:rsid w:val="0014058B"/>
    <w:rsid w:val="001406EB"/>
    <w:rsid w:val="00140C2D"/>
    <w:rsid w:val="00140DB8"/>
    <w:rsid w:val="00141197"/>
    <w:rsid w:val="00141750"/>
    <w:rsid w:val="00141998"/>
    <w:rsid w:val="00141AC3"/>
    <w:rsid w:val="00141E08"/>
    <w:rsid w:val="00142019"/>
    <w:rsid w:val="00142413"/>
    <w:rsid w:val="00142483"/>
    <w:rsid w:val="001428B0"/>
    <w:rsid w:val="00142960"/>
    <w:rsid w:val="00142F15"/>
    <w:rsid w:val="00142F65"/>
    <w:rsid w:val="00143113"/>
    <w:rsid w:val="00143478"/>
    <w:rsid w:val="0014347A"/>
    <w:rsid w:val="001436E1"/>
    <w:rsid w:val="00143F2F"/>
    <w:rsid w:val="00143FD1"/>
    <w:rsid w:val="0014435A"/>
    <w:rsid w:val="0014435F"/>
    <w:rsid w:val="00144A8E"/>
    <w:rsid w:val="00144B7D"/>
    <w:rsid w:val="00144ED1"/>
    <w:rsid w:val="001450FB"/>
    <w:rsid w:val="001451EB"/>
    <w:rsid w:val="0014521C"/>
    <w:rsid w:val="001464B8"/>
    <w:rsid w:val="00146562"/>
    <w:rsid w:val="00146624"/>
    <w:rsid w:val="0014669C"/>
    <w:rsid w:val="00146852"/>
    <w:rsid w:val="00146A27"/>
    <w:rsid w:val="00146C8A"/>
    <w:rsid w:val="00146CC6"/>
    <w:rsid w:val="00147D22"/>
    <w:rsid w:val="00150375"/>
    <w:rsid w:val="00150376"/>
    <w:rsid w:val="00150441"/>
    <w:rsid w:val="001506EB"/>
    <w:rsid w:val="00150A5F"/>
    <w:rsid w:val="00150C1D"/>
    <w:rsid w:val="00151712"/>
    <w:rsid w:val="00151CA2"/>
    <w:rsid w:val="00151DBD"/>
    <w:rsid w:val="001525B0"/>
    <w:rsid w:val="00152B94"/>
    <w:rsid w:val="00152E66"/>
    <w:rsid w:val="001531D6"/>
    <w:rsid w:val="00153272"/>
    <w:rsid w:val="0015397C"/>
    <w:rsid w:val="00153FA2"/>
    <w:rsid w:val="00154088"/>
    <w:rsid w:val="00154262"/>
    <w:rsid w:val="00154777"/>
    <w:rsid w:val="001552CE"/>
    <w:rsid w:val="00155434"/>
    <w:rsid w:val="00155796"/>
    <w:rsid w:val="00155B28"/>
    <w:rsid w:val="00155B90"/>
    <w:rsid w:val="00155BDA"/>
    <w:rsid w:val="00156848"/>
    <w:rsid w:val="00156BFC"/>
    <w:rsid w:val="00156FA7"/>
    <w:rsid w:val="00157AF4"/>
    <w:rsid w:val="00157B5D"/>
    <w:rsid w:val="00157EA1"/>
    <w:rsid w:val="001600DC"/>
    <w:rsid w:val="0016023A"/>
    <w:rsid w:val="00160331"/>
    <w:rsid w:val="00161155"/>
    <w:rsid w:val="00161200"/>
    <w:rsid w:val="00161327"/>
    <w:rsid w:val="00161CE7"/>
    <w:rsid w:val="00161F81"/>
    <w:rsid w:val="001622A5"/>
    <w:rsid w:val="00162552"/>
    <w:rsid w:val="00162DAD"/>
    <w:rsid w:val="00162DBF"/>
    <w:rsid w:val="00163520"/>
    <w:rsid w:val="00163614"/>
    <w:rsid w:val="001644F8"/>
    <w:rsid w:val="00164912"/>
    <w:rsid w:val="001649E4"/>
    <w:rsid w:val="00164CD3"/>
    <w:rsid w:val="00164CF8"/>
    <w:rsid w:val="00164D2F"/>
    <w:rsid w:val="00164DCC"/>
    <w:rsid w:val="00164E23"/>
    <w:rsid w:val="00165269"/>
    <w:rsid w:val="001653AE"/>
    <w:rsid w:val="001661E8"/>
    <w:rsid w:val="00166CC0"/>
    <w:rsid w:val="00166FC8"/>
    <w:rsid w:val="0016728E"/>
    <w:rsid w:val="00167349"/>
    <w:rsid w:val="00167419"/>
    <w:rsid w:val="001674FB"/>
    <w:rsid w:val="00167629"/>
    <w:rsid w:val="00167711"/>
    <w:rsid w:val="001678E5"/>
    <w:rsid w:val="00167F05"/>
    <w:rsid w:val="001703EB"/>
    <w:rsid w:val="0017051F"/>
    <w:rsid w:val="00170D5B"/>
    <w:rsid w:val="0017139A"/>
    <w:rsid w:val="001719B9"/>
    <w:rsid w:val="00171BC8"/>
    <w:rsid w:val="00171F97"/>
    <w:rsid w:val="0017254B"/>
    <w:rsid w:val="00172A6A"/>
    <w:rsid w:val="00172ADC"/>
    <w:rsid w:val="00172B8F"/>
    <w:rsid w:val="001734F5"/>
    <w:rsid w:val="0017361C"/>
    <w:rsid w:val="001736F8"/>
    <w:rsid w:val="001739C9"/>
    <w:rsid w:val="00173A5F"/>
    <w:rsid w:val="00173D85"/>
    <w:rsid w:val="0017438F"/>
    <w:rsid w:val="0017442B"/>
    <w:rsid w:val="00174554"/>
    <w:rsid w:val="00174D26"/>
    <w:rsid w:val="00174F90"/>
    <w:rsid w:val="00174FD4"/>
    <w:rsid w:val="00175199"/>
    <w:rsid w:val="00175599"/>
    <w:rsid w:val="00175914"/>
    <w:rsid w:val="00175DA7"/>
    <w:rsid w:val="00175E34"/>
    <w:rsid w:val="00175FDA"/>
    <w:rsid w:val="001766B4"/>
    <w:rsid w:val="00176792"/>
    <w:rsid w:val="001768BB"/>
    <w:rsid w:val="00176F04"/>
    <w:rsid w:val="00176F58"/>
    <w:rsid w:val="00177670"/>
    <w:rsid w:val="0018021C"/>
    <w:rsid w:val="001802D9"/>
    <w:rsid w:val="00180324"/>
    <w:rsid w:val="00180745"/>
    <w:rsid w:val="00180A65"/>
    <w:rsid w:val="00180B83"/>
    <w:rsid w:val="00180C13"/>
    <w:rsid w:val="00180D30"/>
    <w:rsid w:val="00181330"/>
    <w:rsid w:val="00181362"/>
    <w:rsid w:val="00181423"/>
    <w:rsid w:val="001822A0"/>
    <w:rsid w:val="00182586"/>
    <w:rsid w:val="001828B6"/>
    <w:rsid w:val="001828DD"/>
    <w:rsid w:val="00182A06"/>
    <w:rsid w:val="00182B08"/>
    <w:rsid w:val="00182D34"/>
    <w:rsid w:val="00182EE8"/>
    <w:rsid w:val="001832DF"/>
    <w:rsid w:val="0018347F"/>
    <w:rsid w:val="00183C29"/>
    <w:rsid w:val="00183C7F"/>
    <w:rsid w:val="00183E92"/>
    <w:rsid w:val="00183F34"/>
    <w:rsid w:val="001844F7"/>
    <w:rsid w:val="00184B90"/>
    <w:rsid w:val="00184BAE"/>
    <w:rsid w:val="00184C83"/>
    <w:rsid w:val="00184CB2"/>
    <w:rsid w:val="00184CF8"/>
    <w:rsid w:val="00184EB3"/>
    <w:rsid w:val="001854C2"/>
    <w:rsid w:val="0018595A"/>
    <w:rsid w:val="00185A06"/>
    <w:rsid w:val="00185EF0"/>
    <w:rsid w:val="00186093"/>
    <w:rsid w:val="0018643B"/>
    <w:rsid w:val="0018644B"/>
    <w:rsid w:val="001868AB"/>
    <w:rsid w:val="00186B24"/>
    <w:rsid w:val="00186FD9"/>
    <w:rsid w:val="00187612"/>
    <w:rsid w:val="0018787B"/>
    <w:rsid w:val="00187887"/>
    <w:rsid w:val="00187F6A"/>
    <w:rsid w:val="00187F9D"/>
    <w:rsid w:val="001900E9"/>
    <w:rsid w:val="00190300"/>
    <w:rsid w:val="00190A81"/>
    <w:rsid w:val="00190B2B"/>
    <w:rsid w:val="00190B63"/>
    <w:rsid w:val="00190B86"/>
    <w:rsid w:val="001911BD"/>
    <w:rsid w:val="001911EB"/>
    <w:rsid w:val="00191239"/>
    <w:rsid w:val="00191775"/>
    <w:rsid w:val="001919E1"/>
    <w:rsid w:val="00191A9E"/>
    <w:rsid w:val="00191AF7"/>
    <w:rsid w:val="00191FBA"/>
    <w:rsid w:val="00192459"/>
    <w:rsid w:val="0019251D"/>
    <w:rsid w:val="00192868"/>
    <w:rsid w:val="00192923"/>
    <w:rsid w:val="00192B07"/>
    <w:rsid w:val="00192C9E"/>
    <w:rsid w:val="00192DC1"/>
    <w:rsid w:val="001932C4"/>
    <w:rsid w:val="0019362A"/>
    <w:rsid w:val="00193793"/>
    <w:rsid w:val="00194249"/>
    <w:rsid w:val="001944FB"/>
    <w:rsid w:val="00194618"/>
    <w:rsid w:val="001946A3"/>
    <w:rsid w:val="0019474E"/>
    <w:rsid w:val="00194A9E"/>
    <w:rsid w:val="00194C39"/>
    <w:rsid w:val="00195728"/>
    <w:rsid w:val="00195FF8"/>
    <w:rsid w:val="0019702C"/>
    <w:rsid w:val="001970C0"/>
    <w:rsid w:val="00197208"/>
    <w:rsid w:val="00197416"/>
    <w:rsid w:val="001974C7"/>
    <w:rsid w:val="00197EDC"/>
    <w:rsid w:val="001A0A09"/>
    <w:rsid w:val="001A0E44"/>
    <w:rsid w:val="001A1A90"/>
    <w:rsid w:val="001A1CB7"/>
    <w:rsid w:val="001A258F"/>
    <w:rsid w:val="001A25D2"/>
    <w:rsid w:val="001A27BE"/>
    <w:rsid w:val="001A2886"/>
    <w:rsid w:val="001A30BC"/>
    <w:rsid w:val="001A3415"/>
    <w:rsid w:val="001A39EC"/>
    <w:rsid w:val="001A3A49"/>
    <w:rsid w:val="001A420B"/>
    <w:rsid w:val="001A45AA"/>
    <w:rsid w:val="001A4897"/>
    <w:rsid w:val="001A4B97"/>
    <w:rsid w:val="001A4F7D"/>
    <w:rsid w:val="001A57FC"/>
    <w:rsid w:val="001A58FA"/>
    <w:rsid w:val="001A5920"/>
    <w:rsid w:val="001A5B96"/>
    <w:rsid w:val="001A5F69"/>
    <w:rsid w:val="001A60BA"/>
    <w:rsid w:val="001A6D8B"/>
    <w:rsid w:val="001A6FA2"/>
    <w:rsid w:val="001A6FED"/>
    <w:rsid w:val="001A74BD"/>
    <w:rsid w:val="001A75B7"/>
    <w:rsid w:val="001A75D4"/>
    <w:rsid w:val="001A777A"/>
    <w:rsid w:val="001A7B42"/>
    <w:rsid w:val="001A7BEF"/>
    <w:rsid w:val="001A7D8F"/>
    <w:rsid w:val="001B0FEC"/>
    <w:rsid w:val="001B1026"/>
    <w:rsid w:val="001B11E7"/>
    <w:rsid w:val="001B13B4"/>
    <w:rsid w:val="001B1505"/>
    <w:rsid w:val="001B1584"/>
    <w:rsid w:val="001B19D0"/>
    <w:rsid w:val="001B2126"/>
    <w:rsid w:val="001B22DE"/>
    <w:rsid w:val="001B27AE"/>
    <w:rsid w:val="001B27CA"/>
    <w:rsid w:val="001B2807"/>
    <w:rsid w:val="001B2844"/>
    <w:rsid w:val="001B2983"/>
    <w:rsid w:val="001B2A97"/>
    <w:rsid w:val="001B2C2F"/>
    <w:rsid w:val="001B2CD4"/>
    <w:rsid w:val="001B2D2E"/>
    <w:rsid w:val="001B395E"/>
    <w:rsid w:val="001B3BD9"/>
    <w:rsid w:val="001B3BDF"/>
    <w:rsid w:val="001B404E"/>
    <w:rsid w:val="001B4264"/>
    <w:rsid w:val="001B483F"/>
    <w:rsid w:val="001B4A7A"/>
    <w:rsid w:val="001B4C1B"/>
    <w:rsid w:val="001B4E20"/>
    <w:rsid w:val="001B5831"/>
    <w:rsid w:val="001B58E0"/>
    <w:rsid w:val="001B594F"/>
    <w:rsid w:val="001B5BD9"/>
    <w:rsid w:val="001B610D"/>
    <w:rsid w:val="001B63DF"/>
    <w:rsid w:val="001B6D5D"/>
    <w:rsid w:val="001B7329"/>
    <w:rsid w:val="001B76DF"/>
    <w:rsid w:val="001B76E9"/>
    <w:rsid w:val="001B7EE7"/>
    <w:rsid w:val="001C053A"/>
    <w:rsid w:val="001C05B6"/>
    <w:rsid w:val="001C06CE"/>
    <w:rsid w:val="001C07E4"/>
    <w:rsid w:val="001C097B"/>
    <w:rsid w:val="001C0D42"/>
    <w:rsid w:val="001C11AA"/>
    <w:rsid w:val="001C13E8"/>
    <w:rsid w:val="001C152A"/>
    <w:rsid w:val="001C174A"/>
    <w:rsid w:val="001C1755"/>
    <w:rsid w:val="001C17D5"/>
    <w:rsid w:val="001C1B87"/>
    <w:rsid w:val="001C1CDF"/>
    <w:rsid w:val="001C1D05"/>
    <w:rsid w:val="001C1F6C"/>
    <w:rsid w:val="001C2815"/>
    <w:rsid w:val="001C2A48"/>
    <w:rsid w:val="001C2B03"/>
    <w:rsid w:val="001C2D24"/>
    <w:rsid w:val="001C2EFF"/>
    <w:rsid w:val="001C33FA"/>
    <w:rsid w:val="001C37E2"/>
    <w:rsid w:val="001C3AAD"/>
    <w:rsid w:val="001C3B4F"/>
    <w:rsid w:val="001C3D9F"/>
    <w:rsid w:val="001C40F9"/>
    <w:rsid w:val="001C4570"/>
    <w:rsid w:val="001C49D6"/>
    <w:rsid w:val="001C514D"/>
    <w:rsid w:val="001C5514"/>
    <w:rsid w:val="001C610C"/>
    <w:rsid w:val="001C6481"/>
    <w:rsid w:val="001C6664"/>
    <w:rsid w:val="001C667E"/>
    <w:rsid w:val="001C69E3"/>
    <w:rsid w:val="001C6ADB"/>
    <w:rsid w:val="001C6C18"/>
    <w:rsid w:val="001C6D74"/>
    <w:rsid w:val="001C6DFD"/>
    <w:rsid w:val="001C7810"/>
    <w:rsid w:val="001C7FC4"/>
    <w:rsid w:val="001D0572"/>
    <w:rsid w:val="001D058E"/>
    <w:rsid w:val="001D0962"/>
    <w:rsid w:val="001D10AF"/>
    <w:rsid w:val="001D16A4"/>
    <w:rsid w:val="001D17C6"/>
    <w:rsid w:val="001D1ABC"/>
    <w:rsid w:val="001D21A2"/>
    <w:rsid w:val="001D27DA"/>
    <w:rsid w:val="001D32C0"/>
    <w:rsid w:val="001D3382"/>
    <w:rsid w:val="001D358E"/>
    <w:rsid w:val="001D36BB"/>
    <w:rsid w:val="001D36DB"/>
    <w:rsid w:val="001D3807"/>
    <w:rsid w:val="001D3A64"/>
    <w:rsid w:val="001D3E7E"/>
    <w:rsid w:val="001D3F42"/>
    <w:rsid w:val="001D4157"/>
    <w:rsid w:val="001D4A98"/>
    <w:rsid w:val="001D4EF7"/>
    <w:rsid w:val="001D4FE7"/>
    <w:rsid w:val="001D5059"/>
    <w:rsid w:val="001D50AF"/>
    <w:rsid w:val="001D512D"/>
    <w:rsid w:val="001D5793"/>
    <w:rsid w:val="001D7282"/>
    <w:rsid w:val="001D74A7"/>
    <w:rsid w:val="001D7945"/>
    <w:rsid w:val="001D7B24"/>
    <w:rsid w:val="001E0211"/>
    <w:rsid w:val="001E04D0"/>
    <w:rsid w:val="001E0690"/>
    <w:rsid w:val="001E0B96"/>
    <w:rsid w:val="001E0FA0"/>
    <w:rsid w:val="001E1302"/>
    <w:rsid w:val="001E15F2"/>
    <w:rsid w:val="001E1CF5"/>
    <w:rsid w:val="001E1D3D"/>
    <w:rsid w:val="001E220C"/>
    <w:rsid w:val="001E22F7"/>
    <w:rsid w:val="001E2697"/>
    <w:rsid w:val="001E2D1A"/>
    <w:rsid w:val="001E2D95"/>
    <w:rsid w:val="001E2F5B"/>
    <w:rsid w:val="001E2FE1"/>
    <w:rsid w:val="001E3054"/>
    <w:rsid w:val="001E3194"/>
    <w:rsid w:val="001E32F0"/>
    <w:rsid w:val="001E3DB1"/>
    <w:rsid w:val="001E3ED9"/>
    <w:rsid w:val="001E3F20"/>
    <w:rsid w:val="001E407D"/>
    <w:rsid w:val="001E465F"/>
    <w:rsid w:val="001E5682"/>
    <w:rsid w:val="001E59FE"/>
    <w:rsid w:val="001E5C5C"/>
    <w:rsid w:val="001E5CDB"/>
    <w:rsid w:val="001E5DB1"/>
    <w:rsid w:val="001E6D3B"/>
    <w:rsid w:val="001E7212"/>
    <w:rsid w:val="001E7799"/>
    <w:rsid w:val="001E77FA"/>
    <w:rsid w:val="001E7829"/>
    <w:rsid w:val="001E7A2D"/>
    <w:rsid w:val="001F03F9"/>
    <w:rsid w:val="001F09CC"/>
    <w:rsid w:val="001F09EC"/>
    <w:rsid w:val="001F0A31"/>
    <w:rsid w:val="001F0E90"/>
    <w:rsid w:val="001F1379"/>
    <w:rsid w:val="001F137D"/>
    <w:rsid w:val="001F152E"/>
    <w:rsid w:val="001F1552"/>
    <w:rsid w:val="001F1621"/>
    <w:rsid w:val="001F1DE5"/>
    <w:rsid w:val="001F230D"/>
    <w:rsid w:val="001F24B0"/>
    <w:rsid w:val="001F2605"/>
    <w:rsid w:val="001F27A2"/>
    <w:rsid w:val="001F2868"/>
    <w:rsid w:val="001F2902"/>
    <w:rsid w:val="001F2C64"/>
    <w:rsid w:val="001F30E1"/>
    <w:rsid w:val="001F31DB"/>
    <w:rsid w:val="001F3766"/>
    <w:rsid w:val="001F387B"/>
    <w:rsid w:val="001F3D62"/>
    <w:rsid w:val="001F3F36"/>
    <w:rsid w:val="001F43E3"/>
    <w:rsid w:val="001F498A"/>
    <w:rsid w:val="001F534E"/>
    <w:rsid w:val="001F53BA"/>
    <w:rsid w:val="001F5497"/>
    <w:rsid w:val="001F5B80"/>
    <w:rsid w:val="001F6058"/>
    <w:rsid w:val="001F658C"/>
    <w:rsid w:val="001F675C"/>
    <w:rsid w:val="001F6A01"/>
    <w:rsid w:val="001F6B17"/>
    <w:rsid w:val="001F6D92"/>
    <w:rsid w:val="001F6DA8"/>
    <w:rsid w:val="001F6F35"/>
    <w:rsid w:val="001F6F44"/>
    <w:rsid w:val="001F713C"/>
    <w:rsid w:val="001F743D"/>
    <w:rsid w:val="001F7512"/>
    <w:rsid w:val="001F7563"/>
    <w:rsid w:val="001F77EA"/>
    <w:rsid w:val="0020008A"/>
    <w:rsid w:val="0020026C"/>
    <w:rsid w:val="002005F8"/>
    <w:rsid w:val="002007E1"/>
    <w:rsid w:val="00200AF6"/>
    <w:rsid w:val="002013B9"/>
    <w:rsid w:val="00201909"/>
    <w:rsid w:val="002019F2"/>
    <w:rsid w:val="00201DE4"/>
    <w:rsid w:val="00201F90"/>
    <w:rsid w:val="00202104"/>
    <w:rsid w:val="00202113"/>
    <w:rsid w:val="0020227D"/>
    <w:rsid w:val="00202464"/>
    <w:rsid w:val="00202540"/>
    <w:rsid w:val="0020259A"/>
    <w:rsid w:val="002025B0"/>
    <w:rsid w:val="0020289D"/>
    <w:rsid w:val="00202B2B"/>
    <w:rsid w:val="00202C29"/>
    <w:rsid w:val="00202DFD"/>
    <w:rsid w:val="002030B3"/>
    <w:rsid w:val="00203353"/>
    <w:rsid w:val="00203621"/>
    <w:rsid w:val="002042A4"/>
    <w:rsid w:val="0020430D"/>
    <w:rsid w:val="00204734"/>
    <w:rsid w:val="00204A18"/>
    <w:rsid w:val="0020560D"/>
    <w:rsid w:val="002058F0"/>
    <w:rsid w:val="00205E11"/>
    <w:rsid w:val="00205F7D"/>
    <w:rsid w:val="00206628"/>
    <w:rsid w:val="00206787"/>
    <w:rsid w:val="002067CE"/>
    <w:rsid w:val="00207A43"/>
    <w:rsid w:val="00207F59"/>
    <w:rsid w:val="002103E3"/>
    <w:rsid w:val="00210A23"/>
    <w:rsid w:val="00211DC3"/>
    <w:rsid w:val="00211E14"/>
    <w:rsid w:val="00212969"/>
    <w:rsid w:val="00212E15"/>
    <w:rsid w:val="00212EF8"/>
    <w:rsid w:val="00214498"/>
    <w:rsid w:val="00214A4D"/>
    <w:rsid w:val="00214AC1"/>
    <w:rsid w:val="00214CA5"/>
    <w:rsid w:val="002150E1"/>
    <w:rsid w:val="002152D7"/>
    <w:rsid w:val="00215460"/>
    <w:rsid w:val="002155B6"/>
    <w:rsid w:val="002157E4"/>
    <w:rsid w:val="0021592A"/>
    <w:rsid w:val="002159A4"/>
    <w:rsid w:val="00215AFB"/>
    <w:rsid w:val="00215DEA"/>
    <w:rsid w:val="002165D8"/>
    <w:rsid w:val="00216780"/>
    <w:rsid w:val="002169D3"/>
    <w:rsid w:val="00216E1D"/>
    <w:rsid w:val="00216FAC"/>
    <w:rsid w:val="0021733A"/>
    <w:rsid w:val="0021778F"/>
    <w:rsid w:val="0021783B"/>
    <w:rsid w:val="00217943"/>
    <w:rsid w:val="00217999"/>
    <w:rsid w:val="00217D23"/>
    <w:rsid w:val="002200D8"/>
    <w:rsid w:val="0022021A"/>
    <w:rsid w:val="00220657"/>
    <w:rsid w:val="002208CA"/>
    <w:rsid w:val="00220960"/>
    <w:rsid w:val="00220BA4"/>
    <w:rsid w:val="00220F21"/>
    <w:rsid w:val="0022106D"/>
    <w:rsid w:val="002213D5"/>
    <w:rsid w:val="002215BE"/>
    <w:rsid w:val="00221AFE"/>
    <w:rsid w:val="00221CA4"/>
    <w:rsid w:val="00221E8F"/>
    <w:rsid w:val="00221F72"/>
    <w:rsid w:val="0022240B"/>
    <w:rsid w:val="002225E3"/>
    <w:rsid w:val="002225FB"/>
    <w:rsid w:val="00222B06"/>
    <w:rsid w:val="00222CD0"/>
    <w:rsid w:val="0022348A"/>
    <w:rsid w:val="002235C6"/>
    <w:rsid w:val="00223664"/>
    <w:rsid w:val="002238A3"/>
    <w:rsid w:val="00223A56"/>
    <w:rsid w:val="00223B00"/>
    <w:rsid w:val="00223C57"/>
    <w:rsid w:val="00224173"/>
    <w:rsid w:val="00224907"/>
    <w:rsid w:val="00224EFB"/>
    <w:rsid w:val="00225028"/>
    <w:rsid w:val="0022537E"/>
    <w:rsid w:val="00225833"/>
    <w:rsid w:val="00225A80"/>
    <w:rsid w:val="00225AD3"/>
    <w:rsid w:val="00225B15"/>
    <w:rsid w:val="00225CFD"/>
    <w:rsid w:val="00226095"/>
    <w:rsid w:val="00226196"/>
    <w:rsid w:val="00226507"/>
    <w:rsid w:val="00226FFC"/>
    <w:rsid w:val="00227499"/>
    <w:rsid w:val="002275AD"/>
    <w:rsid w:val="00227881"/>
    <w:rsid w:val="00227939"/>
    <w:rsid w:val="00227B89"/>
    <w:rsid w:val="00227F43"/>
    <w:rsid w:val="002301A9"/>
    <w:rsid w:val="00230A11"/>
    <w:rsid w:val="00230BDF"/>
    <w:rsid w:val="002313ED"/>
    <w:rsid w:val="002316BF"/>
    <w:rsid w:val="00232305"/>
    <w:rsid w:val="002327C1"/>
    <w:rsid w:val="00232E08"/>
    <w:rsid w:val="00232F71"/>
    <w:rsid w:val="00233904"/>
    <w:rsid w:val="00233929"/>
    <w:rsid w:val="00233C02"/>
    <w:rsid w:val="00234246"/>
    <w:rsid w:val="0023424C"/>
    <w:rsid w:val="00234640"/>
    <w:rsid w:val="00234EAD"/>
    <w:rsid w:val="0023512C"/>
    <w:rsid w:val="002363A4"/>
    <w:rsid w:val="00236728"/>
    <w:rsid w:val="00236BAA"/>
    <w:rsid w:val="00236C2C"/>
    <w:rsid w:val="0023705D"/>
    <w:rsid w:val="0023727D"/>
    <w:rsid w:val="00237A83"/>
    <w:rsid w:val="00237E25"/>
    <w:rsid w:val="00237EA2"/>
    <w:rsid w:val="00240106"/>
    <w:rsid w:val="00240535"/>
    <w:rsid w:val="002406F8"/>
    <w:rsid w:val="00240E29"/>
    <w:rsid w:val="002411C7"/>
    <w:rsid w:val="00241548"/>
    <w:rsid w:val="002418B0"/>
    <w:rsid w:val="002423CD"/>
    <w:rsid w:val="002427B4"/>
    <w:rsid w:val="00242BBB"/>
    <w:rsid w:val="00242F4E"/>
    <w:rsid w:val="0024328D"/>
    <w:rsid w:val="00243367"/>
    <w:rsid w:val="002433AE"/>
    <w:rsid w:val="00243CEC"/>
    <w:rsid w:val="00243E6F"/>
    <w:rsid w:val="00243F2D"/>
    <w:rsid w:val="0024428E"/>
    <w:rsid w:val="00245230"/>
    <w:rsid w:val="002452A0"/>
    <w:rsid w:val="00245314"/>
    <w:rsid w:val="002456C5"/>
    <w:rsid w:val="002463A6"/>
    <w:rsid w:val="00246ADB"/>
    <w:rsid w:val="00246EBF"/>
    <w:rsid w:val="00246F51"/>
    <w:rsid w:val="002473F6"/>
    <w:rsid w:val="002503B3"/>
    <w:rsid w:val="002503C1"/>
    <w:rsid w:val="002508AE"/>
    <w:rsid w:val="00250C5D"/>
    <w:rsid w:val="00250DE0"/>
    <w:rsid w:val="00251174"/>
    <w:rsid w:val="002512B7"/>
    <w:rsid w:val="0025144E"/>
    <w:rsid w:val="002517A5"/>
    <w:rsid w:val="0025191A"/>
    <w:rsid w:val="00251D60"/>
    <w:rsid w:val="00251E38"/>
    <w:rsid w:val="00251F6C"/>
    <w:rsid w:val="0025222B"/>
    <w:rsid w:val="00252292"/>
    <w:rsid w:val="0025249C"/>
    <w:rsid w:val="002526C4"/>
    <w:rsid w:val="00252C80"/>
    <w:rsid w:val="00252E47"/>
    <w:rsid w:val="00253057"/>
    <w:rsid w:val="0025383F"/>
    <w:rsid w:val="002539ED"/>
    <w:rsid w:val="00253F31"/>
    <w:rsid w:val="00254139"/>
    <w:rsid w:val="0025440D"/>
    <w:rsid w:val="0025450E"/>
    <w:rsid w:val="00254AA7"/>
    <w:rsid w:val="00254B22"/>
    <w:rsid w:val="00254B9C"/>
    <w:rsid w:val="00255152"/>
    <w:rsid w:val="0025554E"/>
    <w:rsid w:val="00255912"/>
    <w:rsid w:val="00255A92"/>
    <w:rsid w:val="00255B54"/>
    <w:rsid w:val="00256154"/>
    <w:rsid w:val="00256646"/>
    <w:rsid w:val="002568D0"/>
    <w:rsid w:val="00256A9C"/>
    <w:rsid w:val="00256D6C"/>
    <w:rsid w:val="0025717A"/>
    <w:rsid w:val="002573A0"/>
    <w:rsid w:val="00257747"/>
    <w:rsid w:val="00257A64"/>
    <w:rsid w:val="002604AE"/>
    <w:rsid w:val="0026077D"/>
    <w:rsid w:val="00260919"/>
    <w:rsid w:val="00260922"/>
    <w:rsid w:val="00260A93"/>
    <w:rsid w:val="00260B70"/>
    <w:rsid w:val="00260B7B"/>
    <w:rsid w:val="00260C49"/>
    <w:rsid w:val="00260C74"/>
    <w:rsid w:val="00260D78"/>
    <w:rsid w:val="00260DDA"/>
    <w:rsid w:val="002610BF"/>
    <w:rsid w:val="00261822"/>
    <w:rsid w:val="00261F82"/>
    <w:rsid w:val="00261FA3"/>
    <w:rsid w:val="00262241"/>
    <w:rsid w:val="00262BEE"/>
    <w:rsid w:val="00263402"/>
    <w:rsid w:val="00263490"/>
    <w:rsid w:val="002638F4"/>
    <w:rsid w:val="0026394D"/>
    <w:rsid w:val="00263A76"/>
    <w:rsid w:val="00263B99"/>
    <w:rsid w:val="0026431E"/>
    <w:rsid w:val="002644A0"/>
    <w:rsid w:val="00264810"/>
    <w:rsid w:val="00264EE0"/>
    <w:rsid w:val="00265142"/>
    <w:rsid w:val="00265586"/>
    <w:rsid w:val="0026684D"/>
    <w:rsid w:val="00266DAB"/>
    <w:rsid w:val="00266F69"/>
    <w:rsid w:val="002672B6"/>
    <w:rsid w:val="00267578"/>
    <w:rsid w:val="00267867"/>
    <w:rsid w:val="00267AE3"/>
    <w:rsid w:val="00267BDE"/>
    <w:rsid w:val="00267D58"/>
    <w:rsid w:val="002706DA"/>
    <w:rsid w:val="002709A4"/>
    <w:rsid w:val="00270D13"/>
    <w:rsid w:val="00271030"/>
    <w:rsid w:val="00271109"/>
    <w:rsid w:val="002711C8"/>
    <w:rsid w:val="0027160C"/>
    <w:rsid w:val="00271DE3"/>
    <w:rsid w:val="00271E19"/>
    <w:rsid w:val="002724CA"/>
    <w:rsid w:val="002726F8"/>
    <w:rsid w:val="00272E71"/>
    <w:rsid w:val="00273394"/>
    <w:rsid w:val="0027353D"/>
    <w:rsid w:val="0027360A"/>
    <w:rsid w:val="00273C90"/>
    <w:rsid w:val="002743C4"/>
    <w:rsid w:val="00274557"/>
    <w:rsid w:val="002745C4"/>
    <w:rsid w:val="00274691"/>
    <w:rsid w:val="00274862"/>
    <w:rsid w:val="00274959"/>
    <w:rsid w:val="00274B3E"/>
    <w:rsid w:val="002750C1"/>
    <w:rsid w:val="002751B2"/>
    <w:rsid w:val="002751D1"/>
    <w:rsid w:val="00275209"/>
    <w:rsid w:val="0027531C"/>
    <w:rsid w:val="00275399"/>
    <w:rsid w:val="002755C0"/>
    <w:rsid w:val="002755D6"/>
    <w:rsid w:val="00275C59"/>
    <w:rsid w:val="00275F2E"/>
    <w:rsid w:val="00275F7B"/>
    <w:rsid w:val="00275F81"/>
    <w:rsid w:val="0027623B"/>
    <w:rsid w:val="00276243"/>
    <w:rsid w:val="00276386"/>
    <w:rsid w:val="00276936"/>
    <w:rsid w:val="002769A6"/>
    <w:rsid w:val="00276A2C"/>
    <w:rsid w:val="00276D1B"/>
    <w:rsid w:val="00276D61"/>
    <w:rsid w:val="00276EC2"/>
    <w:rsid w:val="0028028C"/>
    <w:rsid w:val="002803A2"/>
    <w:rsid w:val="002804CA"/>
    <w:rsid w:val="0028078B"/>
    <w:rsid w:val="00280CEC"/>
    <w:rsid w:val="0028122F"/>
    <w:rsid w:val="0028138F"/>
    <w:rsid w:val="00281E62"/>
    <w:rsid w:val="0028223C"/>
    <w:rsid w:val="0028249E"/>
    <w:rsid w:val="00282C64"/>
    <w:rsid w:val="00282CA1"/>
    <w:rsid w:val="00283688"/>
    <w:rsid w:val="00283731"/>
    <w:rsid w:val="00283A49"/>
    <w:rsid w:val="00283ED3"/>
    <w:rsid w:val="00283F82"/>
    <w:rsid w:val="00284340"/>
    <w:rsid w:val="002844A7"/>
    <w:rsid w:val="00284666"/>
    <w:rsid w:val="002850B6"/>
    <w:rsid w:val="00285A0B"/>
    <w:rsid w:val="0028634B"/>
    <w:rsid w:val="002863E6"/>
    <w:rsid w:val="002865B3"/>
    <w:rsid w:val="00286921"/>
    <w:rsid w:val="00286AA4"/>
    <w:rsid w:val="00286DC7"/>
    <w:rsid w:val="00286F0F"/>
    <w:rsid w:val="00286F99"/>
    <w:rsid w:val="00286FC7"/>
    <w:rsid w:val="00287530"/>
    <w:rsid w:val="00287AFA"/>
    <w:rsid w:val="00287E78"/>
    <w:rsid w:val="00287E9B"/>
    <w:rsid w:val="00290654"/>
    <w:rsid w:val="00290676"/>
    <w:rsid w:val="00290777"/>
    <w:rsid w:val="00290849"/>
    <w:rsid w:val="002913FE"/>
    <w:rsid w:val="00291462"/>
    <w:rsid w:val="00291572"/>
    <w:rsid w:val="00291990"/>
    <w:rsid w:val="00291BB8"/>
    <w:rsid w:val="00291C4E"/>
    <w:rsid w:val="00292236"/>
    <w:rsid w:val="0029233C"/>
    <w:rsid w:val="00292744"/>
    <w:rsid w:val="00292FA8"/>
    <w:rsid w:val="00292FCB"/>
    <w:rsid w:val="00293043"/>
    <w:rsid w:val="00293301"/>
    <w:rsid w:val="0029337E"/>
    <w:rsid w:val="002933B1"/>
    <w:rsid w:val="002935DA"/>
    <w:rsid w:val="002936A7"/>
    <w:rsid w:val="0029379C"/>
    <w:rsid w:val="00293855"/>
    <w:rsid w:val="00293B03"/>
    <w:rsid w:val="00294437"/>
    <w:rsid w:val="00294E6A"/>
    <w:rsid w:val="00294FCA"/>
    <w:rsid w:val="00295196"/>
    <w:rsid w:val="00295A83"/>
    <w:rsid w:val="00295B0F"/>
    <w:rsid w:val="00296425"/>
    <w:rsid w:val="00296562"/>
    <w:rsid w:val="00296A79"/>
    <w:rsid w:val="00296BC9"/>
    <w:rsid w:val="00296D64"/>
    <w:rsid w:val="00296E59"/>
    <w:rsid w:val="002970DB"/>
    <w:rsid w:val="00297737"/>
    <w:rsid w:val="00297C53"/>
    <w:rsid w:val="002A045B"/>
    <w:rsid w:val="002A04B4"/>
    <w:rsid w:val="002A0ED3"/>
    <w:rsid w:val="002A1014"/>
    <w:rsid w:val="002A12A3"/>
    <w:rsid w:val="002A145B"/>
    <w:rsid w:val="002A18BE"/>
    <w:rsid w:val="002A1C0C"/>
    <w:rsid w:val="002A2D19"/>
    <w:rsid w:val="002A2FBE"/>
    <w:rsid w:val="002A3562"/>
    <w:rsid w:val="002A36F6"/>
    <w:rsid w:val="002A38F9"/>
    <w:rsid w:val="002A3A91"/>
    <w:rsid w:val="002A4084"/>
    <w:rsid w:val="002A43E9"/>
    <w:rsid w:val="002A46F7"/>
    <w:rsid w:val="002A4856"/>
    <w:rsid w:val="002A4AD6"/>
    <w:rsid w:val="002A4CD3"/>
    <w:rsid w:val="002A4FE3"/>
    <w:rsid w:val="002A519B"/>
    <w:rsid w:val="002A54DF"/>
    <w:rsid w:val="002A5DBD"/>
    <w:rsid w:val="002A5DE1"/>
    <w:rsid w:val="002A5E1C"/>
    <w:rsid w:val="002A5EB8"/>
    <w:rsid w:val="002A7196"/>
    <w:rsid w:val="002A76AE"/>
    <w:rsid w:val="002A79E1"/>
    <w:rsid w:val="002A7A6F"/>
    <w:rsid w:val="002A7EA6"/>
    <w:rsid w:val="002B00CE"/>
    <w:rsid w:val="002B04B6"/>
    <w:rsid w:val="002B04B7"/>
    <w:rsid w:val="002B050C"/>
    <w:rsid w:val="002B069F"/>
    <w:rsid w:val="002B07A1"/>
    <w:rsid w:val="002B0AAC"/>
    <w:rsid w:val="002B11F5"/>
    <w:rsid w:val="002B1384"/>
    <w:rsid w:val="002B1D6F"/>
    <w:rsid w:val="002B2830"/>
    <w:rsid w:val="002B2AD1"/>
    <w:rsid w:val="002B2B22"/>
    <w:rsid w:val="002B3060"/>
    <w:rsid w:val="002B3117"/>
    <w:rsid w:val="002B3245"/>
    <w:rsid w:val="002B3326"/>
    <w:rsid w:val="002B3681"/>
    <w:rsid w:val="002B37C6"/>
    <w:rsid w:val="002B395A"/>
    <w:rsid w:val="002B3E44"/>
    <w:rsid w:val="002B4492"/>
    <w:rsid w:val="002B4957"/>
    <w:rsid w:val="002B5158"/>
    <w:rsid w:val="002B53B1"/>
    <w:rsid w:val="002B53D3"/>
    <w:rsid w:val="002B5541"/>
    <w:rsid w:val="002B5C5E"/>
    <w:rsid w:val="002B5F20"/>
    <w:rsid w:val="002B5F44"/>
    <w:rsid w:val="002B666C"/>
    <w:rsid w:val="002B667C"/>
    <w:rsid w:val="002B6A3C"/>
    <w:rsid w:val="002B6C20"/>
    <w:rsid w:val="002B6E7C"/>
    <w:rsid w:val="002B6F02"/>
    <w:rsid w:val="002B707C"/>
    <w:rsid w:val="002B73CD"/>
    <w:rsid w:val="002B775E"/>
    <w:rsid w:val="002B797C"/>
    <w:rsid w:val="002C06CE"/>
    <w:rsid w:val="002C0ACD"/>
    <w:rsid w:val="002C0CA4"/>
    <w:rsid w:val="002C11CA"/>
    <w:rsid w:val="002C14F2"/>
    <w:rsid w:val="002C16F2"/>
    <w:rsid w:val="002C1C2F"/>
    <w:rsid w:val="002C1F35"/>
    <w:rsid w:val="002C2ADB"/>
    <w:rsid w:val="002C2C70"/>
    <w:rsid w:val="002C3527"/>
    <w:rsid w:val="002C35BA"/>
    <w:rsid w:val="002C374C"/>
    <w:rsid w:val="002C3838"/>
    <w:rsid w:val="002C3E78"/>
    <w:rsid w:val="002C3FF8"/>
    <w:rsid w:val="002C45E8"/>
    <w:rsid w:val="002C47F9"/>
    <w:rsid w:val="002C4CC2"/>
    <w:rsid w:val="002C4F9D"/>
    <w:rsid w:val="002C4FF3"/>
    <w:rsid w:val="002C5512"/>
    <w:rsid w:val="002C5626"/>
    <w:rsid w:val="002C5937"/>
    <w:rsid w:val="002C5D2B"/>
    <w:rsid w:val="002C61EE"/>
    <w:rsid w:val="002C6447"/>
    <w:rsid w:val="002C64C4"/>
    <w:rsid w:val="002C663F"/>
    <w:rsid w:val="002C6652"/>
    <w:rsid w:val="002C6780"/>
    <w:rsid w:val="002C67DA"/>
    <w:rsid w:val="002C70CE"/>
    <w:rsid w:val="002C731B"/>
    <w:rsid w:val="002C768B"/>
    <w:rsid w:val="002C7D05"/>
    <w:rsid w:val="002C7F64"/>
    <w:rsid w:val="002D0355"/>
    <w:rsid w:val="002D0464"/>
    <w:rsid w:val="002D090A"/>
    <w:rsid w:val="002D0934"/>
    <w:rsid w:val="002D1123"/>
    <w:rsid w:val="002D1687"/>
    <w:rsid w:val="002D1BE7"/>
    <w:rsid w:val="002D1D12"/>
    <w:rsid w:val="002D1DD3"/>
    <w:rsid w:val="002D2670"/>
    <w:rsid w:val="002D267D"/>
    <w:rsid w:val="002D28AB"/>
    <w:rsid w:val="002D296D"/>
    <w:rsid w:val="002D2BD6"/>
    <w:rsid w:val="002D2C80"/>
    <w:rsid w:val="002D396D"/>
    <w:rsid w:val="002D3B1B"/>
    <w:rsid w:val="002D3CEB"/>
    <w:rsid w:val="002D4349"/>
    <w:rsid w:val="002D4450"/>
    <w:rsid w:val="002D453A"/>
    <w:rsid w:val="002D4D4D"/>
    <w:rsid w:val="002D506F"/>
    <w:rsid w:val="002D5097"/>
    <w:rsid w:val="002D51BD"/>
    <w:rsid w:val="002D55E4"/>
    <w:rsid w:val="002D579E"/>
    <w:rsid w:val="002D5C25"/>
    <w:rsid w:val="002D5EF2"/>
    <w:rsid w:val="002D6092"/>
    <w:rsid w:val="002D62CE"/>
    <w:rsid w:val="002D639B"/>
    <w:rsid w:val="002D6465"/>
    <w:rsid w:val="002D690D"/>
    <w:rsid w:val="002D6D17"/>
    <w:rsid w:val="002E0592"/>
    <w:rsid w:val="002E0645"/>
    <w:rsid w:val="002E0776"/>
    <w:rsid w:val="002E165F"/>
    <w:rsid w:val="002E1AC3"/>
    <w:rsid w:val="002E2048"/>
    <w:rsid w:val="002E213B"/>
    <w:rsid w:val="002E251B"/>
    <w:rsid w:val="002E2AE0"/>
    <w:rsid w:val="002E2FC7"/>
    <w:rsid w:val="002E31D2"/>
    <w:rsid w:val="002E32BA"/>
    <w:rsid w:val="002E3598"/>
    <w:rsid w:val="002E3774"/>
    <w:rsid w:val="002E40AF"/>
    <w:rsid w:val="002E415F"/>
    <w:rsid w:val="002E4A4B"/>
    <w:rsid w:val="002E4AD1"/>
    <w:rsid w:val="002E4D9E"/>
    <w:rsid w:val="002E5089"/>
    <w:rsid w:val="002E5710"/>
    <w:rsid w:val="002E579E"/>
    <w:rsid w:val="002E5B69"/>
    <w:rsid w:val="002E632C"/>
    <w:rsid w:val="002E63BE"/>
    <w:rsid w:val="002E65AC"/>
    <w:rsid w:val="002E7521"/>
    <w:rsid w:val="002E7564"/>
    <w:rsid w:val="002E761D"/>
    <w:rsid w:val="002E7775"/>
    <w:rsid w:val="002E7AD2"/>
    <w:rsid w:val="002E7ADD"/>
    <w:rsid w:val="002E7D4C"/>
    <w:rsid w:val="002E7F57"/>
    <w:rsid w:val="002F006F"/>
    <w:rsid w:val="002F007A"/>
    <w:rsid w:val="002F0209"/>
    <w:rsid w:val="002F0449"/>
    <w:rsid w:val="002F04D1"/>
    <w:rsid w:val="002F0671"/>
    <w:rsid w:val="002F0778"/>
    <w:rsid w:val="002F077F"/>
    <w:rsid w:val="002F081D"/>
    <w:rsid w:val="002F1399"/>
    <w:rsid w:val="002F14EB"/>
    <w:rsid w:val="002F183B"/>
    <w:rsid w:val="002F1893"/>
    <w:rsid w:val="002F18BC"/>
    <w:rsid w:val="002F1DA9"/>
    <w:rsid w:val="002F1FD2"/>
    <w:rsid w:val="002F22E3"/>
    <w:rsid w:val="002F236D"/>
    <w:rsid w:val="002F311F"/>
    <w:rsid w:val="002F316F"/>
    <w:rsid w:val="002F32FB"/>
    <w:rsid w:val="002F348A"/>
    <w:rsid w:val="002F3CFA"/>
    <w:rsid w:val="002F40CD"/>
    <w:rsid w:val="002F417B"/>
    <w:rsid w:val="002F4310"/>
    <w:rsid w:val="002F4699"/>
    <w:rsid w:val="002F4E54"/>
    <w:rsid w:val="002F5611"/>
    <w:rsid w:val="002F592A"/>
    <w:rsid w:val="002F5E01"/>
    <w:rsid w:val="002F5F5E"/>
    <w:rsid w:val="002F5F85"/>
    <w:rsid w:val="002F6016"/>
    <w:rsid w:val="002F6058"/>
    <w:rsid w:val="002F67FE"/>
    <w:rsid w:val="002F693F"/>
    <w:rsid w:val="002F6CD2"/>
    <w:rsid w:val="002F6E06"/>
    <w:rsid w:val="002F6E24"/>
    <w:rsid w:val="002F6E92"/>
    <w:rsid w:val="002F7115"/>
    <w:rsid w:val="002F713F"/>
    <w:rsid w:val="002F7A26"/>
    <w:rsid w:val="003008CC"/>
    <w:rsid w:val="0030093B"/>
    <w:rsid w:val="00300997"/>
    <w:rsid w:val="00300EFF"/>
    <w:rsid w:val="00300F86"/>
    <w:rsid w:val="00301032"/>
    <w:rsid w:val="00301700"/>
    <w:rsid w:val="00301763"/>
    <w:rsid w:val="00301BAF"/>
    <w:rsid w:val="00301C24"/>
    <w:rsid w:val="00301C33"/>
    <w:rsid w:val="00302153"/>
    <w:rsid w:val="00302252"/>
    <w:rsid w:val="00302844"/>
    <w:rsid w:val="00302BC4"/>
    <w:rsid w:val="00302D06"/>
    <w:rsid w:val="00302DE0"/>
    <w:rsid w:val="00303939"/>
    <w:rsid w:val="00303C60"/>
    <w:rsid w:val="003040E6"/>
    <w:rsid w:val="00304393"/>
    <w:rsid w:val="00304467"/>
    <w:rsid w:val="003049BE"/>
    <w:rsid w:val="00304A01"/>
    <w:rsid w:val="00304A21"/>
    <w:rsid w:val="00304C05"/>
    <w:rsid w:val="00304DF4"/>
    <w:rsid w:val="00304FA9"/>
    <w:rsid w:val="00304FB8"/>
    <w:rsid w:val="00304FCF"/>
    <w:rsid w:val="00305135"/>
    <w:rsid w:val="00305327"/>
    <w:rsid w:val="00305A47"/>
    <w:rsid w:val="00305DD7"/>
    <w:rsid w:val="00306106"/>
    <w:rsid w:val="00306A17"/>
    <w:rsid w:val="00306C3C"/>
    <w:rsid w:val="00306D39"/>
    <w:rsid w:val="00306E55"/>
    <w:rsid w:val="00307299"/>
    <w:rsid w:val="00307515"/>
    <w:rsid w:val="00307B4E"/>
    <w:rsid w:val="00307C59"/>
    <w:rsid w:val="0031044F"/>
    <w:rsid w:val="00310B23"/>
    <w:rsid w:val="00310B9B"/>
    <w:rsid w:val="00310C3F"/>
    <w:rsid w:val="00310E8B"/>
    <w:rsid w:val="00311283"/>
    <w:rsid w:val="00311473"/>
    <w:rsid w:val="00311F05"/>
    <w:rsid w:val="003121E2"/>
    <w:rsid w:val="00312903"/>
    <w:rsid w:val="00312DE8"/>
    <w:rsid w:val="003131A8"/>
    <w:rsid w:val="00313226"/>
    <w:rsid w:val="00313F04"/>
    <w:rsid w:val="00313F1F"/>
    <w:rsid w:val="0031404E"/>
    <w:rsid w:val="00314072"/>
    <w:rsid w:val="003140D2"/>
    <w:rsid w:val="003141CB"/>
    <w:rsid w:val="00314B03"/>
    <w:rsid w:val="00315855"/>
    <w:rsid w:val="00315861"/>
    <w:rsid w:val="003158DF"/>
    <w:rsid w:val="00315F89"/>
    <w:rsid w:val="0031629D"/>
    <w:rsid w:val="00316B04"/>
    <w:rsid w:val="00316BC3"/>
    <w:rsid w:val="0031740E"/>
    <w:rsid w:val="003174B4"/>
    <w:rsid w:val="003175E3"/>
    <w:rsid w:val="00317714"/>
    <w:rsid w:val="00317735"/>
    <w:rsid w:val="003178BE"/>
    <w:rsid w:val="00317F4A"/>
    <w:rsid w:val="0032013D"/>
    <w:rsid w:val="00320A17"/>
    <w:rsid w:val="00321195"/>
    <w:rsid w:val="00321266"/>
    <w:rsid w:val="00321657"/>
    <w:rsid w:val="003217D8"/>
    <w:rsid w:val="003218F4"/>
    <w:rsid w:val="00321D8A"/>
    <w:rsid w:val="00321F2F"/>
    <w:rsid w:val="003221AA"/>
    <w:rsid w:val="00322365"/>
    <w:rsid w:val="00322439"/>
    <w:rsid w:val="00322DA9"/>
    <w:rsid w:val="00322EEE"/>
    <w:rsid w:val="00323031"/>
    <w:rsid w:val="00323164"/>
    <w:rsid w:val="0032325C"/>
    <w:rsid w:val="00323426"/>
    <w:rsid w:val="003234F1"/>
    <w:rsid w:val="003236C8"/>
    <w:rsid w:val="00323946"/>
    <w:rsid w:val="00323A0B"/>
    <w:rsid w:val="00323AF6"/>
    <w:rsid w:val="00323D6F"/>
    <w:rsid w:val="003242E3"/>
    <w:rsid w:val="00324557"/>
    <w:rsid w:val="0032492C"/>
    <w:rsid w:val="00324A71"/>
    <w:rsid w:val="003250CA"/>
    <w:rsid w:val="003251C2"/>
    <w:rsid w:val="00325CA3"/>
    <w:rsid w:val="00325FA0"/>
    <w:rsid w:val="00326162"/>
    <w:rsid w:val="0032675F"/>
    <w:rsid w:val="003268C0"/>
    <w:rsid w:val="003269C8"/>
    <w:rsid w:val="003269F1"/>
    <w:rsid w:val="00326CA7"/>
    <w:rsid w:val="00326DB9"/>
    <w:rsid w:val="00326F1C"/>
    <w:rsid w:val="00327162"/>
    <w:rsid w:val="00327A10"/>
    <w:rsid w:val="00330A0A"/>
    <w:rsid w:val="003312DC"/>
    <w:rsid w:val="00331504"/>
    <w:rsid w:val="00331552"/>
    <w:rsid w:val="00331959"/>
    <w:rsid w:val="00331C61"/>
    <w:rsid w:val="00331E67"/>
    <w:rsid w:val="00331ECC"/>
    <w:rsid w:val="003328A9"/>
    <w:rsid w:val="00332AC5"/>
    <w:rsid w:val="00332B8F"/>
    <w:rsid w:val="00332E3C"/>
    <w:rsid w:val="00333430"/>
    <w:rsid w:val="00333599"/>
    <w:rsid w:val="003338D7"/>
    <w:rsid w:val="0033392D"/>
    <w:rsid w:val="003345FE"/>
    <w:rsid w:val="00334722"/>
    <w:rsid w:val="003348CD"/>
    <w:rsid w:val="003348E4"/>
    <w:rsid w:val="003349C4"/>
    <w:rsid w:val="00334B33"/>
    <w:rsid w:val="00334DC4"/>
    <w:rsid w:val="00334F03"/>
    <w:rsid w:val="003350FC"/>
    <w:rsid w:val="003351A4"/>
    <w:rsid w:val="00336127"/>
    <w:rsid w:val="0033655D"/>
    <w:rsid w:val="00336A5C"/>
    <w:rsid w:val="00336C4B"/>
    <w:rsid w:val="00337138"/>
    <w:rsid w:val="003371B5"/>
    <w:rsid w:val="003371C1"/>
    <w:rsid w:val="0033730F"/>
    <w:rsid w:val="003377D3"/>
    <w:rsid w:val="00337A01"/>
    <w:rsid w:val="00337BAF"/>
    <w:rsid w:val="00337F28"/>
    <w:rsid w:val="00340341"/>
    <w:rsid w:val="003403C8"/>
    <w:rsid w:val="0034078E"/>
    <w:rsid w:val="003407D5"/>
    <w:rsid w:val="003417CB"/>
    <w:rsid w:val="00341917"/>
    <w:rsid w:val="00341B7D"/>
    <w:rsid w:val="00341F1F"/>
    <w:rsid w:val="00342067"/>
    <w:rsid w:val="00342846"/>
    <w:rsid w:val="00342A09"/>
    <w:rsid w:val="00342E43"/>
    <w:rsid w:val="00343216"/>
    <w:rsid w:val="003435A9"/>
    <w:rsid w:val="00343C48"/>
    <w:rsid w:val="00343F11"/>
    <w:rsid w:val="00344074"/>
    <w:rsid w:val="003440D5"/>
    <w:rsid w:val="003442A3"/>
    <w:rsid w:val="00344423"/>
    <w:rsid w:val="00344649"/>
    <w:rsid w:val="00344B53"/>
    <w:rsid w:val="00344C3A"/>
    <w:rsid w:val="00345496"/>
    <w:rsid w:val="00345BCF"/>
    <w:rsid w:val="00345F06"/>
    <w:rsid w:val="003460AF"/>
    <w:rsid w:val="003464A4"/>
    <w:rsid w:val="003466F9"/>
    <w:rsid w:val="00346A1A"/>
    <w:rsid w:val="0034756C"/>
    <w:rsid w:val="00347781"/>
    <w:rsid w:val="00347B2B"/>
    <w:rsid w:val="00350092"/>
    <w:rsid w:val="00350108"/>
    <w:rsid w:val="00350515"/>
    <w:rsid w:val="003505E9"/>
    <w:rsid w:val="00350AA3"/>
    <w:rsid w:val="00350B7C"/>
    <w:rsid w:val="00351401"/>
    <w:rsid w:val="00351629"/>
    <w:rsid w:val="00351836"/>
    <w:rsid w:val="00351898"/>
    <w:rsid w:val="003519AD"/>
    <w:rsid w:val="00351ADF"/>
    <w:rsid w:val="00351DB7"/>
    <w:rsid w:val="00351E0E"/>
    <w:rsid w:val="00351EA6"/>
    <w:rsid w:val="00351F94"/>
    <w:rsid w:val="00352243"/>
    <w:rsid w:val="003525DC"/>
    <w:rsid w:val="00353176"/>
    <w:rsid w:val="00353A8D"/>
    <w:rsid w:val="00353CAC"/>
    <w:rsid w:val="00353F82"/>
    <w:rsid w:val="00354246"/>
    <w:rsid w:val="0035439E"/>
    <w:rsid w:val="00354D01"/>
    <w:rsid w:val="00354D98"/>
    <w:rsid w:val="00354EB4"/>
    <w:rsid w:val="003553CB"/>
    <w:rsid w:val="00355616"/>
    <w:rsid w:val="00355840"/>
    <w:rsid w:val="00355D91"/>
    <w:rsid w:val="00356569"/>
    <w:rsid w:val="0035665F"/>
    <w:rsid w:val="003566E4"/>
    <w:rsid w:val="00356A66"/>
    <w:rsid w:val="00356D29"/>
    <w:rsid w:val="003571C2"/>
    <w:rsid w:val="003576E2"/>
    <w:rsid w:val="003602A7"/>
    <w:rsid w:val="003607DC"/>
    <w:rsid w:val="00360E61"/>
    <w:rsid w:val="003615BE"/>
    <w:rsid w:val="00361C58"/>
    <w:rsid w:val="003622D4"/>
    <w:rsid w:val="00362F41"/>
    <w:rsid w:val="00363578"/>
    <w:rsid w:val="003636F8"/>
    <w:rsid w:val="00363AE0"/>
    <w:rsid w:val="00363DA3"/>
    <w:rsid w:val="00363FA8"/>
    <w:rsid w:val="003640A7"/>
    <w:rsid w:val="003652B4"/>
    <w:rsid w:val="00365447"/>
    <w:rsid w:val="00365629"/>
    <w:rsid w:val="0036568A"/>
    <w:rsid w:val="00365E19"/>
    <w:rsid w:val="00365E1F"/>
    <w:rsid w:val="00365F83"/>
    <w:rsid w:val="00365FB1"/>
    <w:rsid w:val="003661C5"/>
    <w:rsid w:val="003663F3"/>
    <w:rsid w:val="00366AF0"/>
    <w:rsid w:val="003671BC"/>
    <w:rsid w:val="00367615"/>
    <w:rsid w:val="0036794E"/>
    <w:rsid w:val="00367A9C"/>
    <w:rsid w:val="00367F64"/>
    <w:rsid w:val="00370589"/>
    <w:rsid w:val="00370841"/>
    <w:rsid w:val="00370978"/>
    <w:rsid w:val="00370E16"/>
    <w:rsid w:val="003711BF"/>
    <w:rsid w:val="0037123E"/>
    <w:rsid w:val="00371310"/>
    <w:rsid w:val="00371A24"/>
    <w:rsid w:val="00371C2E"/>
    <w:rsid w:val="00371C6C"/>
    <w:rsid w:val="00371D65"/>
    <w:rsid w:val="00371F41"/>
    <w:rsid w:val="003723E0"/>
    <w:rsid w:val="00372835"/>
    <w:rsid w:val="00373BB8"/>
    <w:rsid w:val="00373E82"/>
    <w:rsid w:val="00373FBD"/>
    <w:rsid w:val="00374963"/>
    <w:rsid w:val="00374A09"/>
    <w:rsid w:val="00375745"/>
    <w:rsid w:val="00375841"/>
    <w:rsid w:val="00375A7B"/>
    <w:rsid w:val="00375E71"/>
    <w:rsid w:val="00375F73"/>
    <w:rsid w:val="003763B3"/>
    <w:rsid w:val="00376964"/>
    <w:rsid w:val="00376C95"/>
    <w:rsid w:val="00376D6B"/>
    <w:rsid w:val="00376E0B"/>
    <w:rsid w:val="0037716C"/>
    <w:rsid w:val="003771F2"/>
    <w:rsid w:val="0037798D"/>
    <w:rsid w:val="00377A09"/>
    <w:rsid w:val="00377CAF"/>
    <w:rsid w:val="00377DF5"/>
    <w:rsid w:val="00377DFB"/>
    <w:rsid w:val="003801B8"/>
    <w:rsid w:val="0038087B"/>
    <w:rsid w:val="003809F2"/>
    <w:rsid w:val="003811F6"/>
    <w:rsid w:val="0038134A"/>
    <w:rsid w:val="0038146C"/>
    <w:rsid w:val="0038198F"/>
    <w:rsid w:val="0038199B"/>
    <w:rsid w:val="00381A0F"/>
    <w:rsid w:val="00381E35"/>
    <w:rsid w:val="00381EE0"/>
    <w:rsid w:val="00382149"/>
    <w:rsid w:val="003821F2"/>
    <w:rsid w:val="003823D2"/>
    <w:rsid w:val="00382609"/>
    <w:rsid w:val="00382FEC"/>
    <w:rsid w:val="00382FEF"/>
    <w:rsid w:val="003832C3"/>
    <w:rsid w:val="00383C40"/>
    <w:rsid w:val="00383E49"/>
    <w:rsid w:val="00383F04"/>
    <w:rsid w:val="0038435B"/>
    <w:rsid w:val="00384CF0"/>
    <w:rsid w:val="00385051"/>
    <w:rsid w:val="00385111"/>
    <w:rsid w:val="003852A7"/>
    <w:rsid w:val="0038531C"/>
    <w:rsid w:val="0038548A"/>
    <w:rsid w:val="003858C5"/>
    <w:rsid w:val="003859BB"/>
    <w:rsid w:val="00385B7D"/>
    <w:rsid w:val="0038608B"/>
    <w:rsid w:val="00386124"/>
    <w:rsid w:val="0038638E"/>
    <w:rsid w:val="003864D5"/>
    <w:rsid w:val="00387252"/>
    <w:rsid w:val="0038735A"/>
    <w:rsid w:val="0038793F"/>
    <w:rsid w:val="00387C36"/>
    <w:rsid w:val="00390034"/>
    <w:rsid w:val="00390567"/>
    <w:rsid w:val="00390891"/>
    <w:rsid w:val="003908F1"/>
    <w:rsid w:val="003913E5"/>
    <w:rsid w:val="00391546"/>
    <w:rsid w:val="00392032"/>
    <w:rsid w:val="003923CF"/>
    <w:rsid w:val="0039241F"/>
    <w:rsid w:val="00392698"/>
    <w:rsid w:val="00392AFA"/>
    <w:rsid w:val="00392B2E"/>
    <w:rsid w:val="00392EFA"/>
    <w:rsid w:val="00392F7F"/>
    <w:rsid w:val="00392FBC"/>
    <w:rsid w:val="003930AC"/>
    <w:rsid w:val="00393607"/>
    <w:rsid w:val="00393797"/>
    <w:rsid w:val="00394083"/>
    <w:rsid w:val="0039476B"/>
    <w:rsid w:val="003949E4"/>
    <w:rsid w:val="00394BF5"/>
    <w:rsid w:val="00394F40"/>
    <w:rsid w:val="00395ED1"/>
    <w:rsid w:val="00396066"/>
    <w:rsid w:val="003962E1"/>
    <w:rsid w:val="00396411"/>
    <w:rsid w:val="0039651F"/>
    <w:rsid w:val="003966F6"/>
    <w:rsid w:val="0039677D"/>
    <w:rsid w:val="00396AE0"/>
    <w:rsid w:val="00396B71"/>
    <w:rsid w:val="00396E7E"/>
    <w:rsid w:val="00396EB5"/>
    <w:rsid w:val="003971F5"/>
    <w:rsid w:val="0039723D"/>
    <w:rsid w:val="00397B00"/>
    <w:rsid w:val="003A0263"/>
    <w:rsid w:val="003A0660"/>
    <w:rsid w:val="003A0D52"/>
    <w:rsid w:val="003A10B3"/>
    <w:rsid w:val="003A10E5"/>
    <w:rsid w:val="003A16CC"/>
    <w:rsid w:val="003A1A50"/>
    <w:rsid w:val="003A1D55"/>
    <w:rsid w:val="003A23A8"/>
    <w:rsid w:val="003A24CC"/>
    <w:rsid w:val="003A2557"/>
    <w:rsid w:val="003A2A77"/>
    <w:rsid w:val="003A2BB2"/>
    <w:rsid w:val="003A2ED1"/>
    <w:rsid w:val="003A350A"/>
    <w:rsid w:val="003A35B6"/>
    <w:rsid w:val="003A39D5"/>
    <w:rsid w:val="003A3CB7"/>
    <w:rsid w:val="003A3E6A"/>
    <w:rsid w:val="003A425B"/>
    <w:rsid w:val="003A4C47"/>
    <w:rsid w:val="003A4F3D"/>
    <w:rsid w:val="003A51C9"/>
    <w:rsid w:val="003A5E90"/>
    <w:rsid w:val="003A5EE5"/>
    <w:rsid w:val="003A6396"/>
    <w:rsid w:val="003A6724"/>
    <w:rsid w:val="003A6DB7"/>
    <w:rsid w:val="003A6E1A"/>
    <w:rsid w:val="003A7065"/>
    <w:rsid w:val="003A70CD"/>
    <w:rsid w:val="003A7299"/>
    <w:rsid w:val="003A7D81"/>
    <w:rsid w:val="003B0097"/>
    <w:rsid w:val="003B0780"/>
    <w:rsid w:val="003B0856"/>
    <w:rsid w:val="003B0A91"/>
    <w:rsid w:val="003B0BA1"/>
    <w:rsid w:val="003B0C91"/>
    <w:rsid w:val="003B0E80"/>
    <w:rsid w:val="003B115C"/>
    <w:rsid w:val="003B197E"/>
    <w:rsid w:val="003B1EC3"/>
    <w:rsid w:val="003B2432"/>
    <w:rsid w:val="003B29E0"/>
    <w:rsid w:val="003B2D42"/>
    <w:rsid w:val="003B2DB3"/>
    <w:rsid w:val="003B3170"/>
    <w:rsid w:val="003B3171"/>
    <w:rsid w:val="003B321E"/>
    <w:rsid w:val="003B3694"/>
    <w:rsid w:val="003B39B3"/>
    <w:rsid w:val="003B3D01"/>
    <w:rsid w:val="003B4599"/>
    <w:rsid w:val="003B501A"/>
    <w:rsid w:val="003B5083"/>
    <w:rsid w:val="003B5565"/>
    <w:rsid w:val="003B56EF"/>
    <w:rsid w:val="003B59A1"/>
    <w:rsid w:val="003B5E8F"/>
    <w:rsid w:val="003B61B7"/>
    <w:rsid w:val="003B6441"/>
    <w:rsid w:val="003B6639"/>
    <w:rsid w:val="003B680E"/>
    <w:rsid w:val="003B77AE"/>
    <w:rsid w:val="003B7A04"/>
    <w:rsid w:val="003B7A8F"/>
    <w:rsid w:val="003B7D7F"/>
    <w:rsid w:val="003B7E96"/>
    <w:rsid w:val="003C0768"/>
    <w:rsid w:val="003C1015"/>
    <w:rsid w:val="003C14B5"/>
    <w:rsid w:val="003C14BB"/>
    <w:rsid w:val="003C15AF"/>
    <w:rsid w:val="003C1825"/>
    <w:rsid w:val="003C1AE2"/>
    <w:rsid w:val="003C2402"/>
    <w:rsid w:val="003C273C"/>
    <w:rsid w:val="003C27EB"/>
    <w:rsid w:val="003C2800"/>
    <w:rsid w:val="003C2CFC"/>
    <w:rsid w:val="003C31B8"/>
    <w:rsid w:val="003C37B3"/>
    <w:rsid w:val="003C3A5D"/>
    <w:rsid w:val="003C3AFB"/>
    <w:rsid w:val="003C42A0"/>
    <w:rsid w:val="003C47AD"/>
    <w:rsid w:val="003C4886"/>
    <w:rsid w:val="003C4899"/>
    <w:rsid w:val="003C4D13"/>
    <w:rsid w:val="003C4E7C"/>
    <w:rsid w:val="003C4F8F"/>
    <w:rsid w:val="003C53FB"/>
    <w:rsid w:val="003C5644"/>
    <w:rsid w:val="003C56D9"/>
    <w:rsid w:val="003C5A20"/>
    <w:rsid w:val="003C66AC"/>
    <w:rsid w:val="003C68B6"/>
    <w:rsid w:val="003C6B59"/>
    <w:rsid w:val="003C6D58"/>
    <w:rsid w:val="003C72A8"/>
    <w:rsid w:val="003C76EE"/>
    <w:rsid w:val="003C7BAF"/>
    <w:rsid w:val="003C7D49"/>
    <w:rsid w:val="003D038A"/>
    <w:rsid w:val="003D043C"/>
    <w:rsid w:val="003D061E"/>
    <w:rsid w:val="003D073A"/>
    <w:rsid w:val="003D07F1"/>
    <w:rsid w:val="003D0942"/>
    <w:rsid w:val="003D0996"/>
    <w:rsid w:val="003D0A82"/>
    <w:rsid w:val="003D0CB8"/>
    <w:rsid w:val="003D0F51"/>
    <w:rsid w:val="003D1976"/>
    <w:rsid w:val="003D24DB"/>
    <w:rsid w:val="003D26D8"/>
    <w:rsid w:val="003D28BC"/>
    <w:rsid w:val="003D299E"/>
    <w:rsid w:val="003D2B09"/>
    <w:rsid w:val="003D2C10"/>
    <w:rsid w:val="003D2C8E"/>
    <w:rsid w:val="003D2CC8"/>
    <w:rsid w:val="003D2CD7"/>
    <w:rsid w:val="003D36EE"/>
    <w:rsid w:val="003D3BDF"/>
    <w:rsid w:val="003D3E72"/>
    <w:rsid w:val="003D44F8"/>
    <w:rsid w:val="003D47EB"/>
    <w:rsid w:val="003D4CBE"/>
    <w:rsid w:val="003D4CE9"/>
    <w:rsid w:val="003D4F21"/>
    <w:rsid w:val="003D5180"/>
    <w:rsid w:val="003D55E1"/>
    <w:rsid w:val="003D641A"/>
    <w:rsid w:val="003D64FE"/>
    <w:rsid w:val="003D6752"/>
    <w:rsid w:val="003D6C61"/>
    <w:rsid w:val="003D6EA9"/>
    <w:rsid w:val="003D71EB"/>
    <w:rsid w:val="003D7650"/>
    <w:rsid w:val="003D7852"/>
    <w:rsid w:val="003E024B"/>
    <w:rsid w:val="003E0542"/>
    <w:rsid w:val="003E0BC8"/>
    <w:rsid w:val="003E1893"/>
    <w:rsid w:val="003E19C8"/>
    <w:rsid w:val="003E1D51"/>
    <w:rsid w:val="003E22CB"/>
    <w:rsid w:val="003E2343"/>
    <w:rsid w:val="003E287B"/>
    <w:rsid w:val="003E2A62"/>
    <w:rsid w:val="003E2F12"/>
    <w:rsid w:val="003E339B"/>
    <w:rsid w:val="003E350A"/>
    <w:rsid w:val="003E354E"/>
    <w:rsid w:val="003E393D"/>
    <w:rsid w:val="003E3B06"/>
    <w:rsid w:val="003E3B5B"/>
    <w:rsid w:val="003E406B"/>
    <w:rsid w:val="003E409C"/>
    <w:rsid w:val="003E4A11"/>
    <w:rsid w:val="003E4F96"/>
    <w:rsid w:val="003E5281"/>
    <w:rsid w:val="003E528C"/>
    <w:rsid w:val="003E55DF"/>
    <w:rsid w:val="003E5CCA"/>
    <w:rsid w:val="003E655E"/>
    <w:rsid w:val="003E7043"/>
    <w:rsid w:val="003E70A5"/>
    <w:rsid w:val="003E7773"/>
    <w:rsid w:val="003E7C93"/>
    <w:rsid w:val="003E7EAE"/>
    <w:rsid w:val="003E7EDD"/>
    <w:rsid w:val="003F0375"/>
    <w:rsid w:val="003F03EC"/>
    <w:rsid w:val="003F07AB"/>
    <w:rsid w:val="003F08ED"/>
    <w:rsid w:val="003F0AF1"/>
    <w:rsid w:val="003F0D53"/>
    <w:rsid w:val="003F0D89"/>
    <w:rsid w:val="003F115E"/>
    <w:rsid w:val="003F14C2"/>
    <w:rsid w:val="003F1843"/>
    <w:rsid w:val="003F199B"/>
    <w:rsid w:val="003F1BDA"/>
    <w:rsid w:val="003F1E44"/>
    <w:rsid w:val="003F2210"/>
    <w:rsid w:val="003F3DAE"/>
    <w:rsid w:val="003F4142"/>
    <w:rsid w:val="003F41B6"/>
    <w:rsid w:val="003F41EB"/>
    <w:rsid w:val="003F421B"/>
    <w:rsid w:val="003F455F"/>
    <w:rsid w:val="003F48D6"/>
    <w:rsid w:val="003F4E0B"/>
    <w:rsid w:val="003F535C"/>
    <w:rsid w:val="003F5409"/>
    <w:rsid w:val="003F5A08"/>
    <w:rsid w:val="003F5ECA"/>
    <w:rsid w:val="003F605C"/>
    <w:rsid w:val="003F607A"/>
    <w:rsid w:val="003F6124"/>
    <w:rsid w:val="003F69D2"/>
    <w:rsid w:val="003F6BEF"/>
    <w:rsid w:val="003F6F1A"/>
    <w:rsid w:val="003F703A"/>
    <w:rsid w:val="003F7196"/>
    <w:rsid w:val="003F7222"/>
    <w:rsid w:val="003F7461"/>
    <w:rsid w:val="003F77BD"/>
    <w:rsid w:val="003F7994"/>
    <w:rsid w:val="003F7C68"/>
    <w:rsid w:val="003F7C71"/>
    <w:rsid w:val="004002E0"/>
    <w:rsid w:val="00400441"/>
    <w:rsid w:val="004006B6"/>
    <w:rsid w:val="00400806"/>
    <w:rsid w:val="004008AF"/>
    <w:rsid w:val="00400975"/>
    <w:rsid w:val="00400B5F"/>
    <w:rsid w:val="00400EFA"/>
    <w:rsid w:val="00401079"/>
    <w:rsid w:val="00401087"/>
    <w:rsid w:val="004010FF"/>
    <w:rsid w:val="00401DBF"/>
    <w:rsid w:val="00401E66"/>
    <w:rsid w:val="00402639"/>
    <w:rsid w:val="00402761"/>
    <w:rsid w:val="004028E6"/>
    <w:rsid w:val="004033D9"/>
    <w:rsid w:val="004033F5"/>
    <w:rsid w:val="00403F0A"/>
    <w:rsid w:val="00403F43"/>
    <w:rsid w:val="0040401C"/>
    <w:rsid w:val="004041DD"/>
    <w:rsid w:val="00404A94"/>
    <w:rsid w:val="0040507B"/>
    <w:rsid w:val="0040551F"/>
    <w:rsid w:val="004059E9"/>
    <w:rsid w:val="00405B28"/>
    <w:rsid w:val="00405D2C"/>
    <w:rsid w:val="00405DD5"/>
    <w:rsid w:val="00405DF6"/>
    <w:rsid w:val="00406032"/>
    <w:rsid w:val="004064BD"/>
    <w:rsid w:val="0040683A"/>
    <w:rsid w:val="00406A26"/>
    <w:rsid w:val="00406D05"/>
    <w:rsid w:val="00407423"/>
    <w:rsid w:val="0040771F"/>
    <w:rsid w:val="00407C92"/>
    <w:rsid w:val="0041002A"/>
    <w:rsid w:val="0041040B"/>
    <w:rsid w:val="00410E0D"/>
    <w:rsid w:val="004110A3"/>
    <w:rsid w:val="004111F7"/>
    <w:rsid w:val="004112FB"/>
    <w:rsid w:val="0041200A"/>
    <w:rsid w:val="0041217D"/>
    <w:rsid w:val="0041246E"/>
    <w:rsid w:val="004125C6"/>
    <w:rsid w:val="0041275F"/>
    <w:rsid w:val="00413272"/>
    <w:rsid w:val="004136B6"/>
    <w:rsid w:val="00413804"/>
    <w:rsid w:val="00413884"/>
    <w:rsid w:val="00413E60"/>
    <w:rsid w:val="0041409C"/>
    <w:rsid w:val="00414416"/>
    <w:rsid w:val="0041490F"/>
    <w:rsid w:val="00414937"/>
    <w:rsid w:val="00414941"/>
    <w:rsid w:val="00414D9C"/>
    <w:rsid w:val="00414DF8"/>
    <w:rsid w:val="00415281"/>
    <w:rsid w:val="00415611"/>
    <w:rsid w:val="00415636"/>
    <w:rsid w:val="00415B86"/>
    <w:rsid w:val="00416223"/>
    <w:rsid w:val="00416224"/>
    <w:rsid w:val="00416279"/>
    <w:rsid w:val="0041647A"/>
    <w:rsid w:val="00416715"/>
    <w:rsid w:val="00416FE8"/>
    <w:rsid w:val="0041745A"/>
    <w:rsid w:val="004174A7"/>
    <w:rsid w:val="0041753A"/>
    <w:rsid w:val="00417ACC"/>
    <w:rsid w:val="00420135"/>
    <w:rsid w:val="00420428"/>
    <w:rsid w:val="00420BE5"/>
    <w:rsid w:val="00420CFA"/>
    <w:rsid w:val="00421A89"/>
    <w:rsid w:val="00421BDA"/>
    <w:rsid w:val="00421EBC"/>
    <w:rsid w:val="00422127"/>
    <w:rsid w:val="00422C28"/>
    <w:rsid w:val="00422E07"/>
    <w:rsid w:val="00422EE3"/>
    <w:rsid w:val="00422F6A"/>
    <w:rsid w:val="0042304B"/>
    <w:rsid w:val="0042375B"/>
    <w:rsid w:val="00423C95"/>
    <w:rsid w:val="00424084"/>
    <w:rsid w:val="0042485F"/>
    <w:rsid w:val="00424EF5"/>
    <w:rsid w:val="0042581F"/>
    <w:rsid w:val="00425A51"/>
    <w:rsid w:val="0042646F"/>
    <w:rsid w:val="00426729"/>
    <w:rsid w:val="004268B3"/>
    <w:rsid w:val="00426BA3"/>
    <w:rsid w:val="00426F36"/>
    <w:rsid w:val="004273AD"/>
    <w:rsid w:val="004274F2"/>
    <w:rsid w:val="00427953"/>
    <w:rsid w:val="00430576"/>
    <w:rsid w:val="004305AE"/>
    <w:rsid w:val="00430A05"/>
    <w:rsid w:val="00430B17"/>
    <w:rsid w:val="00430B28"/>
    <w:rsid w:val="00430DF8"/>
    <w:rsid w:val="004310E2"/>
    <w:rsid w:val="00431491"/>
    <w:rsid w:val="0043166F"/>
    <w:rsid w:val="00431800"/>
    <w:rsid w:val="00431A80"/>
    <w:rsid w:val="00432117"/>
    <w:rsid w:val="004327FF"/>
    <w:rsid w:val="00432A2B"/>
    <w:rsid w:val="00432B3C"/>
    <w:rsid w:val="00432EB7"/>
    <w:rsid w:val="004333CC"/>
    <w:rsid w:val="00433541"/>
    <w:rsid w:val="004338A5"/>
    <w:rsid w:val="00433E9E"/>
    <w:rsid w:val="0043416E"/>
    <w:rsid w:val="00434C94"/>
    <w:rsid w:val="004351C6"/>
    <w:rsid w:val="00435800"/>
    <w:rsid w:val="00435BE9"/>
    <w:rsid w:val="00436009"/>
    <w:rsid w:val="0043603D"/>
    <w:rsid w:val="00436094"/>
    <w:rsid w:val="00436514"/>
    <w:rsid w:val="004366D0"/>
    <w:rsid w:val="00436711"/>
    <w:rsid w:val="00436872"/>
    <w:rsid w:val="00436A36"/>
    <w:rsid w:val="00436B43"/>
    <w:rsid w:val="00436C6C"/>
    <w:rsid w:val="00436CA9"/>
    <w:rsid w:val="0043739A"/>
    <w:rsid w:val="0043795F"/>
    <w:rsid w:val="00437A32"/>
    <w:rsid w:val="00437FB3"/>
    <w:rsid w:val="0044001F"/>
    <w:rsid w:val="00440054"/>
    <w:rsid w:val="0044054C"/>
    <w:rsid w:val="00440A88"/>
    <w:rsid w:val="00440C71"/>
    <w:rsid w:val="00441BBB"/>
    <w:rsid w:val="00441BDD"/>
    <w:rsid w:val="00441C7B"/>
    <w:rsid w:val="00442314"/>
    <w:rsid w:val="004423F7"/>
    <w:rsid w:val="00442522"/>
    <w:rsid w:val="00442A49"/>
    <w:rsid w:val="00443987"/>
    <w:rsid w:val="00444017"/>
    <w:rsid w:val="00444036"/>
    <w:rsid w:val="004442A5"/>
    <w:rsid w:val="004444AE"/>
    <w:rsid w:val="004445A3"/>
    <w:rsid w:val="004447F0"/>
    <w:rsid w:val="00444884"/>
    <w:rsid w:val="00444891"/>
    <w:rsid w:val="00444A6A"/>
    <w:rsid w:val="00444AE9"/>
    <w:rsid w:val="00444BE0"/>
    <w:rsid w:val="00444E4D"/>
    <w:rsid w:val="0044500B"/>
    <w:rsid w:val="0044538D"/>
    <w:rsid w:val="004454EA"/>
    <w:rsid w:val="0044550E"/>
    <w:rsid w:val="00445746"/>
    <w:rsid w:val="004459D2"/>
    <w:rsid w:val="00445D9D"/>
    <w:rsid w:val="00446013"/>
    <w:rsid w:val="0044690B"/>
    <w:rsid w:val="00446BBE"/>
    <w:rsid w:val="0044782C"/>
    <w:rsid w:val="00447840"/>
    <w:rsid w:val="004478FE"/>
    <w:rsid w:val="004479A3"/>
    <w:rsid w:val="00447BD2"/>
    <w:rsid w:val="00447CD8"/>
    <w:rsid w:val="00447D98"/>
    <w:rsid w:val="00447FE5"/>
    <w:rsid w:val="0045011E"/>
    <w:rsid w:val="0045093D"/>
    <w:rsid w:val="00450C4C"/>
    <w:rsid w:val="0045143A"/>
    <w:rsid w:val="00451645"/>
    <w:rsid w:val="00451F60"/>
    <w:rsid w:val="004527D9"/>
    <w:rsid w:val="004529A4"/>
    <w:rsid w:val="004529DE"/>
    <w:rsid w:val="00453625"/>
    <w:rsid w:val="00453AF7"/>
    <w:rsid w:val="00453CCC"/>
    <w:rsid w:val="00453F8E"/>
    <w:rsid w:val="004540DF"/>
    <w:rsid w:val="00454216"/>
    <w:rsid w:val="004543D4"/>
    <w:rsid w:val="00454A35"/>
    <w:rsid w:val="00454C8A"/>
    <w:rsid w:val="00454F24"/>
    <w:rsid w:val="00454F8E"/>
    <w:rsid w:val="00455413"/>
    <w:rsid w:val="004555B9"/>
    <w:rsid w:val="00455AA4"/>
    <w:rsid w:val="00455D3E"/>
    <w:rsid w:val="004561CC"/>
    <w:rsid w:val="004564DA"/>
    <w:rsid w:val="004566A3"/>
    <w:rsid w:val="0045674C"/>
    <w:rsid w:val="00456856"/>
    <w:rsid w:val="00456A8A"/>
    <w:rsid w:val="00456FD3"/>
    <w:rsid w:val="00457283"/>
    <w:rsid w:val="004574FF"/>
    <w:rsid w:val="00457551"/>
    <w:rsid w:val="0046002A"/>
    <w:rsid w:val="004602E0"/>
    <w:rsid w:val="004603F1"/>
    <w:rsid w:val="00461247"/>
    <w:rsid w:val="0046142F"/>
    <w:rsid w:val="00461598"/>
    <w:rsid w:val="0046164D"/>
    <w:rsid w:val="004617C7"/>
    <w:rsid w:val="00461D3B"/>
    <w:rsid w:val="00461D73"/>
    <w:rsid w:val="00461E69"/>
    <w:rsid w:val="004620EB"/>
    <w:rsid w:val="004625E3"/>
    <w:rsid w:val="004626B5"/>
    <w:rsid w:val="00462778"/>
    <w:rsid w:val="00462956"/>
    <w:rsid w:val="00462A78"/>
    <w:rsid w:val="00462C52"/>
    <w:rsid w:val="0046340B"/>
    <w:rsid w:val="00463834"/>
    <w:rsid w:val="00463BF8"/>
    <w:rsid w:val="00463C5A"/>
    <w:rsid w:val="004642B0"/>
    <w:rsid w:val="00464B5B"/>
    <w:rsid w:val="00464C75"/>
    <w:rsid w:val="00464D9A"/>
    <w:rsid w:val="00464F6C"/>
    <w:rsid w:val="00465244"/>
    <w:rsid w:val="0046575A"/>
    <w:rsid w:val="00466300"/>
    <w:rsid w:val="0046661D"/>
    <w:rsid w:val="00466658"/>
    <w:rsid w:val="00466A4C"/>
    <w:rsid w:val="00466F7B"/>
    <w:rsid w:val="00467215"/>
    <w:rsid w:val="00467392"/>
    <w:rsid w:val="0046779C"/>
    <w:rsid w:val="00467DBE"/>
    <w:rsid w:val="0047000A"/>
    <w:rsid w:val="0047013A"/>
    <w:rsid w:val="00470226"/>
    <w:rsid w:val="00470639"/>
    <w:rsid w:val="00470AAF"/>
    <w:rsid w:val="00470D49"/>
    <w:rsid w:val="00470DB3"/>
    <w:rsid w:val="00471369"/>
    <w:rsid w:val="00471431"/>
    <w:rsid w:val="004714BF"/>
    <w:rsid w:val="00471742"/>
    <w:rsid w:val="00471915"/>
    <w:rsid w:val="00471CF8"/>
    <w:rsid w:val="00471D0D"/>
    <w:rsid w:val="00471D34"/>
    <w:rsid w:val="00472DCB"/>
    <w:rsid w:val="00473028"/>
    <w:rsid w:val="00473561"/>
    <w:rsid w:val="0047364A"/>
    <w:rsid w:val="00473829"/>
    <w:rsid w:val="00473C98"/>
    <w:rsid w:val="00473CB5"/>
    <w:rsid w:val="00473DA0"/>
    <w:rsid w:val="004741BD"/>
    <w:rsid w:val="004748A4"/>
    <w:rsid w:val="00474E01"/>
    <w:rsid w:val="00474E4A"/>
    <w:rsid w:val="00475026"/>
    <w:rsid w:val="0047515C"/>
    <w:rsid w:val="00475A95"/>
    <w:rsid w:val="00475BA1"/>
    <w:rsid w:val="00475C95"/>
    <w:rsid w:val="00475D45"/>
    <w:rsid w:val="0047601C"/>
    <w:rsid w:val="004760C1"/>
    <w:rsid w:val="004761F5"/>
    <w:rsid w:val="00476244"/>
    <w:rsid w:val="004763B7"/>
    <w:rsid w:val="0047664C"/>
    <w:rsid w:val="004768AA"/>
    <w:rsid w:val="004768E0"/>
    <w:rsid w:val="00476CC8"/>
    <w:rsid w:val="004771A1"/>
    <w:rsid w:val="00477400"/>
    <w:rsid w:val="00477551"/>
    <w:rsid w:val="004777E8"/>
    <w:rsid w:val="00480A3B"/>
    <w:rsid w:val="00480CF1"/>
    <w:rsid w:val="00481297"/>
    <w:rsid w:val="0048179B"/>
    <w:rsid w:val="00482035"/>
    <w:rsid w:val="00482083"/>
    <w:rsid w:val="004821CA"/>
    <w:rsid w:val="0048231B"/>
    <w:rsid w:val="00482724"/>
    <w:rsid w:val="00482782"/>
    <w:rsid w:val="00482804"/>
    <w:rsid w:val="00482B47"/>
    <w:rsid w:val="00482D06"/>
    <w:rsid w:val="00482EEC"/>
    <w:rsid w:val="00483104"/>
    <w:rsid w:val="0048323E"/>
    <w:rsid w:val="004832D6"/>
    <w:rsid w:val="00483341"/>
    <w:rsid w:val="00484193"/>
    <w:rsid w:val="00484399"/>
    <w:rsid w:val="004844A8"/>
    <w:rsid w:val="004844AF"/>
    <w:rsid w:val="00484DC5"/>
    <w:rsid w:val="00484F42"/>
    <w:rsid w:val="00484F6D"/>
    <w:rsid w:val="00484F8C"/>
    <w:rsid w:val="00485211"/>
    <w:rsid w:val="00485675"/>
    <w:rsid w:val="00485836"/>
    <w:rsid w:val="00485ED7"/>
    <w:rsid w:val="00485FC8"/>
    <w:rsid w:val="00486430"/>
    <w:rsid w:val="004865A1"/>
    <w:rsid w:val="00486618"/>
    <w:rsid w:val="00486A03"/>
    <w:rsid w:val="00486B0B"/>
    <w:rsid w:val="00486BE5"/>
    <w:rsid w:val="00486D6E"/>
    <w:rsid w:val="00486EBA"/>
    <w:rsid w:val="00487C85"/>
    <w:rsid w:val="004900E8"/>
    <w:rsid w:val="00490104"/>
    <w:rsid w:val="00490158"/>
    <w:rsid w:val="004902C4"/>
    <w:rsid w:val="0049039A"/>
    <w:rsid w:val="00490480"/>
    <w:rsid w:val="0049094C"/>
    <w:rsid w:val="004909D8"/>
    <w:rsid w:val="00490C4D"/>
    <w:rsid w:val="00490DC4"/>
    <w:rsid w:val="00490F70"/>
    <w:rsid w:val="004910AB"/>
    <w:rsid w:val="00491908"/>
    <w:rsid w:val="0049219D"/>
    <w:rsid w:val="004925F1"/>
    <w:rsid w:val="0049283A"/>
    <w:rsid w:val="0049298B"/>
    <w:rsid w:val="00492E85"/>
    <w:rsid w:val="00492F1C"/>
    <w:rsid w:val="0049311D"/>
    <w:rsid w:val="004934A6"/>
    <w:rsid w:val="00493866"/>
    <w:rsid w:val="004939C1"/>
    <w:rsid w:val="004949DA"/>
    <w:rsid w:val="00494A2E"/>
    <w:rsid w:val="00494B12"/>
    <w:rsid w:val="00494E29"/>
    <w:rsid w:val="00494E4D"/>
    <w:rsid w:val="00494F64"/>
    <w:rsid w:val="00494F6D"/>
    <w:rsid w:val="00495155"/>
    <w:rsid w:val="0049520E"/>
    <w:rsid w:val="004955CD"/>
    <w:rsid w:val="00495904"/>
    <w:rsid w:val="00495ABF"/>
    <w:rsid w:val="00495BBB"/>
    <w:rsid w:val="00495BE0"/>
    <w:rsid w:val="00495D29"/>
    <w:rsid w:val="00495DF8"/>
    <w:rsid w:val="00496024"/>
    <w:rsid w:val="00496027"/>
    <w:rsid w:val="0049612F"/>
    <w:rsid w:val="00496568"/>
    <w:rsid w:val="0049676D"/>
    <w:rsid w:val="0049697C"/>
    <w:rsid w:val="00496AD3"/>
    <w:rsid w:val="00496C5E"/>
    <w:rsid w:val="004970E5"/>
    <w:rsid w:val="00497969"/>
    <w:rsid w:val="00497B9F"/>
    <w:rsid w:val="004A07D7"/>
    <w:rsid w:val="004A0C31"/>
    <w:rsid w:val="004A0D67"/>
    <w:rsid w:val="004A0EC2"/>
    <w:rsid w:val="004A2084"/>
    <w:rsid w:val="004A2260"/>
    <w:rsid w:val="004A23FB"/>
    <w:rsid w:val="004A2E3F"/>
    <w:rsid w:val="004A356D"/>
    <w:rsid w:val="004A35AF"/>
    <w:rsid w:val="004A3E21"/>
    <w:rsid w:val="004A41DD"/>
    <w:rsid w:val="004A4430"/>
    <w:rsid w:val="004A477D"/>
    <w:rsid w:val="004A49D3"/>
    <w:rsid w:val="004A49DB"/>
    <w:rsid w:val="004A4D29"/>
    <w:rsid w:val="004A4EE8"/>
    <w:rsid w:val="004A4FDF"/>
    <w:rsid w:val="004A5489"/>
    <w:rsid w:val="004A590E"/>
    <w:rsid w:val="004A5E73"/>
    <w:rsid w:val="004A70CE"/>
    <w:rsid w:val="004A73B7"/>
    <w:rsid w:val="004A74F8"/>
    <w:rsid w:val="004A7697"/>
    <w:rsid w:val="004A76B4"/>
    <w:rsid w:val="004A7882"/>
    <w:rsid w:val="004A7A52"/>
    <w:rsid w:val="004A7B5A"/>
    <w:rsid w:val="004B0169"/>
    <w:rsid w:val="004B0502"/>
    <w:rsid w:val="004B093F"/>
    <w:rsid w:val="004B0BAF"/>
    <w:rsid w:val="004B0F8D"/>
    <w:rsid w:val="004B0FD2"/>
    <w:rsid w:val="004B1071"/>
    <w:rsid w:val="004B138F"/>
    <w:rsid w:val="004B19FE"/>
    <w:rsid w:val="004B1EA6"/>
    <w:rsid w:val="004B254D"/>
    <w:rsid w:val="004B26F0"/>
    <w:rsid w:val="004B2839"/>
    <w:rsid w:val="004B291A"/>
    <w:rsid w:val="004B2A4D"/>
    <w:rsid w:val="004B2F45"/>
    <w:rsid w:val="004B2FF6"/>
    <w:rsid w:val="004B3102"/>
    <w:rsid w:val="004B33C2"/>
    <w:rsid w:val="004B3562"/>
    <w:rsid w:val="004B364A"/>
    <w:rsid w:val="004B3712"/>
    <w:rsid w:val="004B3931"/>
    <w:rsid w:val="004B3DA4"/>
    <w:rsid w:val="004B3E0F"/>
    <w:rsid w:val="004B4136"/>
    <w:rsid w:val="004B4214"/>
    <w:rsid w:val="004B4543"/>
    <w:rsid w:val="004B4B9F"/>
    <w:rsid w:val="004B4E5F"/>
    <w:rsid w:val="004B4F60"/>
    <w:rsid w:val="004B5273"/>
    <w:rsid w:val="004B689D"/>
    <w:rsid w:val="004B6953"/>
    <w:rsid w:val="004B6BBA"/>
    <w:rsid w:val="004B712B"/>
    <w:rsid w:val="004B719C"/>
    <w:rsid w:val="004B7276"/>
    <w:rsid w:val="004B75F8"/>
    <w:rsid w:val="004B784F"/>
    <w:rsid w:val="004B790F"/>
    <w:rsid w:val="004B7BD7"/>
    <w:rsid w:val="004B7C16"/>
    <w:rsid w:val="004B7C87"/>
    <w:rsid w:val="004B7DB0"/>
    <w:rsid w:val="004B7E3A"/>
    <w:rsid w:val="004B7E98"/>
    <w:rsid w:val="004C00C3"/>
    <w:rsid w:val="004C0410"/>
    <w:rsid w:val="004C0709"/>
    <w:rsid w:val="004C07D5"/>
    <w:rsid w:val="004C088B"/>
    <w:rsid w:val="004C0A2F"/>
    <w:rsid w:val="004C0E97"/>
    <w:rsid w:val="004C1194"/>
    <w:rsid w:val="004C1499"/>
    <w:rsid w:val="004C178D"/>
    <w:rsid w:val="004C1CE7"/>
    <w:rsid w:val="004C220F"/>
    <w:rsid w:val="004C2330"/>
    <w:rsid w:val="004C2A2C"/>
    <w:rsid w:val="004C2B2C"/>
    <w:rsid w:val="004C32B5"/>
    <w:rsid w:val="004C3376"/>
    <w:rsid w:val="004C33C2"/>
    <w:rsid w:val="004C3F23"/>
    <w:rsid w:val="004C4674"/>
    <w:rsid w:val="004C48C8"/>
    <w:rsid w:val="004C4F8C"/>
    <w:rsid w:val="004C5136"/>
    <w:rsid w:val="004C525A"/>
    <w:rsid w:val="004C5900"/>
    <w:rsid w:val="004C598D"/>
    <w:rsid w:val="004C6735"/>
    <w:rsid w:val="004C6913"/>
    <w:rsid w:val="004C6B0B"/>
    <w:rsid w:val="004C6BB6"/>
    <w:rsid w:val="004C6BBF"/>
    <w:rsid w:val="004C7115"/>
    <w:rsid w:val="004C722B"/>
    <w:rsid w:val="004C72CA"/>
    <w:rsid w:val="004C7518"/>
    <w:rsid w:val="004C792A"/>
    <w:rsid w:val="004C7BE1"/>
    <w:rsid w:val="004C7D33"/>
    <w:rsid w:val="004C7D4A"/>
    <w:rsid w:val="004C7F91"/>
    <w:rsid w:val="004D0A8D"/>
    <w:rsid w:val="004D1048"/>
    <w:rsid w:val="004D117E"/>
    <w:rsid w:val="004D19DD"/>
    <w:rsid w:val="004D19EA"/>
    <w:rsid w:val="004D1C89"/>
    <w:rsid w:val="004D25B3"/>
    <w:rsid w:val="004D375A"/>
    <w:rsid w:val="004D3897"/>
    <w:rsid w:val="004D3CE1"/>
    <w:rsid w:val="004D4242"/>
    <w:rsid w:val="004D440D"/>
    <w:rsid w:val="004D4425"/>
    <w:rsid w:val="004D44DD"/>
    <w:rsid w:val="004D468B"/>
    <w:rsid w:val="004D5137"/>
    <w:rsid w:val="004D5D87"/>
    <w:rsid w:val="004D6144"/>
    <w:rsid w:val="004D64D1"/>
    <w:rsid w:val="004D65CB"/>
    <w:rsid w:val="004D727F"/>
    <w:rsid w:val="004D7467"/>
    <w:rsid w:val="004D7608"/>
    <w:rsid w:val="004D7944"/>
    <w:rsid w:val="004D7D64"/>
    <w:rsid w:val="004E0389"/>
    <w:rsid w:val="004E068E"/>
    <w:rsid w:val="004E0916"/>
    <w:rsid w:val="004E0D99"/>
    <w:rsid w:val="004E13BE"/>
    <w:rsid w:val="004E18B3"/>
    <w:rsid w:val="004E1D04"/>
    <w:rsid w:val="004E1D95"/>
    <w:rsid w:val="004E1DAB"/>
    <w:rsid w:val="004E229A"/>
    <w:rsid w:val="004E24FC"/>
    <w:rsid w:val="004E271C"/>
    <w:rsid w:val="004E2A77"/>
    <w:rsid w:val="004E2AEC"/>
    <w:rsid w:val="004E2BD6"/>
    <w:rsid w:val="004E3081"/>
    <w:rsid w:val="004E3834"/>
    <w:rsid w:val="004E3A97"/>
    <w:rsid w:val="004E3AA4"/>
    <w:rsid w:val="004E3C20"/>
    <w:rsid w:val="004E4091"/>
    <w:rsid w:val="004E409A"/>
    <w:rsid w:val="004E486B"/>
    <w:rsid w:val="004E4DDA"/>
    <w:rsid w:val="004E4FCF"/>
    <w:rsid w:val="004E5862"/>
    <w:rsid w:val="004E67E5"/>
    <w:rsid w:val="004E6CD4"/>
    <w:rsid w:val="004E7500"/>
    <w:rsid w:val="004E7B4F"/>
    <w:rsid w:val="004E7BDD"/>
    <w:rsid w:val="004E7C24"/>
    <w:rsid w:val="004E7F9D"/>
    <w:rsid w:val="004F049C"/>
    <w:rsid w:val="004F071A"/>
    <w:rsid w:val="004F07CC"/>
    <w:rsid w:val="004F0B88"/>
    <w:rsid w:val="004F113B"/>
    <w:rsid w:val="004F11A5"/>
    <w:rsid w:val="004F1756"/>
    <w:rsid w:val="004F1F87"/>
    <w:rsid w:val="004F2087"/>
    <w:rsid w:val="004F2362"/>
    <w:rsid w:val="004F2463"/>
    <w:rsid w:val="004F28C2"/>
    <w:rsid w:val="004F29B3"/>
    <w:rsid w:val="004F29C4"/>
    <w:rsid w:val="004F3428"/>
    <w:rsid w:val="004F3514"/>
    <w:rsid w:val="004F3572"/>
    <w:rsid w:val="004F3891"/>
    <w:rsid w:val="004F3A6D"/>
    <w:rsid w:val="004F3F72"/>
    <w:rsid w:val="004F423D"/>
    <w:rsid w:val="004F42D1"/>
    <w:rsid w:val="004F43E8"/>
    <w:rsid w:val="004F455A"/>
    <w:rsid w:val="004F4C6C"/>
    <w:rsid w:val="004F5154"/>
    <w:rsid w:val="004F5328"/>
    <w:rsid w:val="004F5471"/>
    <w:rsid w:val="004F58FC"/>
    <w:rsid w:val="004F5B99"/>
    <w:rsid w:val="004F66C0"/>
    <w:rsid w:val="004F68CA"/>
    <w:rsid w:val="004F6AD3"/>
    <w:rsid w:val="004F6B4B"/>
    <w:rsid w:val="004F73D1"/>
    <w:rsid w:val="004F744F"/>
    <w:rsid w:val="004F7AF8"/>
    <w:rsid w:val="005001D9"/>
    <w:rsid w:val="005008E3"/>
    <w:rsid w:val="00500992"/>
    <w:rsid w:val="00500A32"/>
    <w:rsid w:val="00500E67"/>
    <w:rsid w:val="00500FB0"/>
    <w:rsid w:val="00501386"/>
    <w:rsid w:val="00501B1D"/>
    <w:rsid w:val="00501BD9"/>
    <w:rsid w:val="00501C25"/>
    <w:rsid w:val="00502189"/>
    <w:rsid w:val="00502430"/>
    <w:rsid w:val="00502797"/>
    <w:rsid w:val="005027A6"/>
    <w:rsid w:val="00502821"/>
    <w:rsid w:val="005028BF"/>
    <w:rsid w:val="00502DAE"/>
    <w:rsid w:val="00502EB7"/>
    <w:rsid w:val="00502FFB"/>
    <w:rsid w:val="00503037"/>
    <w:rsid w:val="0050355B"/>
    <w:rsid w:val="005035C9"/>
    <w:rsid w:val="005038A0"/>
    <w:rsid w:val="0050396B"/>
    <w:rsid w:val="00503A4C"/>
    <w:rsid w:val="00503ADC"/>
    <w:rsid w:val="00504663"/>
    <w:rsid w:val="00504A82"/>
    <w:rsid w:val="00504B1F"/>
    <w:rsid w:val="00504CAA"/>
    <w:rsid w:val="00504FD0"/>
    <w:rsid w:val="00505436"/>
    <w:rsid w:val="0050595A"/>
    <w:rsid w:val="00505966"/>
    <w:rsid w:val="00505E19"/>
    <w:rsid w:val="00505EAD"/>
    <w:rsid w:val="00505EEC"/>
    <w:rsid w:val="00506093"/>
    <w:rsid w:val="00506483"/>
    <w:rsid w:val="005066DF"/>
    <w:rsid w:val="00506799"/>
    <w:rsid w:val="00506C9A"/>
    <w:rsid w:val="0050729E"/>
    <w:rsid w:val="00507FD8"/>
    <w:rsid w:val="005103C5"/>
    <w:rsid w:val="005107D4"/>
    <w:rsid w:val="00510C6C"/>
    <w:rsid w:val="00510C9D"/>
    <w:rsid w:val="00511C2C"/>
    <w:rsid w:val="00511DFA"/>
    <w:rsid w:val="005120C4"/>
    <w:rsid w:val="0051244D"/>
    <w:rsid w:val="005126EA"/>
    <w:rsid w:val="005131D3"/>
    <w:rsid w:val="0051352C"/>
    <w:rsid w:val="00513539"/>
    <w:rsid w:val="005138F5"/>
    <w:rsid w:val="00513BF1"/>
    <w:rsid w:val="005141B7"/>
    <w:rsid w:val="005142B2"/>
    <w:rsid w:val="00514E53"/>
    <w:rsid w:val="00514FC2"/>
    <w:rsid w:val="0051533E"/>
    <w:rsid w:val="005154B8"/>
    <w:rsid w:val="005157E7"/>
    <w:rsid w:val="00515A9B"/>
    <w:rsid w:val="00515BFA"/>
    <w:rsid w:val="00515F5C"/>
    <w:rsid w:val="005160A0"/>
    <w:rsid w:val="00516828"/>
    <w:rsid w:val="00516C3F"/>
    <w:rsid w:val="00516FB8"/>
    <w:rsid w:val="00517509"/>
    <w:rsid w:val="005175E6"/>
    <w:rsid w:val="0051760E"/>
    <w:rsid w:val="00517A86"/>
    <w:rsid w:val="00517DDC"/>
    <w:rsid w:val="00517FF2"/>
    <w:rsid w:val="0052072D"/>
    <w:rsid w:val="00520CF0"/>
    <w:rsid w:val="00521004"/>
    <w:rsid w:val="005210CD"/>
    <w:rsid w:val="00521453"/>
    <w:rsid w:val="005214B7"/>
    <w:rsid w:val="0052160B"/>
    <w:rsid w:val="00521A55"/>
    <w:rsid w:val="00521DE4"/>
    <w:rsid w:val="00522995"/>
    <w:rsid w:val="00522C47"/>
    <w:rsid w:val="00522E2E"/>
    <w:rsid w:val="00522E3B"/>
    <w:rsid w:val="00522FEA"/>
    <w:rsid w:val="0052349D"/>
    <w:rsid w:val="00523528"/>
    <w:rsid w:val="005235B0"/>
    <w:rsid w:val="00523C28"/>
    <w:rsid w:val="00524248"/>
    <w:rsid w:val="0052426F"/>
    <w:rsid w:val="005243AE"/>
    <w:rsid w:val="0052448B"/>
    <w:rsid w:val="00524631"/>
    <w:rsid w:val="00524723"/>
    <w:rsid w:val="00524A93"/>
    <w:rsid w:val="00524B41"/>
    <w:rsid w:val="00524BE8"/>
    <w:rsid w:val="005253C8"/>
    <w:rsid w:val="0052575D"/>
    <w:rsid w:val="00525A78"/>
    <w:rsid w:val="00526320"/>
    <w:rsid w:val="0052651A"/>
    <w:rsid w:val="005265F9"/>
    <w:rsid w:val="0052684F"/>
    <w:rsid w:val="00526C92"/>
    <w:rsid w:val="005275FC"/>
    <w:rsid w:val="0052762A"/>
    <w:rsid w:val="0052768C"/>
    <w:rsid w:val="00527717"/>
    <w:rsid w:val="005277BD"/>
    <w:rsid w:val="005277E3"/>
    <w:rsid w:val="005278AC"/>
    <w:rsid w:val="00527FC5"/>
    <w:rsid w:val="005302CE"/>
    <w:rsid w:val="005306CC"/>
    <w:rsid w:val="00530781"/>
    <w:rsid w:val="00530896"/>
    <w:rsid w:val="005310AF"/>
    <w:rsid w:val="00531364"/>
    <w:rsid w:val="0053137F"/>
    <w:rsid w:val="00531D09"/>
    <w:rsid w:val="005320BA"/>
    <w:rsid w:val="00532238"/>
    <w:rsid w:val="00533136"/>
    <w:rsid w:val="0053321F"/>
    <w:rsid w:val="0053347D"/>
    <w:rsid w:val="00533F1E"/>
    <w:rsid w:val="005342C3"/>
    <w:rsid w:val="00534623"/>
    <w:rsid w:val="00534858"/>
    <w:rsid w:val="00534931"/>
    <w:rsid w:val="00534D54"/>
    <w:rsid w:val="0053548C"/>
    <w:rsid w:val="00535551"/>
    <w:rsid w:val="00535839"/>
    <w:rsid w:val="00535944"/>
    <w:rsid w:val="005359A2"/>
    <w:rsid w:val="005359B8"/>
    <w:rsid w:val="00536087"/>
    <w:rsid w:val="0053627E"/>
    <w:rsid w:val="005362F5"/>
    <w:rsid w:val="00536889"/>
    <w:rsid w:val="00536EDC"/>
    <w:rsid w:val="0053725B"/>
    <w:rsid w:val="0053753C"/>
    <w:rsid w:val="00537DD0"/>
    <w:rsid w:val="00537E81"/>
    <w:rsid w:val="005407B1"/>
    <w:rsid w:val="005407E5"/>
    <w:rsid w:val="00540C57"/>
    <w:rsid w:val="00540E01"/>
    <w:rsid w:val="00540E50"/>
    <w:rsid w:val="00540EB4"/>
    <w:rsid w:val="00541106"/>
    <w:rsid w:val="00541710"/>
    <w:rsid w:val="00541B58"/>
    <w:rsid w:val="00541B65"/>
    <w:rsid w:val="00541CBB"/>
    <w:rsid w:val="00541DFC"/>
    <w:rsid w:val="0054215B"/>
    <w:rsid w:val="005428CF"/>
    <w:rsid w:val="005429F8"/>
    <w:rsid w:val="005438A2"/>
    <w:rsid w:val="00543944"/>
    <w:rsid w:val="00543A5F"/>
    <w:rsid w:val="00544331"/>
    <w:rsid w:val="005443F2"/>
    <w:rsid w:val="00544863"/>
    <w:rsid w:val="00544A45"/>
    <w:rsid w:val="00544EA2"/>
    <w:rsid w:val="00544F02"/>
    <w:rsid w:val="00545158"/>
    <w:rsid w:val="005451FC"/>
    <w:rsid w:val="00545390"/>
    <w:rsid w:val="00546109"/>
    <w:rsid w:val="00546141"/>
    <w:rsid w:val="005465C2"/>
    <w:rsid w:val="0054668D"/>
    <w:rsid w:val="00546F2D"/>
    <w:rsid w:val="00547795"/>
    <w:rsid w:val="00547978"/>
    <w:rsid w:val="0055040E"/>
    <w:rsid w:val="005504EB"/>
    <w:rsid w:val="00550539"/>
    <w:rsid w:val="005508A0"/>
    <w:rsid w:val="00550912"/>
    <w:rsid w:val="00550B8A"/>
    <w:rsid w:val="00550FBE"/>
    <w:rsid w:val="005510F5"/>
    <w:rsid w:val="00551315"/>
    <w:rsid w:val="00551774"/>
    <w:rsid w:val="00551EB2"/>
    <w:rsid w:val="00551EBC"/>
    <w:rsid w:val="0055219A"/>
    <w:rsid w:val="005526A3"/>
    <w:rsid w:val="00552CDE"/>
    <w:rsid w:val="00552F94"/>
    <w:rsid w:val="005531BD"/>
    <w:rsid w:val="00553655"/>
    <w:rsid w:val="00553A0F"/>
    <w:rsid w:val="00553A1D"/>
    <w:rsid w:val="00553E8A"/>
    <w:rsid w:val="005540D6"/>
    <w:rsid w:val="00554484"/>
    <w:rsid w:val="00555198"/>
    <w:rsid w:val="00555911"/>
    <w:rsid w:val="00555B29"/>
    <w:rsid w:val="00555BC2"/>
    <w:rsid w:val="00555CA7"/>
    <w:rsid w:val="0055642E"/>
    <w:rsid w:val="0055651D"/>
    <w:rsid w:val="005567B2"/>
    <w:rsid w:val="005567B5"/>
    <w:rsid w:val="005567D5"/>
    <w:rsid w:val="00556964"/>
    <w:rsid w:val="00556C5C"/>
    <w:rsid w:val="00556EF3"/>
    <w:rsid w:val="00556F15"/>
    <w:rsid w:val="00557189"/>
    <w:rsid w:val="005573D8"/>
    <w:rsid w:val="00557870"/>
    <w:rsid w:val="00560171"/>
    <w:rsid w:val="00560272"/>
    <w:rsid w:val="00560277"/>
    <w:rsid w:val="0056037F"/>
    <w:rsid w:val="005604C0"/>
    <w:rsid w:val="00560788"/>
    <w:rsid w:val="00560938"/>
    <w:rsid w:val="00560AF1"/>
    <w:rsid w:val="00560CBF"/>
    <w:rsid w:val="00560DB7"/>
    <w:rsid w:val="00561562"/>
    <w:rsid w:val="00561A36"/>
    <w:rsid w:val="00561DC7"/>
    <w:rsid w:val="00562280"/>
    <w:rsid w:val="00562488"/>
    <w:rsid w:val="00562AFE"/>
    <w:rsid w:val="00562C42"/>
    <w:rsid w:val="0056359E"/>
    <w:rsid w:val="00563844"/>
    <w:rsid w:val="00563863"/>
    <w:rsid w:val="00563942"/>
    <w:rsid w:val="00563DB7"/>
    <w:rsid w:val="00563DE6"/>
    <w:rsid w:val="005641AC"/>
    <w:rsid w:val="00564650"/>
    <w:rsid w:val="0056480C"/>
    <w:rsid w:val="00564D1D"/>
    <w:rsid w:val="00564E48"/>
    <w:rsid w:val="005651E8"/>
    <w:rsid w:val="0056528D"/>
    <w:rsid w:val="00565898"/>
    <w:rsid w:val="00565FE6"/>
    <w:rsid w:val="00566093"/>
    <w:rsid w:val="0056628B"/>
    <w:rsid w:val="00566298"/>
    <w:rsid w:val="0056629D"/>
    <w:rsid w:val="00566799"/>
    <w:rsid w:val="00566A99"/>
    <w:rsid w:val="00566AED"/>
    <w:rsid w:val="00566B3F"/>
    <w:rsid w:val="00566F1B"/>
    <w:rsid w:val="0056742A"/>
    <w:rsid w:val="00567779"/>
    <w:rsid w:val="00567A15"/>
    <w:rsid w:val="00567B14"/>
    <w:rsid w:val="00567EC5"/>
    <w:rsid w:val="005706CF"/>
    <w:rsid w:val="00570862"/>
    <w:rsid w:val="0057091E"/>
    <w:rsid w:val="00570C40"/>
    <w:rsid w:val="005711C3"/>
    <w:rsid w:val="0057149E"/>
    <w:rsid w:val="0057174A"/>
    <w:rsid w:val="00571A51"/>
    <w:rsid w:val="0057200E"/>
    <w:rsid w:val="005723D6"/>
    <w:rsid w:val="005724F6"/>
    <w:rsid w:val="00572A2E"/>
    <w:rsid w:val="005734C3"/>
    <w:rsid w:val="005735E4"/>
    <w:rsid w:val="00573935"/>
    <w:rsid w:val="00573C64"/>
    <w:rsid w:val="00574034"/>
    <w:rsid w:val="0057413F"/>
    <w:rsid w:val="0057417F"/>
    <w:rsid w:val="00574277"/>
    <w:rsid w:val="005746C4"/>
    <w:rsid w:val="00574791"/>
    <w:rsid w:val="00574A6E"/>
    <w:rsid w:val="00574A9B"/>
    <w:rsid w:val="00574BA4"/>
    <w:rsid w:val="00574BD7"/>
    <w:rsid w:val="00574C3D"/>
    <w:rsid w:val="00574CA1"/>
    <w:rsid w:val="00574EA7"/>
    <w:rsid w:val="005754BB"/>
    <w:rsid w:val="00575AB8"/>
    <w:rsid w:val="00575E36"/>
    <w:rsid w:val="00575FA2"/>
    <w:rsid w:val="0057695F"/>
    <w:rsid w:val="005769B7"/>
    <w:rsid w:val="00576FA1"/>
    <w:rsid w:val="00577145"/>
    <w:rsid w:val="005771CA"/>
    <w:rsid w:val="005771DB"/>
    <w:rsid w:val="00577369"/>
    <w:rsid w:val="005773BE"/>
    <w:rsid w:val="00577601"/>
    <w:rsid w:val="00577880"/>
    <w:rsid w:val="00577BAD"/>
    <w:rsid w:val="0058003D"/>
    <w:rsid w:val="00580093"/>
    <w:rsid w:val="00580275"/>
    <w:rsid w:val="00580A50"/>
    <w:rsid w:val="00580CCB"/>
    <w:rsid w:val="00580E91"/>
    <w:rsid w:val="00580FE6"/>
    <w:rsid w:val="0058147D"/>
    <w:rsid w:val="0058160B"/>
    <w:rsid w:val="00581A0C"/>
    <w:rsid w:val="00581DB5"/>
    <w:rsid w:val="0058235F"/>
    <w:rsid w:val="00582365"/>
    <w:rsid w:val="00583064"/>
    <w:rsid w:val="00583360"/>
    <w:rsid w:val="00583B0E"/>
    <w:rsid w:val="00583E33"/>
    <w:rsid w:val="00583F8B"/>
    <w:rsid w:val="005841F3"/>
    <w:rsid w:val="00584631"/>
    <w:rsid w:val="005848D5"/>
    <w:rsid w:val="00584EDE"/>
    <w:rsid w:val="005857CE"/>
    <w:rsid w:val="00585C1B"/>
    <w:rsid w:val="00586C63"/>
    <w:rsid w:val="00587639"/>
    <w:rsid w:val="00590C6C"/>
    <w:rsid w:val="0059110C"/>
    <w:rsid w:val="005911F1"/>
    <w:rsid w:val="005919E3"/>
    <w:rsid w:val="00591B67"/>
    <w:rsid w:val="00592638"/>
    <w:rsid w:val="005926EF"/>
    <w:rsid w:val="00593138"/>
    <w:rsid w:val="00593263"/>
    <w:rsid w:val="00593323"/>
    <w:rsid w:val="00593A33"/>
    <w:rsid w:val="00593C17"/>
    <w:rsid w:val="00593CCD"/>
    <w:rsid w:val="00594237"/>
    <w:rsid w:val="00594321"/>
    <w:rsid w:val="00594420"/>
    <w:rsid w:val="00594762"/>
    <w:rsid w:val="00594788"/>
    <w:rsid w:val="005947B5"/>
    <w:rsid w:val="005947F4"/>
    <w:rsid w:val="0059495A"/>
    <w:rsid w:val="00594A2C"/>
    <w:rsid w:val="00594A89"/>
    <w:rsid w:val="00594D01"/>
    <w:rsid w:val="00594E96"/>
    <w:rsid w:val="00594EB1"/>
    <w:rsid w:val="005955DC"/>
    <w:rsid w:val="005957D3"/>
    <w:rsid w:val="00595848"/>
    <w:rsid w:val="005959ED"/>
    <w:rsid w:val="00595CF2"/>
    <w:rsid w:val="00595D05"/>
    <w:rsid w:val="00595DF5"/>
    <w:rsid w:val="005960BB"/>
    <w:rsid w:val="0059672E"/>
    <w:rsid w:val="005967C4"/>
    <w:rsid w:val="00596F9F"/>
    <w:rsid w:val="00597329"/>
    <w:rsid w:val="00597372"/>
    <w:rsid w:val="00597407"/>
    <w:rsid w:val="00597669"/>
    <w:rsid w:val="0059786E"/>
    <w:rsid w:val="005A03A1"/>
    <w:rsid w:val="005A0496"/>
    <w:rsid w:val="005A0502"/>
    <w:rsid w:val="005A071F"/>
    <w:rsid w:val="005A1366"/>
    <w:rsid w:val="005A1494"/>
    <w:rsid w:val="005A1820"/>
    <w:rsid w:val="005A1C9F"/>
    <w:rsid w:val="005A28BB"/>
    <w:rsid w:val="005A2CAE"/>
    <w:rsid w:val="005A2CC5"/>
    <w:rsid w:val="005A3006"/>
    <w:rsid w:val="005A3972"/>
    <w:rsid w:val="005A3BE4"/>
    <w:rsid w:val="005A3D18"/>
    <w:rsid w:val="005A3F6C"/>
    <w:rsid w:val="005A4047"/>
    <w:rsid w:val="005A4363"/>
    <w:rsid w:val="005A4384"/>
    <w:rsid w:val="005A455D"/>
    <w:rsid w:val="005A4906"/>
    <w:rsid w:val="005A51A5"/>
    <w:rsid w:val="005A5798"/>
    <w:rsid w:val="005A5B16"/>
    <w:rsid w:val="005A7012"/>
    <w:rsid w:val="005A73DB"/>
    <w:rsid w:val="005A79ED"/>
    <w:rsid w:val="005A7A5E"/>
    <w:rsid w:val="005A7A8B"/>
    <w:rsid w:val="005B022B"/>
    <w:rsid w:val="005B031E"/>
    <w:rsid w:val="005B0B6E"/>
    <w:rsid w:val="005B13CC"/>
    <w:rsid w:val="005B1841"/>
    <w:rsid w:val="005B19DE"/>
    <w:rsid w:val="005B1AEB"/>
    <w:rsid w:val="005B1C07"/>
    <w:rsid w:val="005B1D7E"/>
    <w:rsid w:val="005B1FED"/>
    <w:rsid w:val="005B26D8"/>
    <w:rsid w:val="005B29DE"/>
    <w:rsid w:val="005B3432"/>
    <w:rsid w:val="005B35BD"/>
    <w:rsid w:val="005B39EE"/>
    <w:rsid w:val="005B3BD6"/>
    <w:rsid w:val="005B3D6C"/>
    <w:rsid w:val="005B4490"/>
    <w:rsid w:val="005B4782"/>
    <w:rsid w:val="005B4833"/>
    <w:rsid w:val="005B4DD1"/>
    <w:rsid w:val="005B4DEF"/>
    <w:rsid w:val="005B52C9"/>
    <w:rsid w:val="005B59A4"/>
    <w:rsid w:val="005B5CBF"/>
    <w:rsid w:val="005B5E82"/>
    <w:rsid w:val="005B5F4D"/>
    <w:rsid w:val="005B65F9"/>
    <w:rsid w:val="005B68A1"/>
    <w:rsid w:val="005B6EDB"/>
    <w:rsid w:val="005B7055"/>
    <w:rsid w:val="005B79F2"/>
    <w:rsid w:val="005B7C07"/>
    <w:rsid w:val="005B7D6C"/>
    <w:rsid w:val="005C0113"/>
    <w:rsid w:val="005C0AA0"/>
    <w:rsid w:val="005C0BC4"/>
    <w:rsid w:val="005C0C9A"/>
    <w:rsid w:val="005C0F14"/>
    <w:rsid w:val="005C1003"/>
    <w:rsid w:val="005C1A9F"/>
    <w:rsid w:val="005C20A2"/>
    <w:rsid w:val="005C21F9"/>
    <w:rsid w:val="005C22AD"/>
    <w:rsid w:val="005C22C0"/>
    <w:rsid w:val="005C2888"/>
    <w:rsid w:val="005C2996"/>
    <w:rsid w:val="005C3401"/>
    <w:rsid w:val="005C3552"/>
    <w:rsid w:val="005C44F1"/>
    <w:rsid w:val="005C49EC"/>
    <w:rsid w:val="005C4A59"/>
    <w:rsid w:val="005C4E0B"/>
    <w:rsid w:val="005C4E3A"/>
    <w:rsid w:val="005C513F"/>
    <w:rsid w:val="005C597C"/>
    <w:rsid w:val="005C5B77"/>
    <w:rsid w:val="005C5B79"/>
    <w:rsid w:val="005C5EB6"/>
    <w:rsid w:val="005C608D"/>
    <w:rsid w:val="005C6BD0"/>
    <w:rsid w:val="005C6D42"/>
    <w:rsid w:val="005C7215"/>
    <w:rsid w:val="005C7347"/>
    <w:rsid w:val="005C73C4"/>
    <w:rsid w:val="005C757D"/>
    <w:rsid w:val="005C79F1"/>
    <w:rsid w:val="005C7C2A"/>
    <w:rsid w:val="005D00EA"/>
    <w:rsid w:val="005D023B"/>
    <w:rsid w:val="005D02C4"/>
    <w:rsid w:val="005D0A69"/>
    <w:rsid w:val="005D1024"/>
    <w:rsid w:val="005D119C"/>
    <w:rsid w:val="005D160C"/>
    <w:rsid w:val="005D2159"/>
    <w:rsid w:val="005D2237"/>
    <w:rsid w:val="005D22FA"/>
    <w:rsid w:val="005D2304"/>
    <w:rsid w:val="005D2449"/>
    <w:rsid w:val="005D2608"/>
    <w:rsid w:val="005D26F5"/>
    <w:rsid w:val="005D293D"/>
    <w:rsid w:val="005D3172"/>
    <w:rsid w:val="005D3493"/>
    <w:rsid w:val="005D3603"/>
    <w:rsid w:val="005D3A04"/>
    <w:rsid w:val="005D3BFD"/>
    <w:rsid w:val="005D41A4"/>
    <w:rsid w:val="005D47F9"/>
    <w:rsid w:val="005D48FE"/>
    <w:rsid w:val="005D5034"/>
    <w:rsid w:val="005D6103"/>
    <w:rsid w:val="005D618B"/>
    <w:rsid w:val="005D640B"/>
    <w:rsid w:val="005D6BAF"/>
    <w:rsid w:val="005D6BC6"/>
    <w:rsid w:val="005D70D4"/>
    <w:rsid w:val="005D7205"/>
    <w:rsid w:val="005D729B"/>
    <w:rsid w:val="005D745C"/>
    <w:rsid w:val="005D7471"/>
    <w:rsid w:val="005D749D"/>
    <w:rsid w:val="005D7A56"/>
    <w:rsid w:val="005D7CE8"/>
    <w:rsid w:val="005D7D1C"/>
    <w:rsid w:val="005E03D0"/>
    <w:rsid w:val="005E0BFC"/>
    <w:rsid w:val="005E0D3C"/>
    <w:rsid w:val="005E0F71"/>
    <w:rsid w:val="005E1163"/>
    <w:rsid w:val="005E1360"/>
    <w:rsid w:val="005E1A29"/>
    <w:rsid w:val="005E1ECD"/>
    <w:rsid w:val="005E1F82"/>
    <w:rsid w:val="005E2095"/>
    <w:rsid w:val="005E221B"/>
    <w:rsid w:val="005E23A7"/>
    <w:rsid w:val="005E242F"/>
    <w:rsid w:val="005E2702"/>
    <w:rsid w:val="005E2789"/>
    <w:rsid w:val="005E3370"/>
    <w:rsid w:val="005E3613"/>
    <w:rsid w:val="005E3925"/>
    <w:rsid w:val="005E3D38"/>
    <w:rsid w:val="005E4439"/>
    <w:rsid w:val="005E4846"/>
    <w:rsid w:val="005E5204"/>
    <w:rsid w:val="005E52C6"/>
    <w:rsid w:val="005E5874"/>
    <w:rsid w:val="005E5D5C"/>
    <w:rsid w:val="005E5F0A"/>
    <w:rsid w:val="005E5F60"/>
    <w:rsid w:val="005E5FC9"/>
    <w:rsid w:val="005E6408"/>
    <w:rsid w:val="005E64AA"/>
    <w:rsid w:val="005E6873"/>
    <w:rsid w:val="005E6D8A"/>
    <w:rsid w:val="005E75D5"/>
    <w:rsid w:val="005E75DD"/>
    <w:rsid w:val="005E7C01"/>
    <w:rsid w:val="005E7DD6"/>
    <w:rsid w:val="005F0154"/>
    <w:rsid w:val="005F08FF"/>
    <w:rsid w:val="005F0989"/>
    <w:rsid w:val="005F0A95"/>
    <w:rsid w:val="005F0F8E"/>
    <w:rsid w:val="005F1555"/>
    <w:rsid w:val="005F1AAD"/>
    <w:rsid w:val="005F1C20"/>
    <w:rsid w:val="005F1CF9"/>
    <w:rsid w:val="005F1FD1"/>
    <w:rsid w:val="005F2978"/>
    <w:rsid w:val="005F2F5D"/>
    <w:rsid w:val="005F31D8"/>
    <w:rsid w:val="005F329E"/>
    <w:rsid w:val="005F3310"/>
    <w:rsid w:val="005F3316"/>
    <w:rsid w:val="005F34B4"/>
    <w:rsid w:val="005F376B"/>
    <w:rsid w:val="005F39E5"/>
    <w:rsid w:val="005F4372"/>
    <w:rsid w:val="005F4721"/>
    <w:rsid w:val="005F49D5"/>
    <w:rsid w:val="005F4F18"/>
    <w:rsid w:val="005F5801"/>
    <w:rsid w:val="005F5D11"/>
    <w:rsid w:val="005F5ED5"/>
    <w:rsid w:val="005F69E9"/>
    <w:rsid w:val="005F6D0C"/>
    <w:rsid w:val="005F700E"/>
    <w:rsid w:val="005F720A"/>
    <w:rsid w:val="005F763D"/>
    <w:rsid w:val="005F7AF1"/>
    <w:rsid w:val="005F7FEF"/>
    <w:rsid w:val="0060019F"/>
    <w:rsid w:val="00600330"/>
    <w:rsid w:val="006003E2"/>
    <w:rsid w:val="00600508"/>
    <w:rsid w:val="00600886"/>
    <w:rsid w:val="00600B2E"/>
    <w:rsid w:val="00600B78"/>
    <w:rsid w:val="00600E85"/>
    <w:rsid w:val="006016CB"/>
    <w:rsid w:val="0060186E"/>
    <w:rsid w:val="00601C28"/>
    <w:rsid w:val="00601DD1"/>
    <w:rsid w:val="0060275A"/>
    <w:rsid w:val="00602F43"/>
    <w:rsid w:val="00603977"/>
    <w:rsid w:val="00603B08"/>
    <w:rsid w:val="00603F3F"/>
    <w:rsid w:val="00604467"/>
    <w:rsid w:val="006045ED"/>
    <w:rsid w:val="00604CA4"/>
    <w:rsid w:val="00604DDF"/>
    <w:rsid w:val="006054F2"/>
    <w:rsid w:val="00605776"/>
    <w:rsid w:val="00605904"/>
    <w:rsid w:val="006059F1"/>
    <w:rsid w:val="006059FD"/>
    <w:rsid w:val="00605DD6"/>
    <w:rsid w:val="00606019"/>
    <w:rsid w:val="00606034"/>
    <w:rsid w:val="006061AF"/>
    <w:rsid w:val="006061D6"/>
    <w:rsid w:val="00606896"/>
    <w:rsid w:val="00606941"/>
    <w:rsid w:val="00606F09"/>
    <w:rsid w:val="00607588"/>
    <w:rsid w:val="00607A96"/>
    <w:rsid w:val="00607B72"/>
    <w:rsid w:val="00607CA1"/>
    <w:rsid w:val="00607D7B"/>
    <w:rsid w:val="00610162"/>
    <w:rsid w:val="006108CE"/>
    <w:rsid w:val="006108F7"/>
    <w:rsid w:val="00610AB5"/>
    <w:rsid w:val="00610ABA"/>
    <w:rsid w:val="00610BB1"/>
    <w:rsid w:val="006113E0"/>
    <w:rsid w:val="00611827"/>
    <w:rsid w:val="00611944"/>
    <w:rsid w:val="0061200C"/>
    <w:rsid w:val="006121B0"/>
    <w:rsid w:val="00612608"/>
    <w:rsid w:val="00612ED4"/>
    <w:rsid w:val="00613037"/>
    <w:rsid w:val="006135AB"/>
    <w:rsid w:val="006138A1"/>
    <w:rsid w:val="006138E4"/>
    <w:rsid w:val="00613DFE"/>
    <w:rsid w:val="00613EEF"/>
    <w:rsid w:val="0061438A"/>
    <w:rsid w:val="00614408"/>
    <w:rsid w:val="006144F6"/>
    <w:rsid w:val="006146BB"/>
    <w:rsid w:val="0061473B"/>
    <w:rsid w:val="00614BA1"/>
    <w:rsid w:val="00614DA5"/>
    <w:rsid w:val="00614E3A"/>
    <w:rsid w:val="006151E5"/>
    <w:rsid w:val="00615496"/>
    <w:rsid w:val="00615799"/>
    <w:rsid w:val="006158E5"/>
    <w:rsid w:val="00615B1D"/>
    <w:rsid w:val="006162D9"/>
    <w:rsid w:val="00616407"/>
    <w:rsid w:val="00616529"/>
    <w:rsid w:val="00616A49"/>
    <w:rsid w:val="00616C9C"/>
    <w:rsid w:val="00616D5D"/>
    <w:rsid w:val="00616FAD"/>
    <w:rsid w:val="0061787B"/>
    <w:rsid w:val="00617BA6"/>
    <w:rsid w:val="0062002E"/>
    <w:rsid w:val="006203D0"/>
    <w:rsid w:val="006204F3"/>
    <w:rsid w:val="00620882"/>
    <w:rsid w:val="00620A3F"/>
    <w:rsid w:val="00620B2A"/>
    <w:rsid w:val="00620C7A"/>
    <w:rsid w:val="00620E5A"/>
    <w:rsid w:val="00621025"/>
    <w:rsid w:val="00621500"/>
    <w:rsid w:val="00621816"/>
    <w:rsid w:val="00621BCA"/>
    <w:rsid w:val="00621BF0"/>
    <w:rsid w:val="00621D06"/>
    <w:rsid w:val="00621E21"/>
    <w:rsid w:val="00622541"/>
    <w:rsid w:val="00622715"/>
    <w:rsid w:val="0062272A"/>
    <w:rsid w:val="0062351A"/>
    <w:rsid w:val="00623562"/>
    <w:rsid w:val="00623A49"/>
    <w:rsid w:val="00623CAC"/>
    <w:rsid w:val="00623CAE"/>
    <w:rsid w:val="00624135"/>
    <w:rsid w:val="00624299"/>
    <w:rsid w:val="00624389"/>
    <w:rsid w:val="00624609"/>
    <w:rsid w:val="00624631"/>
    <w:rsid w:val="00624CBA"/>
    <w:rsid w:val="006250E9"/>
    <w:rsid w:val="00625328"/>
    <w:rsid w:val="006258DF"/>
    <w:rsid w:val="00625BB8"/>
    <w:rsid w:val="00625D1D"/>
    <w:rsid w:val="00625DD0"/>
    <w:rsid w:val="006262B6"/>
    <w:rsid w:val="0062640C"/>
    <w:rsid w:val="00626517"/>
    <w:rsid w:val="00626BC1"/>
    <w:rsid w:val="006273B2"/>
    <w:rsid w:val="00627405"/>
    <w:rsid w:val="00627671"/>
    <w:rsid w:val="00627C5E"/>
    <w:rsid w:val="00627DD2"/>
    <w:rsid w:val="0063007F"/>
    <w:rsid w:val="00630C24"/>
    <w:rsid w:val="00631310"/>
    <w:rsid w:val="00631AD6"/>
    <w:rsid w:val="00632A17"/>
    <w:rsid w:val="00632BFD"/>
    <w:rsid w:val="0063325E"/>
    <w:rsid w:val="006333C3"/>
    <w:rsid w:val="006335E1"/>
    <w:rsid w:val="00633B2F"/>
    <w:rsid w:val="00634743"/>
    <w:rsid w:val="006347B7"/>
    <w:rsid w:val="0063519C"/>
    <w:rsid w:val="0063546B"/>
    <w:rsid w:val="00635DEE"/>
    <w:rsid w:val="006361BE"/>
    <w:rsid w:val="006364A6"/>
    <w:rsid w:val="0063651C"/>
    <w:rsid w:val="00636AF4"/>
    <w:rsid w:val="006373A9"/>
    <w:rsid w:val="006373D0"/>
    <w:rsid w:val="0063741C"/>
    <w:rsid w:val="0063748E"/>
    <w:rsid w:val="00640462"/>
    <w:rsid w:val="0064055A"/>
    <w:rsid w:val="006405ED"/>
    <w:rsid w:val="00640917"/>
    <w:rsid w:val="00640C31"/>
    <w:rsid w:val="00640DEE"/>
    <w:rsid w:val="00640F34"/>
    <w:rsid w:val="00641D1D"/>
    <w:rsid w:val="00642003"/>
    <w:rsid w:val="006420D0"/>
    <w:rsid w:val="0064229F"/>
    <w:rsid w:val="0064274B"/>
    <w:rsid w:val="00642C7E"/>
    <w:rsid w:val="00642CE1"/>
    <w:rsid w:val="00643226"/>
    <w:rsid w:val="0064354D"/>
    <w:rsid w:val="00643C4A"/>
    <w:rsid w:val="00643F55"/>
    <w:rsid w:val="00644806"/>
    <w:rsid w:val="0064507E"/>
    <w:rsid w:val="0064597A"/>
    <w:rsid w:val="006459EF"/>
    <w:rsid w:val="00645D96"/>
    <w:rsid w:val="006465F0"/>
    <w:rsid w:val="006465F3"/>
    <w:rsid w:val="00646B1F"/>
    <w:rsid w:val="00646F1A"/>
    <w:rsid w:val="006478AE"/>
    <w:rsid w:val="00647FB2"/>
    <w:rsid w:val="00650179"/>
    <w:rsid w:val="00650CB5"/>
    <w:rsid w:val="00650E33"/>
    <w:rsid w:val="00650EA2"/>
    <w:rsid w:val="006513A2"/>
    <w:rsid w:val="0065143B"/>
    <w:rsid w:val="00651468"/>
    <w:rsid w:val="0065149F"/>
    <w:rsid w:val="00651A2C"/>
    <w:rsid w:val="00651ABD"/>
    <w:rsid w:val="00651C42"/>
    <w:rsid w:val="00651C5A"/>
    <w:rsid w:val="00651D6C"/>
    <w:rsid w:val="00651DF0"/>
    <w:rsid w:val="00651F79"/>
    <w:rsid w:val="00651FF7"/>
    <w:rsid w:val="0065217F"/>
    <w:rsid w:val="006526A4"/>
    <w:rsid w:val="00652B7C"/>
    <w:rsid w:val="00652CB3"/>
    <w:rsid w:val="006530B8"/>
    <w:rsid w:val="006534BF"/>
    <w:rsid w:val="006536D9"/>
    <w:rsid w:val="006537D7"/>
    <w:rsid w:val="006539D4"/>
    <w:rsid w:val="00653C13"/>
    <w:rsid w:val="00653D68"/>
    <w:rsid w:val="00653FF6"/>
    <w:rsid w:val="0065444A"/>
    <w:rsid w:val="00654550"/>
    <w:rsid w:val="00654D3B"/>
    <w:rsid w:val="00654E42"/>
    <w:rsid w:val="00654F68"/>
    <w:rsid w:val="0065571E"/>
    <w:rsid w:val="00655ADD"/>
    <w:rsid w:val="00655CF9"/>
    <w:rsid w:val="00655D45"/>
    <w:rsid w:val="0065614C"/>
    <w:rsid w:val="006564B9"/>
    <w:rsid w:val="00656519"/>
    <w:rsid w:val="00656A56"/>
    <w:rsid w:val="00656E0B"/>
    <w:rsid w:val="0065714C"/>
    <w:rsid w:val="0065719A"/>
    <w:rsid w:val="006574F2"/>
    <w:rsid w:val="00657546"/>
    <w:rsid w:val="00657793"/>
    <w:rsid w:val="00657919"/>
    <w:rsid w:val="00657B37"/>
    <w:rsid w:val="00660653"/>
    <w:rsid w:val="00660A74"/>
    <w:rsid w:val="00660BCF"/>
    <w:rsid w:val="00660EC6"/>
    <w:rsid w:val="00660F87"/>
    <w:rsid w:val="00660FD5"/>
    <w:rsid w:val="00661A63"/>
    <w:rsid w:val="00661DFD"/>
    <w:rsid w:val="00662197"/>
    <w:rsid w:val="0066240A"/>
    <w:rsid w:val="006626FB"/>
    <w:rsid w:val="00662A62"/>
    <w:rsid w:val="00662E5F"/>
    <w:rsid w:val="0066303C"/>
    <w:rsid w:val="006632C5"/>
    <w:rsid w:val="0066358A"/>
    <w:rsid w:val="0066392A"/>
    <w:rsid w:val="00664022"/>
    <w:rsid w:val="006640A0"/>
    <w:rsid w:val="00664302"/>
    <w:rsid w:val="0066439B"/>
    <w:rsid w:val="00664434"/>
    <w:rsid w:val="006645AD"/>
    <w:rsid w:val="006646DD"/>
    <w:rsid w:val="00664B4C"/>
    <w:rsid w:val="00664E7C"/>
    <w:rsid w:val="00664FA9"/>
    <w:rsid w:val="00664FF0"/>
    <w:rsid w:val="00665032"/>
    <w:rsid w:val="0066517E"/>
    <w:rsid w:val="006651DD"/>
    <w:rsid w:val="00665394"/>
    <w:rsid w:val="0066561F"/>
    <w:rsid w:val="00665660"/>
    <w:rsid w:val="0066598C"/>
    <w:rsid w:val="00665DE6"/>
    <w:rsid w:val="00665DEC"/>
    <w:rsid w:val="00665F5E"/>
    <w:rsid w:val="00666038"/>
    <w:rsid w:val="00666770"/>
    <w:rsid w:val="00666A45"/>
    <w:rsid w:val="00666A58"/>
    <w:rsid w:val="00666ADF"/>
    <w:rsid w:val="00666D78"/>
    <w:rsid w:val="006675B3"/>
    <w:rsid w:val="00667700"/>
    <w:rsid w:val="0066795C"/>
    <w:rsid w:val="006679A2"/>
    <w:rsid w:val="00667A0E"/>
    <w:rsid w:val="00667A9E"/>
    <w:rsid w:val="00670501"/>
    <w:rsid w:val="00670650"/>
    <w:rsid w:val="006707DF"/>
    <w:rsid w:val="00670B04"/>
    <w:rsid w:val="00671291"/>
    <w:rsid w:val="006712C0"/>
    <w:rsid w:val="006712EE"/>
    <w:rsid w:val="006719E4"/>
    <w:rsid w:val="00671CA4"/>
    <w:rsid w:val="00672378"/>
    <w:rsid w:val="006723E1"/>
    <w:rsid w:val="00672A7A"/>
    <w:rsid w:val="00672CBD"/>
    <w:rsid w:val="00672E5A"/>
    <w:rsid w:val="00673571"/>
    <w:rsid w:val="0067360D"/>
    <w:rsid w:val="006744AC"/>
    <w:rsid w:val="0067452E"/>
    <w:rsid w:val="0067499A"/>
    <w:rsid w:val="00674AD6"/>
    <w:rsid w:val="00674C7D"/>
    <w:rsid w:val="00674EA3"/>
    <w:rsid w:val="006754F3"/>
    <w:rsid w:val="00675699"/>
    <w:rsid w:val="00675783"/>
    <w:rsid w:val="00675CFF"/>
    <w:rsid w:val="00675FBD"/>
    <w:rsid w:val="00676767"/>
    <w:rsid w:val="00676847"/>
    <w:rsid w:val="00676DA5"/>
    <w:rsid w:val="00676E44"/>
    <w:rsid w:val="00677009"/>
    <w:rsid w:val="0067716E"/>
    <w:rsid w:val="00677409"/>
    <w:rsid w:val="00677519"/>
    <w:rsid w:val="00677671"/>
    <w:rsid w:val="006777C1"/>
    <w:rsid w:val="00680350"/>
    <w:rsid w:val="00680988"/>
    <w:rsid w:val="00680990"/>
    <w:rsid w:val="00680A1F"/>
    <w:rsid w:val="00680B40"/>
    <w:rsid w:val="00680C24"/>
    <w:rsid w:val="006812A4"/>
    <w:rsid w:val="006814BA"/>
    <w:rsid w:val="0068193E"/>
    <w:rsid w:val="006819A3"/>
    <w:rsid w:val="00681BBE"/>
    <w:rsid w:val="00681EC9"/>
    <w:rsid w:val="006822FA"/>
    <w:rsid w:val="0068265A"/>
    <w:rsid w:val="006826C2"/>
    <w:rsid w:val="006826F9"/>
    <w:rsid w:val="0068288C"/>
    <w:rsid w:val="00682F18"/>
    <w:rsid w:val="00682F30"/>
    <w:rsid w:val="00683309"/>
    <w:rsid w:val="00683744"/>
    <w:rsid w:val="006838FC"/>
    <w:rsid w:val="00683EF3"/>
    <w:rsid w:val="00683F36"/>
    <w:rsid w:val="00684246"/>
    <w:rsid w:val="0068470E"/>
    <w:rsid w:val="0068499E"/>
    <w:rsid w:val="00684DBB"/>
    <w:rsid w:val="00685070"/>
    <w:rsid w:val="006850E2"/>
    <w:rsid w:val="006852B8"/>
    <w:rsid w:val="0068546E"/>
    <w:rsid w:val="0068550F"/>
    <w:rsid w:val="00685589"/>
    <w:rsid w:val="00685637"/>
    <w:rsid w:val="00685F4E"/>
    <w:rsid w:val="0068682C"/>
    <w:rsid w:val="00687109"/>
    <w:rsid w:val="006872CE"/>
    <w:rsid w:val="006876F8"/>
    <w:rsid w:val="00687852"/>
    <w:rsid w:val="006879FD"/>
    <w:rsid w:val="00687E65"/>
    <w:rsid w:val="006900CC"/>
    <w:rsid w:val="006902F1"/>
    <w:rsid w:val="0069156C"/>
    <w:rsid w:val="00691761"/>
    <w:rsid w:val="0069195C"/>
    <w:rsid w:val="00691A36"/>
    <w:rsid w:val="00691B52"/>
    <w:rsid w:val="00691B80"/>
    <w:rsid w:val="0069204B"/>
    <w:rsid w:val="0069225E"/>
    <w:rsid w:val="00693749"/>
    <w:rsid w:val="006938AA"/>
    <w:rsid w:val="00693972"/>
    <w:rsid w:val="006939CF"/>
    <w:rsid w:val="00693B32"/>
    <w:rsid w:val="006942A5"/>
    <w:rsid w:val="006945FA"/>
    <w:rsid w:val="0069474B"/>
    <w:rsid w:val="0069475D"/>
    <w:rsid w:val="00694D47"/>
    <w:rsid w:val="00695059"/>
    <w:rsid w:val="006951F9"/>
    <w:rsid w:val="00695308"/>
    <w:rsid w:val="00695553"/>
    <w:rsid w:val="006956A9"/>
    <w:rsid w:val="00697502"/>
    <w:rsid w:val="0069793F"/>
    <w:rsid w:val="00697966"/>
    <w:rsid w:val="00697D25"/>
    <w:rsid w:val="006A0BA5"/>
    <w:rsid w:val="006A0BE8"/>
    <w:rsid w:val="006A1289"/>
    <w:rsid w:val="006A1306"/>
    <w:rsid w:val="006A1411"/>
    <w:rsid w:val="006A1669"/>
    <w:rsid w:val="006A16AB"/>
    <w:rsid w:val="006A1DB3"/>
    <w:rsid w:val="006A2873"/>
    <w:rsid w:val="006A2F55"/>
    <w:rsid w:val="006A3115"/>
    <w:rsid w:val="006A33D5"/>
    <w:rsid w:val="006A33DF"/>
    <w:rsid w:val="006A37EE"/>
    <w:rsid w:val="006A3A2B"/>
    <w:rsid w:val="006A3E04"/>
    <w:rsid w:val="006A42AF"/>
    <w:rsid w:val="006A4358"/>
    <w:rsid w:val="006A47F1"/>
    <w:rsid w:val="006A4A9D"/>
    <w:rsid w:val="006A5170"/>
    <w:rsid w:val="006A55A9"/>
    <w:rsid w:val="006A5637"/>
    <w:rsid w:val="006A57CA"/>
    <w:rsid w:val="006A5AB1"/>
    <w:rsid w:val="006A5DAE"/>
    <w:rsid w:val="006A6156"/>
    <w:rsid w:val="006A62D5"/>
    <w:rsid w:val="006A66E9"/>
    <w:rsid w:val="006A6839"/>
    <w:rsid w:val="006A685E"/>
    <w:rsid w:val="006A6BA8"/>
    <w:rsid w:val="006A6BF1"/>
    <w:rsid w:val="006A7708"/>
    <w:rsid w:val="006A7B46"/>
    <w:rsid w:val="006A7D74"/>
    <w:rsid w:val="006B010D"/>
    <w:rsid w:val="006B0535"/>
    <w:rsid w:val="006B07F0"/>
    <w:rsid w:val="006B0B50"/>
    <w:rsid w:val="006B0BED"/>
    <w:rsid w:val="006B0CF1"/>
    <w:rsid w:val="006B0E9B"/>
    <w:rsid w:val="006B101A"/>
    <w:rsid w:val="006B1712"/>
    <w:rsid w:val="006B1855"/>
    <w:rsid w:val="006B20CC"/>
    <w:rsid w:val="006B2153"/>
    <w:rsid w:val="006B2167"/>
    <w:rsid w:val="006B2545"/>
    <w:rsid w:val="006B3032"/>
    <w:rsid w:val="006B305E"/>
    <w:rsid w:val="006B312C"/>
    <w:rsid w:val="006B335A"/>
    <w:rsid w:val="006B47A4"/>
    <w:rsid w:val="006B47FE"/>
    <w:rsid w:val="006B4897"/>
    <w:rsid w:val="006B4A14"/>
    <w:rsid w:val="006B4B4A"/>
    <w:rsid w:val="006B4D73"/>
    <w:rsid w:val="006B503F"/>
    <w:rsid w:val="006B50C9"/>
    <w:rsid w:val="006B5985"/>
    <w:rsid w:val="006B5C72"/>
    <w:rsid w:val="006B62B4"/>
    <w:rsid w:val="006B668D"/>
    <w:rsid w:val="006B690F"/>
    <w:rsid w:val="006B6DB1"/>
    <w:rsid w:val="006B72F3"/>
    <w:rsid w:val="006B75C6"/>
    <w:rsid w:val="006B7FBB"/>
    <w:rsid w:val="006C0381"/>
    <w:rsid w:val="006C0B36"/>
    <w:rsid w:val="006C0C77"/>
    <w:rsid w:val="006C0FA2"/>
    <w:rsid w:val="006C183C"/>
    <w:rsid w:val="006C1BCB"/>
    <w:rsid w:val="006C1C6A"/>
    <w:rsid w:val="006C2110"/>
    <w:rsid w:val="006C25C6"/>
    <w:rsid w:val="006C267D"/>
    <w:rsid w:val="006C2729"/>
    <w:rsid w:val="006C2F4B"/>
    <w:rsid w:val="006C3129"/>
    <w:rsid w:val="006C3355"/>
    <w:rsid w:val="006C354C"/>
    <w:rsid w:val="006C3AD0"/>
    <w:rsid w:val="006C3B76"/>
    <w:rsid w:val="006C3C32"/>
    <w:rsid w:val="006C3EDA"/>
    <w:rsid w:val="006C4138"/>
    <w:rsid w:val="006C4305"/>
    <w:rsid w:val="006C4572"/>
    <w:rsid w:val="006C480B"/>
    <w:rsid w:val="006C48A5"/>
    <w:rsid w:val="006C4E3D"/>
    <w:rsid w:val="006C51A0"/>
    <w:rsid w:val="006C57A5"/>
    <w:rsid w:val="006C582D"/>
    <w:rsid w:val="006C5A53"/>
    <w:rsid w:val="006C5E97"/>
    <w:rsid w:val="006C610C"/>
    <w:rsid w:val="006C6794"/>
    <w:rsid w:val="006C707B"/>
    <w:rsid w:val="006C7087"/>
    <w:rsid w:val="006C7B03"/>
    <w:rsid w:val="006C7C8C"/>
    <w:rsid w:val="006D001E"/>
    <w:rsid w:val="006D023A"/>
    <w:rsid w:val="006D0A8F"/>
    <w:rsid w:val="006D0EC2"/>
    <w:rsid w:val="006D1797"/>
    <w:rsid w:val="006D1EB9"/>
    <w:rsid w:val="006D2278"/>
    <w:rsid w:val="006D238D"/>
    <w:rsid w:val="006D2578"/>
    <w:rsid w:val="006D28CE"/>
    <w:rsid w:val="006D30F6"/>
    <w:rsid w:val="006D3177"/>
    <w:rsid w:val="006D3457"/>
    <w:rsid w:val="006D3A6D"/>
    <w:rsid w:val="006D43B8"/>
    <w:rsid w:val="006D442A"/>
    <w:rsid w:val="006D4633"/>
    <w:rsid w:val="006D46CA"/>
    <w:rsid w:val="006D4BE3"/>
    <w:rsid w:val="006D4C72"/>
    <w:rsid w:val="006D4E3D"/>
    <w:rsid w:val="006D4E4C"/>
    <w:rsid w:val="006D505F"/>
    <w:rsid w:val="006D5379"/>
    <w:rsid w:val="006D5585"/>
    <w:rsid w:val="006D56E6"/>
    <w:rsid w:val="006D5A41"/>
    <w:rsid w:val="006D5F76"/>
    <w:rsid w:val="006D62F5"/>
    <w:rsid w:val="006D6BD7"/>
    <w:rsid w:val="006D6D96"/>
    <w:rsid w:val="006D7211"/>
    <w:rsid w:val="006D75C8"/>
    <w:rsid w:val="006D769B"/>
    <w:rsid w:val="006D7A3D"/>
    <w:rsid w:val="006D7AB1"/>
    <w:rsid w:val="006D7CBB"/>
    <w:rsid w:val="006E0133"/>
    <w:rsid w:val="006E0294"/>
    <w:rsid w:val="006E0414"/>
    <w:rsid w:val="006E0478"/>
    <w:rsid w:val="006E0498"/>
    <w:rsid w:val="006E051B"/>
    <w:rsid w:val="006E05E2"/>
    <w:rsid w:val="006E0D62"/>
    <w:rsid w:val="006E246C"/>
    <w:rsid w:val="006E2663"/>
    <w:rsid w:val="006E283B"/>
    <w:rsid w:val="006E2AE7"/>
    <w:rsid w:val="006E2C68"/>
    <w:rsid w:val="006E2CF5"/>
    <w:rsid w:val="006E2D8C"/>
    <w:rsid w:val="006E2EDD"/>
    <w:rsid w:val="006E3222"/>
    <w:rsid w:val="006E334C"/>
    <w:rsid w:val="006E34F5"/>
    <w:rsid w:val="006E36DD"/>
    <w:rsid w:val="006E3AD8"/>
    <w:rsid w:val="006E3F2A"/>
    <w:rsid w:val="006E41E4"/>
    <w:rsid w:val="006E461D"/>
    <w:rsid w:val="006E46E7"/>
    <w:rsid w:val="006E49CC"/>
    <w:rsid w:val="006E4C5A"/>
    <w:rsid w:val="006E4C7B"/>
    <w:rsid w:val="006E4CA6"/>
    <w:rsid w:val="006E59CC"/>
    <w:rsid w:val="006E5AAC"/>
    <w:rsid w:val="006E5BE1"/>
    <w:rsid w:val="006E61E3"/>
    <w:rsid w:val="006E6373"/>
    <w:rsid w:val="006E648D"/>
    <w:rsid w:val="006E6558"/>
    <w:rsid w:val="006E65C7"/>
    <w:rsid w:val="006E68BC"/>
    <w:rsid w:val="006E6C4D"/>
    <w:rsid w:val="006E7088"/>
    <w:rsid w:val="006E7496"/>
    <w:rsid w:val="006E7571"/>
    <w:rsid w:val="006E75F2"/>
    <w:rsid w:val="006E7ED5"/>
    <w:rsid w:val="006F0A0F"/>
    <w:rsid w:val="006F0C81"/>
    <w:rsid w:val="006F0D46"/>
    <w:rsid w:val="006F0E06"/>
    <w:rsid w:val="006F0F29"/>
    <w:rsid w:val="006F136C"/>
    <w:rsid w:val="006F1512"/>
    <w:rsid w:val="006F1676"/>
    <w:rsid w:val="006F17B7"/>
    <w:rsid w:val="006F18D8"/>
    <w:rsid w:val="006F1FD3"/>
    <w:rsid w:val="006F23DD"/>
    <w:rsid w:val="006F24EF"/>
    <w:rsid w:val="006F25AF"/>
    <w:rsid w:val="006F2792"/>
    <w:rsid w:val="006F2930"/>
    <w:rsid w:val="006F3390"/>
    <w:rsid w:val="006F382F"/>
    <w:rsid w:val="006F3DF8"/>
    <w:rsid w:val="006F3E71"/>
    <w:rsid w:val="006F4B96"/>
    <w:rsid w:val="006F4D71"/>
    <w:rsid w:val="006F5158"/>
    <w:rsid w:val="006F55E9"/>
    <w:rsid w:val="006F63C4"/>
    <w:rsid w:val="006F6526"/>
    <w:rsid w:val="006F666A"/>
    <w:rsid w:val="006F669F"/>
    <w:rsid w:val="006F6A61"/>
    <w:rsid w:val="006F6A67"/>
    <w:rsid w:val="006F6BD5"/>
    <w:rsid w:val="006F6C78"/>
    <w:rsid w:val="006F78CE"/>
    <w:rsid w:val="006F7956"/>
    <w:rsid w:val="006F7AFA"/>
    <w:rsid w:val="0070044A"/>
    <w:rsid w:val="007006A7"/>
    <w:rsid w:val="00700950"/>
    <w:rsid w:val="00700BF9"/>
    <w:rsid w:val="00700F40"/>
    <w:rsid w:val="007010AE"/>
    <w:rsid w:val="00701136"/>
    <w:rsid w:val="00701256"/>
    <w:rsid w:val="00702229"/>
    <w:rsid w:val="007025D1"/>
    <w:rsid w:val="0070276F"/>
    <w:rsid w:val="00702F5C"/>
    <w:rsid w:val="00702FFC"/>
    <w:rsid w:val="007030C3"/>
    <w:rsid w:val="0070315C"/>
    <w:rsid w:val="0070319A"/>
    <w:rsid w:val="007036DC"/>
    <w:rsid w:val="0070396D"/>
    <w:rsid w:val="00703A4E"/>
    <w:rsid w:val="00703CB4"/>
    <w:rsid w:val="00703E5A"/>
    <w:rsid w:val="00703EE6"/>
    <w:rsid w:val="007041EA"/>
    <w:rsid w:val="0070433B"/>
    <w:rsid w:val="00704467"/>
    <w:rsid w:val="007048E2"/>
    <w:rsid w:val="007049F7"/>
    <w:rsid w:val="00704D8E"/>
    <w:rsid w:val="007055CB"/>
    <w:rsid w:val="00705799"/>
    <w:rsid w:val="00706381"/>
    <w:rsid w:val="00706C7A"/>
    <w:rsid w:val="00706E00"/>
    <w:rsid w:val="00706E61"/>
    <w:rsid w:val="00706FD3"/>
    <w:rsid w:val="007070B6"/>
    <w:rsid w:val="007071FD"/>
    <w:rsid w:val="007073AD"/>
    <w:rsid w:val="0070764C"/>
    <w:rsid w:val="007076AA"/>
    <w:rsid w:val="0070781B"/>
    <w:rsid w:val="007078B4"/>
    <w:rsid w:val="00707C18"/>
    <w:rsid w:val="00707C37"/>
    <w:rsid w:val="00707DF1"/>
    <w:rsid w:val="0071003E"/>
    <w:rsid w:val="007103A9"/>
    <w:rsid w:val="00710878"/>
    <w:rsid w:val="007108A2"/>
    <w:rsid w:val="00710D7C"/>
    <w:rsid w:val="00710E0B"/>
    <w:rsid w:val="007110CD"/>
    <w:rsid w:val="007112DF"/>
    <w:rsid w:val="007115DE"/>
    <w:rsid w:val="00712224"/>
    <w:rsid w:val="007122E6"/>
    <w:rsid w:val="0071254D"/>
    <w:rsid w:val="007127AB"/>
    <w:rsid w:val="00713494"/>
    <w:rsid w:val="007136D9"/>
    <w:rsid w:val="007137C6"/>
    <w:rsid w:val="0071396A"/>
    <w:rsid w:val="0071404B"/>
    <w:rsid w:val="007140E3"/>
    <w:rsid w:val="00714242"/>
    <w:rsid w:val="00714BAD"/>
    <w:rsid w:val="007152AD"/>
    <w:rsid w:val="00715368"/>
    <w:rsid w:val="00715784"/>
    <w:rsid w:val="007157E4"/>
    <w:rsid w:val="00715BE8"/>
    <w:rsid w:val="00715CB1"/>
    <w:rsid w:val="00715EFA"/>
    <w:rsid w:val="00716AD2"/>
    <w:rsid w:val="00716CC9"/>
    <w:rsid w:val="00716E6D"/>
    <w:rsid w:val="00716E72"/>
    <w:rsid w:val="0071700E"/>
    <w:rsid w:val="007170CD"/>
    <w:rsid w:val="007174BF"/>
    <w:rsid w:val="00717627"/>
    <w:rsid w:val="007176D2"/>
    <w:rsid w:val="00717A9A"/>
    <w:rsid w:val="007203CA"/>
    <w:rsid w:val="007205A0"/>
    <w:rsid w:val="00720800"/>
    <w:rsid w:val="00720A92"/>
    <w:rsid w:val="00721B6F"/>
    <w:rsid w:val="00721C07"/>
    <w:rsid w:val="007221BF"/>
    <w:rsid w:val="0072265E"/>
    <w:rsid w:val="007226F5"/>
    <w:rsid w:val="0072297C"/>
    <w:rsid w:val="00722E32"/>
    <w:rsid w:val="00722EC7"/>
    <w:rsid w:val="00722F99"/>
    <w:rsid w:val="00723553"/>
    <w:rsid w:val="0072370B"/>
    <w:rsid w:val="00723741"/>
    <w:rsid w:val="00723816"/>
    <w:rsid w:val="007238C0"/>
    <w:rsid w:val="00723B2C"/>
    <w:rsid w:val="00723E27"/>
    <w:rsid w:val="00723EA1"/>
    <w:rsid w:val="0072419C"/>
    <w:rsid w:val="00724217"/>
    <w:rsid w:val="00724440"/>
    <w:rsid w:val="0072449F"/>
    <w:rsid w:val="007248DA"/>
    <w:rsid w:val="0072493B"/>
    <w:rsid w:val="00724D6F"/>
    <w:rsid w:val="00724E37"/>
    <w:rsid w:val="00724ED0"/>
    <w:rsid w:val="00724F92"/>
    <w:rsid w:val="00725310"/>
    <w:rsid w:val="007253D6"/>
    <w:rsid w:val="0072578A"/>
    <w:rsid w:val="0072597A"/>
    <w:rsid w:val="00725ADF"/>
    <w:rsid w:val="00725B31"/>
    <w:rsid w:val="00726379"/>
    <w:rsid w:val="00726382"/>
    <w:rsid w:val="00726532"/>
    <w:rsid w:val="007269BE"/>
    <w:rsid w:val="00726A42"/>
    <w:rsid w:val="00726C3F"/>
    <w:rsid w:val="00726F69"/>
    <w:rsid w:val="00726F91"/>
    <w:rsid w:val="0072726E"/>
    <w:rsid w:val="0072729F"/>
    <w:rsid w:val="0072790E"/>
    <w:rsid w:val="00727D12"/>
    <w:rsid w:val="00727ED5"/>
    <w:rsid w:val="00730522"/>
    <w:rsid w:val="0073055A"/>
    <w:rsid w:val="007305EB"/>
    <w:rsid w:val="007306AE"/>
    <w:rsid w:val="00730702"/>
    <w:rsid w:val="00730C03"/>
    <w:rsid w:val="00730C67"/>
    <w:rsid w:val="007319D0"/>
    <w:rsid w:val="00731BBD"/>
    <w:rsid w:val="0073249E"/>
    <w:rsid w:val="0073264E"/>
    <w:rsid w:val="00732662"/>
    <w:rsid w:val="0073277F"/>
    <w:rsid w:val="0073308F"/>
    <w:rsid w:val="007334B6"/>
    <w:rsid w:val="0073355E"/>
    <w:rsid w:val="00733914"/>
    <w:rsid w:val="00734115"/>
    <w:rsid w:val="007341BF"/>
    <w:rsid w:val="00734A5F"/>
    <w:rsid w:val="00734F0A"/>
    <w:rsid w:val="00734FD3"/>
    <w:rsid w:val="00735191"/>
    <w:rsid w:val="00735529"/>
    <w:rsid w:val="00735900"/>
    <w:rsid w:val="00735DB8"/>
    <w:rsid w:val="00735E9E"/>
    <w:rsid w:val="00736368"/>
    <w:rsid w:val="00736453"/>
    <w:rsid w:val="00736B53"/>
    <w:rsid w:val="00736E52"/>
    <w:rsid w:val="00736EE9"/>
    <w:rsid w:val="0073775F"/>
    <w:rsid w:val="0073792C"/>
    <w:rsid w:val="00737959"/>
    <w:rsid w:val="00737AAB"/>
    <w:rsid w:val="0074032D"/>
    <w:rsid w:val="007403EC"/>
    <w:rsid w:val="00740993"/>
    <w:rsid w:val="007410F8"/>
    <w:rsid w:val="007413DE"/>
    <w:rsid w:val="00741596"/>
    <w:rsid w:val="0074162C"/>
    <w:rsid w:val="00741713"/>
    <w:rsid w:val="007418E8"/>
    <w:rsid w:val="00741A91"/>
    <w:rsid w:val="00741B21"/>
    <w:rsid w:val="00741E01"/>
    <w:rsid w:val="00741EFE"/>
    <w:rsid w:val="00742436"/>
    <w:rsid w:val="0074257A"/>
    <w:rsid w:val="007428B4"/>
    <w:rsid w:val="00742C40"/>
    <w:rsid w:val="00742C8A"/>
    <w:rsid w:val="00742DEA"/>
    <w:rsid w:val="00743245"/>
    <w:rsid w:val="007435E5"/>
    <w:rsid w:val="00743A4E"/>
    <w:rsid w:val="00743DBA"/>
    <w:rsid w:val="0074435C"/>
    <w:rsid w:val="0074475B"/>
    <w:rsid w:val="00744BC1"/>
    <w:rsid w:val="00745559"/>
    <w:rsid w:val="00745615"/>
    <w:rsid w:val="00745EDA"/>
    <w:rsid w:val="00746143"/>
    <w:rsid w:val="0074646B"/>
    <w:rsid w:val="00746869"/>
    <w:rsid w:val="0074706E"/>
    <w:rsid w:val="00747434"/>
    <w:rsid w:val="007476A3"/>
    <w:rsid w:val="0074788B"/>
    <w:rsid w:val="007479C4"/>
    <w:rsid w:val="00750266"/>
    <w:rsid w:val="007503AA"/>
    <w:rsid w:val="00750478"/>
    <w:rsid w:val="00750A1A"/>
    <w:rsid w:val="00750C0B"/>
    <w:rsid w:val="00750D79"/>
    <w:rsid w:val="0075137C"/>
    <w:rsid w:val="007515F6"/>
    <w:rsid w:val="007516DB"/>
    <w:rsid w:val="00752A8D"/>
    <w:rsid w:val="00752B98"/>
    <w:rsid w:val="00754003"/>
    <w:rsid w:val="0075418A"/>
    <w:rsid w:val="007542B3"/>
    <w:rsid w:val="00754381"/>
    <w:rsid w:val="00754491"/>
    <w:rsid w:val="007550CD"/>
    <w:rsid w:val="0075548A"/>
    <w:rsid w:val="00755757"/>
    <w:rsid w:val="00756C1B"/>
    <w:rsid w:val="00756CF7"/>
    <w:rsid w:val="007570A1"/>
    <w:rsid w:val="00757251"/>
    <w:rsid w:val="0075760C"/>
    <w:rsid w:val="0075799D"/>
    <w:rsid w:val="00757BBA"/>
    <w:rsid w:val="00757CC5"/>
    <w:rsid w:val="00760088"/>
    <w:rsid w:val="00760621"/>
    <w:rsid w:val="00760CA6"/>
    <w:rsid w:val="00760DEF"/>
    <w:rsid w:val="00760FB6"/>
    <w:rsid w:val="0076105C"/>
    <w:rsid w:val="0076133A"/>
    <w:rsid w:val="00761636"/>
    <w:rsid w:val="007616FC"/>
    <w:rsid w:val="00761E77"/>
    <w:rsid w:val="007621C8"/>
    <w:rsid w:val="0076260D"/>
    <w:rsid w:val="00762612"/>
    <w:rsid w:val="00762BCF"/>
    <w:rsid w:val="00762CB1"/>
    <w:rsid w:val="00762EA8"/>
    <w:rsid w:val="0076329D"/>
    <w:rsid w:val="00763313"/>
    <w:rsid w:val="00763782"/>
    <w:rsid w:val="007637C3"/>
    <w:rsid w:val="00763A3A"/>
    <w:rsid w:val="00763B77"/>
    <w:rsid w:val="00763C84"/>
    <w:rsid w:val="007642B1"/>
    <w:rsid w:val="00764887"/>
    <w:rsid w:val="00764AC5"/>
    <w:rsid w:val="00764D02"/>
    <w:rsid w:val="00764DF7"/>
    <w:rsid w:val="00764F15"/>
    <w:rsid w:val="007650B3"/>
    <w:rsid w:val="00765A7F"/>
    <w:rsid w:val="00765B8D"/>
    <w:rsid w:val="00765D88"/>
    <w:rsid w:val="00765ECA"/>
    <w:rsid w:val="00765FA8"/>
    <w:rsid w:val="00766293"/>
    <w:rsid w:val="00766886"/>
    <w:rsid w:val="0076702C"/>
    <w:rsid w:val="00767B75"/>
    <w:rsid w:val="00767C2C"/>
    <w:rsid w:val="00767F6C"/>
    <w:rsid w:val="00770D00"/>
    <w:rsid w:val="00771346"/>
    <w:rsid w:val="007715B8"/>
    <w:rsid w:val="00771D77"/>
    <w:rsid w:val="00771EAC"/>
    <w:rsid w:val="00771EB8"/>
    <w:rsid w:val="0077224A"/>
    <w:rsid w:val="007724C8"/>
    <w:rsid w:val="007726BC"/>
    <w:rsid w:val="007727C6"/>
    <w:rsid w:val="00772829"/>
    <w:rsid w:val="00772844"/>
    <w:rsid w:val="00772B20"/>
    <w:rsid w:val="00772E2F"/>
    <w:rsid w:val="00772E8B"/>
    <w:rsid w:val="00772F99"/>
    <w:rsid w:val="007737C4"/>
    <w:rsid w:val="00773801"/>
    <w:rsid w:val="007744CE"/>
    <w:rsid w:val="007750FD"/>
    <w:rsid w:val="007759F4"/>
    <w:rsid w:val="00776140"/>
    <w:rsid w:val="007763A0"/>
    <w:rsid w:val="00776406"/>
    <w:rsid w:val="0077648A"/>
    <w:rsid w:val="00776561"/>
    <w:rsid w:val="00776997"/>
    <w:rsid w:val="00776AF7"/>
    <w:rsid w:val="00776B48"/>
    <w:rsid w:val="0077749B"/>
    <w:rsid w:val="007776EA"/>
    <w:rsid w:val="00777848"/>
    <w:rsid w:val="00777893"/>
    <w:rsid w:val="00780004"/>
    <w:rsid w:val="00780181"/>
    <w:rsid w:val="00780706"/>
    <w:rsid w:val="00780EC2"/>
    <w:rsid w:val="00781130"/>
    <w:rsid w:val="0078161D"/>
    <w:rsid w:val="00782033"/>
    <w:rsid w:val="00782120"/>
    <w:rsid w:val="007823D7"/>
    <w:rsid w:val="00782ABD"/>
    <w:rsid w:val="00782CB1"/>
    <w:rsid w:val="00782DA4"/>
    <w:rsid w:val="00783127"/>
    <w:rsid w:val="0078316F"/>
    <w:rsid w:val="00783617"/>
    <w:rsid w:val="00783679"/>
    <w:rsid w:val="0078379A"/>
    <w:rsid w:val="00783804"/>
    <w:rsid w:val="00784341"/>
    <w:rsid w:val="007850D2"/>
    <w:rsid w:val="007852E9"/>
    <w:rsid w:val="00785738"/>
    <w:rsid w:val="00785C6F"/>
    <w:rsid w:val="00785FEE"/>
    <w:rsid w:val="00786228"/>
    <w:rsid w:val="00787160"/>
    <w:rsid w:val="00787384"/>
    <w:rsid w:val="00787575"/>
    <w:rsid w:val="00787987"/>
    <w:rsid w:val="00787ABB"/>
    <w:rsid w:val="00787CC3"/>
    <w:rsid w:val="00787F1E"/>
    <w:rsid w:val="00787F9E"/>
    <w:rsid w:val="00787FE7"/>
    <w:rsid w:val="007900F8"/>
    <w:rsid w:val="00790180"/>
    <w:rsid w:val="00790B15"/>
    <w:rsid w:val="00790C27"/>
    <w:rsid w:val="00790F24"/>
    <w:rsid w:val="00790F49"/>
    <w:rsid w:val="00790FA5"/>
    <w:rsid w:val="00791398"/>
    <w:rsid w:val="00791E72"/>
    <w:rsid w:val="007921F3"/>
    <w:rsid w:val="007922DD"/>
    <w:rsid w:val="007922DE"/>
    <w:rsid w:val="00792311"/>
    <w:rsid w:val="007927FB"/>
    <w:rsid w:val="00792FAB"/>
    <w:rsid w:val="00793100"/>
    <w:rsid w:val="007931CB"/>
    <w:rsid w:val="00793730"/>
    <w:rsid w:val="007937AF"/>
    <w:rsid w:val="0079403E"/>
    <w:rsid w:val="007940A3"/>
    <w:rsid w:val="00794540"/>
    <w:rsid w:val="00794600"/>
    <w:rsid w:val="007949E1"/>
    <w:rsid w:val="00794A81"/>
    <w:rsid w:val="00794BE4"/>
    <w:rsid w:val="00794D95"/>
    <w:rsid w:val="00794E15"/>
    <w:rsid w:val="007951D4"/>
    <w:rsid w:val="00795741"/>
    <w:rsid w:val="0079576A"/>
    <w:rsid w:val="00795A75"/>
    <w:rsid w:val="00795F52"/>
    <w:rsid w:val="0079618F"/>
    <w:rsid w:val="0079633B"/>
    <w:rsid w:val="007963AC"/>
    <w:rsid w:val="00796A3E"/>
    <w:rsid w:val="00796B2E"/>
    <w:rsid w:val="00796F12"/>
    <w:rsid w:val="00796F98"/>
    <w:rsid w:val="00797448"/>
    <w:rsid w:val="00797A32"/>
    <w:rsid w:val="00797C46"/>
    <w:rsid w:val="00797E9C"/>
    <w:rsid w:val="007A029B"/>
    <w:rsid w:val="007A04E1"/>
    <w:rsid w:val="007A05D3"/>
    <w:rsid w:val="007A0E46"/>
    <w:rsid w:val="007A124D"/>
    <w:rsid w:val="007A164A"/>
    <w:rsid w:val="007A195E"/>
    <w:rsid w:val="007A19F6"/>
    <w:rsid w:val="007A1F7D"/>
    <w:rsid w:val="007A1FF1"/>
    <w:rsid w:val="007A27ED"/>
    <w:rsid w:val="007A2AAA"/>
    <w:rsid w:val="007A2B65"/>
    <w:rsid w:val="007A35AE"/>
    <w:rsid w:val="007A37C6"/>
    <w:rsid w:val="007A394A"/>
    <w:rsid w:val="007A3A30"/>
    <w:rsid w:val="007A3AB9"/>
    <w:rsid w:val="007A4BF0"/>
    <w:rsid w:val="007A5128"/>
    <w:rsid w:val="007A5196"/>
    <w:rsid w:val="007A51B9"/>
    <w:rsid w:val="007A5617"/>
    <w:rsid w:val="007A5765"/>
    <w:rsid w:val="007A68D6"/>
    <w:rsid w:val="007A6D80"/>
    <w:rsid w:val="007A6F17"/>
    <w:rsid w:val="007A7033"/>
    <w:rsid w:val="007A793F"/>
    <w:rsid w:val="007A7B5B"/>
    <w:rsid w:val="007A7F44"/>
    <w:rsid w:val="007A7F5E"/>
    <w:rsid w:val="007B0245"/>
    <w:rsid w:val="007B0250"/>
    <w:rsid w:val="007B0290"/>
    <w:rsid w:val="007B03BF"/>
    <w:rsid w:val="007B0448"/>
    <w:rsid w:val="007B04D2"/>
    <w:rsid w:val="007B083F"/>
    <w:rsid w:val="007B0880"/>
    <w:rsid w:val="007B0A2A"/>
    <w:rsid w:val="007B0BCB"/>
    <w:rsid w:val="007B0D01"/>
    <w:rsid w:val="007B0DFB"/>
    <w:rsid w:val="007B104A"/>
    <w:rsid w:val="007B10A3"/>
    <w:rsid w:val="007B14E4"/>
    <w:rsid w:val="007B1708"/>
    <w:rsid w:val="007B1AB3"/>
    <w:rsid w:val="007B1B69"/>
    <w:rsid w:val="007B2085"/>
    <w:rsid w:val="007B21B4"/>
    <w:rsid w:val="007B21F4"/>
    <w:rsid w:val="007B25AD"/>
    <w:rsid w:val="007B25F0"/>
    <w:rsid w:val="007B29BA"/>
    <w:rsid w:val="007B2BC7"/>
    <w:rsid w:val="007B2E0F"/>
    <w:rsid w:val="007B2FB2"/>
    <w:rsid w:val="007B2FDC"/>
    <w:rsid w:val="007B38A0"/>
    <w:rsid w:val="007B38B7"/>
    <w:rsid w:val="007B38F4"/>
    <w:rsid w:val="007B3AB0"/>
    <w:rsid w:val="007B3AF2"/>
    <w:rsid w:val="007B3BB2"/>
    <w:rsid w:val="007B4526"/>
    <w:rsid w:val="007B45B0"/>
    <w:rsid w:val="007B472E"/>
    <w:rsid w:val="007B478D"/>
    <w:rsid w:val="007B4C44"/>
    <w:rsid w:val="007B4E3E"/>
    <w:rsid w:val="007B4F7B"/>
    <w:rsid w:val="007B56C3"/>
    <w:rsid w:val="007B583D"/>
    <w:rsid w:val="007B598A"/>
    <w:rsid w:val="007B5DDD"/>
    <w:rsid w:val="007B600A"/>
    <w:rsid w:val="007B60C4"/>
    <w:rsid w:val="007B65CF"/>
    <w:rsid w:val="007B6684"/>
    <w:rsid w:val="007B6B21"/>
    <w:rsid w:val="007B7024"/>
    <w:rsid w:val="007B7870"/>
    <w:rsid w:val="007B7A58"/>
    <w:rsid w:val="007B7DD9"/>
    <w:rsid w:val="007C0390"/>
    <w:rsid w:val="007C0766"/>
    <w:rsid w:val="007C0891"/>
    <w:rsid w:val="007C0ABB"/>
    <w:rsid w:val="007C0C3A"/>
    <w:rsid w:val="007C0FE6"/>
    <w:rsid w:val="007C10F2"/>
    <w:rsid w:val="007C14A2"/>
    <w:rsid w:val="007C21AF"/>
    <w:rsid w:val="007C2A0E"/>
    <w:rsid w:val="007C2E39"/>
    <w:rsid w:val="007C300E"/>
    <w:rsid w:val="007C328D"/>
    <w:rsid w:val="007C3354"/>
    <w:rsid w:val="007C336F"/>
    <w:rsid w:val="007C34C6"/>
    <w:rsid w:val="007C3D61"/>
    <w:rsid w:val="007C41B1"/>
    <w:rsid w:val="007C46F6"/>
    <w:rsid w:val="007C50B6"/>
    <w:rsid w:val="007C5A2D"/>
    <w:rsid w:val="007C5FD2"/>
    <w:rsid w:val="007C628A"/>
    <w:rsid w:val="007C6480"/>
    <w:rsid w:val="007C65A2"/>
    <w:rsid w:val="007C6747"/>
    <w:rsid w:val="007C787B"/>
    <w:rsid w:val="007D0088"/>
    <w:rsid w:val="007D0199"/>
    <w:rsid w:val="007D0345"/>
    <w:rsid w:val="007D0421"/>
    <w:rsid w:val="007D0731"/>
    <w:rsid w:val="007D0DE6"/>
    <w:rsid w:val="007D0ED2"/>
    <w:rsid w:val="007D0F8B"/>
    <w:rsid w:val="007D102F"/>
    <w:rsid w:val="007D12BE"/>
    <w:rsid w:val="007D19C0"/>
    <w:rsid w:val="007D1D90"/>
    <w:rsid w:val="007D2232"/>
    <w:rsid w:val="007D29B0"/>
    <w:rsid w:val="007D2C07"/>
    <w:rsid w:val="007D2C32"/>
    <w:rsid w:val="007D2FAF"/>
    <w:rsid w:val="007D30B7"/>
    <w:rsid w:val="007D33AA"/>
    <w:rsid w:val="007D348E"/>
    <w:rsid w:val="007D35CC"/>
    <w:rsid w:val="007D3A66"/>
    <w:rsid w:val="007D3B53"/>
    <w:rsid w:val="007D406B"/>
    <w:rsid w:val="007D437C"/>
    <w:rsid w:val="007D4AF1"/>
    <w:rsid w:val="007D4CC1"/>
    <w:rsid w:val="007D4E57"/>
    <w:rsid w:val="007D4FC1"/>
    <w:rsid w:val="007D582E"/>
    <w:rsid w:val="007D5DEB"/>
    <w:rsid w:val="007D6290"/>
    <w:rsid w:val="007D62F1"/>
    <w:rsid w:val="007D66EA"/>
    <w:rsid w:val="007D6F03"/>
    <w:rsid w:val="007D725E"/>
    <w:rsid w:val="007D7289"/>
    <w:rsid w:val="007D779D"/>
    <w:rsid w:val="007D788C"/>
    <w:rsid w:val="007D7993"/>
    <w:rsid w:val="007D7B27"/>
    <w:rsid w:val="007D7DF8"/>
    <w:rsid w:val="007E0121"/>
    <w:rsid w:val="007E0546"/>
    <w:rsid w:val="007E0798"/>
    <w:rsid w:val="007E0EB4"/>
    <w:rsid w:val="007E0EB8"/>
    <w:rsid w:val="007E15AD"/>
    <w:rsid w:val="007E186A"/>
    <w:rsid w:val="007E25ED"/>
    <w:rsid w:val="007E2700"/>
    <w:rsid w:val="007E2AC8"/>
    <w:rsid w:val="007E2BC0"/>
    <w:rsid w:val="007E2C33"/>
    <w:rsid w:val="007E3721"/>
    <w:rsid w:val="007E3917"/>
    <w:rsid w:val="007E3934"/>
    <w:rsid w:val="007E3AE6"/>
    <w:rsid w:val="007E3B45"/>
    <w:rsid w:val="007E3E23"/>
    <w:rsid w:val="007E4012"/>
    <w:rsid w:val="007E4123"/>
    <w:rsid w:val="007E4204"/>
    <w:rsid w:val="007E4628"/>
    <w:rsid w:val="007E4788"/>
    <w:rsid w:val="007E488A"/>
    <w:rsid w:val="007E543B"/>
    <w:rsid w:val="007E5909"/>
    <w:rsid w:val="007E5966"/>
    <w:rsid w:val="007E5A05"/>
    <w:rsid w:val="007E66C0"/>
    <w:rsid w:val="007E6A78"/>
    <w:rsid w:val="007E6BC7"/>
    <w:rsid w:val="007E6F4B"/>
    <w:rsid w:val="007E766B"/>
    <w:rsid w:val="007E7C21"/>
    <w:rsid w:val="007F01CD"/>
    <w:rsid w:val="007F0AA5"/>
    <w:rsid w:val="007F0C13"/>
    <w:rsid w:val="007F0F23"/>
    <w:rsid w:val="007F1477"/>
    <w:rsid w:val="007F1593"/>
    <w:rsid w:val="007F1782"/>
    <w:rsid w:val="007F17C2"/>
    <w:rsid w:val="007F20A5"/>
    <w:rsid w:val="007F2192"/>
    <w:rsid w:val="007F2244"/>
    <w:rsid w:val="007F36A2"/>
    <w:rsid w:val="007F37A8"/>
    <w:rsid w:val="007F3AD0"/>
    <w:rsid w:val="007F3BA1"/>
    <w:rsid w:val="007F4544"/>
    <w:rsid w:val="007F4B8C"/>
    <w:rsid w:val="007F4E62"/>
    <w:rsid w:val="007F5169"/>
    <w:rsid w:val="007F525F"/>
    <w:rsid w:val="007F52E1"/>
    <w:rsid w:val="007F54DB"/>
    <w:rsid w:val="007F5833"/>
    <w:rsid w:val="007F583A"/>
    <w:rsid w:val="007F5A7E"/>
    <w:rsid w:val="007F61FC"/>
    <w:rsid w:val="007F649D"/>
    <w:rsid w:val="007F67E9"/>
    <w:rsid w:val="007F6F4D"/>
    <w:rsid w:val="007F7969"/>
    <w:rsid w:val="007F7C7B"/>
    <w:rsid w:val="007F7DE8"/>
    <w:rsid w:val="00800FFE"/>
    <w:rsid w:val="008013ED"/>
    <w:rsid w:val="0080151A"/>
    <w:rsid w:val="00801C17"/>
    <w:rsid w:val="00802410"/>
    <w:rsid w:val="00802554"/>
    <w:rsid w:val="008025CA"/>
    <w:rsid w:val="00802A3F"/>
    <w:rsid w:val="00803224"/>
    <w:rsid w:val="00803328"/>
    <w:rsid w:val="008036E4"/>
    <w:rsid w:val="008038D7"/>
    <w:rsid w:val="00804027"/>
    <w:rsid w:val="008040A2"/>
    <w:rsid w:val="008043B2"/>
    <w:rsid w:val="00804632"/>
    <w:rsid w:val="00804A22"/>
    <w:rsid w:val="00804C75"/>
    <w:rsid w:val="008054CF"/>
    <w:rsid w:val="008054D9"/>
    <w:rsid w:val="0080597F"/>
    <w:rsid w:val="00805B95"/>
    <w:rsid w:val="00805E1A"/>
    <w:rsid w:val="00806688"/>
    <w:rsid w:val="0080668F"/>
    <w:rsid w:val="008067F8"/>
    <w:rsid w:val="008068C9"/>
    <w:rsid w:val="00806922"/>
    <w:rsid w:val="0080695D"/>
    <w:rsid w:val="00806CF8"/>
    <w:rsid w:val="00806F6E"/>
    <w:rsid w:val="00807A3E"/>
    <w:rsid w:val="00807CB9"/>
    <w:rsid w:val="00807EEA"/>
    <w:rsid w:val="00810173"/>
    <w:rsid w:val="008101DE"/>
    <w:rsid w:val="00810338"/>
    <w:rsid w:val="00810368"/>
    <w:rsid w:val="0081086A"/>
    <w:rsid w:val="008108A8"/>
    <w:rsid w:val="00810910"/>
    <w:rsid w:val="00810A7C"/>
    <w:rsid w:val="0081123E"/>
    <w:rsid w:val="0081133C"/>
    <w:rsid w:val="008114EF"/>
    <w:rsid w:val="008116C6"/>
    <w:rsid w:val="00811791"/>
    <w:rsid w:val="00812170"/>
    <w:rsid w:val="00812282"/>
    <w:rsid w:val="0081249E"/>
    <w:rsid w:val="008126DA"/>
    <w:rsid w:val="00812A9E"/>
    <w:rsid w:val="00813317"/>
    <w:rsid w:val="00814100"/>
    <w:rsid w:val="008147A0"/>
    <w:rsid w:val="008148E4"/>
    <w:rsid w:val="00814D17"/>
    <w:rsid w:val="00815043"/>
    <w:rsid w:val="00815213"/>
    <w:rsid w:val="00815741"/>
    <w:rsid w:val="008157F1"/>
    <w:rsid w:val="00815B02"/>
    <w:rsid w:val="00815BB5"/>
    <w:rsid w:val="00815F78"/>
    <w:rsid w:val="00815F9A"/>
    <w:rsid w:val="00816225"/>
    <w:rsid w:val="008164C7"/>
    <w:rsid w:val="0081662A"/>
    <w:rsid w:val="00816BE2"/>
    <w:rsid w:val="00816C9B"/>
    <w:rsid w:val="00816E21"/>
    <w:rsid w:val="00816EC2"/>
    <w:rsid w:val="00817185"/>
    <w:rsid w:val="008175A3"/>
    <w:rsid w:val="00817754"/>
    <w:rsid w:val="00817792"/>
    <w:rsid w:val="008177E5"/>
    <w:rsid w:val="008204D5"/>
    <w:rsid w:val="00820565"/>
    <w:rsid w:val="008209BF"/>
    <w:rsid w:val="00820BA5"/>
    <w:rsid w:val="00821241"/>
    <w:rsid w:val="00821740"/>
    <w:rsid w:val="00821B75"/>
    <w:rsid w:val="00821D37"/>
    <w:rsid w:val="00821D6C"/>
    <w:rsid w:val="008221C9"/>
    <w:rsid w:val="0082228A"/>
    <w:rsid w:val="00822646"/>
    <w:rsid w:val="0082274B"/>
    <w:rsid w:val="00822A73"/>
    <w:rsid w:val="00822E67"/>
    <w:rsid w:val="008231D9"/>
    <w:rsid w:val="008236E1"/>
    <w:rsid w:val="0082377F"/>
    <w:rsid w:val="00823C17"/>
    <w:rsid w:val="00823C6D"/>
    <w:rsid w:val="00823D3E"/>
    <w:rsid w:val="00824276"/>
    <w:rsid w:val="008243BD"/>
    <w:rsid w:val="008243E6"/>
    <w:rsid w:val="00824458"/>
    <w:rsid w:val="008248D9"/>
    <w:rsid w:val="008249F7"/>
    <w:rsid w:val="00824B74"/>
    <w:rsid w:val="00824E4F"/>
    <w:rsid w:val="008250F4"/>
    <w:rsid w:val="00825151"/>
    <w:rsid w:val="00825377"/>
    <w:rsid w:val="008255E6"/>
    <w:rsid w:val="00825651"/>
    <w:rsid w:val="00825AF5"/>
    <w:rsid w:val="00825E18"/>
    <w:rsid w:val="00825E55"/>
    <w:rsid w:val="0082623F"/>
    <w:rsid w:val="008262B3"/>
    <w:rsid w:val="00826632"/>
    <w:rsid w:val="008269D9"/>
    <w:rsid w:val="00826C5A"/>
    <w:rsid w:val="00827027"/>
    <w:rsid w:val="0082703D"/>
    <w:rsid w:val="008272B8"/>
    <w:rsid w:val="00827AAE"/>
    <w:rsid w:val="00827FDB"/>
    <w:rsid w:val="008306F4"/>
    <w:rsid w:val="00830FC7"/>
    <w:rsid w:val="00830FE7"/>
    <w:rsid w:val="00831565"/>
    <w:rsid w:val="008316EB"/>
    <w:rsid w:val="00831770"/>
    <w:rsid w:val="008318A0"/>
    <w:rsid w:val="008319F1"/>
    <w:rsid w:val="00831F14"/>
    <w:rsid w:val="00831F2C"/>
    <w:rsid w:val="00832324"/>
    <w:rsid w:val="008324BE"/>
    <w:rsid w:val="00833167"/>
    <w:rsid w:val="008338EC"/>
    <w:rsid w:val="00833BD0"/>
    <w:rsid w:val="00833C20"/>
    <w:rsid w:val="008342B1"/>
    <w:rsid w:val="00834306"/>
    <w:rsid w:val="00834771"/>
    <w:rsid w:val="00834905"/>
    <w:rsid w:val="00835577"/>
    <w:rsid w:val="00835A83"/>
    <w:rsid w:val="00835B80"/>
    <w:rsid w:val="00835EC9"/>
    <w:rsid w:val="008364B3"/>
    <w:rsid w:val="00836823"/>
    <w:rsid w:val="00837381"/>
    <w:rsid w:val="00837475"/>
    <w:rsid w:val="0083770B"/>
    <w:rsid w:val="0083787D"/>
    <w:rsid w:val="00837AB9"/>
    <w:rsid w:val="008407D2"/>
    <w:rsid w:val="00841388"/>
    <w:rsid w:val="00841841"/>
    <w:rsid w:val="00841ABC"/>
    <w:rsid w:val="00841EFB"/>
    <w:rsid w:val="00841F44"/>
    <w:rsid w:val="00842172"/>
    <w:rsid w:val="00842336"/>
    <w:rsid w:val="00842C82"/>
    <w:rsid w:val="008436D7"/>
    <w:rsid w:val="008438C4"/>
    <w:rsid w:val="008440FE"/>
    <w:rsid w:val="0084508F"/>
    <w:rsid w:val="008454E0"/>
    <w:rsid w:val="00845603"/>
    <w:rsid w:val="00845B38"/>
    <w:rsid w:val="00846119"/>
    <w:rsid w:val="00846637"/>
    <w:rsid w:val="008466DC"/>
    <w:rsid w:val="008467D2"/>
    <w:rsid w:val="00846FC0"/>
    <w:rsid w:val="008473B5"/>
    <w:rsid w:val="008474E3"/>
    <w:rsid w:val="00847635"/>
    <w:rsid w:val="00850280"/>
    <w:rsid w:val="00850313"/>
    <w:rsid w:val="0085049B"/>
    <w:rsid w:val="0085071A"/>
    <w:rsid w:val="008507F9"/>
    <w:rsid w:val="00851053"/>
    <w:rsid w:val="008514BD"/>
    <w:rsid w:val="008518F0"/>
    <w:rsid w:val="00851FFD"/>
    <w:rsid w:val="008523D5"/>
    <w:rsid w:val="008524B8"/>
    <w:rsid w:val="0085257A"/>
    <w:rsid w:val="008527ED"/>
    <w:rsid w:val="00852C16"/>
    <w:rsid w:val="008531A1"/>
    <w:rsid w:val="008537F7"/>
    <w:rsid w:val="00853844"/>
    <w:rsid w:val="00853AEB"/>
    <w:rsid w:val="00853CF7"/>
    <w:rsid w:val="00853F36"/>
    <w:rsid w:val="008540FF"/>
    <w:rsid w:val="00854151"/>
    <w:rsid w:val="0085422B"/>
    <w:rsid w:val="008543E1"/>
    <w:rsid w:val="008546BE"/>
    <w:rsid w:val="00854B29"/>
    <w:rsid w:val="0085518C"/>
    <w:rsid w:val="008552AE"/>
    <w:rsid w:val="008552F8"/>
    <w:rsid w:val="008554FF"/>
    <w:rsid w:val="00855BE1"/>
    <w:rsid w:val="00856041"/>
    <w:rsid w:val="00856074"/>
    <w:rsid w:val="0085666A"/>
    <w:rsid w:val="00856676"/>
    <w:rsid w:val="008569A2"/>
    <w:rsid w:val="00856A25"/>
    <w:rsid w:val="00856A70"/>
    <w:rsid w:val="00856BE8"/>
    <w:rsid w:val="00856D83"/>
    <w:rsid w:val="00857017"/>
    <w:rsid w:val="0085711F"/>
    <w:rsid w:val="00857584"/>
    <w:rsid w:val="00857949"/>
    <w:rsid w:val="00860154"/>
    <w:rsid w:val="008601C2"/>
    <w:rsid w:val="00860275"/>
    <w:rsid w:val="008609E2"/>
    <w:rsid w:val="00861805"/>
    <w:rsid w:val="008618E7"/>
    <w:rsid w:val="00861D19"/>
    <w:rsid w:val="00862427"/>
    <w:rsid w:val="008628BA"/>
    <w:rsid w:val="00862A56"/>
    <w:rsid w:val="00862EB4"/>
    <w:rsid w:val="00862F71"/>
    <w:rsid w:val="00862FBB"/>
    <w:rsid w:val="00863983"/>
    <w:rsid w:val="00863AB9"/>
    <w:rsid w:val="00863C49"/>
    <w:rsid w:val="00863FD0"/>
    <w:rsid w:val="00864642"/>
    <w:rsid w:val="008648BD"/>
    <w:rsid w:val="00864A95"/>
    <w:rsid w:val="00864CD5"/>
    <w:rsid w:val="00864E5A"/>
    <w:rsid w:val="00865194"/>
    <w:rsid w:val="00865255"/>
    <w:rsid w:val="00865628"/>
    <w:rsid w:val="00865B4C"/>
    <w:rsid w:val="00865C75"/>
    <w:rsid w:val="00866789"/>
    <w:rsid w:val="008669E6"/>
    <w:rsid w:val="008677D0"/>
    <w:rsid w:val="00870065"/>
    <w:rsid w:val="00870318"/>
    <w:rsid w:val="00870395"/>
    <w:rsid w:val="008719C2"/>
    <w:rsid w:val="00871D11"/>
    <w:rsid w:val="00871FDD"/>
    <w:rsid w:val="00872152"/>
    <w:rsid w:val="00872370"/>
    <w:rsid w:val="00872464"/>
    <w:rsid w:val="0087277A"/>
    <w:rsid w:val="008727CB"/>
    <w:rsid w:val="00872A47"/>
    <w:rsid w:val="00872C72"/>
    <w:rsid w:val="008736E2"/>
    <w:rsid w:val="00873ADA"/>
    <w:rsid w:val="00873F0E"/>
    <w:rsid w:val="008743FE"/>
    <w:rsid w:val="008744E5"/>
    <w:rsid w:val="00874565"/>
    <w:rsid w:val="008747B7"/>
    <w:rsid w:val="008748E3"/>
    <w:rsid w:val="00874A76"/>
    <w:rsid w:val="008750AB"/>
    <w:rsid w:val="0087545F"/>
    <w:rsid w:val="008759EC"/>
    <w:rsid w:val="00875F06"/>
    <w:rsid w:val="008764F0"/>
    <w:rsid w:val="008764FC"/>
    <w:rsid w:val="00876869"/>
    <w:rsid w:val="00876B71"/>
    <w:rsid w:val="00876C3A"/>
    <w:rsid w:val="00876C3D"/>
    <w:rsid w:val="00876C70"/>
    <w:rsid w:val="00877247"/>
    <w:rsid w:val="008801AE"/>
    <w:rsid w:val="0088024B"/>
    <w:rsid w:val="008805EA"/>
    <w:rsid w:val="00880AA3"/>
    <w:rsid w:val="008811EE"/>
    <w:rsid w:val="00881371"/>
    <w:rsid w:val="008818D4"/>
    <w:rsid w:val="00881C64"/>
    <w:rsid w:val="00881D52"/>
    <w:rsid w:val="00881D7B"/>
    <w:rsid w:val="008822AD"/>
    <w:rsid w:val="008825D7"/>
    <w:rsid w:val="00882689"/>
    <w:rsid w:val="00882F6A"/>
    <w:rsid w:val="00883F12"/>
    <w:rsid w:val="0088421C"/>
    <w:rsid w:val="0088445B"/>
    <w:rsid w:val="00884A0E"/>
    <w:rsid w:val="00884A90"/>
    <w:rsid w:val="00884ADB"/>
    <w:rsid w:val="00885006"/>
    <w:rsid w:val="008856EA"/>
    <w:rsid w:val="0088583F"/>
    <w:rsid w:val="00885873"/>
    <w:rsid w:val="00885B33"/>
    <w:rsid w:val="00885C4A"/>
    <w:rsid w:val="00885DB7"/>
    <w:rsid w:val="00886035"/>
    <w:rsid w:val="008862BA"/>
    <w:rsid w:val="008864F9"/>
    <w:rsid w:val="0088674A"/>
    <w:rsid w:val="00886902"/>
    <w:rsid w:val="00886C5A"/>
    <w:rsid w:val="00887133"/>
    <w:rsid w:val="00887786"/>
    <w:rsid w:val="00887801"/>
    <w:rsid w:val="00887F99"/>
    <w:rsid w:val="00890055"/>
    <w:rsid w:val="0089014E"/>
    <w:rsid w:val="008901DA"/>
    <w:rsid w:val="00890CA8"/>
    <w:rsid w:val="0089117B"/>
    <w:rsid w:val="008911F7"/>
    <w:rsid w:val="00891301"/>
    <w:rsid w:val="00891AF6"/>
    <w:rsid w:val="00891B6F"/>
    <w:rsid w:val="00891BC3"/>
    <w:rsid w:val="00891E2C"/>
    <w:rsid w:val="00891FF8"/>
    <w:rsid w:val="00892880"/>
    <w:rsid w:val="00892A28"/>
    <w:rsid w:val="00892B34"/>
    <w:rsid w:val="00892D5E"/>
    <w:rsid w:val="00892E11"/>
    <w:rsid w:val="00892E69"/>
    <w:rsid w:val="00892EB9"/>
    <w:rsid w:val="00892FB2"/>
    <w:rsid w:val="00893390"/>
    <w:rsid w:val="00893520"/>
    <w:rsid w:val="008937C8"/>
    <w:rsid w:val="00893893"/>
    <w:rsid w:val="00893DF5"/>
    <w:rsid w:val="00893FE3"/>
    <w:rsid w:val="008945F1"/>
    <w:rsid w:val="00894AFC"/>
    <w:rsid w:val="00894B9F"/>
    <w:rsid w:val="00894CA7"/>
    <w:rsid w:val="00894E5C"/>
    <w:rsid w:val="00895182"/>
    <w:rsid w:val="008959E7"/>
    <w:rsid w:val="00895A63"/>
    <w:rsid w:val="00895A8D"/>
    <w:rsid w:val="00895DF6"/>
    <w:rsid w:val="00895ECF"/>
    <w:rsid w:val="00895EFE"/>
    <w:rsid w:val="0089644A"/>
    <w:rsid w:val="00896615"/>
    <w:rsid w:val="00896656"/>
    <w:rsid w:val="008967C4"/>
    <w:rsid w:val="00896CEF"/>
    <w:rsid w:val="008976C2"/>
    <w:rsid w:val="00897989"/>
    <w:rsid w:val="00897A48"/>
    <w:rsid w:val="00897D59"/>
    <w:rsid w:val="008A04A3"/>
    <w:rsid w:val="008A06F3"/>
    <w:rsid w:val="008A0D2A"/>
    <w:rsid w:val="008A1024"/>
    <w:rsid w:val="008A1693"/>
    <w:rsid w:val="008A17B6"/>
    <w:rsid w:val="008A1B33"/>
    <w:rsid w:val="008A1BFB"/>
    <w:rsid w:val="008A2091"/>
    <w:rsid w:val="008A254F"/>
    <w:rsid w:val="008A2630"/>
    <w:rsid w:val="008A3310"/>
    <w:rsid w:val="008A33BC"/>
    <w:rsid w:val="008A35BA"/>
    <w:rsid w:val="008A3768"/>
    <w:rsid w:val="008A381C"/>
    <w:rsid w:val="008A3C9B"/>
    <w:rsid w:val="008A3E1C"/>
    <w:rsid w:val="008A3F22"/>
    <w:rsid w:val="008A3F49"/>
    <w:rsid w:val="008A3F63"/>
    <w:rsid w:val="008A455A"/>
    <w:rsid w:val="008A4709"/>
    <w:rsid w:val="008A4DDE"/>
    <w:rsid w:val="008A511E"/>
    <w:rsid w:val="008A5233"/>
    <w:rsid w:val="008A53B0"/>
    <w:rsid w:val="008A5666"/>
    <w:rsid w:val="008A5833"/>
    <w:rsid w:val="008A5D6F"/>
    <w:rsid w:val="008A6279"/>
    <w:rsid w:val="008A644D"/>
    <w:rsid w:val="008A6618"/>
    <w:rsid w:val="008A6728"/>
    <w:rsid w:val="008A6CF7"/>
    <w:rsid w:val="008A7687"/>
    <w:rsid w:val="008B0633"/>
    <w:rsid w:val="008B06F9"/>
    <w:rsid w:val="008B0819"/>
    <w:rsid w:val="008B0E0F"/>
    <w:rsid w:val="008B0FD1"/>
    <w:rsid w:val="008B13FF"/>
    <w:rsid w:val="008B1513"/>
    <w:rsid w:val="008B1598"/>
    <w:rsid w:val="008B1D56"/>
    <w:rsid w:val="008B2387"/>
    <w:rsid w:val="008B2BC0"/>
    <w:rsid w:val="008B2E14"/>
    <w:rsid w:val="008B3005"/>
    <w:rsid w:val="008B33ED"/>
    <w:rsid w:val="008B3A3D"/>
    <w:rsid w:val="008B3A88"/>
    <w:rsid w:val="008B3B20"/>
    <w:rsid w:val="008B3B67"/>
    <w:rsid w:val="008B3BF3"/>
    <w:rsid w:val="008B3DCF"/>
    <w:rsid w:val="008B3E02"/>
    <w:rsid w:val="008B4120"/>
    <w:rsid w:val="008B42E3"/>
    <w:rsid w:val="008B4748"/>
    <w:rsid w:val="008B485D"/>
    <w:rsid w:val="008B4985"/>
    <w:rsid w:val="008B4BFC"/>
    <w:rsid w:val="008B4DE7"/>
    <w:rsid w:val="008B4DF1"/>
    <w:rsid w:val="008B51B4"/>
    <w:rsid w:val="008B5717"/>
    <w:rsid w:val="008B577B"/>
    <w:rsid w:val="008B58D7"/>
    <w:rsid w:val="008B5B67"/>
    <w:rsid w:val="008B5C98"/>
    <w:rsid w:val="008B5D7A"/>
    <w:rsid w:val="008B6611"/>
    <w:rsid w:val="008B66E3"/>
    <w:rsid w:val="008B71F8"/>
    <w:rsid w:val="008B7241"/>
    <w:rsid w:val="008B7848"/>
    <w:rsid w:val="008B7D2C"/>
    <w:rsid w:val="008B7F39"/>
    <w:rsid w:val="008B7FDA"/>
    <w:rsid w:val="008C018F"/>
    <w:rsid w:val="008C0491"/>
    <w:rsid w:val="008C0B76"/>
    <w:rsid w:val="008C0BBB"/>
    <w:rsid w:val="008C12F7"/>
    <w:rsid w:val="008C168F"/>
    <w:rsid w:val="008C196A"/>
    <w:rsid w:val="008C1CC8"/>
    <w:rsid w:val="008C1D4A"/>
    <w:rsid w:val="008C1E05"/>
    <w:rsid w:val="008C208B"/>
    <w:rsid w:val="008C22FD"/>
    <w:rsid w:val="008C2398"/>
    <w:rsid w:val="008C270D"/>
    <w:rsid w:val="008C277B"/>
    <w:rsid w:val="008C2941"/>
    <w:rsid w:val="008C29E0"/>
    <w:rsid w:val="008C2A40"/>
    <w:rsid w:val="008C311B"/>
    <w:rsid w:val="008C3165"/>
    <w:rsid w:val="008C32A5"/>
    <w:rsid w:val="008C34BB"/>
    <w:rsid w:val="008C3A6D"/>
    <w:rsid w:val="008C45E2"/>
    <w:rsid w:val="008C463D"/>
    <w:rsid w:val="008C4B82"/>
    <w:rsid w:val="008C4C58"/>
    <w:rsid w:val="008C4DB2"/>
    <w:rsid w:val="008C5590"/>
    <w:rsid w:val="008C562D"/>
    <w:rsid w:val="008C5BFD"/>
    <w:rsid w:val="008C5EC1"/>
    <w:rsid w:val="008C6069"/>
    <w:rsid w:val="008C62E1"/>
    <w:rsid w:val="008C6C9D"/>
    <w:rsid w:val="008C6FAF"/>
    <w:rsid w:val="008C7037"/>
    <w:rsid w:val="008C7203"/>
    <w:rsid w:val="008C77DF"/>
    <w:rsid w:val="008C7948"/>
    <w:rsid w:val="008C7C17"/>
    <w:rsid w:val="008D06E6"/>
    <w:rsid w:val="008D0713"/>
    <w:rsid w:val="008D10F6"/>
    <w:rsid w:val="008D1826"/>
    <w:rsid w:val="008D1885"/>
    <w:rsid w:val="008D1A2E"/>
    <w:rsid w:val="008D1F68"/>
    <w:rsid w:val="008D2C38"/>
    <w:rsid w:val="008D2D3D"/>
    <w:rsid w:val="008D2E1B"/>
    <w:rsid w:val="008D2FC0"/>
    <w:rsid w:val="008D3283"/>
    <w:rsid w:val="008D3726"/>
    <w:rsid w:val="008D3879"/>
    <w:rsid w:val="008D4795"/>
    <w:rsid w:val="008D4842"/>
    <w:rsid w:val="008D4CB0"/>
    <w:rsid w:val="008D4D4D"/>
    <w:rsid w:val="008D4DF5"/>
    <w:rsid w:val="008D5048"/>
    <w:rsid w:val="008D518C"/>
    <w:rsid w:val="008D6285"/>
    <w:rsid w:val="008D6397"/>
    <w:rsid w:val="008D6505"/>
    <w:rsid w:val="008D669E"/>
    <w:rsid w:val="008D6FA9"/>
    <w:rsid w:val="008D7036"/>
    <w:rsid w:val="008D71B9"/>
    <w:rsid w:val="008D7346"/>
    <w:rsid w:val="008D737C"/>
    <w:rsid w:val="008D73C9"/>
    <w:rsid w:val="008D74C2"/>
    <w:rsid w:val="008D775A"/>
    <w:rsid w:val="008D78D5"/>
    <w:rsid w:val="008D7938"/>
    <w:rsid w:val="008D7E4B"/>
    <w:rsid w:val="008E013C"/>
    <w:rsid w:val="008E02EF"/>
    <w:rsid w:val="008E053C"/>
    <w:rsid w:val="008E07A2"/>
    <w:rsid w:val="008E0861"/>
    <w:rsid w:val="008E0944"/>
    <w:rsid w:val="008E0B74"/>
    <w:rsid w:val="008E0C97"/>
    <w:rsid w:val="008E11E9"/>
    <w:rsid w:val="008E1275"/>
    <w:rsid w:val="008E135A"/>
    <w:rsid w:val="008E15BA"/>
    <w:rsid w:val="008E16BE"/>
    <w:rsid w:val="008E16BF"/>
    <w:rsid w:val="008E1C47"/>
    <w:rsid w:val="008E1E30"/>
    <w:rsid w:val="008E2204"/>
    <w:rsid w:val="008E26F2"/>
    <w:rsid w:val="008E2782"/>
    <w:rsid w:val="008E2819"/>
    <w:rsid w:val="008E285C"/>
    <w:rsid w:val="008E3049"/>
    <w:rsid w:val="008E3132"/>
    <w:rsid w:val="008E354E"/>
    <w:rsid w:val="008E35A3"/>
    <w:rsid w:val="008E3846"/>
    <w:rsid w:val="008E3917"/>
    <w:rsid w:val="008E3DCE"/>
    <w:rsid w:val="008E40D5"/>
    <w:rsid w:val="008E4A46"/>
    <w:rsid w:val="008E4DCD"/>
    <w:rsid w:val="008E4DDA"/>
    <w:rsid w:val="008E5C3C"/>
    <w:rsid w:val="008E5DF9"/>
    <w:rsid w:val="008E6F5D"/>
    <w:rsid w:val="008E71C7"/>
    <w:rsid w:val="008E7274"/>
    <w:rsid w:val="008E77F5"/>
    <w:rsid w:val="008E7A1C"/>
    <w:rsid w:val="008E7A91"/>
    <w:rsid w:val="008E7C5C"/>
    <w:rsid w:val="008E7E7A"/>
    <w:rsid w:val="008F0096"/>
    <w:rsid w:val="008F03AB"/>
    <w:rsid w:val="008F0562"/>
    <w:rsid w:val="008F05EF"/>
    <w:rsid w:val="008F06A3"/>
    <w:rsid w:val="008F0FBA"/>
    <w:rsid w:val="008F1106"/>
    <w:rsid w:val="008F11C9"/>
    <w:rsid w:val="008F11E4"/>
    <w:rsid w:val="008F1592"/>
    <w:rsid w:val="008F175F"/>
    <w:rsid w:val="008F1DBE"/>
    <w:rsid w:val="008F260B"/>
    <w:rsid w:val="008F2734"/>
    <w:rsid w:val="008F32AE"/>
    <w:rsid w:val="008F3BAD"/>
    <w:rsid w:val="008F3E1D"/>
    <w:rsid w:val="008F3F7A"/>
    <w:rsid w:val="008F44DB"/>
    <w:rsid w:val="008F4A5A"/>
    <w:rsid w:val="008F4AFB"/>
    <w:rsid w:val="008F4C18"/>
    <w:rsid w:val="008F533B"/>
    <w:rsid w:val="008F544A"/>
    <w:rsid w:val="008F5483"/>
    <w:rsid w:val="008F54C3"/>
    <w:rsid w:val="008F54CD"/>
    <w:rsid w:val="008F5531"/>
    <w:rsid w:val="008F5778"/>
    <w:rsid w:val="008F589D"/>
    <w:rsid w:val="008F5D91"/>
    <w:rsid w:val="008F61B9"/>
    <w:rsid w:val="008F6371"/>
    <w:rsid w:val="008F66B9"/>
    <w:rsid w:val="008F6976"/>
    <w:rsid w:val="008F69C9"/>
    <w:rsid w:val="008F6AB1"/>
    <w:rsid w:val="008F6D09"/>
    <w:rsid w:val="008F6DF0"/>
    <w:rsid w:val="008F70DD"/>
    <w:rsid w:val="008F751B"/>
    <w:rsid w:val="008F7538"/>
    <w:rsid w:val="008F78E1"/>
    <w:rsid w:val="008F7B18"/>
    <w:rsid w:val="0090070D"/>
    <w:rsid w:val="0090089D"/>
    <w:rsid w:val="0090092C"/>
    <w:rsid w:val="00900DE2"/>
    <w:rsid w:val="0090168C"/>
    <w:rsid w:val="009016DA"/>
    <w:rsid w:val="00901742"/>
    <w:rsid w:val="00901A19"/>
    <w:rsid w:val="00901B05"/>
    <w:rsid w:val="00901CEC"/>
    <w:rsid w:val="00901D33"/>
    <w:rsid w:val="0090269F"/>
    <w:rsid w:val="00902C38"/>
    <w:rsid w:val="00902FBD"/>
    <w:rsid w:val="009033A0"/>
    <w:rsid w:val="00903818"/>
    <w:rsid w:val="00903EFA"/>
    <w:rsid w:val="00903F1D"/>
    <w:rsid w:val="00903FE0"/>
    <w:rsid w:val="00904099"/>
    <w:rsid w:val="009041AC"/>
    <w:rsid w:val="0090423A"/>
    <w:rsid w:val="00904403"/>
    <w:rsid w:val="009049D9"/>
    <w:rsid w:val="009050C3"/>
    <w:rsid w:val="00905FF5"/>
    <w:rsid w:val="00906152"/>
    <w:rsid w:val="00906248"/>
    <w:rsid w:val="009063E8"/>
    <w:rsid w:val="00906539"/>
    <w:rsid w:val="00906779"/>
    <w:rsid w:val="009067DA"/>
    <w:rsid w:val="0090681C"/>
    <w:rsid w:val="00906821"/>
    <w:rsid w:val="00906B22"/>
    <w:rsid w:val="00906E65"/>
    <w:rsid w:val="00907058"/>
    <w:rsid w:val="009070FA"/>
    <w:rsid w:val="00907A68"/>
    <w:rsid w:val="00910361"/>
    <w:rsid w:val="009112E0"/>
    <w:rsid w:val="00911384"/>
    <w:rsid w:val="0091181B"/>
    <w:rsid w:val="00911CAE"/>
    <w:rsid w:val="00912449"/>
    <w:rsid w:val="00912712"/>
    <w:rsid w:val="00912796"/>
    <w:rsid w:val="00912CC1"/>
    <w:rsid w:val="00912DB5"/>
    <w:rsid w:val="00913933"/>
    <w:rsid w:val="009139FB"/>
    <w:rsid w:val="00913AC5"/>
    <w:rsid w:val="00913D90"/>
    <w:rsid w:val="00913EA3"/>
    <w:rsid w:val="0091410B"/>
    <w:rsid w:val="00914134"/>
    <w:rsid w:val="009144CB"/>
    <w:rsid w:val="009144D5"/>
    <w:rsid w:val="00914583"/>
    <w:rsid w:val="00914810"/>
    <w:rsid w:val="00915247"/>
    <w:rsid w:val="009154C3"/>
    <w:rsid w:val="00915618"/>
    <w:rsid w:val="00915D29"/>
    <w:rsid w:val="00915E0E"/>
    <w:rsid w:val="00915E91"/>
    <w:rsid w:val="00915F98"/>
    <w:rsid w:val="00915FA3"/>
    <w:rsid w:val="00915FF6"/>
    <w:rsid w:val="0091619C"/>
    <w:rsid w:val="009162C1"/>
    <w:rsid w:val="00916AE2"/>
    <w:rsid w:val="00917042"/>
    <w:rsid w:val="00917478"/>
    <w:rsid w:val="009177BE"/>
    <w:rsid w:val="00917E1E"/>
    <w:rsid w:val="00917EAB"/>
    <w:rsid w:val="0092025C"/>
    <w:rsid w:val="0092038D"/>
    <w:rsid w:val="0092059F"/>
    <w:rsid w:val="0092067B"/>
    <w:rsid w:val="00920926"/>
    <w:rsid w:val="00920A3F"/>
    <w:rsid w:val="00920D5F"/>
    <w:rsid w:val="00920E2D"/>
    <w:rsid w:val="009214BE"/>
    <w:rsid w:val="009215C1"/>
    <w:rsid w:val="009216DF"/>
    <w:rsid w:val="009217F8"/>
    <w:rsid w:val="00921960"/>
    <w:rsid w:val="00922F2F"/>
    <w:rsid w:val="00923A5E"/>
    <w:rsid w:val="00923B53"/>
    <w:rsid w:val="00923D6C"/>
    <w:rsid w:val="00923F9B"/>
    <w:rsid w:val="00924424"/>
    <w:rsid w:val="00924599"/>
    <w:rsid w:val="009246E2"/>
    <w:rsid w:val="0092470E"/>
    <w:rsid w:val="00924DE3"/>
    <w:rsid w:val="00925015"/>
    <w:rsid w:val="00925187"/>
    <w:rsid w:val="00925478"/>
    <w:rsid w:val="0092564A"/>
    <w:rsid w:val="009256D6"/>
    <w:rsid w:val="00925B23"/>
    <w:rsid w:val="00925CFD"/>
    <w:rsid w:val="00925FE1"/>
    <w:rsid w:val="00926306"/>
    <w:rsid w:val="00926753"/>
    <w:rsid w:val="00926A27"/>
    <w:rsid w:val="00926B42"/>
    <w:rsid w:val="00926C74"/>
    <w:rsid w:val="00926F9F"/>
    <w:rsid w:val="0092709C"/>
    <w:rsid w:val="0092717F"/>
    <w:rsid w:val="0092718E"/>
    <w:rsid w:val="00927485"/>
    <w:rsid w:val="00927744"/>
    <w:rsid w:val="00927B05"/>
    <w:rsid w:val="00927D19"/>
    <w:rsid w:val="00930079"/>
    <w:rsid w:val="00930B52"/>
    <w:rsid w:val="00930F4E"/>
    <w:rsid w:val="009313EB"/>
    <w:rsid w:val="0093199F"/>
    <w:rsid w:val="00931EAC"/>
    <w:rsid w:val="009322DD"/>
    <w:rsid w:val="009326A2"/>
    <w:rsid w:val="00932907"/>
    <w:rsid w:val="00932AF6"/>
    <w:rsid w:val="00932D29"/>
    <w:rsid w:val="009335EF"/>
    <w:rsid w:val="009337B0"/>
    <w:rsid w:val="00933D89"/>
    <w:rsid w:val="00934050"/>
    <w:rsid w:val="0093408C"/>
    <w:rsid w:val="009343C1"/>
    <w:rsid w:val="0093449E"/>
    <w:rsid w:val="00934948"/>
    <w:rsid w:val="00934C1D"/>
    <w:rsid w:val="00934C8B"/>
    <w:rsid w:val="0093509E"/>
    <w:rsid w:val="00935969"/>
    <w:rsid w:val="00935A16"/>
    <w:rsid w:val="00935C7E"/>
    <w:rsid w:val="00935EE8"/>
    <w:rsid w:val="00936062"/>
    <w:rsid w:val="009360EE"/>
    <w:rsid w:val="009362A7"/>
    <w:rsid w:val="0093734D"/>
    <w:rsid w:val="00937374"/>
    <w:rsid w:val="009373C5"/>
    <w:rsid w:val="00937412"/>
    <w:rsid w:val="00937920"/>
    <w:rsid w:val="009379AF"/>
    <w:rsid w:val="00937CBE"/>
    <w:rsid w:val="00940296"/>
    <w:rsid w:val="009402EC"/>
    <w:rsid w:val="009404F5"/>
    <w:rsid w:val="00940B43"/>
    <w:rsid w:val="009410C9"/>
    <w:rsid w:val="009415C3"/>
    <w:rsid w:val="00942297"/>
    <w:rsid w:val="00942421"/>
    <w:rsid w:val="0094265E"/>
    <w:rsid w:val="00942B90"/>
    <w:rsid w:val="00942D26"/>
    <w:rsid w:val="00942FFA"/>
    <w:rsid w:val="00943D2E"/>
    <w:rsid w:val="00944087"/>
    <w:rsid w:val="009442BD"/>
    <w:rsid w:val="0094444C"/>
    <w:rsid w:val="00944876"/>
    <w:rsid w:val="00944E74"/>
    <w:rsid w:val="0094511E"/>
    <w:rsid w:val="0094545F"/>
    <w:rsid w:val="00945476"/>
    <w:rsid w:val="0094594E"/>
    <w:rsid w:val="00945AAA"/>
    <w:rsid w:val="00945E06"/>
    <w:rsid w:val="00946016"/>
    <w:rsid w:val="009470A1"/>
    <w:rsid w:val="009474A1"/>
    <w:rsid w:val="00947833"/>
    <w:rsid w:val="00947AB3"/>
    <w:rsid w:val="00947AD4"/>
    <w:rsid w:val="0095012E"/>
    <w:rsid w:val="0095044F"/>
    <w:rsid w:val="009506BA"/>
    <w:rsid w:val="009511FA"/>
    <w:rsid w:val="0095183E"/>
    <w:rsid w:val="00951934"/>
    <w:rsid w:val="0095194B"/>
    <w:rsid w:val="00951A02"/>
    <w:rsid w:val="00951D97"/>
    <w:rsid w:val="0095201C"/>
    <w:rsid w:val="0095207B"/>
    <w:rsid w:val="009528DA"/>
    <w:rsid w:val="00952A02"/>
    <w:rsid w:val="00952B97"/>
    <w:rsid w:val="00952C84"/>
    <w:rsid w:val="00952E1C"/>
    <w:rsid w:val="00953BB9"/>
    <w:rsid w:val="00953C27"/>
    <w:rsid w:val="00953FAA"/>
    <w:rsid w:val="00953FF3"/>
    <w:rsid w:val="009545D8"/>
    <w:rsid w:val="009548B4"/>
    <w:rsid w:val="00954C8C"/>
    <w:rsid w:val="009555B1"/>
    <w:rsid w:val="009555FD"/>
    <w:rsid w:val="00955791"/>
    <w:rsid w:val="009557B0"/>
    <w:rsid w:val="00955FBC"/>
    <w:rsid w:val="00956464"/>
    <w:rsid w:val="00956965"/>
    <w:rsid w:val="00956ACE"/>
    <w:rsid w:val="00956E71"/>
    <w:rsid w:val="00956E9E"/>
    <w:rsid w:val="00956FC6"/>
    <w:rsid w:val="009571D6"/>
    <w:rsid w:val="009572A0"/>
    <w:rsid w:val="00957518"/>
    <w:rsid w:val="009577EC"/>
    <w:rsid w:val="00957D24"/>
    <w:rsid w:val="009600F4"/>
    <w:rsid w:val="009607C2"/>
    <w:rsid w:val="00960DA3"/>
    <w:rsid w:val="00960DCF"/>
    <w:rsid w:val="00960F71"/>
    <w:rsid w:val="00961B53"/>
    <w:rsid w:val="00961CE1"/>
    <w:rsid w:val="00961DFE"/>
    <w:rsid w:val="009624CA"/>
    <w:rsid w:val="009625FA"/>
    <w:rsid w:val="00962634"/>
    <w:rsid w:val="009629B2"/>
    <w:rsid w:val="00962A0F"/>
    <w:rsid w:val="00962B44"/>
    <w:rsid w:val="0096306C"/>
    <w:rsid w:val="00963264"/>
    <w:rsid w:val="009632CF"/>
    <w:rsid w:val="009636F8"/>
    <w:rsid w:val="00963725"/>
    <w:rsid w:val="00963887"/>
    <w:rsid w:val="0096389D"/>
    <w:rsid w:val="00963A74"/>
    <w:rsid w:val="00963AA8"/>
    <w:rsid w:val="00963E7F"/>
    <w:rsid w:val="00965918"/>
    <w:rsid w:val="00965D7F"/>
    <w:rsid w:val="0096601A"/>
    <w:rsid w:val="009669F0"/>
    <w:rsid w:val="00966B06"/>
    <w:rsid w:val="00966DC2"/>
    <w:rsid w:val="00966ED7"/>
    <w:rsid w:val="00967014"/>
    <w:rsid w:val="00967437"/>
    <w:rsid w:val="009676C0"/>
    <w:rsid w:val="009676C5"/>
    <w:rsid w:val="0096795C"/>
    <w:rsid w:val="00967994"/>
    <w:rsid w:val="00967F0C"/>
    <w:rsid w:val="00970284"/>
    <w:rsid w:val="009709AB"/>
    <w:rsid w:val="00970F1B"/>
    <w:rsid w:val="009712A4"/>
    <w:rsid w:val="00971548"/>
    <w:rsid w:val="009715B8"/>
    <w:rsid w:val="00971807"/>
    <w:rsid w:val="00971E40"/>
    <w:rsid w:val="00972096"/>
    <w:rsid w:val="0097275A"/>
    <w:rsid w:val="00972C6A"/>
    <w:rsid w:val="00972CDC"/>
    <w:rsid w:val="00972D4A"/>
    <w:rsid w:val="00972F04"/>
    <w:rsid w:val="00973066"/>
    <w:rsid w:val="0097378E"/>
    <w:rsid w:val="0097381C"/>
    <w:rsid w:val="009738EA"/>
    <w:rsid w:val="00973B57"/>
    <w:rsid w:val="00973F57"/>
    <w:rsid w:val="00973FA9"/>
    <w:rsid w:val="00974176"/>
    <w:rsid w:val="0097459B"/>
    <w:rsid w:val="0097464A"/>
    <w:rsid w:val="00974D34"/>
    <w:rsid w:val="00974FAC"/>
    <w:rsid w:val="00975114"/>
    <w:rsid w:val="0097550D"/>
    <w:rsid w:val="00975633"/>
    <w:rsid w:val="00975C3F"/>
    <w:rsid w:val="00975E2F"/>
    <w:rsid w:val="00975EDF"/>
    <w:rsid w:val="00976A48"/>
    <w:rsid w:val="00976CA0"/>
    <w:rsid w:val="00976D9B"/>
    <w:rsid w:val="00977782"/>
    <w:rsid w:val="00977AF5"/>
    <w:rsid w:val="00977BDC"/>
    <w:rsid w:val="00977CF3"/>
    <w:rsid w:val="009803A9"/>
    <w:rsid w:val="009803CB"/>
    <w:rsid w:val="009803D4"/>
    <w:rsid w:val="0098068F"/>
    <w:rsid w:val="009807A2"/>
    <w:rsid w:val="00980A98"/>
    <w:rsid w:val="00980D22"/>
    <w:rsid w:val="009815CA"/>
    <w:rsid w:val="0098199C"/>
    <w:rsid w:val="009819CC"/>
    <w:rsid w:val="00981A4C"/>
    <w:rsid w:val="00981D11"/>
    <w:rsid w:val="00981D2C"/>
    <w:rsid w:val="00981E7A"/>
    <w:rsid w:val="00981EEC"/>
    <w:rsid w:val="00981F69"/>
    <w:rsid w:val="00982409"/>
    <w:rsid w:val="0098244E"/>
    <w:rsid w:val="009826B0"/>
    <w:rsid w:val="009826F9"/>
    <w:rsid w:val="00983280"/>
    <w:rsid w:val="00983500"/>
    <w:rsid w:val="0098358E"/>
    <w:rsid w:val="00983AA6"/>
    <w:rsid w:val="00983B4D"/>
    <w:rsid w:val="00983CCD"/>
    <w:rsid w:val="009840C5"/>
    <w:rsid w:val="00984137"/>
    <w:rsid w:val="009842AA"/>
    <w:rsid w:val="00984308"/>
    <w:rsid w:val="009843AA"/>
    <w:rsid w:val="00984862"/>
    <w:rsid w:val="00984A28"/>
    <w:rsid w:val="00984AFE"/>
    <w:rsid w:val="009851FA"/>
    <w:rsid w:val="00985CAC"/>
    <w:rsid w:val="00985E68"/>
    <w:rsid w:val="009866A8"/>
    <w:rsid w:val="009866ED"/>
    <w:rsid w:val="00986F9A"/>
    <w:rsid w:val="00986FA3"/>
    <w:rsid w:val="00986FAD"/>
    <w:rsid w:val="009873F3"/>
    <w:rsid w:val="009874AB"/>
    <w:rsid w:val="0098753B"/>
    <w:rsid w:val="0098772F"/>
    <w:rsid w:val="00987947"/>
    <w:rsid w:val="00987BB4"/>
    <w:rsid w:val="00987DE0"/>
    <w:rsid w:val="009907C5"/>
    <w:rsid w:val="00990B5C"/>
    <w:rsid w:val="00990BD2"/>
    <w:rsid w:val="00991402"/>
    <w:rsid w:val="00991AD9"/>
    <w:rsid w:val="00991B2F"/>
    <w:rsid w:val="00991F50"/>
    <w:rsid w:val="009921EA"/>
    <w:rsid w:val="009922CE"/>
    <w:rsid w:val="00992554"/>
    <w:rsid w:val="00992C9B"/>
    <w:rsid w:val="00992CBF"/>
    <w:rsid w:val="00992CEB"/>
    <w:rsid w:val="00992FC1"/>
    <w:rsid w:val="00993082"/>
    <w:rsid w:val="009932AD"/>
    <w:rsid w:val="00993E8C"/>
    <w:rsid w:val="00994503"/>
    <w:rsid w:val="0099467B"/>
    <w:rsid w:val="00994B96"/>
    <w:rsid w:val="009952C3"/>
    <w:rsid w:val="00995356"/>
    <w:rsid w:val="009954CB"/>
    <w:rsid w:val="009957CF"/>
    <w:rsid w:val="0099582E"/>
    <w:rsid w:val="009958B9"/>
    <w:rsid w:val="00995C7A"/>
    <w:rsid w:val="00995E98"/>
    <w:rsid w:val="00996464"/>
    <w:rsid w:val="009968DF"/>
    <w:rsid w:val="00996B76"/>
    <w:rsid w:val="00996D83"/>
    <w:rsid w:val="00996E72"/>
    <w:rsid w:val="00996F15"/>
    <w:rsid w:val="00997053"/>
    <w:rsid w:val="009973D2"/>
    <w:rsid w:val="009974D3"/>
    <w:rsid w:val="009974F5"/>
    <w:rsid w:val="009977F6"/>
    <w:rsid w:val="00997BA8"/>
    <w:rsid w:val="00997CF2"/>
    <w:rsid w:val="009A0296"/>
    <w:rsid w:val="009A06F4"/>
    <w:rsid w:val="009A0A8B"/>
    <w:rsid w:val="009A1311"/>
    <w:rsid w:val="009A161D"/>
    <w:rsid w:val="009A1684"/>
    <w:rsid w:val="009A1E6B"/>
    <w:rsid w:val="009A1F18"/>
    <w:rsid w:val="009A2505"/>
    <w:rsid w:val="009A26E2"/>
    <w:rsid w:val="009A2E6E"/>
    <w:rsid w:val="009A3111"/>
    <w:rsid w:val="009A3139"/>
    <w:rsid w:val="009A3778"/>
    <w:rsid w:val="009A3E2E"/>
    <w:rsid w:val="009A4310"/>
    <w:rsid w:val="009A4C78"/>
    <w:rsid w:val="009A4D51"/>
    <w:rsid w:val="009A51A4"/>
    <w:rsid w:val="009A6861"/>
    <w:rsid w:val="009A6864"/>
    <w:rsid w:val="009A6B3A"/>
    <w:rsid w:val="009A6DCE"/>
    <w:rsid w:val="009A7093"/>
    <w:rsid w:val="009A70FA"/>
    <w:rsid w:val="009A719A"/>
    <w:rsid w:val="009A71B3"/>
    <w:rsid w:val="009A7289"/>
    <w:rsid w:val="009A7450"/>
    <w:rsid w:val="009A7505"/>
    <w:rsid w:val="009A75CE"/>
    <w:rsid w:val="009A794C"/>
    <w:rsid w:val="009A7E06"/>
    <w:rsid w:val="009A7F34"/>
    <w:rsid w:val="009B0736"/>
    <w:rsid w:val="009B0DF6"/>
    <w:rsid w:val="009B0FB1"/>
    <w:rsid w:val="009B1122"/>
    <w:rsid w:val="009B1C4F"/>
    <w:rsid w:val="009B1ED3"/>
    <w:rsid w:val="009B2245"/>
    <w:rsid w:val="009B242D"/>
    <w:rsid w:val="009B258E"/>
    <w:rsid w:val="009B28F0"/>
    <w:rsid w:val="009B2A0B"/>
    <w:rsid w:val="009B2AAC"/>
    <w:rsid w:val="009B3070"/>
    <w:rsid w:val="009B3075"/>
    <w:rsid w:val="009B309E"/>
    <w:rsid w:val="009B30A8"/>
    <w:rsid w:val="009B349B"/>
    <w:rsid w:val="009B380E"/>
    <w:rsid w:val="009B39C1"/>
    <w:rsid w:val="009B3A56"/>
    <w:rsid w:val="009B3D7B"/>
    <w:rsid w:val="009B3F97"/>
    <w:rsid w:val="009B4123"/>
    <w:rsid w:val="009B44EF"/>
    <w:rsid w:val="009B4860"/>
    <w:rsid w:val="009B51E9"/>
    <w:rsid w:val="009B591E"/>
    <w:rsid w:val="009B5997"/>
    <w:rsid w:val="009B5E92"/>
    <w:rsid w:val="009B67AD"/>
    <w:rsid w:val="009B68B8"/>
    <w:rsid w:val="009B696D"/>
    <w:rsid w:val="009B6B23"/>
    <w:rsid w:val="009B6B64"/>
    <w:rsid w:val="009B6E22"/>
    <w:rsid w:val="009B6E5D"/>
    <w:rsid w:val="009B76C8"/>
    <w:rsid w:val="009B7ABD"/>
    <w:rsid w:val="009B7C33"/>
    <w:rsid w:val="009C0AF1"/>
    <w:rsid w:val="009C0D53"/>
    <w:rsid w:val="009C0E0B"/>
    <w:rsid w:val="009C11EE"/>
    <w:rsid w:val="009C183F"/>
    <w:rsid w:val="009C1B16"/>
    <w:rsid w:val="009C1B3A"/>
    <w:rsid w:val="009C1D27"/>
    <w:rsid w:val="009C20A1"/>
    <w:rsid w:val="009C22B3"/>
    <w:rsid w:val="009C22D6"/>
    <w:rsid w:val="009C2429"/>
    <w:rsid w:val="009C24B0"/>
    <w:rsid w:val="009C24EB"/>
    <w:rsid w:val="009C2656"/>
    <w:rsid w:val="009C2A73"/>
    <w:rsid w:val="009C2C04"/>
    <w:rsid w:val="009C31D9"/>
    <w:rsid w:val="009C3225"/>
    <w:rsid w:val="009C3BD9"/>
    <w:rsid w:val="009C3CC8"/>
    <w:rsid w:val="009C3DDC"/>
    <w:rsid w:val="009C403B"/>
    <w:rsid w:val="009C416D"/>
    <w:rsid w:val="009C4296"/>
    <w:rsid w:val="009C4801"/>
    <w:rsid w:val="009C4879"/>
    <w:rsid w:val="009C4D11"/>
    <w:rsid w:val="009C53C8"/>
    <w:rsid w:val="009C543A"/>
    <w:rsid w:val="009C57C4"/>
    <w:rsid w:val="009C5856"/>
    <w:rsid w:val="009C5B82"/>
    <w:rsid w:val="009C5BE4"/>
    <w:rsid w:val="009C5DB0"/>
    <w:rsid w:val="009C61E5"/>
    <w:rsid w:val="009C64FF"/>
    <w:rsid w:val="009C6685"/>
    <w:rsid w:val="009C6950"/>
    <w:rsid w:val="009C6B04"/>
    <w:rsid w:val="009C6BEC"/>
    <w:rsid w:val="009C6FE2"/>
    <w:rsid w:val="009C707F"/>
    <w:rsid w:val="009C72FF"/>
    <w:rsid w:val="009C74CF"/>
    <w:rsid w:val="009C756D"/>
    <w:rsid w:val="009C756E"/>
    <w:rsid w:val="009C78BB"/>
    <w:rsid w:val="009C7A39"/>
    <w:rsid w:val="009C7EE5"/>
    <w:rsid w:val="009D0285"/>
    <w:rsid w:val="009D0591"/>
    <w:rsid w:val="009D0936"/>
    <w:rsid w:val="009D0E37"/>
    <w:rsid w:val="009D1006"/>
    <w:rsid w:val="009D1979"/>
    <w:rsid w:val="009D1A67"/>
    <w:rsid w:val="009D2130"/>
    <w:rsid w:val="009D21BE"/>
    <w:rsid w:val="009D26B2"/>
    <w:rsid w:val="009D29B2"/>
    <w:rsid w:val="009D330C"/>
    <w:rsid w:val="009D35DA"/>
    <w:rsid w:val="009D380A"/>
    <w:rsid w:val="009D3824"/>
    <w:rsid w:val="009D38CD"/>
    <w:rsid w:val="009D3B0F"/>
    <w:rsid w:val="009D3C3D"/>
    <w:rsid w:val="009D3E92"/>
    <w:rsid w:val="009D3F96"/>
    <w:rsid w:val="009D471F"/>
    <w:rsid w:val="009D4C82"/>
    <w:rsid w:val="009D4CCF"/>
    <w:rsid w:val="009D505A"/>
    <w:rsid w:val="009D5288"/>
    <w:rsid w:val="009D5557"/>
    <w:rsid w:val="009D6335"/>
    <w:rsid w:val="009D6AD2"/>
    <w:rsid w:val="009D728F"/>
    <w:rsid w:val="009D767B"/>
    <w:rsid w:val="009D7E1B"/>
    <w:rsid w:val="009E009E"/>
    <w:rsid w:val="009E036C"/>
    <w:rsid w:val="009E0550"/>
    <w:rsid w:val="009E06C4"/>
    <w:rsid w:val="009E0747"/>
    <w:rsid w:val="009E0C7D"/>
    <w:rsid w:val="009E0D21"/>
    <w:rsid w:val="009E11A0"/>
    <w:rsid w:val="009E194A"/>
    <w:rsid w:val="009E1965"/>
    <w:rsid w:val="009E1DA3"/>
    <w:rsid w:val="009E1F08"/>
    <w:rsid w:val="009E22AD"/>
    <w:rsid w:val="009E26E9"/>
    <w:rsid w:val="009E28ED"/>
    <w:rsid w:val="009E29A1"/>
    <w:rsid w:val="009E2AD3"/>
    <w:rsid w:val="009E2C11"/>
    <w:rsid w:val="009E2C37"/>
    <w:rsid w:val="009E2F9F"/>
    <w:rsid w:val="009E314E"/>
    <w:rsid w:val="009E3A08"/>
    <w:rsid w:val="009E3B0E"/>
    <w:rsid w:val="009E3E91"/>
    <w:rsid w:val="009E40FD"/>
    <w:rsid w:val="009E4453"/>
    <w:rsid w:val="009E47E5"/>
    <w:rsid w:val="009E48BE"/>
    <w:rsid w:val="009E4B85"/>
    <w:rsid w:val="009E50B4"/>
    <w:rsid w:val="009E50F3"/>
    <w:rsid w:val="009E514A"/>
    <w:rsid w:val="009E565B"/>
    <w:rsid w:val="009E56A1"/>
    <w:rsid w:val="009E6289"/>
    <w:rsid w:val="009E6455"/>
    <w:rsid w:val="009E6606"/>
    <w:rsid w:val="009E78EF"/>
    <w:rsid w:val="009E7C76"/>
    <w:rsid w:val="009F0139"/>
    <w:rsid w:val="009F0272"/>
    <w:rsid w:val="009F0955"/>
    <w:rsid w:val="009F0AD2"/>
    <w:rsid w:val="009F0FA3"/>
    <w:rsid w:val="009F104A"/>
    <w:rsid w:val="009F12A5"/>
    <w:rsid w:val="009F146F"/>
    <w:rsid w:val="009F17FA"/>
    <w:rsid w:val="009F1885"/>
    <w:rsid w:val="009F1924"/>
    <w:rsid w:val="009F222A"/>
    <w:rsid w:val="009F2423"/>
    <w:rsid w:val="009F264E"/>
    <w:rsid w:val="009F26A1"/>
    <w:rsid w:val="009F26D8"/>
    <w:rsid w:val="009F2882"/>
    <w:rsid w:val="009F2960"/>
    <w:rsid w:val="009F2977"/>
    <w:rsid w:val="009F2A42"/>
    <w:rsid w:val="009F2CC3"/>
    <w:rsid w:val="009F2F75"/>
    <w:rsid w:val="009F3100"/>
    <w:rsid w:val="009F3253"/>
    <w:rsid w:val="009F32DF"/>
    <w:rsid w:val="009F36E0"/>
    <w:rsid w:val="009F3B12"/>
    <w:rsid w:val="009F3C75"/>
    <w:rsid w:val="009F3CE3"/>
    <w:rsid w:val="009F3D43"/>
    <w:rsid w:val="009F41DA"/>
    <w:rsid w:val="009F43E1"/>
    <w:rsid w:val="009F440F"/>
    <w:rsid w:val="009F4646"/>
    <w:rsid w:val="009F47F3"/>
    <w:rsid w:val="009F4BC2"/>
    <w:rsid w:val="009F4D3F"/>
    <w:rsid w:val="009F56E1"/>
    <w:rsid w:val="009F571C"/>
    <w:rsid w:val="009F6068"/>
    <w:rsid w:val="009F6106"/>
    <w:rsid w:val="009F6473"/>
    <w:rsid w:val="009F6A41"/>
    <w:rsid w:val="009F725B"/>
    <w:rsid w:val="009F72B0"/>
    <w:rsid w:val="009F73A7"/>
    <w:rsid w:val="009F7665"/>
    <w:rsid w:val="009F7CF6"/>
    <w:rsid w:val="009F7D92"/>
    <w:rsid w:val="00A0016D"/>
    <w:rsid w:val="00A0037E"/>
    <w:rsid w:val="00A00406"/>
    <w:rsid w:val="00A00901"/>
    <w:rsid w:val="00A00A2E"/>
    <w:rsid w:val="00A00F37"/>
    <w:rsid w:val="00A01303"/>
    <w:rsid w:val="00A01B69"/>
    <w:rsid w:val="00A01EF4"/>
    <w:rsid w:val="00A0206D"/>
    <w:rsid w:val="00A02486"/>
    <w:rsid w:val="00A0273E"/>
    <w:rsid w:val="00A02C4F"/>
    <w:rsid w:val="00A02EB3"/>
    <w:rsid w:val="00A033C7"/>
    <w:rsid w:val="00A03713"/>
    <w:rsid w:val="00A037D0"/>
    <w:rsid w:val="00A03E2D"/>
    <w:rsid w:val="00A04887"/>
    <w:rsid w:val="00A04A09"/>
    <w:rsid w:val="00A04C37"/>
    <w:rsid w:val="00A05821"/>
    <w:rsid w:val="00A05CDC"/>
    <w:rsid w:val="00A05D1D"/>
    <w:rsid w:val="00A05EA2"/>
    <w:rsid w:val="00A05EC8"/>
    <w:rsid w:val="00A060FB"/>
    <w:rsid w:val="00A064A6"/>
    <w:rsid w:val="00A06914"/>
    <w:rsid w:val="00A06D68"/>
    <w:rsid w:val="00A06DF8"/>
    <w:rsid w:val="00A06EB2"/>
    <w:rsid w:val="00A07351"/>
    <w:rsid w:val="00A073CA"/>
    <w:rsid w:val="00A07528"/>
    <w:rsid w:val="00A076CC"/>
    <w:rsid w:val="00A07C27"/>
    <w:rsid w:val="00A07EF7"/>
    <w:rsid w:val="00A1031C"/>
    <w:rsid w:val="00A104CA"/>
    <w:rsid w:val="00A10CE4"/>
    <w:rsid w:val="00A10DF1"/>
    <w:rsid w:val="00A10FCE"/>
    <w:rsid w:val="00A11033"/>
    <w:rsid w:val="00A111F9"/>
    <w:rsid w:val="00A11568"/>
    <w:rsid w:val="00A1165C"/>
    <w:rsid w:val="00A119FA"/>
    <w:rsid w:val="00A11D26"/>
    <w:rsid w:val="00A1203E"/>
    <w:rsid w:val="00A122A3"/>
    <w:rsid w:val="00A12472"/>
    <w:rsid w:val="00A125D6"/>
    <w:rsid w:val="00A12A41"/>
    <w:rsid w:val="00A12C5E"/>
    <w:rsid w:val="00A12F55"/>
    <w:rsid w:val="00A12FB9"/>
    <w:rsid w:val="00A13037"/>
    <w:rsid w:val="00A134C3"/>
    <w:rsid w:val="00A13EC8"/>
    <w:rsid w:val="00A13F06"/>
    <w:rsid w:val="00A1409E"/>
    <w:rsid w:val="00A1461F"/>
    <w:rsid w:val="00A14896"/>
    <w:rsid w:val="00A14D8D"/>
    <w:rsid w:val="00A14E53"/>
    <w:rsid w:val="00A14F51"/>
    <w:rsid w:val="00A14FE0"/>
    <w:rsid w:val="00A15276"/>
    <w:rsid w:val="00A152D5"/>
    <w:rsid w:val="00A1552E"/>
    <w:rsid w:val="00A15580"/>
    <w:rsid w:val="00A15837"/>
    <w:rsid w:val="00A15973"/>
    <w:rsid w:val="00A15B22"/>
    <w:rsid w:val="00A16449"/>
    <w:rsid w:val="00A16946"/>
    <w:rsid w:val="00A1695C"/>
    <w:rsid w:val="00A169F3"/>
    <w:rsid w:val="00A16F1F"/>
    <w:rsid w:val="00A1702C"/>
    <w:rsid w:val="00A171FD"/>
    <w:rsid w:val="00A17349"/>
    <w:rsid w:val="00A17541"/>
    <w:rsid w:val="00A208E9"/>
    <w:rsid w:val="00A20930"/>
    <w:rsid w:val="00A21060"/>
    <w:rsid w:val="00A211AD"/>
    <w:rsid w:val="00A21479"/>
    <w:rsid w:val="00A2151B"/>
    <w:rsid w:val="00A21559"/>
    <w:rsid w:val="00A2182D"/>
    <w:rsid w:val="00A21B94"/>
    <w:rsid w:val="00A21D1F"/>
    <w:rsid w:val="00A22070"/>
    <w:rsid w:val="00A22254"/>
    <w:rsid w:val="00A22C2E"/>
    <w:rsid w:val="00A22DA7"/>
    <w:rsid w:val="00A22EDF"/>
    <w:rsid w:val="00A22EFC"/>
    <w:rsid w:val="00A23126"/>
    <w:rsid w:val="00A232A3"/>
    <w:rsid w:val="00A23820"/>
    <w:rsid w:val="00A23A10"/>
    <w:rsid w:val="00A23CFB"/>
    <w:rsid w:val="00A24E7A"/>
    <w:rsid w:val="00A26389"/>
    <w:rsid w:val="00A277A4"/>
    <w:rsid w:val="00A279B8"/>
    <w:rsid w:val="00A27D10"/>
    <w:rsid w:val="00A27F0B"/>
    <w:rsid w:val="00A303B8"/>
    <w:rsid w:val="00A309AA"/>
    <w:rsid w:val="00A30F30"/>
    <w:rsid w:val="00A30FE5"/>
    <w:rsid w:val="00A321CC"/>
    <w:rsid w:val="00A32303"/>
    <w:rsid w:val="00A323E1"/>
    <w:rsid w:val="00A323F5"/>
    <w:rsid w:val="00A32553"/>
    <w:rsid w:val="00A32562"/>
    <w:rsid w:val="00A326FF"/>
    <w:rsid w:val="00A32F4D"/>
    <w:rsid w:val="00A331E3"/>
    <w:rsid w:val="00A33206"/>
    <w:rsid w:val="00A338FC"/>
    <w:rsid w:val="00A33AD8"/>
    <w:rsid w:val="00A33BE1"/>
    <w:rsid w:val="00A33F1A"/>
    <w:rsid w:val="00A34333"/>
    <w:rsid w:val="00A34735"/>
    <w:rsid w:val="00A348E2"/>
    <w:rsid w:val="00A34C1F"/>
    <w:rsid w:val="00A34E92"/>
    <w:rsid w:val="00A3524E"/>
    <w:rsid w:val="00A3532F"/>
    <w:rsid w:val="00A35429"/>
    <w:rsid w:val="00A35D00"/>
    <w:rsid w:val="00A361C3"/>
    <w:rsid w:val="00A362A8"/>
    <w:rsid w:val="00A362EC"/>
    <w:rsid w:val="00A364B9"/>
    <w:rsid w:val="00A36A7A"/>
    <w:rsid w:val="00A36D7E"/>
    <w:rsid w:val="00A36F55"/>
    <w:rsid w:val="00A37080"/>
    <w:rsid w:val="00A3770D"/>
    <w:rsid w:val="00A37763"/>
    <w:rsid w:val="00A37C57"/>
    <w:rsid w:val="00A37D3E"/>
    <w:rsid w:val="00A37F9C"/>
    <w:rsid w:val="00A40131"/>
    <w:rsid w:val="00A40888"/>
    <w:rsid w:val="00A40E7D"/>
    <w:rsid w:val="00A41199"/>
    <w:rsid w:val="00A411FA"/>
    <w:rsid w:val="00A413F9"/>
    <w:rsid w:val="00A4168D"/>
    <w:rsid w:val="00A4180B"/>
    <w:rsid w:val="00A41D1E"/>
    <w:rsid w:val="00A41E3E"/>
    <w:rsid w:val="00A43755"/>
    <w:rsid w:val="00A43981"/>
    <w:rsid w:val="00A44010"/>
    <w:rsid w:val="00A449F9"/>
    <w:rsid w:val="00A44AD0"/>
    <w:rsid w:val="00A44BC0"/>
    <w:rsid w:val="00A44D31"/>
    <w:rsid w:val="00A44EC1"/>
    <w:rsid w:val="00A453E1"/>
    <w:rsid w:val="00A453E4"/>
    <w:rsid w:val="00A454A5"/>
    <w:rsid w:val="00A454A8"/>
    <w:rsid w:val="00A454B3"/>
    <w:rsid w:val="00A4575B"/>
    <w:rsid w:val="00A458EE"/>
    <w:rsid w:val="00A4593A"/>
    <w:rsid w:val="00A45C59"/>
    <w:rsid w:val="00A45E52"/>
    <w:rsid w:val="00A4664A"/>
    <w:rsid w:val="00A46652"/>
    <w:rsid w:val="00A467F2"/>
    <w:rsid w:val="00A46D15"/>
    <w:rsid w:val="00A46F68"/>
    <w:rsid w:val="00A46F6C"/>
    <w:rsid w:val="00A47127"/>
    <w:rsid w:val="00A4713D"/>
    <w:rsid w:val="00A47361"/>
    <w:rsid w:val="00A4749C"/>
    <w:rsid w:val="00A47A0D"/>
    <w:rsid w:val="00A47CCC"/>
    <w:rsid w:val="00A5016B"/>
    <w:rsid w:val="00A50291"/>
    <w:rsid w:val="00A50572"/>
    <w:rsid w:val="00A5182B"/>
    <w:rsid w:val="00A52251"/>
    <w:rsid w:val="00A52565"/>
    <w:rsid w:val="00A52A92"/>
    <w:rsid w:val="00A52C0F"/>
    <w:rsid w:val="00A52C5C"/>
    <w:rsid w:val="00A5323B"/>
    <w:rsid w:val="00A53305"/>
    <w:rsid w:val="00A54142"/>
    <w:rsid w:val="00A5458D"/>
    <w:rsid w:val="00A545E7"/>
    <w:rsid w:val="00A547B1"/>
    <w:rsid w:val="00A54DE1"/>
    <w:rsid w:val="00A54F95"/>
    <w:rsid w:val="00A54FB4"/>
    <w:rsid w:val="00A5540E"/>
    <w:rsid w:val="00A556A0"/>
    <w:rsid w:val="00A559A2"/>
    <w:rsid w:val="00A55DEA"/>
    <w:rsid w:val="00A55F7A"/>
    <w:rsid w:val="00A560F9"/>
    <w:rsid w:val="00A56C63"/>
    <w:rsid w:val="00A56D16"/>
    <w:rsid w:val="00A56DE0"/>
    <w:rsid w:val="00A570B5"/>
    <w:rsid w:val="00A57129"/>
    <w:rsid w:val="00A5722C"/>
    <w:rsid w:val="00A57536"/>
    <w:rsid w:val="00A576C0"/>
    <w:rsid w:val="00A57EFB"/>
    <w:rsid w:val="00A60C3D"/>
    <w:rsid w:val="00A61214"/>
    <w:rsid w:val="00A614E6"/>
    <w:rsid w:val="00A61565"/>
    <w:rsid w:val="00A61ACE"/>
    <w:rsid w:val="00A61E1E"/>
    <w:rsid w:val="00A623C8"/>
    <w:rsid w:val="00A62DC6"/>
    <w:rsid w:val="00A633C0"/>
    <w:rsid w:val="00A63440"/>
    <w:rsid w:val="00A63475"/>
    <w:rsid w:val="00A6358A"/>
    <w:rsid w:val="00A636F9"/>
    <w:rsid w:val="00A63C18"/>
    <w:rsid w:val="00A63D55"/>
    <w:rsid w:val="00A63D77"/>
    <w:rsid w:val="00A641E9"/>
    <w:rsid w:val="00A64B2F"/>
    <w:rsid w:val="00A64D2B"/>
    <w:rsid w:val="00A655CC"/>
    <w:rsid w:val="00A658D5"/>
    <w:rsid w:val="00A659DF"/>
    <w:rsid w:val="00A6604E"/>
    <w:rsid w:val="00A662DC"/>
    <w:rsid w:val="00A669D4"/>
    <w:rsid w:val="00A66D02"/>
    <w:rsid w:val="00A67061"/>
    <w:rsid w:val="00A6741B"/>
    <w:rsid w:val="00A67813"/>
    <w:rsid w:val="00A67AF4"/>
    <w:rsid w:val="00A707C1"/>
    <w:rsid w:val="00A70B0C"/>
    <w:rsid w:val="00A71696"/>
    <w:rsid w:val="00A7187A"/>
    <w:rsid w:val="00A72755"/>
    <w:rsid w:val="00A72A9F"/>
    <w:rsid w:val="00A72DC6"/>
    <w:rsid w:val="00A7307F"/>
    <w:rsid w:val="00A733AD"/>
    <w:rsid w:val="00A73468"/>
    <w:rsid w:val="00A73813"/>
    <w:rsid w:val="00A73B1E"/>
    <w:rsid w:val="00A73C55"/>
    <w:rsid w:val="00A73DC6"/>
    <w:rsid w:val="00A73EBB"/>
    <w:rsid w:val="00A73FA0"/>
    <w:rsid w:val="00A74226"/>
    <w:rsid w:val="00A744BF"/>
    <w:rsid w:val="00A74676"/>
    <w:rsid w:val="00A746B0"/>
    <w:rsid w:val="00A748FC"/>
    <w:rsid w:val="00A74DF4"/>
    <w:rsid w:val="00A75465"/>
    <w:rsid w:val="00A757B0"/>
    <w:rsid w:val="00A75C5E"/>
    <w:rsid w:val="00A7635F"/>
    <w:rsid w:val="00A76979"/>
    <w:rsid w:val="00A7706C"/>
    <w:rsid w:val="00A771ED"/>
    <w:rsid w:val="00A772D8"/>
    <w:rsid w:val="00A77496"/>
    <w:rsid w:val="00A776A4"/>
    <w:rsid w:val="00A778D8"/>
    <w:rsid w:val="00A7794A"/>
    <w:rsid w:val="00A779D5"/>
    <w:rsid w:val="00A77B36"/>
    <w:rsid w:val="00A80145"/>
    <w:rsid w:val="00A80311"/>
    <w:rsid w:val="00A8049D"/>
    <w:rsid w:val="00A805B3"/>
    <w:rsid w:val="00A80D1D"/>
    <w:rsid w:val="00A811A7"/>
    <w:rsid w:val="00A817DF"/>
    <w:rsid w:val="00A818B6"/>
    <w:rsid w:val="00A81C34"/>
    <w:rsid w:val="00A81CBE"/>
    <w:rsid w:val="00A820D7"/>
    <w:rsid w:val="00A822C2"/>
    <w:rsid w:val="00A8248D"/>
    <w:rsid w:val="00A82990"/>
    <w:rsid w:val="00A82CFA"/>
    <w:rsid w:val="00A82D7A"/>
    <w:rsid w:val="00A82EC8"/>
    <w:rsid w:val="00A82F1E"/>
    <w:rsid w:val="00A83265"/>
    <w:rsid w:val="00A8334F"/>
    <w:rsid w:val="00A83571"/>
    <w:rsid w:val="00A835B3"/>
    <w:rsid w:val="00A83877"/>
    <w:rsid w:val="00A839EE"/>
    <w:rsid w:val="00A84227"/>
    <w:rsid w:val="00A843AA"/>
    <w:rsid w:val="00A84927"/>
    <w:rsid w:val="00A84D85"/>
    <w:rsid w:val="00A84ED8"/>
    <w:rsid w:val="00A851B4"/>
    <w:rsid w:val="00A85958"/>
    <w:rsid w:val="00A862CE"/>
    <w:rsid w:val="00A8670E"/>
    <w:rsid w:val="00A86966"/>
    <w:rsid w:val="00A87173"/>
    <w:rsid w:val="00A872BC"/>
    <w:rsid w:val="00A875B2"/>
    <w:rsid w:val="00A878FA"/>
    <w:rsid w:val="00A87D62"/>
    <w:rsid w:val="00A90003"/>
    <w:rsid w:val="00A900B7"/>
    <w:rsid w:val="00A90401"/>
    <w:rsid w:val="00A90A2C"/>
    <w:rsid w:val="00A90A6C"/>
    <w:rsid w:val="00A90B94"/>
    <w:rsid w:val="00A90EEF"/>
    <w:rsid w:val="00A91283"/>
    <w:rsid w:val="00A912C3"/>
    <w:rsid w:val="00A914C3"/>
    <w:rsid w:val="00A91609"/>
    <w:rsid w:val="00A919F1"/>
    <w:rsid w:val="00A91BCB"/>
    <w:rsid w:val="00A921E3"/>
    <w:rsid w:val="00A923AB"/>
    <w:rsid w:val="00A92646"/>
    <w:rsid w:val="00A93111"/>
    <w:rsid w:val="00A93614"/>
    <w:rsid w:val="00A938ED"/>
    <w:rsid w:val="00A93FD7"/>
    <w:rsid w:val="00A94561"/>
    <w:rsid w:val="00A946D6"/>
    <w:rsid w:val="00A94A76"/>
    <w:rsid w:val="00A94D20"/>
    <w:rsid w:val="00A94E64"/>
    <w:rsid w:val="00A95840"/>
    <w:rsid w:val="00A966F4"/>
    <w:rsid w:val="00A9680D"/>
    <w:rsid w:val="00A97341"/>
    <w:rsid w:val="00A9752B"/>
    <w:rsid w:val="00A97651"/>
    <w:rsid w:val="00A97D09"/>
    <w:rsid w:val="00A97D11"/>
    <w:rsid w:val="00AA0137"/>
    <w:rsid w:val="00AA02BC"/>
    <w:rsid w:val="00AA0533"/>
    <w:rsid w:val="00AA0AB3"/>
    <w:rsid w:val="00AA0ADC"/>
    <w:rsid w:val="00AA0B2A"/>
    <w:rsid w:val="00AA0EB2"/>
    <w:rsid w:val="00AA0EBB"/>
    <w:rsid w:val="00AA13A6"/>
    <w:rsid w:val="00AA165D"/>
    <w:rsid w:val="00AA172C"/>
    <w:rsid w:val="00AA1A90"/>
    <w:rsid w:val="00AA210B"/>
    <w:rsid w:val="00AA2461"/>
    <w:rsid w:val="00AA265E"/>
    <w:rsid w:val="00AA2789"/>
    <w:rsid w:val="00AA2865"/>
    <w:rsid w:val="00AA3349"/>
    <w:rsid w:val="00AA33A1"/>
    <w:rsid w:val="00AA35F9"/>
    <w:rsid w:val="00AA3798"/>
    <w:rsid w:val="00AA3A9B"/>
    <w:rsid w:val="00AA3BF1"/>
    <w:rsid w:val="00AA3E98"/>
    <w:rsid w:val="00AA3EE4"/>
    <w:rsid w:val="00AA405D"/>
    <w:rsid w:val="00AA41FF"/>
    <w:rsid w:val="00AA42EF"/>
    <w:rsid w:val="00AA4502"/>
    <w:rsid w:val="00AA4649"/>
    <w:rsid w:val="00AA47BF"/>
    <w:rsid w:val="00AA49B9"/>
    <w:rsid w:val="00AA4B67"/>
    <w:rsid w:val="00AA5372"/>
    <w:rsid w:val="00AA5410"/>
    <w:rsid w:val="00AA5690"/>
    <w:rsid w:val="00AA5709"/>
    <w:rsid w:val="00AA5A6E"/>
    <w:rsid w:val="00AA5B2D"/>
    <w:rsid w:val="00AA5ED0"/>
    <w:rsid w:val="00AA6025"/>
    <w:rsid w:val="00AA639E"/>
    <w:rsid w:val="00AA6A34"/>
    <w:rsid w:val="00AA71DD"/>
    <w:rsid w:val="00AA795C"/>
    <w:rsid w:val="00AA797B"/>
    <w:rsid w:val="00AA7CE3"/>
    <w:rsid w:val="00AA7EFC"/>
    <w:rsid w:val="00AB001A"/>
    <w:rsid w:val="00AB01BC"/>
    <w:rsid w:val="00AB0370"/>
    <w:rsid w:val="00AB0384"/>
    <w:rsid w:val="00AB0885"/>
    <w:rsid w:val="00AB0BF2"/>
    <w:rsid w:val="00AB1195"/>
    <w:rsid w:val="00AB1FA3"/>
    <w:rsid w:val="00AB1FFB"/>
    <w:rsid w:val="00AB2008"/>
    <w:rsid w:val="00AB21C6"/>
    <w:rsid w:val="00AB2841"/>
    <w:rsid w:val="00AB29A6"/>
    <w:rsid w:val="00AB2D13"/>
    <w:rsid w:val="00AB2DB3"/>
    <w:rsid w:val="00AB3182"/>
    <w:rsid w:val="00AB31A2"/>
    <w:rsid w:val="00AB3671"/>
    <w:rsid w:val="00AB3B94"/>
    <w:rsid w:val="00AB44BF"/>
    <w:rsid w:val="00AB4C00"/>
    <w:rsid w:val="00AB531B"/>
    <w:rsid w:val="00AB57BB"/>
    <w:rsid w:val="00AB5813"/>
    <w:rsid w:val="00AB5C18"/>
    <w:rsid w:val="00AB6161"/>
    <w:rsid w:val="00AB6232"/>
    <w:rsid w:val="00AB62C0"/>
    <w:rsid w:val="00AB64D0"/>
    <w:rsid w:val="00AB6516"/>
    <w:rsid w:val="00AB66B2"/>
    <w:rsid w:val="00AB6781"/>
    <w:rsid w:val="00AB6EBD"/>
    <w:rsid w:val="00AB7869"/>
    <w:rsid w:val="00AB7E87"/>
    <w:rsid w:val="00AB7E94"/>
    <w:rsid w:val="00AC0D86"/>
    <w:rsid w:val="00AC10BC"/>
    <w:rsid w:val="00AC10EB"/>
    <w:rsid w:val="00AC11E9"/>
    <w:rsid w:val="00AC1340"/>
    <w:rsid w:val="00AC1760"/>
    <w:rsid w:val="00AC19CB"/>
    <w:rsid w:val="00AC1DD8"/>
    <w:rsid w:val="00AC1E31"/>
    <w:rsid w:val="00AC224F"/>
    <w:rsid w:val="00AC2714"/>
    <w:rsid w:val="00AC2943"/>
    <w:rsid w:val="00AC2AE4"/>
    <w:rsid w:val="00AC2C1B"/>
    <w:rsid w:val="00AC30C3"/>
    <w:rsid w:val="00AC33A6"/>
    <w:rsid w:val="00AC3507"/>
    <w:rsid w:val="00AC3661"/>
    <w:rsid w:val="00AC42D3"/>
    <w:rsid w:val="00AC4358"/>
    <w:rsid w:val="00AC45AB"/>
    <w:rsid w:val="00AC4AF0"/>
    <w:rsid w:val="00AC4DF2"/>
    <w:rsid w:val="00AC519D"/>
    <w:rsid w:val="00AC52B2"/>
    <w:rsid w:val="00AC53EA"/>
    <w:rsid w:val="00AC57A6"/>
    <w:rsid w:val="00AC5D45"/>
    <w:rsid w:val="00AC60A0"/>
    <w:rsid w:val="00AC62F2"/>
    <w:rsid w:val="00AC635A"/>
    <w:rsid w:val="00AC66AC"/>
    <w:rsid w:val="00AC68A8"/>
    <w:rsid w:val="00AC6A81"/>
    <w:rsid w:val="00AC6F46"/>
    <w:rsid w:val="00AC6F7D"/>
    <w:rsid w:val="00AC720A"/>
    <w:rsid w:val="00AC78F7"/>
    <w:rsid w:val="00AC78FE"/>
    <w:rsid w:val="00AD0309"/>
    <w:rsid w:val="00AD05D0"/>
    <w:rsid w:val="00AD0D7C"/>
    <w:rsid w:val="00AD17AA"/>
    <w:rsid w:val="00AD1B73"/>
    <w:rsid w:val="00AD1E6F"/>
    <w:rsid w:val="00AD1EF9"/>
    <w:rsid w:val="00AD2029"/>
    <w:rsid w:val="00AD20DF"/>
    <w:rsid w:val="00AD2C6B"/>
    <w:rsid w:val="00AD3032"/>
    <w:rsid w:val="00AD3814"/>
    <w:rsid w:val="00AD3D9D"/>
    <w:rsid w:val="00AD4032"/>
    <w:rsid w:val="00AD43AE"/>
    <w:rsid w:val="00AD4A9E"/>
    <w:rsid w:val="00AD50A4"/>
    <w:rsid w:val="00AD5408"/>
    <w:rsid w:val="00AD5677"/>
    <w:rsid w:val="00AD5E15"/>
    <w:rsid w:val="00AD5F40"/>
    <w:rsid w:val="00AD60EA"/>
    <w:rsid w:val="00AD6284"/>
    <w:rsid w:val="00AD62D8"/>
    <w:rsid w:val="00AD6327"/>
    <w:rsid w:val="00AD6501"/>
    <w:rsid w:val="00AD67D4"/>
    <w:rsid w:val="00AD6D9F"/>
    <w:rsid w:val="00AD73DF"/>
    <w:rsid w:val="00AD7E4D"/>
    <w:rsid w:val="00AD7E98"/>
    <w:rsid w:val="00AE005F"/>
    <w:rsid w:val="00AE0301"/>
    <w:rsid w:val="00AE06B5"/>
    <w:rsid w:val="00AE0790"/>
    <w:rsid w:val="00AE07BA"/>
    <w:rsid w:val="00AE0881"/>
    <w:rsid w:val="00AE095E"/>
    <w:rsid w:val="00AE0D54"/>
    <w:rsid w:val="00AE0E1C"/>
    <w:rsid w:val="00AE118C"/>
    <w:rsid w:val="00AE1365"/>
    <w:rsid w:val="00AE1457"/>
    <w:rsid w:val="00AE14FA"/>
    <w:rsid w:val="00AE160A"/>
    <w:rsid w:val="00AE1AEB"/>
    <w:rsid w:val="00AE1C3D"/>
    <w:rsid w:val="00AE1E33"/>
    <w:rsid w:val="00AE2162"/>
    <w:rsid w:val="00AE234B"/>
    <w:rsid w:val="00AE2C19"/>
    <w:rsid w:val="00AE30FC"/>
    <w:rsid w:val="00AE3504"/>
    <w:rsid w:val="00AE42BC"/>
    <w:rsid w:val="00AE4331"/>
    <w:rsid w:val="00AE4709"/>
    <w:rsid w:val="00AE4DEB"/>
    <w:rsid w:val="00AE52C3"/>
    <w:rsid w:val="00AE5452"/>
    <w:rsid w:val="00AE555D"/>
    <w:rsid w:val="00AE5D14"/>
    <w:rsid w:val="00AE60F7"/>
    <w:rsid w:val="00AE614D"/>
    <w:rsid w:val="00AE6441"/>
    <w:rsid w:val="00AE65EC"/>
    <w:rsid w:val="00AE65EE"/>
    <w:rsid w:val="00AE7087"/>
    <w:rsid w:val="00AE7314"/>
    <w:rsid w:val="00AE73A9"/>
    <w:rsid w:val="00AE77E4"/>
    <w:rsid w:val="00AE7849"/>
    <w:rsid w:val="00AE7977"/>
    <w:rsid w:val="00AF07CD"/>
    <w:rsid w:val="00AF0E05"/>
    <w:rsid w:val="00AF14EE"/>
    <w:rsid w:val="00AF16FA"/>
    <w:rsid w:val="00AF1E74"/>
    <w:rsid w:val="00AF1F10"/>
    <w:rsid w:val="00AF20BF"/>
    <w:rsid w:val="00AF2290"/>
    <w:rsid w:val="00AF2A06"/>
    <w:rsid w:val="00AF2B94"/>
    <w:rsid w:val="00AF3D39"/>
    <w:rsid w:val="00AF438B"/>
    <w:rsid w:val="00AF473A"/>
    <w:rsid w:val="00AF497B"/>
    <w:rsid w:val="00AF5F99"/>
    <w:rsid w:val="00AF61D9"/>
    <w:rsid w:val="00AF69E8"/>
    <w:rsid w:val="00AF6A4C"/>
    <w:rsid w:val="00B002A2"/>
    <w:rsid w:val="00B004BA"/>
    <w:rsid w:val="00B00661"/>
    <w:rsid w:val="00B00E62"/>
    <w:rsid w:val="00B00EE8"/>
    <w:rsid w:val="00B01269"/>
    <w:rsid w:val="00B01456"/>
    <w:rsid w:val="00B01479"/>
    <w:rsid w:val="00B01568"/>
    <w:rsid w:val="00B016C4"/>
    <w:rsid w:val="00B017BF"/>
    <w:rsid w:val="00B019A6"/>
    <w:rsid w:val="00B01F03"/>
    <w:rsid w:val="00B02183"/>
    <w:rsid w:val="00B02402"/>
    <w:rsid w:val="00B0276D"/>
    <w:rsid w:val="00B02ABF"/>
    <w:rsid w:val="00B02B66"/>
    <w:rsid w:val="00B02CE7"/>
    <w:rsid w:val="00B031D5"/>
    <w:rsid w:val="00B039F8"/>
    <w:rsid w:val="00B03AF3"/>
    <w:rsid w:val="00B03C0E"/>
    <w:rsid w:val="00B03F7E"/>
    <w:rsid w:val="00B03FF5"/>
    <w:rsid w:val="00B041B8"/>
    <w:rsid w:val="00B043AC"/>
    <w:rsid w:val="00B044D6"/>
    <w:rsid w:val="00B0464E"/>
    <w:rsid w:val="00B047C2"/>
    <w:rsid w:val="00B04C4D"/>
    <w:rsid w:val="00B04CB1"/>
    <w:rsid w:val="00B04F0E"/>
    <w:rsid w:val="00B04F36"/>
    <w:rsid w:val="00B05445"/>
    <w:rsid w:val="00B05635"/>
    <w:rsid w:val="00B060F3"/>
    <w:rsid w:val="00B06513"/>
    <w:rsid w:val="00B06B2D"/>
    <w:rsid w:val="00B07431"/>
    <w:rsid w:val="00B07620"/>
    <w:rsid w:val="00B077C9"/>
    <w:rsid w:val="00B07AAA"/>
    <w:rsid w:val="00B07BEE"/>
    <w:rsid w:val="00B102F4"/>
    <w:rsid w:val="00B104B2"/>
    <w:rsid w:val="00B10541"/>
    <w:rsid w:val="00B10D45"/>
    <w:rsid w:val="00B10F86"/>
    <w:rsid w:val="00B11538"/>
    <w:rsid w:val="00B115C4"/>
    <w:rsid w:val="00B1162F"/>
    <w:rsid w:val="00B116EE"/>
    <w:rsid w:val="00B1188D"/>
    <w:rsid w:val="00B1239E"/>
    <w:rsid w:val="00B128B0"/>
    <w:rsid w:val="00B1314F"/>
    <w:rsid w:val="00B1358A"/>
    <w:rsid w:val="00B1361C"/>
    <w:rsid w:val="00B137CD"/>
    <w:rsid w:val="00B138BD"/>
    <w:rsid w:val="00B13B4F"/>
    <w:rsid w:val="00B13E6D"/>
    <w:rsid w:val="00B14A1A"/>
    <w:rsid w:val="00B14A5F"/>
    <w:rsid w:val="00B14BA8"/>
    <w:rsid w:val="00B15001"/>
    <w:rsid w:val="00B151CF"/>
    <w:rsid w:val="00B15538"/>
    <w:rsid w:val="00B15FBC"/>
    <w:rsid w:val="00B161D6"/>
    <w:rsid w:val="00B16290"/>
    <w:rsid w:val="00B16345"/>
    <w:rsid w:val="00B1635B"/>
    <w:rsid w:val="00B164C5"/>
    <w:rsid w:val="00B16A9F"/>
    <w:rsid w:val="00B173B1"/>
    <w:rsid w:val="00B2015E"/>
    <w:rsid w:val="00B20445"/>
    <w:rsid w:val="00B20777"/>
    <w:rsid w:val="00B20DEB"/>
    <w:rsid w:val="00B20E1B"/>
    <w:rsid w:val="00B210BC"/>
    <w:rsid w:val="00B217AE"/>
    <w:rsid w:val="00B21CE6"/>
    <w:rsid w:val="00B22973"/>
    <w:rsid w:val="00B22BAF"/>
    <w:rsid w:val="00B231CA"/>
    <w:rsid w:val="00B233F7"/>
    <w:rsid w:val="00B2361D"/>
    <w:rsid w:val="00B23716"/>
    <w:rsid w:val="00B237DA"/>
    <w:rsid w:val="00B23BCE"/>
    <w:rsid w:val="00B240D1"/>
    <w:rsid w:val="00B2458F"/>
    <w:rsid w:val="00B24695"/>
    <w:rsid w:val="00B2477E"/>
    <w:rsid w:val="00B247AD"/>
    <w:rsid w:val="00B249C0"/>
    <w:rsid w:val="00B24F1C"/>
    <w:rsid w:val="00B253B9"/>
    <w:rsid w:val="00B258E0"/>
    <w:rsid w:val="00B25A21"/>
    <w:rsid w:val="00B25BBD"/>
    <w:rsid w:val="00B25D05"/>
    <w:rsid w:val="00B26622"/>
    <w:rsid w:val="00B2665E"/>
    <w:rsid w:val="00B26669"/>
    <w:rsid w:val="00B26690"/>
    <w:rsid w:val="00B270F2"/>
    <w:rsid w:val="00B276B4"/>
    <w:rsid w:val="00B27795"/>
    <w:rsid w:val="00B27E01"/>
    <w:rsid w:val="00B3027C"/>
    <w:rsid w:val="00B303F6"/>
    <w:rsid w:val="00B304ED"/>
    <w:rsid w:val="00B307B7"/>
    <w:rsid w:val="00B30A0C"/>
    <w:rsid w:val="00B30AC8"/>
    <w:rsid w:val="00B3150A"/>
    <w:rsid w:val="00B31A53"/>
    <w:rsid w:val="00B31AEF"/>
    <w:rsid w:val="00B326CB"/>
    <w:rsid w:val="00B329AC"/>
    <w:rsid w:val="00B32EB6"/>
    <w:rsid w:val="00B330C2"/>
    <w:rsid w:val="00B33197"/>
    <w:rsid w:val="00B331B6"/>
    <w:rsid w:val="00B33E3F"/>
    <w:rsid w:val="00B33F31"/>
    <w:rsid w:val="00B34295"/>
    <w:rsid w:val="00B342A3"/>
    <w:rsid w:val="00B34778"/>
    <w:rsid w:val="00B3484B"/>
    <w:rsid w:val="00B34C0F"/>
    <w:rsid w:val="00B34D68"/>
    <w:rsid w:val="00B35393"/>
    <w:rsid w:val="00B3540D"/>
    <w:rsid w:val="00B35E86"/>
    <w:rsid w:val="00B36028"/>
    <w:rsid w:val="00B361F1"/>
    <w:rsid w:val="00B36630"/>
    <w:rsid w:val="00B36BC7"/>
    <w:rsid w:val="00B37B14"/>
    <w:rsid w:val="00B37FE2"/>
    <w:rsid w:val="00B40064"/>
    <w:rsid w:val="00B40773"/>
    <w:rsid w:val="00B413EA"/>
    <w:rsid w:val="00B4173C"/>
    <w:rsid w:val="00B4177B"/>
    <w:rsid w:val="00B420D4"/>
    <w:rsid w:val="00B4245B"/>
    <w:rsid w:val="00B428B4"/>
    <w:rsid w:val="00B42CCC"/>
    <w:rsid w:val="00B42D56"/>
    <w:rsid w:val="00B42E01"/>
    <w:rsid w:val="00B434FF"/>
    <w:rsid w:val="00B4350A"/>
    <w:rsid w:val="00B4367E"/>
    <w:rsid w:val="00B43764"/>
    <w:rsid w:val="00B43B0A"/>
    <w:rsid w:val="00B43C63"/>
    <w:rsid w:val="00B4428B"/>
    <w:rsid w:val="00B44552"/>
    <w:rsid w:val="00B446FD"/>
    <w:rsid w:val="00B453F8"/>
    <w:rsid w:val="00B454D9"/>
    <w:rsid w:val="00B45526"/>
    <w:rsid w:val="00B45B06"/>
    <w:rsid w:val="00B45B78"/>
    <w:rsid w:val="00B46100"/>
    <w:rsid w:val="00B4611A"/>
    <w:rsid w:val="00B470A2"/>
    <w:rsid w:val="00B473D6"/>
    <w:rsid w:val="00B47473"/>
    <w:rsid w:val="00B47CD0"/>
    <w:rsid w:val="00B50525"/>
    <w:rsid w:val="00B508BE"/>
    <w:rsid w:val="00B50A44"/>
    <w:rsid w:val="00B50E7A"/>
    <w:rsid w:val="00B51086"/>
    <w:rsid w:val="00B51580"/>
    <w:rsid w:val="00B51952"/>
    <w:rsid w:val="00B51BED"/>
    <w:rsid w:val="00B52363"/>
    <w:rsid w:val="00B5257F"/>
    <w:rsid w:val="00B5262E"/>
    <w:rsid w:val="00B52668"/>
    <w:rsid w:val="00B526E2"/>
    <w:rsid w:val="00B527B9"/>
    <w:rsid w:val="00B529E1"/>
    <w:rsid w:val="00B53200"/>
    <w:rsid w:val="00B53A68"/>
    <w:rsid w:val="00B53AD6"/>
    <w:rsid w:val="00B53C9E"/>
    <w:rsid w:val="00B53CCB"/>
    <w:rsid w:val="00B540E9"/>
    <w:rsid w:val="00B54463"/>
    <w:rsid w:val="00B548AE"/>
    <w:rsid w:val="00B549EA"/>
    <w:rsid w:val="00B54D93"/>
    <w:rsid w:val="00B54E19"/>
    <w:rsid w:val="00B55524"/>
    <w:rsid w:val="00B55AA8"/>
    <w:rsid w:val="00B55AF1"/>
    <w:rsid w:val="00B55B09"/>
    <w:rsid w:val="00B55C3A"/>
    <w:rsid w:val="00B5625C"/>
    <w:rsid w:val="00B5637D"/>
    <w:rsid w:val="00B564BB"/>
    <w:rsid w:val="00B565AC"/>
    <w:rsid w:val="00B565D5"/>
    <w:rsid w:val="00B567DE"/>
    <w:rsid w:val="00B56C1E"/>
    <w:rsid w:val="00B56DA6"/>
    <w:rsid w:val="00B575BF"/>
    <w:rsid w:val="00B5788C"/>
    <w:rsid w:val="00B57C13"/>
    <w:rsid w:val="00B603A1"/>
    <w:rsid w:val="00B6065D"/>
    <w:rsid w:val="00B606BB"/>
    <w:rsid w:val="00B60902"/>
    <w:rsid w:val="00B611AD"/>
    <w:rsid w:val="00B612EA"/>
    <w:rsid w:val="00B616EC"/>
    <w:rsid w:val="00B619E5"/>
    <w:rsid w:val="00B61AD4"/>
    <w:rsid w:val="00B61B4C"/>
    <w:rsid w:val="00B61C66"/>
    <w:rsid w:val="00B61CBB"/>
    <w:rsid w:val="00B622A3"/>
    <w:rsid w:val="00B62408"/>
    <w:rsid w:val="00B62604"/>
    <w:rsid w:val="00B62A76"/>
    <w:rsid w:val="00B62DF2"/>
    <w:rsid w:val="00B62E3D"/>
    <w:rsid w:val="00B63347"/>
    <w:rsid w:val="00B63A7B"/>
    <w:rsid w:val="00B63FB4"/>
    <w:rsid w:val="00B6405F"/>
    <w:rsid w:val="00B644BF"/>
    <w:rsid w:val="00B64E73"/>
    <w:rsid w:val="00B6550D"/>
    <w:rsid w:val="00B657D0"/>
    <w:rsid w:val="00B65AC8"/>
    <w:rsid w:val="00B65E58"/>
    <w:rsid w:val="00B66475"/>
    <w:rsid w:val="00B66620"/>
    <w:rsid w:val="00B6686A"/>
    <w:rsid w:val="00B66A87"/>
    <w:rsid w:val="00B66AA9"/>
    <w:rsid w:val="00B66B99"/>
    <w:rsid w:val="00B675FF"/>
    <w:rsid w:val="00B70123"/>
    <w:rsid w:val="00B70233"/>
    <w:rsid w:val="00B702B4"/>
    <w:rsid w:val="00B709A4"/>
    <w:rsid w:val="00B70A8D"/>
    <w:rsid w:val="00B71150"/>
    <w:rsid w:val="00B712D0"/>
    <w:rsid w:val="00B7138D"/>
    <w:rsid w:val="00B71783"/>
    <w:rsid w:val="00B71B46"/>
    <w:rsid w:val="00B71CB8"/>
    <w:rsid w:val="00B722F6"/>
    <w:rsid w:val="00B72B10"/>
    <w:rsid w:val="00B72D02"/>
    <w:rsid w:val="00B72E46"/>
    <w:rsid w:val="00B73CDB"/>
    <w:rsid w:val="00B73D31"/>
    <w:rsid w:val="00B73E06"/>
    <w:rsid w:val="00B73E52"/>
    <w:rsid w:val="00B74620"/>
    <w:rsid w:val="00B748D9"/>
    <w:rsid w:val="00B74BAA"/>
    <w:rsid w:val="00B74C3D"/>
    <w:rsid w:val="00B7517A"/>
    <w:rsid w:val="00B751CB"/>
    <w:rsid w:val="00B757E5"/>
    <w:rsid w:val="00B75D21"/>
    <w:rsid w:val="00B75D66"/>
    <w:rsid w:val="00B75F91"/>
    <w:rsid w:val="00B762F8"/>
    <w:rsid w:val="00B764F1"/>
    <w:rsid w:val="00B76523"/>
    <w:rsid w:val="00B7668C"/>
    <w:rsid w:val="00B76C50"/>
    <w:rsid w:val="00B76D35"/>
    <w:rsid w:val="00B76F5B"/>
    <w:rsid w:val="00B77544"/>
    <w:rsid w:val="00B779DB"/>
    <w:rsid w:val="00B77EA3"/>
    <w:rsid w:val="00B77FAC"/>
    <w:rsid w:val="00B800D2"/>
    <w:rsid w:val="00B8056A"/>
    <w:rsid w:val="00B80CEF"/>
    <w:rsid w:val="00B80E65"/>
    <w:rsid w:val="00B80EF1"/>
    <w:rsid w:val="00B81373"/>
    <w:rsid w:val="00B814A6"/>
    <w:rsid w:val="00B81755"/>
    <w:rsid w:val="00B819FC"/>
    <w:rsid w:val="00B81F38"/>
    <w:rsid w:val="00B82128"/>
    <w:rsid w:val="00B823D0"/>
    <w:rsid w:val="00B832BB"/>
    <w:rsid w:val="00B83336"/>
    <w:rsid w:val="00B83AF0"/>
    <w:rsid w:val="00B83B62"/>
    <w:rsid w:val="00B83B6D"/>
    <w:rsid w:val="00B83DE6"/>
    <w:rsid w:val="00B8468B"/>
    <w:rsid w:val="00B84878"/>
    <w:rsid w:val="00B84BD9"/>
    <w:rsid w:val="00B84BED"/>
    <w:rsid w:val="00B85055"/>
    <w:rsid w:val="00B8535F"/>
    <w:rsid w:val="00B854EA"/>
    <w:rsid w:val="00B85BA8"/>
    <w:rsid w:val="00B85DBF"/>
    <w:rsid w:val="00B85E5A"/>
    <w:rsid w:val="00B864A3"/>
    <w:rsid w:val="00B873F4"/>
    <w:rsid w:val="00B87501"/>
    <w:rsid w:val="00B878CD"/>
    <w:rsid w:val="00B879FC"/>
    <w:rsid w:val="00B87D02"/>
    <w:rsid w:val="00B90276"/>
    <w:rsid w:val="00B90CBC"/>
    <w:rsid w:val="00B90CFB"/>
    <w:rsid w:val="00B9109B"/>
    <w:rsid w:val="00B915E0"/>
    <w:rsid w:val="00B91C13"/>
    <w:rsid w:val="00B91CB1"/>
    <w:rsid w:val="00B91EB0"/>
    <w:rsid w:val="00B91F1A"/>
    <w:rsid w:val="00B92221"/>
    <w:rsid w:val="00B923D5"/>
    <w:rsid w:val="00B9249B"/>
    <w:rsid w:val="00B92702"/>
    <w:rsid w:val="00B93295"/>
    <w:rsid w:val="00B933A7"/>
    <w:rsid w:val="00B9377D"/>
    <w:rsid w:val="00B93889"/>
    <w:rsid w:val="00B938F1"/>
    <w:rsid w:val="00B93BC8"/>
    <w:rsid w:val="00B94063"/>
    <w:rsid w:val="00B9408B"/>
    <w:rsid w:val="00B9480D"/>
    <w:rsid w:val="00B950A8"/>
    <w:rsid w:val="00B9520C"/>
    <w:rsid w:val="00B9532C"/>
    <w:rsid w:val="00B9536C"/>
    <w:rsid w:val="00B95440"/>
    <w:rsid w:val="00B959F4"/>
    <w:rsid w:val="00B95CB3"/>
    <w:rsid w:val="00B961CE"/>
    <w:rsid w:val="00B9644E"/>
    <w:rsid w:val="00B9670E"/>
    <w:rsid w:val="00B97203"/>
    <w:rsid w:val="00B978AE"/>
    <w:rsid w:val="00B97D11"/>
    <w:rsid w:val="00B97DCB"/>
    <w:rsid w:val="00BA0191"/>
    <w:rsid w:val="00BA024D"/>
    <w:rsid w:val="00BA0298"/>
    <w:rsid w:val="00BA04A6"/>
    <w:rsid w:val="00BA09C5"/>
    <w:rsid w:val="00BA0DEF"/>
    <w:rsid w:val="00BA1164"/>
    <w:rsid w:val="00BA1372"/>
    <w:rsid w:val="00BA142B"/>
    <w:rsid w:val="00BA1441"/>
    <w:rsid w:val="00BA1570"/>
    <w:rsid w:val="00BA19F9"/>
    <w:rsid w:val="00BA1C61"/>
    <w:rsid w:val="00BA1FFB"/>
    <w:rsid w:val="00BA227D"/>
    <w:rsid w:val="00BA22F3"/>
    <w:rsid w:val="00BA243E"/>
    <w:rsid w:val="00BA2761"/>
    <w:rsid w:val="00BA2A4D"/>
    <w:rsid w:val="00BA2B3F"/>
    <w:rsid w:val="00BA2FC3"/>
    <w:rsid w:val="00BA339A"/>
    <w:rsid w:val="00BA416A"/>
    <w:rsid w:val="00BA433E"/>
    <w:rsid w:val="00BA44D4"/>
    <w:rsid w:val="00BA471B"/>
    <w:rsid w:val="00BA49C3"/>
    <w:rsid w:val="00BA4A55"/>
    <w:rsid w:val="00BA4B46"/>
    <w:rsid w:val="00BA4E45"/>
    <w:rsid w:val="00BA4E67"/>
    <w:rsid w:val="00BA50A7"/>
    <w:rsid w:val="00BA52E6"/>
    <w:rsid w:val="00BA530A"/>
    <w:rsid w:val="00BA5984"/>
    <w:rsid w:val="00BA59FB"/>
    <w:rsid w:val="00BA5CC4"/>
    <w:rsid w:val="00BA5E9A"/>
    <w:rsid w:val="00BA651D"/>
    <w:rsid w:val="00BA67DA"/>
    <w:rsid w:val="00BA6808"/>
    <w:rsid w:val="00BA6C27"/>
    <w:rsid w:val="00BA6E38"/>
    <w:rsid w:val="00BA71B3"/>
    <w:rsid w:val="00BA7309"/>
    <w:rsid w:val="00BA7A0B"/>
    <w:rsid w:val="00BA7AB4"/>
    <w:rsid w:val="00BB02B7"/>
    <w:rsid w:val="00BB039F"/>
    <w:rsid w:val="00BB14A3"/>
    <w:rsid w:val="00BB16F9"/>
    <w:rsid w:val="00BB1958"/>
    <w:rsid w:val="00BB1B6D"/>
    <w:rsid w:val="00BB20C7"/>
    <w:rsid w:val="00BB2204"/>
    <w:rsid w:val="00BB2493"/>
    <w:rsid w:val="00BB2598"/>
    <w:rsid w:val="00BB2643"/>
    <w:rsid w:val="00BB26C5"/>
    <w:rsid w:val="00BB2756"/>
    <w:rsid w:val="00BB2B20"/>
    <w:rsid w:val="00BB2CA6"/>
    <w:rsid w:val="00BB2D45"/>
    <w:rsid w:val="00BB3785"/>
    <w:rsid w:val="00BB394A"/>
    <w:rsid w:val="00BB3B03"/>
    <w:rsid w:val="00BB3C1F"/>
    <w:rsid w:val="00BB3EAE"/>
    <w:rsid w:val="00BB3F45"/>
    <w:rsid w:val="00BB4472"/>
    <w:rsid w:val="00BB51C2"/>
    <w:rsid w:val="00BB5BC2"/>
    <w:rsid w:val="00BB5D52"/>
    <w:rsid w:val="00BB5FD7"/>
    <w:rsid w:val="00BB60AE"/>
    <w:rsid w:val="00BB622D"/>
    <w:rsid w:val="00BB645D"/>
    <w:rsid w:val="00BB6584"/>
    <w:rsid w:val="00BB65BE"/>
    <w:rsid w:val="00BB6942"/>
    <w:rsid w:val="00BB6B55"/>
    <w:rsid w:val="00BB7742"/>
    <w:rsid w:val="00BB78E4"/>
    <w:rsid w:val="00BC0023"/>
    <w:rsid w:val="00BC0093"/>
    <w:rsid w:val="00BC02F9"/>
    <w:rsid w:val="00BC06C3"/>
    <w:rsid w:val="00BC0EBB"/>
    <w:rsid w:val="00BC1363"/>
    <w:rsid w:val="00BC139F"/>
    <w:rsid w:val="00BC15DE"/>
    <w:rsid w:val="00BC17C8"/>
    <w:rsid w:val="00BC1C5D"/>
    <w:rsid w:val="00BC1D67"/>
    <w:rsid w:val="00BC231C"/>
    <w:rsid w:val="00BC284B"/>
    <w:rsid w:val="00BC2ACF"/>
    <w:rsid w:val="00BC3321"/>
    <w:rsid w:val="00BC34F6"/>
    <w:rsid w:val="00BC369C"/>
    <w:rsid w:val="00BC41D5"/>
    <w:rsid w:val="00BC4833"/>
    <w:rsid w:val="00BC493C"/>
    <w:rsid w:val="00BC4972"/>
    <w:rsid w:val="00BC522D"/>
    <w:rsid w:val="00BC52C1"/>
    <w:rsid w:val="00BC542C"/>
    <w:rsid w:val="00BC5C93"/>
    <w:rsid w:val="00BC5D4A"/>
    <w:rsid w:val="00BC608C"/>
    <w:rsid w:val="00BC65BC"/>
    <w:rsid w:val="00BC6844"/>
    <w:rsid w:val="00BC6897"/>
    <w:rsid w:val="00BC706F"/>
    <w:rsid w:val="00BC73E4"/>
    <w:rsid w:val="00BC765D"/>
    <w:rsid w:val="00BD00AA"/>
    <w:rsid w:val="00BD028C"/>
    <w:rsid w:val="00BD094F"/>
    <w:rsid w:val="00BD0CA2"/>
    <w:rsid w:val="00BD0EEF"/>
    <w:rsid w:val="00BD0FFA"/>
    <w:rsid w:val="00BD1093"/>
    <w:rsid w:val="00BD12B3"/>
    <w:rsid w:val="00BD17AE"/>
    <w:rsid w:val="00BD17FB"/>
    <w:rsid w:val="00BD192E"/>
    <w:rsid w:val="00BD198B"/>
    <w:rsid w:val="00BD1A89"/>
    <w:rsid w:val="00BD1B8D"/>
    <w:rsid w:val="00BD1BDD"/>
    <w:rsid w:val="00BD1D12"/>
    <w:rsid w:val="00BD2163"/>
    <w:rsid w:val="00BD25E3"/>
    <w:rsid w:val="00BD2AA1"/>
    <w:rsid w:val="00BD2B3B"/>
    <w:rsid w:val="00BD2DDD"/>
    <w:rsid w:val="00BD2DFE"/>
    <w:rsid w:val="00BD3002"/>
    <w:rsid w:val="00BD3103"/>
    <w:rsid w:val="00BD3226"/>
    <w:rsid w:val="00BD33D4"/>
    <w:rsid w:val="00BD36D8"/>
    <w:rsid w:val="00BD396E"/>
    <w:rsid w:val="00BD3B28"/>
    <w:rsid w:val="00BD3BB7"/>
    <w:rsid w:val="00BD40B1"/>
    <w:rsid w:val="00BD466C"/>
    <w:rsid w:val="00BD48B7"/>
    <w:rsid w:val="00BD4A77"/>
    <w:rsid w:val="00BD4CE8"/>
    <w:rsid w:val="00BD4DB0"/>
    <w:rsid w:val="00BD52C5"/>
    <w:rsid w:val="00BD566D"/>
    <w:rsid w:val="00BD5764"/>
    <w:rsid w:val="00BD6EF1"/>
    <w:rsid w:val="00BD6F8B"/>
    <w:rsid w:val="00BD729A"/>
    <w:rsid w:val="00BD75FD"/>
    <w:rsid w:val="00BD76A9"/>
    <w:rsid w:val="00BD7868"/>
    <w:rsid w:val="00BD7B4F"/>
    <w:rsid w:val="00BD7B73"/>
    <w:rsid w:val="00BD7D1E"/>
    <w:rsid w:val="00BE0280"/>
    <w:rsid w:val="00BE02B0"/>
    <w:rsid w:val="00BE03C4"/>
    <w:rsid w:val="00BE072C"/>
    <w:rsid w:val="00BE07C5"/>
    <w:rsid w:val="00BE13A9"/>
    <w:rsid w:val="00BE16C9"/>
    <w:rsid w:val="00BE1816"/>
    <w:rsid w:val="00BE2153"/>
    <w:rsid w:val="00BE21B3"/>
    <w:rsid w:val="00BE254E"/>
    <w:rsid w:val="00BE2946"/>
    <w:rsid w:val="00BE2A92"/>
    <w:rsid w:val="00BE2D71"/>
    <w:rsid w:val="00BE3AE3"/>
    <w:rsid w:val="00BE3FC5"/>
    <w:rsid w:val="00BE47BF"/>
    <w:rsid w:val="00BE48C7"/>
    <w:rsid w:val="00BE4F5C"/>
    <w:rsid w:val="00BE50EF"/>
    <w:rsid w:val="00BE5374"/>
    <w:rsid w:val="00BE552B"/>
    <w:rsid w:val="00BE5AEE"/>
    <w:rsid w:val="00BE5F11"/>
    <w:rsid w:val="00BE6269"/>
    <w:rsid w:val="00BE627A"/>
    <w:rsid w:val="00BE63D6"/>
    <w:rsid w:val="00BE6827"/>
    <w:rsid w:val="00BE69F5"/>
    <w:rsid w:val="00BE6CE8"/>
    <w:rsid w:val="00BE70E2"/>
    <w:rsid w:val="00BE75CC"/>
    <w:rsid w:val="00BE77C7"/>
    <w:rsid w:val="00BE7E1F"/>
    <w:rsid w:val="00BF0131"/>
    <w:rsid w:val="00BF0317"/>
    <w:rsid w:val="00BF08E3"/>
    <w:rsid w:val="00BF0BFD"/>
    <w:rsid w:val="00BF1421"/>
    <w:rsid w:val="00BF14F3"/>
    <w:rsid w:val="00BF15BC"/>
    <w:rsid w:val="00BF181C"/>
    <w:rsid w:val="00BF18BD"/>
    <w:rsid w:val="00BF197E"/>
    <w:rsid w:val="00BF1A67"/>
    <w:rsid w:val="00BF1D53"/>
    <w:rsid w:val="00BF1FF8"/>
    <w:rsid w:val="00BF2AC7"/>
    <w:rsid w:val="00BF2C54"/>
    <w:rsid w:val="00BF2ECB"/>
    <w:rsid w:val="00BF38F2"/>
    <w:rsid w:val="00BF3B7A"/>
    <w:rsid w:val="00BF419A"/>
    <w:rsid w:val="00BF4379"/>
    <w:rsid w:val="00BF4A26"/>
    <w:rsid w:val="00BF4B0C"/>
    <w:rsid w:val="00BF4D75"/>
    <w:rsid w:val="00BF5048"/>
    <w:rsid w:val="00BF5245"/>
    <w:rsid w:val="00BF568C"/>
    <w:rsid w:val="00BF5A54"/>
    <w:rsid w:val="00BF5AF8"/>
    <w:rsid w:val="00BF5C7D"/>
    <w:rsid w:val="00BF718F"/>
    <w:rsid w:val="00BF747C"/>
    <w:rsid w:val="00BF753F"/>
    <w:rsid w:val="00BF762C"/>
    <w:rsid w:val="00BF77FB"/>
    <w:rsid w:val="00BF799F"/>
    <w:rsid w:val="00BF7C54"/>
    <w:rsid w:val="00C00342"/>
    <w:rsid w:val="00C006B0"/>
    <w:rsid w:val="00C00F44"/>
    <w:rsid w:val="00C0141D"/>
    <w:rsid w:val="00C01D5F"/>
    <w:rsid w:val="00C01F04"/>
    <w:rsid w:val="00C02CEE"/>
    <w:rsid w:val="00C0345A"/>
    <w:rsid w:val="00C03511"/>
    <w:rsid w:val="00C03803"/>
    <w:rsid w:val="00C03E4E"/>
    <w:rsid w:val="00C04C3A"/>
    <w:rsid w:val="00C05029"/>
    <w:rsid w:val="00C0561A"/>
    <w:rsid w:val="00C05700"/>
    <w:rsid w:val="00C0588B"/>
    <w:rsid w:val="00C05931"/>
    <w:rsid w:val="00C0594B"/>
    <w:rsid w:val="00C05AE9"/>
    <w:rsid w:val="00C05F52"/>
    <w:rsid w:val="00C061D7"/>
    <w:rsid w:val="00C06485"/>
    <w:rsid w:val="00C064A0"/>
    <w:rsid w:val="00C06617"/>
    <w:rsid w:val="00C0661F"/>
    <w:rsid w:val="00C0665C"/>
    <w:rsid w:val="00C06AF4"/>
    <w:rsid w:val="00C06C7E"/>
    <w:rsid w:val="00C06F32"/>
    <w:rsid w:val="00C072D0"/>
    <w:rsid w:val="00C074CD"/>
    <w:rsid w:val="00C07631"/>
    <w:rsid w:val="00C07640"/>
    <w:rsid w:val="00C077F1"/>
    <w:rsid w:val="00C07E30"/>
    <w:rsid w:val="00C10305"/>
    <w:rsid w:val="00C1040D"/>
    <w:rsid w:val="00C1044C"/>
    <w:rsid w:val="00C107C3"/>
    <w:rsid w:val="00C1086F"/>
    <w:rsid w:val="00C10B67"/>
    <w:rsid w:val="00C10FC8"/>
    <w:rsid w:val="00C110A2"/>
    <w:rsid w:val="00C11258"/>
    <w:rsid w:val="00C11658"/>
    <w:rsid w:val="00C117E8"/>
    <w:rsid w:val="00C11827"/>
    <w:rsid w:val="00C11CE6"/>
    <w:rsid w:val="00C12014"/>
    <w:rsid w:val="00C12E06"/>
    <w:rsid w:val="00C13098"/>
    <w:rsid w:val="00C13520"/>
    <w:rsid w:val="00C1380D"/>
    <w:rsid w:val="00C13EC1"/>
    <w:rsid w:val="00C144A0"/>
    <w:rsid w:val="00C149EC"/>
    <w:rsid w:val="00C14CF2"/>
    <w:rsid w:val="00C14EB7"/>
    <w:rsid w:val="00C14F9B"/>
    <w:rsid w:val="00C14FAB"/>
    <w:rsid w:val="00C1506C"/>
    <w:rsid w:val="00C15F42"/>
    <w:rsid w:val="00C1610B"/>
    <w:rsid w:val="00C1611D"/>
    <w:rsid w:val="00C1625E"/>
    <w:rsid w:val="00C16485"/>
    <w:rsid w:val="00C16658"/>
    <w:rsid w:val="00C16B90"/>
    <w:rsid w:val="00C16C9A"/>
    <w:rsid w:val="00C1737B"/>
    <w:rsid w:val="00C175E4"/>
    <w:rsid w:val="00C17BE2"/>
    <w:rsid w:val="00C17D18"/>
    <w:rsid w:val="00C17FF1"/>
    <w:rsid w:val="00C207FD"/>
    <w:rsid w:val="00C20913"/>
    <w:rsid w:val="00C20BF7"/>
    <w:rsid w:val="00C20D4C"/>
    <w:rsid w:val="00C21D6E"/>
    <w:rsid w:val="00C220DA"/>
    <w:rsid w:val="00C232E0"/>
    <w:rsid w:val="00C237A7"/>
    <w:rsid w:val="00C238E1"/>
    <w:rsid w:val="00C23990"/>
    <w:rsid w:val="00C243FD"/>
    <w:rsid w:val="00C2466E"/>
    <w:rsid w:val="00C24B5E"/>
    <w:rsid w:val="00C2514F"/>
    <w:rsid w:val="00C252AC"/>
    <w:rsid w:val="00C2534F"/>
    <w:rsid w:val="00C25570"/>
    <w:rsid w:val="00C2572F"/>
    <w:rsid w:val="00C258C3"/>
    <w:rsid w:val="00C25CCA"/>
    <w:rsid w:val="00C25F1F"/>
    <w:rsid w:val="00C2667F"/>
    <w:rsid w:val="00C27583"/>
    <w:rsid w:val="00C2781D"/>
    <w:rsid w:val="00C2798D"/>
    <w:rsid w:val="00C30058"/>
    <w:rsid w:val="00C30146"/>
    <w:rsid w:val="00C3019E"/>
    <w:rsid w:val="00C3037D"/>
    <w:rsid w:val="00C305A8"/>
    <w:rsid w:val="00C307AF"/>
    <w:rsid w:val="00C30B2D"/>
    <w:rsid w:val="00C3148E"/>
    <w:rsid w:val="00C317A2"/>
    <w:rsid w:val="00C32561"/>
    <w:rsid w:val="00C328E5"/>
    <w:rsid w:val="00C32A83"/>
    <w:rsid w:val="00C32E95"/>
    <w:rsid w:val="00C3312E"/>
    <w:rsid w:val="00C332E5"/>
    <w:rsid w:val="00C33982"/>
    <w:rsid w:val="00C33991"/>
    <w:rsid w:val="00C33A44"/>
    <w:rsid w:val="00C343C5"/>
    <w:rsid w:val="00C343FC"/>
    <w:rsid w:val="00C3459C"/>
    <w:rsid w:val="00C349BC"/>
    <w:rsid w:val="00C34BD0"/>
    <w:rsid w:val="00C35063"/>
    <w:rsid w:val="00C352A2"/>
    <w:rsid w:val="00C35BB6"/>
    <w:rsid w:val="00C35DC8"/>
    <w:rsid w:val="00C36502"/>
    <w:rsid w:val="00C3651F"/>
    <w:rsid w:val="00C36633"/>
    <w:rsid w:val="00C36E9D"/>
    <w:rsid w:val="00C37683"/>
    <w:rsid w:val="00C37711"/>
    <w:rsid w:val="00C378BA"/>
    <w:rsid w:val="00C37C86"/>
    <w:rsid w:val="00C4054C"/>
    <w:rsid w:val="00C4073A"/>
    <w:rsid w:val="00C412B1"/>
    <w:rsid w:val="00C414B2"/>
    <w:rsid w:val="00C41EC5"/>
    <w:rsid w:val="00C421FB"/>
    <w:rsid w:val="00C430F6"/>
    <w:rsid w:val="00C4387C"/>
    <w:rsid w:val="00C43AC5"/>
    <w:rsid w:val="00C43B3D"/>
    <w:rsid w:val="00C4436C"/>
    <w:rsid w:val="00C44C40"/>
    <w:rsid w:val="00C4523D"/>
    <w:rsid w:val="00C45837"/>
    <w:rsid w:val="00C45D25"/>
    <w:rsid w:val="00C45E5B"/>
    <w:rsid w:val="00C45ED9"/>
    <w:rsid w:val="00C461B2"/>
    <w:rsid w:val="00C46396"/>
    <w:rsid w:val="00C4683D"/>
    <w:rsid w:val="00C46BDD"/>
    <w:rsid w:val="00C46C83"/>
    <w:rsid w:val="00C4769A"/>
    <w:rsid w:val="00C47C8E"/>
    <w:rsid w:val="00C47DCC"/>
    <w:rsid w:val="00C47DF4"/>
    <w:rsid w:val="00C47ED4"/>
    <w:rsid w:val="00C508EE"/>
    <w:rsid w:val="00C50981"/>
    <w:rsid w:val="00C51617"/>
    <w:rsid w:val="00C5180D"/>
    <w:rsid w:val="00C518DB"/>
    <w:rsid w:val="00C51E2C"/>
    <w:rsid w:val="00C51E66"/>
    <w:rsid w:val="00C5254D"/>
    <w:rsid w:val="00C52B72"/>
    <w:rsid w:val="00C52FC2"/>
    <w:rsid w:val="00C52FD1"/>
    <w:rsid w:val="00C53427"/>
    <w:rsid w:val="00C5352C"/>
    <w:rsid w:val="00C5359B"/>
    <w:rsid w:val="00C53957"/>
    <w:rsid w:val="00C53A20"/>
    <w:rsid w:val="00C53AF7"/>
    <w:rsid w:val="00C53DAD"/>
    <w:rsid w:val="00C5462F"/>
    <w:rsid w:val="00C54A8D"/>
    <w:rsid w:val="00C554B5"/>
    <w:rsid w:val="00C55834"/>
    <w:rsid w:val="00C55ABE"/>
    <w:rsid w:val="00C55E70"/>
    <w:rsid w:val="00C560A7"/>
    <w:rsid w:val="00C56905"/>
    <w:rsid w:val="00C56C20"/>
    <w:rsid w:val="00C56C83"/>
    <w:rsid w:val="00C56EF2"/>
    <w:rsid w:val="00C56FF9"/>
    <w:rsid w:val="00C570A6"/>
    <w:rsid w:val="00C5798C"/>
    <w:rsid w:val="00C579F3"/>
    <w:rsid w:val="00C57BEC"/>
    <w:rsid w:val="00C57D91"/>
    <w:rsid w:val="00C600B3"/>
    <w:rsid w:val="00C6065D"/>
    <w:rsid w:val="00C60C73"/>
    <w:rsid w:val="00C60CFE"/>
    <w:rsid w:val="00C60DE1"/>
    <w:rsid w:val="00C61023"/>
    <w:rsid w:val="00C610C0"/>
    <w:rsid w:val="00C61464"/>
    <w:rsid w:val="00C61872"/>
    <w:rsid w:val="00C61D4F"/>
    <w:rsid w:val="00C61E70"/>
    <w:rsid w:val="00C62164"/>
    <w:rsid w:val="00C62590"/>
    <w:rsid w:val="00C62A48"/>
    <w:rsid w:val="00C62FFE"/>
    <w:rsid w:val="00C63282"/>
    <w:rsid w:val="00C6337E"/>
    <w:rsid w:val="00C63D3E"/>
    <w:rsid w:val="00C6418E"/>
    <w:rsid w:val="00C641A2"/>
    <w:rsid w:val="00C64468"/>
    <w:rsid w:val="00C644E6"/>
    <w:rsid w:val="00C645C5"/>
    <w:rsid w:val="00C645F4"/>
    <w:rsid w:val="00C64713"/>
    <w:rsid w:val="00C65201"/>
    <w:rsid w:val="00C653C0"/>
    <w:rsid w:val="00C65799"/>
    <w:rsid w:val="00C65FE6"/>
    <w:rsid w:val="00C66383"/>
    <w:rsid w:val="00C66962"/>
    <w:rsid w:val="00C6739C"/>
    <w:rsid w:val="00C673F9"/>
    <w:rsid w:val="00C673FB"/>
    <w:rsid w:val="00C675F2"/>
    <w:rsid w:val="00C676AD"/>
    <w:rsid w:val="00C6779B"/>
    <w:rsid w:val="00C67953"/>
    <w:rsid w:val="00C679FD"/>
    <w:rsid w:val="00C67E8E"/>
    <w:rsid w:val="00C67EB2"/>
    <w:rsid w:val="00C7044D"/>
    <w:rsid w:val="00C7061A"/>
    <w:rsid w:val="00C707F0"/>
    <w:rsid w:val="00C715C0"/>
    <w:rsid w:val="00C718EF"/>
    <w:rsid w:val="00C718F0"/>
    <w:rsid w:val="00C72177"/>
    <w:rsid w:val="00C72372"/>
    <w:rsid w:val="00C723BB"/>
    <w:rsid w:val="00C727B3"/>
    <w:rsid w:val="00C7294D"/>
    <w:rsid w:val="00C73B04"/>
    <w:rsid w:val="00C741A6"/>
    <w:rsid w:val="00C74B8C"/>
    <w:rsid w:val="00C75938"/>
    <w:rsid w:val="00C759AA"/>
    <w:rsid w:val="00C75BF1"/>
    <w:rsid w:val="00C7630C"/>
    <w:rsid w:val="00C76379"/>
    <w:rsid w:val="00C763BC"/>
    <w:rsid w:val="00C76570"/>
    <w:rsid w:val="00C76AE0"/>
    <w:rsid w:val="00C76DCA"/>
    <w:rsid w:val="00C771DB"/>
    <w:rsid w:val="00C774ED"/>
    <w:rsid w:val="00C77815"/>
    <w:rsid w:val="00C802FB"/>
    <w:rsid w:val="00C8046D"/>
    <w:rsid w:val="00C804F6"/>
    <w:rsid w:val="00C808CE"/>
    <w:rsid w:val="00C81445"/>
    <w:rsid w:val="00C81868"/>
    <w:rsid w:val="00C8192B"/>
    <w:rsid w:val="00C819DD"/>
    <w:rsid w:val="00C81A8E"/>
    <w:rsid w:val="00C81B3A"/>
    <w:rsid w:val="00C81C16"/>
    <w:rsid w:val="00C81CD1"/>
    <w:rsid w:val="00C81E33"/>
    <w:rsid w:val="00C8268F"/>
    <w:rsid w:val="00C8284F"/>
    <w:rsid w:val="00C82867"/>
    <w:rsid w:val="00C82F0B"/>
    <w:rsid w:val="00C83020"/>
    <w:rsid w:val="00C83141"/>
    <w:rsid w:val="00C83535"/>
    <w:rsid w:val="00C83CD8"/>
    <w:rsid w:val="00C83D84"/>
    <w:rsid w:val="00C8447C"/>
    <w:rsid w:val="00C8454D"/>
    <w:rsid w:val="00C849A1"/>
    <w:rsid w:val="00C85278"/>
    <w:rsid w:val="00C85C23"/>
    <w:rsid w:val="00C85F9A"/>
    <w:rsid w:val="00C865EF"/>
    <w:rsid w:val="00C8679F"/>
    <w:rsid w:val="00C867A5"/>
    <w:rsid w:val="00C8684B"/>
    <w:rsid w:val="00C86B84"/>
    <w:rsid w:val="00C86D49"/>
    <w:rsid w:val="00C86F51"/>
    <w:rsid w:val="00C870DA"/>
    <w:rsid w:val="00C87334"/>
    <w:rsid w:val="00C87436"/>
    <w:rsid w:val="00C874EC"/>
    <w:rsid w:val="00C8798D"/>
    <w:rsid w:val="00C87B35"/>
    <w:rsid w:val="00C90024"/>
    <w:rsid w:val="00C901ED"/>
    <w:rsid w:val="00C902F9"/>
    <w:rsid w:val="00C9086A"/>
    <w:rsid w:val="00C90C06"/>
    <w:rsid w:val="00C90C34"/>
    <w:rsid w:val="00C90E0E"/>
    <w:rsid w:val="00C91517"/>
    <w:rsid w:val="00C91651"/>
    <w:rsid w:val="00C91787"/>
    <w:rsid w:val="00C917A4"/>
    <w:rsid w:val="00C91A1B"/>
    <w:rsid w:val="00C91BAC"/>
    <w:rsid w:val="00C91F17"/>
    <w:rsid w:val="00C922A2"/>
    <w:rsid w:val="00C9232C"/>
    <w:rsid w:val="00C923B6"/>
    <w:rsid w:val="00C92B59"/>
    <w:rsid w:val="00C92FB0"/>
    <w:rsid w:val="00C943A5"/>
    <w:rsid w:val="00C9447B"/>
    <w:rsid w:val="00C94735"/>
    <w:rsid w:val="00C94C97"/>
    <w:rsid w:val="00C952F1"/>
    <w:rsid w:val="00C95FA5"/>
    <w:rsid w:val="00C962B4"/>
    <w:rsid w:val="00C965D9"/>
    <w:rsid w:val="00C96753"/>
    <w:rsid w:val="00C96792"/>
    <w:rsid w:val="00C96836"/>
    <w:rsid w:val="00C9683A"/>
    <w:rsid w:val="00C96A2A"/>
    <w:rsid w:val="00C96C73"/>
    <w:rsid w:val="00C975B1"/>
    <w:rsid w:val="00C97A48"/>
    <w:rsid w:val="00C97BCE"/>
    <w:rsid w:val="00C97BCF"/>
    <w:rsid w:val="00C97C56"/>
    <w:rsid w:val="00C97CEE"/>
    <w:rsid w:val="00CA0377"/>
    <w:rsid w:val="00CA0962"/>
    <w:rsid w:val="00CA097C"/>
    <w:rsid w:val="00CA0D0C"/>
    <w:rsid w:val="00CA13DA"/>
    <w:rsid w:val="00CA1850"/>
    <w:rsid w:val="00CA2013"/>
    <w:rsid w:val="00CA20B8"/>
    <w:rsid w:val="00CA26EA"/>
    <w:rsid w:val="00CA2728"/>
    <w:rsid w:val="00CA2FA5"/>
    <w:rsid w:val="00CA2FB2"/>
    <w:rsid w:val="00CA3421"/>
    <w:rsid w:val="00CA3D3A"/>
    <w:rsid w:val="00CA3ECF"/>
    <w:rsid w:val="00CA42D6"/>
    <w:rsid w:val="00CA4596"/>
    <w:rsid w:val="00CA459A"/>
    <w:rsid w:val="00CA4681"/>
    <w:rsid w:val="00CA492E"/>
    <w:rsid w:val="00CA4B1D"/>
    <w:rsid w:val="00CA4C2A"/>
    <w:rsid w:val="00CA4DF8"/>
    <w:rsid w:val="00CA4FAF"/>
    <w:rsid w:val="00CA513F"/>
    <w:rsid w:val="00CA528A"/>
    <w:rsid w:val="00CA52F7"/>
    <w:rsid w:val="00CA5736"/>
    <w:rsid w:val="00CA5824"/>
    <w:rsid w:val="00CA5B15"/>
    <w:rsid w:val="00CA6669"/>
    <w:rsid w:val="00CA6C4B"/>
    <w:rsid w:val="00CA71E5"/>
    <w:rsid w:val="00CA78AE"/>
    <w:rsid w:val="00CA7C1C"/>
    <w:rsid w:val="00CA7DB0"/>
    <w:rsid w:val="00CA7E95"/>
    <w:rsid w:val="00CB03B3"/>
    <w:rsid w:val="00CB03DC"/>
    <w:rsid w:val="00CB06CD"/>
    <w:rsid w:val="00CB0775"/>
    <w:rsid w:val="00CB07D2"/>
    <w:rsid w:val="00CB0A0D"/>
    <w:rsid w:val="00CB15E9"/>
    <w:rsid w:val="00CB16B7"/>
    <w:rsid w:val="00CB1744"/>
    <w:rsid w:val="00CB175F"/>
    <w:rsid w:val="00CB1D27"/>
    <w:rsid w:val="00CB1D8E"/>
    <w:rsid w:val="00CB1F28"/>
    <w:rsid w:val="00CB25F1"/>
    <w:rsid w:val="00CB2628"/>
    <w:rsid w:val="00CB2ACC"/>
    <w:rsid w:val="00CB2BD5"/>
    <w:rsid w:val="00CB2FD8"/>
    <w:rsid w:val="00CB3296"/>
    <w:rsid w:val="00CB3746"/>
    <w:rsid w:val="00CB3ECA"/>
    <w:rsid w:val="00CB4119"/>
    <w:rsid w:val="00CB441D"/>
    <w:rsid w:val="00CB4EC7"/>
    <w:rsid w:val="00CB5141"/>
    <w:rsid w:val="00CB57DD"/>
    <w:rsid w:val="00CB5A5F"/>
    <w:rsid w:val="00CB5C55"/>
    <w:rsid w:val="00CB5F26"/>
    <w:rsid w:val="00CB61D1"/>
    <w:rsid w:val="00CB6462"/>
    <w:rsid w:val="00CB6643"/>
    <w:rsid w:val="00CB68FB"/>
    <w:rsid w:val="00CB729A"/>
    <w:rsid w:val="00CB777E"/>
    <w:rsid w:val="00CB7A8A"/>
    <w:rsid w:val="00CB7A9B"/>
    <w:rsid w:val="00CB7C93"/>
    <w:rsid w:val="00CB7D9C"/>
    <w:rsid w:val="00CC0241"/>
    <w:rsid w:val="00CC038D"/>
    <w:rsid w:val="00CC0390"/>
    <w:rsid w:val="00CC0445"/>
    <w:rsid w:val="00CC0844"/>
    <w:rsid w:val="00CC12BA"/>
    <w:rsid w:val="00CC1404"/>
    <w:rsid w:val="00CC1A37"/>
    <w:rsid w:val="00CC1D1A"/>
    <w:rsid w:val="00CC264B"/>
    <w:rsid w:val="00CC2EF9"/>
    <w:rsid w:val="00CC3186"/>
    <w:rsid w:val="00CC3B8C"/>
    <w:rsid w:val="00CC3E5A"/>
    <w:rsid w:val="00CC429D"/>
    <w:rsid w:val="00CC4693"/>
    <w:rsid w:val="00CC4A69"/>
    <w:rsid w:val="00CC5083"/>
    <w:rsid w:val="00CC516A"/>
    <w:rsid w:val="00CC5196"/>
    <w:rsid w:val="00CC521B"/>
    <w:rsid w:val="00CC52BB"/>
    <w:rsid w:val="00CC5519"/>
    <w:rsid w:val="00CC567A"/>
    <w:rsid w:val="00CC5796"/>
    <w:rsid w:val="00CC5956"/>
    <w:rsid w:val="00CC6260"/>
    <w:rsid w:val="00CC6734"/>
    <w:rsid w:val="00CC6909"/>
    <w:rsid w:val="00CC6B28"/>
    <w:rsid w:val="00CC7181"/>
    <w:rsid w:val="00CC755E"/>
    <w:rsid w:val="00CC77C7"/>
    <w:rsid w:val="00CC7989"/>
    <w:rsid w:val="00CC7A37"/>
    <w:rsid w:val="00CC7D09"/>
    <w:rsid w:val="00CD060C"/>
    <w:rsid w:val="00CD06DD"/>
    <w:rsid w:val="00CD0AEA"/>
    <w:rsid w:val="00CD10E7"/>
    <w:rsid w:val="00CD1404"/>
    <w:rsid w:val="00CD2BBF"/>
    <w:rsid w:val="00CD3D4F"/>
    <w:rsid w:val="00CD3E30"/>
    <w:rsid w:val="00CD3E49"/>
    <w:rsid w:val="00CD3F73"/>
    <w:rsid w:val="00CD4B1B"/>
    <w:rsid w:val="00CD50A2"/>
    <w:rsid w:val="00CD5284"/>
    <w:rsid w:val="00CD5F45"/>
    <w:rsid w:val="00CD5F5A"/>
    <w:rsid w:val="00CD5FC1"/>
    <w:rsid w:val="00CD5FD2"/>
    <w:rsid w:val="00CD608D"/>
    <w:rsid w:val="00CD62EB"/>
    <w:rsid w:val="00CD6728"/>
    <w:rsid w:val="00CD6A26"/>
    <w:rsid w:val="00CD6A63"/>
    <w:rsid w:val="00CD6EEC"/>
    <w:rsid w:val="00CD711C"/>
    <w:rsid w:val="00CD730C"/>
    <w:rsid w:val="00CD7356"/>
    <w:rsid w:val="00CD7EFC"/>
    <w:rsid w:val="00CE01DA"/>
    <w:rsid w:val="00CE0577"/>
    <w:rsid w:val="00CE09D8"/>
    <w:rsid w:val="00CE0C46"/>
    <w:rsid w:val="00CE105E"/>
    <w:rsid w:val="00CE1281"/>
    <w:rsid w:val="00CE1376"/>
    <w:rsid w:val="00CE1531"/>
    <w:rsid w:val="00CE186D"/>
    <w:rsid w:val="00CE1ECB"/>
    <w:rsid w:val="00CE21CD"/>
    <w:rsid w:val="00CE24FE"/>
    <w:rsid w:val="00CE2506"/>
    <w:rsid w:val="00CE28E3"/>
    <w:rsid w:val="00CE3033"/>
    <w:rsid w:val="00CE30B2"/>
    <w:rsid w:val="00CE3266"/>
    <w:rsid w:val="00CE3679"/>
    <w:rsid w:val="00CE37FC"/>
    <w:rsid w:val="00CE3F03"/>
    <w:rsid w:val="00CE411D"/>
    <w:rsid w:val="00CE4224"/>
    <w:rsid w:val="00CE4420"/>
    <w:rsid w:val="00CE4D72"/>
    <w:rsid w:val="00CE51A0"/>
    <w:rsid w:val="00CE52A3"/>
    <w:rsid w:val="00CE5B68"/>
    <w:rsid w:val="00CE5EA2"/>
    <w:rsid w:val="00CE60AA"/>
    <w:rsid w:val="00CE6266"/>
    <w:rsid w:val="00CE632B"/>
    <w:rsid w:val="00CE63F4"/>
    <w:rsid w:val="00CE6598"/>
    <w:rsid w:val="00CE71C9"/>
    <w:rsid w:val="00CE76D4"/>
    <w:rsid w:val="00CE7BDF"/>
    <w:rsid w:val="00CF0103"/>
    <w:rsid w:val="00CF03F0"/>
    <w:rsid w:val="00CF0590"/>
    <w:rsid w:val="00CF0911"/>
    <w:rsid w:val="00CF09BD"/>
    <w:rsid w:val="00CF0A9E"/>
    <w:rsid w:val="00CF0BEA"/>
    <w:rsid w:val="00CF0F9D"/>
    <w:rsid w:val="00CF10BD"/>
    <w:rsid w:val="00CF131C"/>
    <w:rsid w:val="00CF1325"/>
    <w:rsid w:val="00CF1467"/>
    <w:rsid w:val="00CF189F"/>
    <w:rsid w:val="00CF1A2D"/>
    <w:rsid w:val="00CF1C17"/>
    <w:rsid w:val="00CF257C"/>
    <w:rsid w:val="00CF26EF"/>
    <w:rsid w:val="00CF2913"/>
    <w:rsid w:val="00CF323E"/>
    <w:rsid w:val="00CF326B"/>
    <w:rsid w:val="00CF3533"/>
    <w:rsid w:val="00CF3965"/>
    <w:rsid w:val="00CF3B0D"/>
    <w:rsid w:val="00CF4155"/>
    <w:rsid w:val="00CF439F"/>
    <w:rsid w:val="00CF4495"/>
    <w:rsid w:val="00CF4AC4"/>
    <w:rsid w:val="00CF4BB9"/>
    <w:rsid w:val="00CF4EFC"/>
    <w:rsid w:val="00CF5AB0"/>
    <w:rsid w:val="00CF612B"/>
    <w:rsid w:val="00CF638F"/>
    <w:rsid w:val="00CF6411"/>
    <w:rsid w:val="00CF6841"/>
    <w:rsid w:val="00CF6FA2"/>
    <w:rsid w:val="00CF6FFA"/>
    <w:rsid w:val="00CF7120"/>
    <w:rsid w:val="00CF723C"/>
    <w:rsid w:val="00CF724C"/>
    <w:rsid w:val="00CF74F7"/>
    <w:rsid w:val="00CF7763"/>
    <w:rsid w:val="00CF779D"/>
    <w:rsid w:val="00CF7A1E"/>
    <w:rsid w:val="00CF7A55"/>
    <w:rsid w:val="00D000F2"/>
    <w:rsid w:val="00D001B4"/>
    <w:rsid w:val="00D0023E"/>
    <w:rsid w:val="00D003B7"/>
    <w:rsid w:val="00D0053E"/>
    <w:rsid w:val="00D00675"/>
    <w:rsid w:val="00D00850"/>
    <w:rsid w:val="00D00AA3"/>
    <w:rsid w:val="00D00E36"/>
    <w:rsid w:val="00D012D9"/>
    <w:rsid w:val="00D017EB"/>
    <w:rsid w:val="00D01C46"/>
    <w:rsid w:val="00D0230D"/>
    <w:rsid w:val="00D0281B"/>
    <w:rsid w:val="00D02F4F"/>
    <w:rsid w:val="00D032AF"/>
    <w:rsid w:val="00D038BF"/>
    <w:rsid w:val="00D03E6F"/>
    <w:rsid w:val="00D045E7"/>
    <w:rsid w:val="00D04A18"/>
    <w:rsid w:val="00D04C84"/>
    <w:rsid w:val="00D04CB3"/>
    <w:rsid w:val="00D04E61"/>
    <w:rsid w:val="00D05074"/>
    <w:rsid w:val="00D0591F"/>
    <w:rsid w:val="00D0601C"/>
    <w:rsid w:val="00D061EF"/>
    <w:rsid w:val="00D063C5"/>
    <w:rsid w:val="00D063CB"/>
    <w:rsid w:val="00D066DC"/>
    <w:rsid w:val="00D069EF"/>
    <w:rsid w:val="00D06CBA"/>
    <w:rsid w:val="00D06EAA"/>
    <w:rsid w:val="00D06FBB"/>
    <w:rsid w:val="00D0784D"/>
    <w:rsid w:val="00D07885"/>
    <w:rsid w:val="00D07909"/>
    <w:rsid w:val="00D10137"/>
    <w:rsid w:val="00D104DE"/>
    <w:rsid w:val="00D10DB1"/>
    <w:rsid w:val="00D1110B"/>
    <w:rsid w:val="00D1131D"/>
    <w:rsid w:val="00D117A5"/>
    <w:rsid w:val="00D1187B"/>
    <w:rsid w:val="00D1193A"/>
    <w:rsid w:val="00D11AF8"/>
    <w:rsid w:val="00D11FA2"/>
    <w:rsid w:val="00D12019"/>
    <w:rsid w:val="00D12CA8"/>
    <w:rsid w:val="00D12D3A"/>
    <w:rsid w:val="00D13C00"/>
    <w:rsid w:val="00D13E51"/>
    <w:rsid w:val="00D13ED0"/>
    <w:rsid w:val="00D1409F"/>
    <w:rsid w:val="00D1416E"/>
    <w:rsid w:val="00D14702"/>
    <w:rsid w:val="00D14799"/>
    <w:rsid w:val="00D1494A"/>
    <w:rsid w:val="00D14CD2"/>
    <w:rsid w:val="00D14E15"/>
    <w:rsid w:val="00D14E59"/>
    <w:rsid w:val="00D14FFD"/>
    <w:rsid w:val="00D153A3"/>
    <w:rsid w:val="00D15EB0"/>
    <w:rsid w:val="00D16068"/>
    <w:rsid w:val="00D160BB"/>
    <w:rsid w:val="00D16343"/>
    <w:rsid w:val="00D16729"/>
    <w:rsid w:val="00D16B73"/>
    <w:rsid w:val="00D16E1B"/>
    <w:rsid w:val="00D17023"/>
    <w:rsid w:val="00D17074"/>
    <w:rsid w:val="00D1737B"/>
    <w:rsid w:val="00D17A89"/>
    <w:rsid w:val="00D20031"/>
    <w:rsid w:val="00D2007F"/>
    <w:rsid w:val="00D20129"/>
    <w:rsid w:val="00D203E6"/>
    <w:rsid w:val="00D20548"/>
    <w:rsid w:val="00D20C47"/>
    <w:rsid w:val="00D21277"/>
    <w:rsid w:val="00D215A7"/>
    <w:rsid w:val="00D21DA6"/>
    <w:rsid w:val="00D21F2C"/>
    <w:rsid w:val="00D22101"/>
    <w:rsid w:val="00D226AC"/>
    <w:rsid w:val="00D22CCC"/>
    <w:rsid w:val="00D231D9"/>
    <w:rsid w:val="00D232FF"/>
    <w:rsid w:val="00D23584"/>
    <w:rsid w:val="00D236D7"/>
    <w:rsid w:val="00D237B2"/>
    <w:rsid w:val="00D2395B"/>
    <w:rsid w:val="00D23FA4"/>
    <w:rsid w:val="00D2423E"/>
    <w:rsid w:val="00D244DE"/>
    <w:rsid w:val="00D250C2"/>
    <w:rsid w:val="00D25460"/>
    <w:rsid w:val="00D25B4A"/>
    <w:rsid w:val="00D25D98"/>
    <w:rsid w:val="00D25EB4"/>
    <w:rsid w:val="00D2601E"/>
    <w:rsid w:val="00D267E2"/>
    <w:rsid w:val="00D26AE0"/>
    <w:rsid w:val="00D26D01"/>
    <w:rsid w:val="00D277EE"/>
    <w:rsid w:val="00D3019E"/>
    <w:rsid w:val="00D30375"/>
    <w:rsid w:val="00D305D9"/>
    <w:rsid w:val="00D3068C"/>
    <w:rsid w:val="00D313B3"/>
    <w:rsid w:val="00D3146D"/>
    <w:rsid w:val="00D32058"/>
    <w:rsid w:val="00D32334"/>
    <w:rsid w:val="00D323C8"/>
    <w:rsid w:val="00D32416"/>
    <w:rsid w:val="00D325A1"/>
    <w:rsid w:val="00D3292B"/>
    <w:rsid w:val="00D329CD"/>
    <w:rsid w:val="00D32B0B"/>
    <w:rsid w:val="00D32DAD"/>
    <w:rsid w:val="00D32DE6"/>
    <w:rsid w:val="00D32FF9"/>
    <w:rsid w:val="00D330EB"/>
    <w:rsid w:val="00D3347C"/>
    <w:rsid w:val="00D3394A"/>
    <w:rsid w:val="00D33F02"/>
    <w:rsid w:val="00D340DE"/>
    <w:rsid w:val="00D3424C"/>
    <w:rsid w:val="00D34716"/>
    <w:rsid w:val="00D347C8"/>
    <w:rsid w:val="00D34957"/>
    <w:rsid w:val="00D3507A"/>
    <w:rsid w:val="00D352AE"/>
    <w:rsid w:val="00D353AB"/>
    <w:rsid w:val="00D35836"/>
    <w:rsid w:val="00D358E7"/>
    <w:rsid w:val="00D358F7"/>
    <w:rsid w:val="00D35B6C"/>
    <w:rsid w:val="00D35C0B"/>
    <w:rsid w:val="00D36376"/>
    <w:rsid w:val="00D36583"/>
    <w:rsid w:val="00D36E67"/>
    <w:rsid w:val="00D36F88"/>
    <w:rsid w:val="00D370AE"/>
    <w:rsid w:val="00D377AE"/>
    <w:rsid w:val="00D37CDE"/>
    <w:rsid w:val="00D37EF5"/>
    <w:rsid w:val="00D4020D"/>
    <w:rsid w:val="00D402E2"/>
    <w:rsid w:val="00D4043D"/>
    <w:rsid w:val="00D40474"/>
    <w:rsid w:val="00D4050A"/>
    <w:rsid w:val="00D40988"/>
    <w:rsid w:val="00D40C21"/>
    <w:rsid w:val="00D40F1A"/>
    <w:rsid w:val="00D41233"/>
    <w:rsid w:val="00D4199F"/>
    <w:rsid w:val="00D419C9"/>
    <w:rsid w:val="00D42201"/>
    <w:rsid w:val="00D428B9"/>
    <w:rsid w:val="00D42934"/>
    <w:rsid w:val="00D42976"/>
    <w:rsid w:val="00D4317C"/>
    <w:rsid w:val="00D43246"/>
    <w:rsid w:val="00D432B1"/>
    <w:rsid w:val="00D43334"/>
    <w:rsid w:val="00D433A1"/>
    <w:rsid w:val="00D43954"/>
    <w:rsid w:val="00D44050"/>
    <w:rsid w:val="00D44466"/>
    <w:rsid w:val="00D44E4B"/>
    <w:rsid w:val="00D44E8C"/>
    <w:rsid w:val="00D456C0"/>
    <w:rsid w:val="00D45750"/>
    <w:rsid w:val="00D457EA"/>
    <w:rsid w:val="00D45996"/>
    <w:rsid w:val="00D45B23"/>
    <w:rsid w:val="00D45B73"/>
    <w:rsid w:val="00D45C42"/>
    <w:rsid w:val="00D45CB1"/>
    <w:rsid w:val="00D46368"/>
    <w:rsid w:val="00D4670B"/>
    <w:rsid w:val="00D4692D"/>
    <w:rsid w:val="00D46945"/>
    <w:rsid w:val="00D47207"/>
    <w:rsid w:val="00D47270"/>
    <w:rsid w:val="00D474E4"/>
    <w:rsid w:val="00D4750A"/>
    <w:rsid w:val="00D477FF"/>
    <w:rsid w:val="00D47BE0"/>
    <w:rsid w:val="00D5030A"/>
    <w:rsid w:val="00D5096A"/>
    <w:rsid w:val="00D50ADA"/>
    <w:rsid w:val="00D50B25"/>
    <w:rsid w:val="00D511DE"/>
    <w:rsid w:val="00D5186F"/>
    <w:rsid w:val="00D51F9F"/>
    <w:rsid w:val="00D521D3"/>
    <w:rsid w:val="00D52345"/>
    <w:rsid w:val="00D52890"/>
    <w:rsid w:val="00D52A00"/>
    <w:rsid w:val="00D52BBD"/>
    <w:rsid w:val="00D52E54"/>
    <w:rsid w:val="00D52FF5"/>
    <w:rsid w:val="00D530E0"/>
    <w:rsid w:val="00D5326B"/>
    <w:rsid w:val="00D537F7"/>
    <w:rsid w:val="00D539A6"/>
    <w:rsid w:val="00D53C31"/>
    <w:rsid w:val="00D54B8F"/>
    <w:rsid w:val="00D55314"/>
    <w:rsid w:val="00D55415"/>
    <w:rsid w:val="00D55955"/>
    <w:rsid w:val="00D55A8D"/>
    <w:rsid w:val="00D565EB"/>
    <w:rsid w:val="00D56875"/>
    <w:rsid w:val="00D56A23"/>
    <w:rsid w:val="00D56A63"/>
    <w:rsid w:val="00D56BD4"/>
    <w:rsid w:val="00D56D18"/>
    <w:rsid w:val="00D56DFA"/>
    <w:rsid w:val="00D57468"/>
    <w:rsid w:val="00D57B74"/>
    <w:rsid w:val="00D57BEF"/>
    <w:rsid w:val="00D57CE8"/>
    <w:rsid w:val="00D57EEC"/>
    <w:rsid w:val="00D60650"/>
    <w:rsid w:val="00D607D5"/>
    <w:rsid w:val="00D60D1C"/>
    <w:rsid w:val="00D60E22"/>
    <w:rsid w:val="00D61134"/>
    <w:rsid w:val="00D61302"/>
    <w:rsid w:val="00D6140A"/>
    <w:rsid w:val="00D6196E"/>
    <w:rsid w:val="00D61EAA"/>
    <w:rsid w:val="00D624C1"/>
    <w:rsid w:val="00D62842"/>
    <w:rsid w:val="00D62865"/>
    <w:rsid w:val="00D629BC"/>
    <w:rsid w:val="00D62A5D"/>
    <w:rsid w:val="00D62D1C"/>
    <w:rsid w:val="00D62E21"/>
    <w:rsid w:val="00D62F4D"/>
    <w:rsid w:val="00D6308D"/>
    <w:rsid w:val="00D63270"/>
    <w:rsid w:val="00D632D5"/>
    <w:rsid w:val="00D635C6"/>
    <w:rsid w:val="00D636CD"/>
    <w:rsid w:val="00D63A80"/>
    <w:rsid w:val="00D63C91"/>
    <w:rsid w:val="00D63FAC"/>
    <w:rsid w:val="00D642A0"/>
    <w:rsid w:val="00D64505"/>
    <w:rsid w:val="00D6464A"/>
    <w:rsid w:val="00D64906"/>
    <w:rsid w:val="00D64999"/>
    <w:rsid w:val="00D64F59"/>
    <w:rsid w:val="00D64F62"/>
    <w:rsid w:val="00D65045"/>
    <w:rsid w:val="00D652D9"/>
    <w:rsid w:val="00D653D3"/>
    <w:rsid w:val="00D65C47"/>
    <w:rsid w:val="00D66C06"/>
    <w:rsid w:val="00D66D24"/>
    <w:rsid w:val="00D67091"/>
    <w:rsid w:val="00D67210"/>
    <w:rsid w:val="00D67538"/>
    <w:rsid w:val="00D67714"/>
    <w:rsid w:val="00D6778F"/>
    <w:rsid w:val="00D701D9"/>
    <w:rsid w:val="00D70A9F"/>
    <w:rsid w:val="00D70DDA"/>
    <w:rsid w:val="00D7186F"/>
    <w:rsid w:val="00D721AC"/>
    <w:rsid w:val="00D72696"/>
    <w:rsid w:val="00D72785"/>
    <w:rsid w:val="00D727A3"/>
    <w:rsid w:val="00D7322E"/>
    <w:rsid w:val="00D73507"/>
    <w:rsid w:val="00D73700"/>
    <w:rsid w:val="00D73843"/>
    <w:rsid w:val="00D73AD9"/>
    <w:rsid w:val="00D73AEF"/>
    <w:rsid w:val="00D73F1D"/>
    <w:rsid w:val="00D74555"/>
    <w:rsid w:val="00D745B0"/>
    <w:rsid w:val="00D746A4"/>
    <w:rsid w:val="00D74783"/>
    <w:rsid w:val="00D74B41"/>
    <w:rsid w:val="00D74BD0"/>
    <w:rsid w:val="00D7519A"/>
    <w:rsid w:val="00D75C72"/>
    <w:rsid w:val="00D75E6B"/>
    <w:rsid w:val="00D76079"/>
    <w:rsid w:val="00D76984"/>
    <w:rsid w:val="00D770EB"/>
    <w:rsid w:val="00D771D2"/>
    <w:rsid w:val="00D77248"/>
    <w:rsid w:val="00D777E5"/>
    <w:rsid w:val="00D77B20"/>
    <w:rsid w:val="00D80508"/>
    <w:rsid w:val="00D8066D"/>
    <w:rsid w:val="00D806EC"/>
    <w:rsid w:val="00D80817"/>
    <w:rsid w:val="00D8091D"/>
    <w:rsid w:val="00D80C29"/>
    <w:rsid w:val="00D81067"/>
    <w:rsid w:val="00D81AAF"/>
    <w:rsid w:val="00D81E46"/>
    <w:rsid w:val="00D81EC4"/>
    <w:rsid w:val="00D82289"/>
    <w:rsid w:val="00D8307A"/>
    <w:rsid w:val="00D83133"/>
    <w:rsid w:val="00D8316D"/>
    <w:rsid w:val="00D831BE"/>
    <w:rsid w:val="00D83B51"/>
    <w:rsid w:val="00D83B78"/>
    <w:rsid w:val="00D83CFC"/>
    <w:rsid w:val="00D83EB6"/>
    <w:rsid w:val="00D8449A"/>
    <w:rsid w:val="00D84EC1"/>
    <w:rsid w:val="00D84ECA"/>
    <w:rsid w:val="00D8525E"/>
    <w:rsid w:val="00D859C3"/>
    <w:rsid w:val="00D85BD5"/>
    <w:rsid w:val="00D85C4B"/>
    <w:rsid w:val="00D85C7F"/>
    <w:rsid w:val="00D860F8"/>
    <w:rsid w:val="00D86233"/>
    <w:rsid w:val="00D86406"/>
    <w:rsid w:val="00D8676C"/>
    <w:rsid w:val="00D869D2"/>
    <w:rsid w:val="00D86C08"/>
    <w:rsid w:val="00D87076"/>
    <w:rsid w:val="00D871F2"/>
    <w:rsid w:val="00D877DE"/>
    <w:rsid w:val="00D878E1"/>
    <w:rsid w:val="00D87A6C"/>
    <w:rsid w:val="00D9041B"/>
    <w:rsid w:val="00D905A0"/>
    <w:rsid w:val="00D908EC"/>
    <w:rsid w:val="00D908FD"/>
    <w:rsid w:val="00D90AD8"/>
    <w:rsid w:val="00D90ADA"/>
    <w:rsid w:val="00D90DBB"/>
    <w:rsid w:val="00D9141D"/>
    <w:rsid w:val="00D917C6"/>
    <w:rsid w:val="00D91B1C"/>
    <w:rsid w:val="00D91D08"/>
    <w:rsid w:val="00D92093"/>
    <w:rsid w:val="00D92106"/>
    <w:rsid w:val="00D921BC"/>
    <w:rsid w:val="00D9274A"/>
    <w:rsid w:val="00D931F6"/>
    <w:rsid w:val="00D9323C"/>
    <w:rsid w:val="00D9340B"/>
    <w:rsid w:val="00D93529"/>
    <w:rsid w:val="00D935E2"/>
    <w:rsid w:val="00D9368D"/>
    <w:rsid w:val="00D939B1"/>
    <w:rsid w:val="00D93A17"/>
    <w:rsid w:val="00D93DA0"/>
    <w:rsid w:val="00D9469E"/>
    <w:rsid w:val="00D946C9"/>
    <w:rsid w:val="00D94794"/>
    <w:rsid w:val="00D947EA"/>
    <w:rsid w:val="00D94925"/>
    <w:rsid w:val="00D94944"/>
    <w:rsid w:val="00D949AF"/>
    <w:rsid w:val="00D94CF3"/>
    <w:rsid w:val="00D94DB7"/>
    <w:rsid w:val="00D94E6C"/>
    <w:rsid w:val="00D95CF6"/>
    <w:rsid w:val="00D9603E"/>
    <w:rsid w:val="00D9670F"/>
    <w:rsid w:val="00D967A8"/>
    <w:rsid w:val="00D968E2"/>
    <w:rsid w:val="00D96D27"/>
    <w:rsid w:val="00D96F1F"/>
    <w:rsid w:val="00D973AF"/>
    <w:rsid w:val="00D976A2"/>
    <w:rsid w:val="00D97E43"/>
    <w:rsid w:val="00D97EFF"/>
    <w:rsid w:val="00D97FAC"/>
    <w:rsid w:val="00DA058E"/>
    <w:rsid w:val="00DA0AEC"/>
    <w:rsid w:val="00DA0E37"/>
    <w:rsid w:val="00DA0E49"/>
    <w:rsid w:val="00DA118D"/>
    <w:rsid w:val="00DA16E6"/>
    <w:rsid w:val="00DA17E6"/>
    <w:rsid w:val="00DA1846"/>
    <w:rsid w:val="00DA1CEC"/>
    <w:rsid w:val="00DA1F56"/>
    <w:rsid w:val="00DA2410"/>
    <w:rsid w:val="00DA3064"/>
    <w:rsid w:val="00DA3370"/>
    <w:rsid w:val="00DA353A"/>
    <w:rsid w:val="00DA3B4F"/>
    <w:rsid w:val="00DA43AB"/>
    <w:rsid w:val="00DA444E"/>
    <w:rsid w:val="00DA4797"/>
    <w:rsid w:val="00DA4876"/>
    <w:rsid w:val="00DA512C"/>
    <w:rsid w:val="00DA52C7"/>
    <w:rsid w:val="00DA59E4"/>
    <w:rsid w:val="00DA6765"/>
    <w:rsid w:val="00DA68C5"/>
    <w:rsid w:val="00DA70A1"/>
    <w:rsid w:val="00DA76B2"/>
    <w:rsid w:val="00DA7BEC"/>
    <w:rsid w:val="00DA7CD1"/>
    <w:rsid w:val="00DA7E39"/>
    <w:rsid w:val="00DB003C"/>
    <w:rsid w:val="00DB052F"/>
    <w:rsid w:val="00DB0FC6"/>
    <w:rsid w:val="00DB1205"/>
    <w:rsid w:val="00DB12D5"/>
    <w:rsid w:val="00DB16C7"/>
    <w:rsid w:val="00DB1943"/>
    <w:rsid w:val="00DB1E91"/>
    <w:rsid w:val="00DB1FB3"/>
    <w:rsid w:val="00DB23D4"/>
    <w:rsid w:val="00DB2434"/>
    <w:rsid w:val="00DB26C3"/>
    <w:rsid w:val="00DB26C5"/>
    <w:rsid w:val="00DB34D9"/>
    <w:rsid w:val="00DB4410"/>
    <w:rsid w:val="00DB4599"/>
    <w:rsid w:val="00DB45B4"/>
    <w:rsid w:val="00DB4809"/>
    <w:rsid w:val="00DB49D5"/>
    <w:rsid w:val="00DB4BFA"/>
    <w:rsid w:val="00DB4C02"/>
    <w:rsid w:val="00DB4D08"/>
    <w:rsid w:val="00DB5117"/>
    <w:rsid w:val="00DB53CA"/>
    <w:rsid w:val="00DB5FA9"/>
    <w:rsid w:val="00DB6031"/>
    <w:rsid w:val="00DB60E1"/>
    <w:rsid w:val="00DB664A"/>
    <w:rsid w:val="00DB6B0F"/>
    <w:rsid w:val="00DB6D33"/>
    <w:rsid w:val="00DB6DBA"/>
    <w:rsid w:val="00DB6DE0"/>
    <w:rsid w:val="00DB6F19"/>
    <w:rsid w:val="00DB7383"/>
    <w:rsid w:val="00DB7463"/>
    <w:rsid w:val="00DB7779"/>
    <w:rsid w:val="00DB79AF"/>
    <w:rsid w:val="00DB7B77"/>
    <w:rsid w:val="00DB7C1C"/>
    <w:rsid w:val="00DB7DB3"/>
    <w:rsid w:val="00DC00F1"/>
    <w:rsid w:val="00DC017F"/>
    <w:rsid w:val="00DC034E"/>
    <w:rsid w:val="00DC099F"/>
    <w:rsid w:val="00DC0D8C"/>
    <w:rsid w:val="00DC103A"/>
    <w:rsid w:val="00DC110B"/>
    <w:rsid w:val="00DC11C2"/>
    <w:rsid w:val="00DC13AA"/>
    <w:rsid w:val="00DC13D4"/>
    <w:rsid w:val="00DC14AF"/>
    <w:rsid w:val="00DC1543"/>
    <w:rsid w:val="00DC1628"/>
    <w:rsid w:val="00DC1720"/>
    <w:rsid w:val="00DC1FEE"/>
    <w:rsid w:val="00DC2108"/>
    <w:rsid w:val="00DC2201"/>
    <w:rsid w:val="00DC3633"/>
    <w:rsid w:val="00DC393F"/>
    <w:rsid w:val="00DC3DC9"/>
    <w:rsid w:val="00DC4108"/>
    <w:rsid w:val="00DC487C"/>
    <w:rsid w:val="00DC4963"/>
    <w:rsid w:val="00DC4EC7"/>
    <w:rsid w:val="00DC4EEA"/>
    <w:rsid w:val="00DC4F64"/>
    <w:rsid w:val="00DC50C5"/>
    <w:rsid w:val="00DC54F3"/>
    <w:rsid w:val="00DC56F7"/>
    <w:rsid w:val="00DC592D"/>
    <w:rsid w:val="00DC5BF8"/>
    <w:rsid w:val="00DC62B1"/>
    <w:rsid w:val="00DC62BA"/>
    <w:rsid w:val="00DC6381"/>
    <w:rsid w:val="00DC63C9"/>
    <w:rsid w:val="00DC64A7"/>
    <w:rsid w:val="00DC704D"/>
    <w:rsid w:val="00DC7809"/>
    <w:rsid w:val="00DC7DFD"/>
    <w:rsid w:val="00DC7EB1"/>
    <w:rsid w:val="00DD01C7"/>
    <w:rsid w:val="00DD07C4"/>
    <w:rsid w:val="00DD0953"/>
    <w:rsid w:val="00DD0DBE"/>
    <w:rsid w:val="00DD0DF8"/>
    <w:rsid w:val="00DD1065"/>
    <w:rsid w:val="00DD10A8"/>
    <w:rsid w:val="00DD1236"/>
    <w:rsid w:val="00DD127C"/>
    <w:rsid w:val="00DD1350"/>
    <w:rsid w:val="00DD15A9"/>
    <w:rsid w:val="00DD160F"/>
    <w:rsid w:val="00DD1692"/>
    <w:rsid w:val="00DD17BF"/>
    <w:rsid w:val="00DD1925"/>
    <w:rsid w:val="00DD1A95"/>
    <w:rsid w:val="00DD1AC6"/>
    <w:rsid w:val="00DD1E1E"/>
    <w:rsid w:val="00DD1E97"/>
    <w:rsid w:val="00DD2308"/>
    <w:rsid w:val="00DD288B"/>
    <w:rsid w:val="00DD29ED"/>
    <w:rsid w:val="00DD2C81"/>
    <w:rsid w:val="00DD33B7"/>
    <w:rsid w:val="00DD3468"/>
    <w:rsid w:val="00DD3976"/>
    <w:rsid w:val="00DD3A3A"/>
    <w:rsid w:val="00DD3D28"/>
    <w:rsid w:val="00DD4469"/>
    <w:rsid w:val="00DD47CE"/>
    <w:rsid w:val="00DD4C08"/>
    <w:rsid w:val="00DD4F0A"/>
    <w:rsid w:val="00DD5825"/>
    <w:rsid w:val="00DD5C13"/>
    <w:rsid w:val="00DD5D1E"/>
    <w:rsid w:val="00DD5EE7"/>
    <w:rsid w:val="00DD6027"/>
    <w:rsid w:val="00DD6032"/>
    <w:rsid w:val="00DD6160"/>
    <w:rsid w:val="00DD6518"/>
    <w:rsid w:val="00DD6C5E"/>
    <w:rsid w:val="00DD6DAD"/>
    <w:rsid w:val="00DD6E37"/>
    <w:rsid w:val="00DD6F86"/>
    <w:rsid w:val="00DD7498"/>
    <w:rsid w:val="00DD75F0"/>
    <w:rsid w:val="00DD761C"/>
    <w:rsid w:val="00DD785E"/>
    <w:rsid w:val="00DD7C3C"/>
    <w:rsid w:val="00DE03A1"/>
    <w:rsid w:val="00DE046D"/>
    <w:rsid w:val="00DE04D6"/>
    <w:rsid w:val="00DE06C4"/>
    <w:rsid w:val="00DE09D6"/>
    <w:rsid w:val="00DE0AC4"/>
    <w:rsid w:val="00DE0FA3"/>
    <w:rsid w:val="00DE0FDD"/>
    <w:rsid w:val="00DE156D"/>
    <w:rsid w:val="00DE1A50"/>
    <w:rsid w:val="00DE1F0E"/>
    <w:rsid w:val="00DE212F"/>
    <w:rsid w:val="00DE2458"/>
    <w:rsid w:val="00DE2496"/>
    <w:rsid w:val="00DE3252"/>
    <w:rsid w:val="00DE3936"/>
    <w:rsid w:val="00DE3D20"/>
    <w:rsid w:val="00DE3F35"/>
    <w:rsid w:val="00DE4419"/>
    <w:rsid w:val="00DE45F4"/>
    <w:rsid w:val="00DE4745"/>
    <w:rsid w:val="00DE4E3A"/>
    <w:rsid w:val="00DE4F19"/>
    <w:rsid w:val="00DE52F2"/>
    <w:rsid w:val="00DE5AA0"/>
    <w:rsid w:val="00DE5C7F"/>
    <w:rsid w:val="00DE5CA0"/>
    <w:rsid w:val="00DE6163"/>
    <w:rsid w:val="00DE61D4"/>
    <w:rsid w:val="00DE6300"/>
    <w:rsid w:val="00DE656F"/>
    <w:rsid w:val="00DE65C3"/>
    <w:rsid w:val="00DE65C7"/>
    <w:rsid w:val="00DE6B34"/>
    <w:rsid w:val="00DE6D7F"/>
    <w:rsid w:val="00DE6E50"/>
    <w:rsid w:val="00DE7007"/>
    <w:rsid w:val="00DE7054"/>
    <w:rsid w:val="00DE7099"/>
    <w:rsid w:val="00DE7332"/>
    <w:rsid w:val="00DE7366"/>
    <w:rsid w:val="00DE7A3F"/>
    <w:rsid w:val="00DE7DAB"/>
    <w:rsid w:val="00DF006C"/>
    <w:rsid w:val="00DF0412"/>
    <w:rsid w:val="00DF07D0"/>
    <w:rsid w:val="00DF0A79"/>
    <w:rsid w:val="00DF0FAA"/>
    <w:rsid w:val="00DF11AB"/>
    <w:rsid w:val="00DF125D"/>
    <w:rsid w:val="00DF1494"/>
    <w:rsid w:val="00DF1A3D"/>
    <w:rsid w:val="00DF241B"/>
    <w:rsid w:val="00DF341B"/>
    <w:rsid w:val="00DF36DB"/>
    <w:rsid w:val="00DF37AD"/>
    <w:rsid w:val="00DF3847"/>
    <w:rsid w:val="00DF3883"/>
    <w:rsid w:val="00DF39E9"/>
    <w:rsid w:val="00DF431B"/>
    <w:rsid w:val="00DF474B"/>
    <w:rsid w:val="00DF4F50"/>
    <w:rsid w:val="00DF56BC"/>
    <w:rsid w:val="00DF5B74"/>
    <w:rsid w:val="00DF5EF8"/>
    <w:rsid w:val="00DF5FAF"/>
    <w:rsid w:val="00DF6429"/>
    <w:rsid w:val="00DF645B"/>
    <w:rsid w:val="00DF660A"/>
    <w:rsid w:val="00DF6A68"/>
    <w:rsid w:val="00DF6A79"/>
    <w:rsid w:val="00DF7112"/>
    <w:rsid w:val="00DF719F"/>
    <w:rsid w:val="00DF73FE"/>
    <w:rsid w:val="00DF74D9"/>
    <w:rsid w:val="00DF7DFE"/>
    <w:rsid w:val="00DF7F8F"/>
    <w:rsid w:val="00E00865"/>
    <w:rsid w:val="00E00B2F"/>
    <w:rsid w:val="00E00E5E"/>
    <w:rsid w:val="00E013CF"/>
    <w:rsid w:val="00E01568"/>
    <w:rsid w:val="00E018C7"/>
    <w:rsid w:val="00E01998"/>
    <w:rsid w:val="00E01B0F"/>
    <w:rsid w:val="00E01BBB"/>
    <w:rsid w:val="00E01EA2"/>
    <w:rsid w:val="00E02068"/>
    <w:rsid w:val="00E025D9"/>
    <w:rsid w:val="00E026F4"/>
    <w:rsid w:val="00E02EF3"/>
    <w:rsid w:val="00E02FD2"/>
    <w:rsid w:val="00E032BE"/>
    <w:rsid w:val="00E03553"/>
    <w:rsid w:val="00E0360B"/>
    <w:rsid w:val="00E03610"/>
    <w:rsid w:val="00E03A96"/>
    <w:rsid w:val="00E03C4E"/>
    <w:rsid w:val="00E03CD7"/>
    <w:rsid w:val="00E03DF0"/>
    <w:rsid w:val="00E04E0F"/>
    <w:rsid w:val="00E04EC9"/>
    <w:rsid w:val="00E05327"/>
    <w:rsid w:val="00E05384"/>
    <w:rsid w:val="00E05523"/>
    <w:rsid w:val="00E05682"/>
    <w:rsid w:val="00E056F2"/>
    <w:rsid w:val="00E05D56"/>
    <w:rsid w:val="00E068B0"/>
    <w:rsid w:val="00E0692F"/>
    <w:rsid w:val="00E06F65"/>
    <w:rsid w:val="00E076EF"/>
    <w:rsid w:val="00E079A3"/>
    <w:rsid w:val="00E079B8"/>
    <w:rsid w:val="00E07CC6"/>
    <w:rsid w:val="00E10145"/>
    <w:rsid w:val="00E1014F"/>
    <w:rsid w:val="00E10328"/>
    <w:rsid w:val="00E105A9"/>
    <w:rsid w:val="00E10BAC"/>
    <w:rsid w:val="00E1161C"/>
    <w:rsid w:val="00E11714"/>
    <w:rsid w:val="00E11997"/>
    <w:rsid w:val="00E11D8C"/>
    <w:rsid w:val="00E11F70"/>
    <w:rsid w:val="00E12170"/>
    <w:rsid w:val="00E125E5"/>
    <w:rsid w:val="00E12638"/>
    <w:rsid w:val="00E12E3D"/>
    <w:rsid w:val="00E1362D"/>
    <w:rsid w:val="00E14146"/>
    <w:rsid w:val="00E1429C"/>
    <w:rsid w:val="00E143F2"/>
    <w:rsid w:val="00E14434"/>
    <w:rsid w:val="00E14560"/>
    <w:rsid w:val="00E146D8"/>
    <w:rsid w:val="00E14BC5"/>
    <w:rsid w:val="00E14DF7"/>
    <w:rsid w:val="00E14F05"/>
    <w:rsid w:val="00E15056"/>
    <w:rsid w:val="00E1566E"/>
    <w:rsid w:val="00E157DC"/>
    <w:rsid w:val="00E1592E"/>
    <w:rsid w:val="00E15D13"/>
    <w:rsid w:val="00E15DB1"/>
    <w:rsid w:val="00E16241"/>
    <w:rsid w:val="00E165F4"/>
    <w:rsid w:val="00E16747"/>
    <w:rsid w:val="00E169F5"/>
    <w:rsid w:val="00E16FC2"/>
    <w:rsid w:val="00E1720A"/>
    <w:rsid w:val="00E173BB"/>
    <w:rsid w:val="00E17552"/>
    <w:rsid w:val="00E177DF"/>
    <w:rsid w:val="00E178B4"/>
    <w:rsid w:val="00E17A01"/>
    <w:rsid w:val="00E20371"/>
    <w:rsid w:val="00E2079C"/>
    <w:rsid w:val="00E20975"/>
    <w:rsid w:val="00E20F4B"/>
    <w:rsid w:val="00E211F0"/>
    <w:rsid w:val="00E217C6"/>
    <w:rsid w:val="00E217E2"/>
    <w:rsid w:val="00E218A0"/>
    <w:rsid w:val="00E21A67"/>
    <w:rsid w:val="00E21B03"/>
    <w:rsid w:val="00E21B6D"/>
    <w:rsid w:val="00E22445"/>
    <w:rsid w:val="00E225DD"/>
    <w:rsid w:val="00E22F08"/>
    <w:rsid w:val="00E22F48"/>
    <w:rsid w:val="00E233BD"/>
    <w:rsid w:val="00E23B8A"/>
    <w:rsid w:val="00E23BF9"/>
    <w:rsid w:val="00E23DFC"/>
    <w:rsid w:val="00E24218"/>
    <w:rsid w:val="00E24330"/>
    <w:rsid w:val="00E25231"/>
    <w:rsid w:val="00E252A1"/>
    <w:rsid w:val="00E2545D"/>
    <w:rsid w:val="00E25562"/>
    <w:rsid w:val="00E259D5"/>
    <w:rsid w:val="00E25AAE"/>
    <w:rsid w:val="00E26053"/>
    <w:rsid w:val="00E260A3"/>
    <w:rsid w:val="00E26D15"/>
    <w:rsid w:val="00E26EA3"/>
    <w:rsid w:val="00E277D9"/>
    <w:rsid w:val="00E27B36"/>
    <w:rsid w:val="00E27DDB"/>
    <w:rsid w:val="00E305F7"/>
    <w:rsid w:val="00E30722"/>
    <w:rsid w:val="00E3080A"/>
    <w:rsid w:val="00E30A66"/>
    <w:rsid w:val="00E312DB"/>
    <w:rsid w:val="00E31702"/>
    <w:rsid w:val="00E31B75"/>
    <w:rsid w:val="00E3202D"/>
    <w:rsid w:val="00E3242E"/>
    <w:rsid w:val="00E330C9"/>
    <w:rsid w:val="00E331E1"/>
    <w:rsid w:val="00E331F5"/>
    <w:rsid w:val="00E3330E"/>
    <w:rsid w:val="00E3338F"/>
    <w:rsid w:val="00E3351F"/>
    <w:rsid w:val="00E33992"/>
    <w:rsid w:val="00E33CB0"/>
    <w:rsid w:val="00E33DF1"/>
    <w:rsid w:val="00E33E73"/>
    <w:rsid w:val="00E340A9"/>
    <w:rsid w:val="00E349B8"/>
    <w:rsid w:val="00E34A38"/>
    <w:rsid w:val="00E34C66"/>
    <w:rsid w:val="00E35460"/>
    <w:rsid w:val="00E360A3"/>
    <w:rsid w:val="00E36970"/>
    <w:rsid w:val="00E369AB"/>
    <w:rsid w:val="00E36B17"/>
    <w:rsid w:val="00E36C3C"/>
    <w:rsid w:val="00E36F69"/>
    <w:rsid w:val="00E37537"/>
    <w:rsid w:val="00E3780B"/>
    <w:rsid w:val="00E4045F"/>
    <w:rsid w:val="00E40A2D"/>
    <w:rsid w:val="00E40CE2"/>
    <w:rsid w:val="00E40DAE"/>
    <w:rsid w:val="00E40F62"/>
    <w:rsid w:val="00E41BC8"/>
    <w:rsid w:val="00E42041"/>
    <w:rsid w:val="00E42062"/>
    <w:rsid w:val="00E4239E"/>
    <w:rsid w:val="00E426C8"/>
    <w:rsid w:val="00E4282D"/>
    <w:rsid w:val="00E42AD4"/>
    <w:rsid w:val="00E43249"/>
    <w:rsid w:val="00E435B4"/>
    <w:rsid w:val="00E436A2"/>
    <w:rsid w:val="00E438D8"/>
    <w:rsid w:val="00E43B6F"/>
    <w:rsid w:val="00E43C76"/>
    <w:rsid w:val="00E43EAB"/>
    <w:rsid w:val="00E440F7"/>
    <w:rsid w:val="00E44685"/>
    <w:rsid w:val="00E44A5A"/>
    <w:rsid w:val="00E4560D"/>
    <w:rsid w:val="00E458D8"/>
    <w:rsid w:val="00E45AD9"/>
    <w:rsid w:val="00E45D56"/>
    <w:rsid w:val="00E46598"/>
    <w:rsid w:val="00E47772"/>
    <w:rsid w:val="00E47CA7"/>
    <w:rsid w:val="00E5032A"/>
    <w:rsid w:val="00E505CE"/>
    <w:rsid w:val="00E51005"/>
    <w:rsid w:val="00E518A7"/>
    <w:rsid w:val="00E51916"/>
    <w:rsid w:val="00E5193A"/>
    <w:rsid w:val="00E51D1A"/>
    <w:rsid w:val="00E524FF"/>
    <w:rsid w:val="00E52703"/>
    <w:rsid w:val="00E529F5"/>
    <w:rsid w:val="00E52C32"/>
    <w:rsid w:val="00E52DB1"/>
    <w:rsid w:val="00E532F3"/>
    <w:rsid w:val="00E5356B"/>
    <w:rsid w:val="00E53E00"/>
    <w:rsid w:val="00E54221"/>
    <w:rsid w:val="00E5466B"/>
    <w:rsid w:val="00E54880"/>
    <w:rsid w:val="00E54B2B"/>
    <w:rsid w:val="00E55421"/>
    <w:rsid w:val="00E5569A"/>
    <w:rsid w:val="00E55BEB"/>
    <w:rsid w:val="00E55C4F"/>
    <w:rsid w:val="00E55D09"/>
    <w:rsid w:val="00E55DCF"/>
    <w:rsid w:val="00E55F21"/>
    <w:rsid w:val="00E5650A"/>
    <w:rsid w:val="00E569DC"/>
    <w:rsid w:val="00E56C38"/>
    <w:rsid w:val="00E57135"/>
    <w:rsid w:val="00E57160"/>
    <w:rsid w:val="00E574EC"/>
    <w:rsid w:val="00E57CD3"/>
    <w:rsid w:val="00E57F9C"/>
    <w:rsid w:val="00E603AC"/>
    <w:rsid w:val="00E6064C"/>
    <w:rsid w:val="00E60EA1"/>
    <w:rsid w:val="00E615F9"/>
    <w:rsid w:val="00E6193C"/>
    <w:rsid w:val="00E61CA8"/>
    <w:rsid w:val="00E621AE"/>
    <w:rsid w:val="00E626CE"/>
    <w:rsid w:val="00E62BC2"/>
    <w:rsid w:val="00E62C03"/>
    <w:rsid w:val="00E62CAA"/>
    <w:rsid w:val="00E62E24"/>
    <w:rsid w:val="00E63030"/>
    <w:rsid w:val="00E63045"/>
    <w:rsid w:val="00E63B28"/>
    <w:rsid w:val="00E63DAA"/>
    <w:rsid w:val="00E641F1"/>
    <w:rsid w:val="00E646F2"/>
    <w:rsid w:val="00E64987"/>
    <w:rsid w:val="00E651B8"/>
    <w:rsid w:val="00E659D6"/>
    <w:rsid w:val="00E66006"/>
    <w:rsid w:val="00E66084"/>
    <w:rsid w:val="00E66331"/>
    <w:rsid w:val="00E6653D"/>
    <w:rsid w:val="00E6657F"/>
    <w:rsid w:val="00E67579"/>
    <w:rsid w:val="00E675A6"/>
    <w:rsid w:val="00E67648"/>
    <w:rsid w:val="00E67C59"/>
    <w:rsid w:val="00E67EF3"/>
    <w:rsid w:val="00E71057"/>
    <w:rsid w:val="00E71166"/>
    <w:rsid w:val="00E712CF"/>
    <w:rsid w:val="00E7160D"/>
    <w:rsid w:val="00E716DB"/>
    <w:rsid w:val="00E717CB"/>
    <w:rsid w:val="00E718D2"/>
    <w:rsid w:val="00E7221D"/>
    <w:rsid w:val="00E7292D"/>
    <w:rsid w:val="00E72FB3"/>
    <w:rsid w:val="00E733F4"/>
    <w:rsid w:val="00E734A0"/>
    <w:rsid w:val="00E73E53"/>
    <w:rsid w:val="00E7415D"/>
    <w:rsid w:val="00E741BD"/>
    <w:rsid w:val="00E7449B"/>
    <w:rsid w:val="00E74747"/>
    <w:rsid w:val="00E74ADD"/>
    <w:rsid w:val="00E74C2E"/>
    <w:rsid w:val="00E74CDD"/>
    <w:rsid w:val="00E74D9E"/>
    <w:rsid w:val="00E74FE7"/>
    <w:rsid w:val="00E757D7"/>
    <w:rsid w:val="00E757E1"/>
    <w:rsid w:val="00E76084"/>
    <w:rsid w:val="00E7615F"/>
    <w:rsid w:val="00E76414"/>
    <w:rsid w:val="00E769AB"/>
    <w:rsid w:val="00E76AE0"/>
    <w:rsid w:val="00E76B9F"/>
    <w:rsid w:val="00E7711C"/>
    <w:rsid w:val="00E77146"/>
    <w:rsid w:val="00E77A01"/>
    <w:rsid w:val="00E77B5C"/>
    <w:rsid w:val="00E803D3"/>
    <w:rsid w:val="00E807AA"/>
    <w:rsid w:val="00E80897"/>
    <w:rsid w:val="00E80ACF"/>
    <w:rsid w:val="00E81A5C"/>
    <w:rsid w:val="00E81A87"/>
    <w:rsid w:val="00E82595"/>
    <w:rsid w:val="00E826FC"/>
    <w:rsid w:val="00E82705"/>
    <w:rsid w:val="00E8270D"/>
    <w:rsid w:val="00E82ABB"/>
    <w:rsid w:val="00E82B7F"/>
    <w:rsid w:val="00E82C35"/>
    <w:rsid w:val="00E82D75"/>
    <w:rsid w:val="00E82FFA"/>
    <w:rsid w:val="00E83188"/>
    <w:rsid w:val="00E832F9"/>
    <w:rsid w:val="00E833CD"/>
    <w:rsid w:val="00E8377D"/>
    <w:rsid w:val="00E83948"/>
    <w:rsid w:val="00E83CF9"/>
    <w:rsid w:val="00E83D4E"/>
    <w:rsid w:val="00E83E10"/>
    <w:rsid w:val="00E8433F"/>
    <w:rsid w:val="00E84397"/>
    <w:rsid w:val="00E84F8B"/>
    <w:rsid w:val="00E85044"/>
    <w:rsid w:val="00E85046"/>
    <w:rsid w:val="00E85077"/>
    <w:rsid w:val="00E85664"/>
    <w:rsid w:val="00E856F4"/>
    <w:rsid w:val="00E85B2E"/>
    <w:rsid w:val="00E85C39"/>
    <w:rsid w:val="00E85CE8"/>
    <w:rsid w:val="00E85D3D"/>
    <w:rsid w:val="00E85E4D"/>
    <w:rsid w:val="00E85EBD"/>
    <w:rsid w:val="00E864FE"/>
    <w:rsid w:val="00E867A4"/>
    <w:rsid w:val="00E86C12"/>
    <w:rsid w:val="00E86D6F"/>
    <w:rsid w:val="00E86EB2"/>
    <w:rsid w:val="00E87E47"/>
    <w:rsid w:val="00E87F07"/>
    <w:rsid w:val="00E87FB9"/>
    <w:rsid w:val="00E9028B"/>
    <w:rsid w:val="00E9037C"/>
    <w:rsid w:val="00E90862"/>
    <w:rsid w:val="00E90F3F"/>
    <w:rsid w:val="00E91385"/>
    <w:rsid w:val="00E918DD"/>
    <w:rsid w:val="00E91AFE"/>
    <w:rsid w:val="00E91E4F"/>
    <w:rsid w:val="00E92974"/>
    <w:rsid w:val="00E92D15"/>
    <w:rsid w:val="00E92F98"/>
    <w:rsid w:val="00E9321D"/>
    <w:rsid w:val="00E9331D"/>
    <w:rsid w:val="00E93AC6"/>
    <w:rsid w:val="00E93D03"/>
    <w:rsid w:val="00E94055"/>
    <w:rsid w:val="00E941A5"/>
    <w:rsid w:val="00E94F14"/>
    <w:rsid w:val="00E951B7"/>
    <w:rsid w:val="00E95319"/>
    <w:rsid w:val="00E95322"/>
    <w:rsid w:val="00E9548D"/>
    <w:rsid w:val="00E95490"/>
    <w:rsid w:val="00E955E6"/>
    <w:rsid w:val="00E9560F"/>
    <w:rsid w:val="00E95DD1"/>
    <w:rsid w:val="00E95EBC"/>
    <w:rsid w:val="00E96606"/>
    <w:rsid w:val="00E967EE"/>
    <w:rsid w:val="00E968C1"/>
    <w:rsid w:val="00E96A19"/>
    <w:rsid w:val="00E96C0B"/>
    <w:rsid w:val="00E96DAF"/>
    <w:rsid w:val="00E96EDB"/>
    <w:rsid w:val="00E97175"/>
    <w:rsid w:val="00E971F6"/>
    <w:rsid w:val="00E97564"/>
    <w:rsid w:val="00E97602"/>
    <w:rsid w:val="00E976B2"/>
    <w:rsid w:val="00E976BE"/>
    <w:rsid w:val="00E97991"/>
    <w:rsid w:val="00E97D6C"/>
    <w:rsid w:val="00E97DEE"/>
    <w:rsid w:val="00E97FFB"/>
    <w:rsid w:val="00EA014C"/>
    <w:rsid w:val="00EA09C8"/>
    <w:rsid w:val="00EA0E54"/>
    <w:rsid w:val="00EA0F9D"/>
    <w:rsid w:val="00EA1650"/>
    <w:rsid w:val="00EA169C"/>
    <w:rsid w:val="00EA1769"/>
    <w:rsid w:val="00EA1AD0"/>
    <w:rsid w:val="00EA1FCF"/>
    <w:rsid w:val="00EA22BD"/>
    <w:rsid w:val="00EA27C3"/>
    <w:rsid w:val="00EA28C5"/>
    <w:rsid w:val="00EA2E5A"/>
    <w:rsid w:val="00EA2EF5"/>
    <w:rsid w:val="00EA2FD2"/>
    <w:rsid w:val="00EA358D"/>
    <w:rsid w:val="00EA3633"/>
    <w:rsid w:val="00EA3671"/>
    <w:rsid w:val="00EA397E"/>
    <w:rsid w:val="00EA39EF"/>
    <w:rsid w:val="00EA3FBC"/>
    <w:rsid w:val="00EA43CE"/>
    <w:rsid w:val="00EA4448"/>
    <w:rsid w:val="00EA497A"/>
    <w:rsid w:val="00EA4DBA"/>
    <w:rsid w:val="00EA4E06"/>
    <w:rsid w:val="00EA50B7"/>
    <w:rsid w:val="00EA5560"/>
    <w:rsid w:val="00EA5E98"/>
    <w:rsid w:val="00EA6380"/>
    <w:rsid w:val="00EA6AA0"/>
    <w:rsid w:val="00EA6F80"/>
    <w:rsid w:val="00EA723B"/>
    <w:rsid w:val="00EA73B3"/>
    <w:rsid w:val="00EA7496"/>
    <w:rsid w:val="00EA79F1"/>
    <w:rsid w:val="00EB0BE8"/>
    <w:rsid w:val="00EB0DEA"/>
    <w:rsid w:val="00EB15FF"/>
    <w:rsid w:val="00EB19AD"/>
    <w:rsid w:val="00EB1E63"/>
    <w:rsid w:val="00EB1F63"/>
    <w:rsid w:val="00EB23C6"/>
    <w:rsid w:val="00EB27BC"/>
    <w:rsid w:val="00EB296B"/>
    <w:rsid w:val="00EB2AEE"/>
    <w:rsid w:val="00EB2C09"/>
    <w:rsid w:val="00EB2CBB"/>
    <w:rsid w:val="00EB360A"/>
    <w:rsid w:val="00EB3AA5"/>
    <w:rsid w:val="00EB3AB0"/>
    <w:rsid w:val="00EB3D70"/>
    <w:rsid w:val="00EB3FE6"/>
    <w:rsid w:val="00EB447F"/>
    <w:rsid w:val="00EB4B29"/>
    <w:rsid w:val="00EB4CD2"/>
    <w:rsid w:val="00EB4EE9"/>
    <w:rsid w:val="00EB4F12"/>
    <w:rsid w:val="00EB4F64"/>
    <w:rsid w:val="00EB4FD4"/>
    <w:rsid w:val="00EB51A0"/>
    <w:rsid w:val="00EB53A6"/>
    <w:rsid w:val="00EB5424"/>
    <w:rsid w:val="00EB54FC"/>
    <w:rsid w:val="00EB5BE7"/>
    <w:rsid w:val="00EB626F"/>
    <w:rsid w:val="00EB6511"/>
    <w:rsid w:val="00EB679F"/>
    <w:rsid w:val="00EB6A32"/>
    <w:rsid w:val="00EB7005"/>
    <w:rsid w:val="00EB7786"/>
    <w:rsid w:val="00EB7B29"/>
    <w:rsid w:val="00EB7B8B"/>
    <w:rsid w:val="00EC044A"/>
    <w:rsid w:val="00EC05B3"/>
    <w:rsid w:val="00EC06C3"/>
    <w:rsid w:val="00EC132A"/>
    <w:rsid w:val="00EC18E6"/>
    <w:rsid w:val="00EC1DF6"/>
    <w:rsid w:val="00EC2088"/>
    <w:rsid w:val="00EC27CB"/>
    <w:rsid w:val="00EC2BD3"/>
    <w:rsid w:val="00EC2F4D"/>
    <w:rsid w:val="00EC33A0"/>
    <w:rsid w:val="00EC3CB9"/>
    <w:rsid w:val="00EC3CF1"/>
    <w:rsid w:val="00EC3F8B"/>
    <w:rsid w:val="00EC429C"/>
    <w:rsid w:val="00EC457C"/>
    <w:rsid w:val="00EC467D"/>
    <w:rsid w:val="00EC4836"/>
    <w:rsid w:val="00EC48D5"/>
    <w:rsid w:val="00EC4EC8"/>
    <w:rsid w:val="00EC4F91"/>
    <w:rsid w:val="00EC5088"/>
    <w:rsid w:val="00EC6020"/>
    <w:rsid w:val="00EC60D7"/>
    <w:rsid w:val="00EC64F7"/>
    <w:rsid w:val="00EC6665"/>
    <w:rsid w:val="00EC6F67"/>
    <w:rsid w:val="00EC708F"/>
    <w:rsid w:val="00EC72C4"/>
    <w:rsid w:val="00EC748D"/>
    <w:rsid w:val="00EC74C5"/>
    <w:rsid w:val="00EC7BE6"/>
    <w:rsid w:val="00EC7E8B"/>
    <w:rsid w:val="00ED01CA"/>
    <w:rsid w:val="00ED029D"/>
    <w:rsid w:val="00ED0F3F"/>
    <w:rsid w:val="00ED113F"/>
    <w:rsid w:val="00ED1162"/>
    <w:rsid w:val="00ED1378"/>
    <w:rsid w:val="00ED164F"/>
    <w:rsid w:val="00ED1A67"/>
    <w:rsid w:val="00ED1F86"/>
    <w:rsid w:val="00ED1F92"/>
    <w:rsid w:val="00ED290F"/>
    <w:rsid w:val="00ED293D"/>
    <w:rsid w:val="00ED2D06"/>
    <w:rsid w:val="00ED2F71"/>
    <w:rsid w:val="00ED3697"/>
    <w:rsid w:val="00ED36B9"/>
    <w:rsid w:val="00ED422D"/>
    <w:rsid w:val="00ED4628"/>
    <w:rsid w:val="00ED4E2C"/>
    <w:rsid w:val="00ED51F8"/>
    <w:rsid w:val="00ED523D"/>
    <w:rsid w:val="00ED5725"/>
    <w:rsid w:val="00ED5BFC"/>
    <w:rsid w:val="00ED5CA6"/>
    <w:rsid w:val="00ED5E38"/>
    <w:rsid w:val="00ED5E7E"/>
    <w:rsid w:val="00ED5F0D"/>
    <w:rsid w:val="00ED6AA8"/>
    <w:rsid w:val="00ED6C79"/>
    <w:rsid w:val="00ED6F80"/>
    <w:rsid w:val="00ED75F8"/>
    <w:rsid w:val="00ED7642"/>
    <w:rsid w:val="00ED79C1"/>
    <w:rsid w:val="00ED7A50"/>
    <w:rsid w:val="00ED7C82"/>
    <w:rsid w:val="00ED7CDD"/>
    <w:rsid w:val="00ED7DC5"/>
    <w:rsid w:val="00EE0F97"/>
    <w:rsid w:val="00EE135E"/>
    <w:rsid w:val="00EE15F4"/>
    <w:rsid w:val="00EE16F5"/>
    <w:rsid w:val="00EE1750"/>
    <w:rsid w:val="00EE188D"/>
    <w:rsid w:val="00EE1972"/>
    <w:rsid w:val="00EE1A6F"/>
    <w:rsid w:val="00EE1BB3"/>
    <w:rsid w:val="00EE2499"/>
    <w:rsid w:val="00EE259C"/>
    <w:rsid w:val="00EE26E6"/>
    <w:rsid w:val="00EE2877"/>
    <w:rsid w:val="00EE2B58"/>
    <w:rsid w:val="00EE2BAC"/>
    <w:rsid w:val="00EE2E3C"/>
    <w:rsid w:val="00EE36FF"/>
    <w:rsid w:val="00EE3905"/>
    <w:rsid w:val="00EE3B9D"/>
    <w:rsid w:val="00EE4490"/>
    <w:rsid w:val="00EE4EEF"/>
    <w:rsid w:val="00EE4F2C"/>
    <w:rsid w:val="00EE5096"/>
    <w:rsid w:val="00EE52A3"/>
    <w:rsid w:val="00EE55C7"/>
    <w:rsid w:val="00EE5946"/>
    <w:rsid w:val="00EE5DD8"/>
    <w:rsid w:val="00EE651A"/>
    <w:rsid w:val="00EE6832"/>
    <w:rsid w:val="00EE6ABF"/>
    <w:rsid w:val="00EE6DC3"/>
    <w:rsid w:val="00EE74F3"/>
    <w:rsid w:val="00EE75AA"/>
    <w:rsid w:val="00EE7A5B"/>
    <w:rsid w:val="00EE7B5B"/>
    <w:rsid w:val="00EE7FE1"/>
    <w:rsid w:val="00EF0433"/>
    <w:rsid w:val="00EF0CF2"/>
    <w:rsid w:val="00EF0EB3"/>
    <w:rsid w:val="00EF1728"/>
    <w:rsid w:val="00EF1755"/>
    <w:rsid w:val="00EF18E3"/>
    <w:rsid w:val="00EF1F5D"/>
    <w:rsid w:val="00EF1F7D"/>
    <w:rsid w:val="00EF2946"/>
    <w:rsid w:val="00EF38DE"/>
    <w:rsid w:val="00EF3955"/>
    <w:rsid w:val="00EF3D58"/>
    <w:rsid w:val="00EF3DD2"/>
    <w:rsid w:val="00EF3EC7"/>
    <w:rsid w:val="00EF3F48"/>
    <w:rsid w:val="00EF44B6"/>
    <w:rsid w:val="00EF4538"/>
    <w:rsid w:val="00EF4798"/>
    <w:rsid w:val="00EF4C46"/>
    <w:rsid w:val="00EF4D7C"/>
    <w:rsid w:val="00EF4F37"/>
    <w:rsid w:val="00EF5995"/>
    <w:rsid w:val="00EF5A0C"/>
    <w:rsid w:val="00EF5AEE"/>
    <w:rsid w:val="00EF5B25"/>
    <w:rsid w:val="00EF5D2A"/>
    <w:rsid w:val="00EF6FA4"/>
    <w:rsid w:val="00EF7063"/>
    <w:rsid w:val="00EF7084"/>
    <w:rsid w:val="00EF7406"/>
    <w:rsid w:val="00EF7823"/>
    <w:rsid w:val="00EF79E3"/>
    <w:rsid w:val="00EF7E88"/>
    <w:rsid w:val="00F002C5"/>
    <w:rsid w:val="00F00947"/>
    <w:rsid w:val="00F0094F"/>
    <w:rsid w:val="00F00E61"/>
    <w:rsid w:val="00F011CD"/>
    <w:rsid w:val="00F011F6"/>
    <w:rsid w:val="00F018D5"/>
    <w:rsid w:val="00F01A3D"/>
    <w:rsid w:val="00F01BBD"/>
    <w:rsid w:val="00F01C68"/>
    <w:rsid w:val="00F0235D"/>
    <w:rsid w:val="00F02465"/>
    <w:rsid w:val="00F02526"/>
    <w:rsid w:val="00F02577"/>
    <w:rsid w:val="00F0296E"/>
    <w:rsid w:val="00F032D7"/>
    <w:rsid w:val="00F032E2"/>
    <w:rsid w:val="00F03B39"/>
    <w:rsid w:val="00F04052"/>
    <w:rsid w:val="00F0409D"/>
    <w:rsid w:val="00F0439B"/>
    <w:rsid w:val="00F04451"/>
    <w:rsid w:val="00F0457D"/>
    <w:rsid w:val="00F04FBE"/>
    <w:rsid w:val="00F04FED"/>
    <w:rsid w:val="00F05105"/>
    <w:rsid w:val="00F05346"/>
    <w:rsid w:val="00F05469"/>
    <w:rsid w:val="00F0566B"/>
    <w:rsid w:val="00F05849"/>
    <w:rsid w:val="00F06324"/>
    <w:rsid w:val="00F06673"/>
    <w:rsid w:val="00F067DA"/>
    <w:rsid w:val="00F06961"/>
    <w:rsid w:val="00F06D22"/>
    <w:rsid w:val="00F07A27"/>
    <w:rsid w:val="00F07BFF"/>
    <w:rsid w:val="00F07F70"/>
    <w:rsid w:val="00F1066F"/>
    <w:rsid w:val="00F10A55"/>
    <w:rsid w:val="00F11249"/>
    <w:rsid w:val="00F11760"/>
    <w:rsid w:val="00F117CF"/>
    <w:rsid w:val="00F11867"/>
    <w:rsid w:val="00F118C6"/>
    <w:rsid w:val="00F11957"/>
    <w:rsid w:val="00F11EDB"/>
    <w:rsid w:val="00F12783"/>
    <w:rsid w:val="00F127A1"/>
    <w:rsid w:val="00F1280C"/>
    <w:rsid w:val="00F129D6"/>
    <w:rsid w:val="00F12D80"/>
    <w:rsid w:val="00F12EB1"/>
    <w:rsid w:val="00F12F37"/>
    <w:rsid w:val="00F12FB6"/>
    <w:rsid w:val="00F12FEF"/>
    <w:rsid w:val="00F1328B"/>
    <w:rsid w:val="00F139CB"/>
    <w:rsid w:val="00F13E77"/>
    <w:rsid w:val="00F13FCF"/>
    <w:rsid w:val="00F1415F"/>
    <w:rsid w:val="00F14201"/>
    <w:rsid w:val="00F142A0"/>
    <w:rsid w:val="00F1495D"/>
    <w:rsid w:val="00F14D05"/>
    <w:rsid w:val="00F14EA5"/>
    <w:rsid w:val="00F14EC6"/>
    <w:rsid w:val="00F1508C"/>
    <w:rsid w:val="00F15212"/>
    <w:rsid w:val="00F15282"/>
    <w:rsid w:val="00F1578E"/>
    <w:rsid w:val="00F1583F"/>
    <w:rsid w:val="00F1592C"/>
    <w:rsid w:val="00F15B24"/>
    <w:rsid w:val="00F15B99"/>
    <w:rsid w:val="00F15C9A"/>
    <w:rsid w:val="00F15DFC"/>
    <w:rsid w:val="00F15EC4"/>
    <w:rsid w:val="00F1642C"/>
    <w:rsid w:val="00F16B8B"/>
    <w:rsid w:val="00F1744E"/>
    <w:rsid w:val="00F17ADF"/>
    <w:rsid w:val="00F17C5C"/>
    <w:rsid w:val="00F17CBE"/>
    <w:rsid w:val="00F17D8E"/>
    <w:rsid w:val="00F17F3A"/>
    <w:rsid w:val="00F20763"/>
    <w:rsid w:val="00F20938"/>
    <w:rsid w:val="00F20B3C"/>
    <w:rsid w:val="00F20B75"/>
    <w:rsid w:val="00F21052"/>
    <w:rsid w:val="00F21134"/>
    <w:rsid w:val="00F21288"/>
    <w:rsid w:val="00F21C89"/>
    <w:rsid w:val="00F22208"/>
    <w:rsid w:val="00F22382"/>
    <w:rsid w:val="00F223D9"/>
    <w:rsid w:val="00F227C8"/>
    <w:rsid w:val="00F228EB"/>
    <w:rsid w:val="00F22E3B"/>
    <w:rsid w:val="00F22F02"/>
    <w:rsid w:val="00F2375D"/>
    <w:rsid w:val="00F23CB7"/>
    <w:rsid w:val="00F23CBB"/>
    <w:rsid w:val="00F240C3"/>
    <w:rsid w:val="00F2415F"/>
    <w:rsid w:val="00F245A6"/>
    <w:rsid w:val="00F24622"/>
    <w:rsid w:val="00F24A7C"/>
    <w:rsid w:val="00F25180"/>
    <w:rsid w:val="00F25566"/>
    <w:rsid w:val="00F257B5"/>
    <w:rsid w:val="00F25876"/>
    <w:rsid w:val="00F2596E"/>
    <w:rsid w:val="00F2598D"/>
    <w:rsid w:val="00F25B55"/>
    <w:rsid w:val="00F25C41"/>
    <w:rsid w:val="00F26D25"/>
    <w:rsid w:val="00F26FC0"/>
    <w:rsid w:val="00F27017"/>
    <w:rsid w:val="00F27150"/>
    <w:rsid w:val="00F2720E"/>
    <w:rsid w:val="00F2766D"/>
    <w:rsid w:val="00F276E1"/>
    <w:rsid w:val="00F2776D"/>
    <w:rsid w:val="00F2781C"/>
    <w:rsid w:val="00F27AA6"/>
    <w:rsid w:val="00F27C4D"/>
    <w:rsid w:val="00F30006"/>
    <w:rsid w:val="00F30227"/>
    <w:rsid w:val="00F30932"/>
    <w:rsid w:val="00F309E4"/>
    <w:rsid w:val="00F30AEA"/>
    <w:rsid w:val="00F30D61"/>
    <w:rsid w:val="00F31172"/>
    <w:rsid w:val="00F3172F"/>
    <w:rsid w:val="00F3197C"/>
    <w:rsid w:val="00F31A70"/>
    <w:rsid w:val="00F31A94"/>
    <w:rsid w:val="00F31B60"/>
    <w:rsid w:val="00F31CBF"/>
    <w:rsid w:val="00F32B44"/>
    <w:rsid w:val="00F33202"/>
    <w:rsid w:val="00F3350A"/>
    <w:rsid w:val="00F340C1"/>
    <w:rsid w:val="00F341ED"/>
    <w:rsid w:val="00F346E6"/>
    <w:rsid w:val="00F349BD"/>
    <w:rsid w:val="00F34B61"/>
    <w:rsid w:val="00F3511A"/>
    <w:rsid w:val="00F35381"/>
    <w:rsid w:val="00F358B2"/>
    <w:rsid w:val="00F35D8F"/>
    <w:rsid w:val="00F35F9C"/>
    <w:rsid w:val="00F372C7"/>
    <w:rsid w:val="00F372ED"/>
    <w:rsid w:val="00F374A4"/>
    <w:rsid w:val="00F37904"/>
    <w:rsid w:val="00F37AB6"/>
    <w:rsid w:val="00F40009"/>
    <w:rsid w:val="00F40864"/>
    <w:rsid w:val="00F4099E"/>
    <w:rsid w:val="00F40E01"/>
    <w:rsid w:val="00F40FA2"/>
    <w:rsid w:val="00F41344"/>
    <w:rsid w:val="00F41963"/>
    <w:rsid w:val="00F41C6A"/>
    <w:rsid w:val="00F41C86"/>
    <w:rsid w:val="00F41DDF"/>
    <w:rsid w:val="00F4233F"/>
    <w:rsid w:val="00F423C2"/>
    <w:rsid w:val="00F42496"/>
    <w:rsid w:val="00F427D4"/>
    <w:rsid w:val="00F430B7"/>
    <w:rsid w:val="00F43307"/>
    <w:rsid w:val="00F43DB2"/>
    <w:rsid w:val="00F43FAA"/>
    <w:rsid w:val="00F44895"/>
    <w:rsid w:val="00F4569F"/>
    <w:rsid w:val="00F4574D"/>
    <w:rsid w:val="00F45C0E"/>
    <w:rsid w:val="00F45C39"/>
    <w:rsid w:val="00F46778"/>
    <w:rsid w:val="00F46B35"/>
    <w:rsid w:val="00F477E0"/>
    <w:rsid w:val="00F4787E"/>
    <w:rsid w:val="00F47D71"/>
    <w:rsid w:val="00F47DC2"/>
    <w:rsid w:val="00F47E73"/>
    <w:rsid w:val="00F50007"/>
    <w:rsid w:val="00F50037"/>
    <w:rsid w:val="00F500F3"/>
    <w:rsid w:val="00F50585"/>
    <w:rsid w:val="00F505B7"/>
    <w:rsid w:val="00F505BD"/>
    <w:rsid w:val="00F507F2"/>
    <w:rsid w:val="00F508A8"/>
    <w:rsid w:val="00F50DBF"/>
    <w:rsid w:val="00F50DCC"/>
    <w:rsid w:val="00F51003"/>
    <w:rsid w:val="00F51062"/>
    <w:rsid w:val="00F51510"/>
    <w:rsid w:val="00F516E3"/>
    <w:rsid w:val="00F51A10"/>
    <w:rsid w:val="00F51D06"/>
    <w:rsid w:val="00F51FFC"/>
    <w:rsid w:val="00F52050"/>
    <w:rsid w:val="00F5224A"/>
    <w:rsid w:val="00F52731"/>
    <w:rsid w:val="00F527EA"/>
    <w:rsid w:val="00F529A4"/>
    <w:rsid w:val="00F52EB6"/>
    <w:rsid w:val="00F5302D"/>
    <w:rsid w:val="00F531B3"/>
    <w:rsid w:val="00F534A9"/>
    <w:rsid w:val="00F53741"/>
    <w:rsid w:val="00F538AE"/>
    <w:rsid w:val="00F538E9"/>
    <w:rsid w:val="00F53CC6"/>
    <w:rsid w:val="00F54190"/>
    <w:rsid w:val="00F54514"/>
    <w:rsid w:val="00F545D1"/>
    <w:rsid w:val="00F54832"/>
    <w:rsid w:val="00F548A6"/>
    <w:rsid w:val="00F54A84"/>
    <w:rsid w:val="00F552B2"/>
    <w:rsid w:val="00F554FE"/>
    <w:rsid w:val="00F55627"/>
    <w:rsid w:val="00F5572E"/>
    <w:rsid w:val="00F56200"/>
    <w:rsid w:val="00F565E2"/>
    <w:rsid w:val="00F567D6"/>
    <w:rsid w:val="00F57062"/>
    <w:rsid w:val="00F57279"/>
    <w:rsid w:val="00F57852"/>
    <w:rsid w:val="00F57885"/>
    <w:rsid w:val="00F57A24"/>
    <w:rsid w:val="00F57D10"/>
    <w:rsid w:val="00F57D54"/>
    <w:rsid w:val="00F57D94"/>
    <w:rsid w:val="00F60654"/>
    <w:rsid w:val="00F608B6"/>
    <w:rsid w:val="00F60A3A"/>
    <w:rsid w:val="00F60A96"/>
    <w:rsid w:val="00F60F4F"/>
    <w:rsid w:val="00F61084"/>
    <w:rsid w:val="00F61268"/>
    <w:rsid w:val="00F6134F"/>
    <w:rsid w:val="00F613DA"/>
    <w:rsid w:val="00F61539"/>
    <w:rsid w:val="00F6188D"/>
    <w:rsid w:val="00F61DAE"/>
    <w:rsid w:val="00F628FE"/>
    <w:rsid w:val="00F62D38"/>
    <w:rsid w:val="00F631A2"/>
    <w:rsid w:val="00F63336"/>
    <w:rsid w:val="00F63731"/>
    <w:rsid w:val="00F6373B"/>
    <w:rsid w:val="00F6386F"/>
    <w:rsid w:val="00F64154"/>
    <w:rsid w:val="00F64459"/>
    <w:rsid w:val="00F649C5"/>
    <w:rsid w:val="00F64B81"/>
    <w:rsid w:val="00F64F1F"/>
    <w:rsid w:val="00F65822"/>
    <w:rsid w:val="00F6598B"/>
    <w:rsid w:val="00F65A5E"/>
    <w:rsid w:val="00F65A99"/>
    <w:rsid w:val="00F65AE0"/>
    <w:rsid w:val="00F66144"/>
    <w:rsid w:val="00F6635D"/>
    <w:rsid w:val="00F665E4"/>
    <w:rsid w:val="00F6713F"/>
    <w:rsid w:val="00F67149"/>
    <w:rsid w:val="00F672CC"/>
    <w:rsid w:val="00F67472"/>
    <w:rsid w:val="00F67689"/>
    <w:rsid w:val="00F677DE"/>
    <w:rsid w:val="00F67D28"/>
    <w:rsid w:val="00F7051B"/>
    <w:rsid w:val="00F70545"/>
    <w:rsid w:val="00F705DD"/>
    <w:rsid w:val="00F70648"/>
    <w:rsid w:val="00F7117F"/>
    <w:rsid w:val="00F7123E"/>
    <w:rsid w:val="00F714F1"/>
    <w:rsid w:val="00F71AD7"/>
    <w:rsid w:val="00F720B2"/>
    <w:rsid w:val="00F728C9"/>
    <w:rsid w:val="00F72BA4"/>
    <w:rsid w:val="00F72BB6"/>
    <w:rsid w:val="00F73336"/>
    <w:rsid w:val="00F7419D"/>
    <w:rsid w:val="00F741A9"/>
    <w:rsid w:val="00F74207"/>
    <w:rsid w:val="00F745E3"/>
    <w:rsid w:val="00F74831"/>
    <w:rsid w:val="00F74887"/>
    <w:rsid w:val="00F74B22"/>
    <w:rsid w:val="00F74B51"/>
    <w:rsid w:val="00F75418"/>
    <w:rsid w:val="00F75B1A"/>
    <w:rsid w:val="00F75C26"/>
    <w:rsid w:val="00F75E0A"/>
    <w:rsid w:val="00F76104"/>
    <w:rsid w:val="00F762FB"/>
    <w:rsid w:val="00F768D7"/>
    <w:rsid w:val="00F76A25"/>
    <w:rsid w:val="00F77094"/>
    <w:rsid w:val="00F77294"/>
    <w:rsid w:val="00F77428"/>
    <w:rsid w:val="00F774E0"/>
    <w:rsid w:val="00F77619"/>
    <w:rsid w:val="00F77ACF"/>
    <w:rsid w:val="00F77FF2"/>
    <w:rsid w:val="00F806F4"/>
    <w:rsid w:val="00F80A55"/>
    <w:rsid w:val="00F80AF2"/>
    <w:rsid w:val="00F80B31"/>
    <w:rsid w:val="00F80B82"/>
    <w:rsid w:val="00F80EF9"/>
    <w:rsid w:val="00F81041"/>
    <w:rsid w:val="00F811E7"/>
    <w:rsid w:val="00F812FC"/>
    <w:rsid w:val="00F81362"/>
    <w:rsid w:val="00F81F79"/>
    <w:rsid w:val="00F81F8F"/>
    <w:rsid w:val="00F8201C"/>
    <w:rsid w:val="00F823C6"/>
    <w:rsid w:val="00F8249B"/>
    <w:rsid w:val="00F83147"/>
    <w:rsid w:val="00F834E9"/>
    <w:rsid w:val="00F83846"/>
    <w:rsid w:val="00F83EFD"/>
    <w:rsid w:val="00F84058"/>
    <w:rsid w:val="00F84379"/>
    <w:rsid w:val="00F847EE"/>
    <w:rsid w:val="00F84B04"/>
    <w:rsid w:val="00F84BA7"/>
    <w:rsid w:val="00F852C6"/>
    <w:rsid w:val="00F854EE"/>
    <w:rsid w:val="00F857AC"/>
    <w:rsid w:val="00F8612F"/>
    <w:rsid w:val="00F86195"/>
    <w:rsid w:val="00F865B2"/>
    <w:rsid w:val="00F866AA"/>
    <w:rsid w:val="00F866AE"/>
    <w:rsid w:val="00F86E18"/>
    <w:rsid w:val="00F86E43"/>
    <w:rsid w:val="00F872E2"/>
    <w:rsid w:val="00F87A01"/>
    <w:rsid w:val="00F90F35"/>
    <w:rsid w:val="00F91269"/>
    <w:rsid w:val="00F91353"/>
    <w:rsid w:val="00F9258E"/>
    <w:rsid w:val="00F925D7"/>
    <w:rsid w:val="00F92CEA"/>
    <w:rsid w:val="00F92ECD"/>
    <w:rsid w:val="00F92EF6"/>
    <w:rsid w:val="00F930F2"/>
    <w:rsid w:val="00F93405"/>
    <w:rsid w:val="00F9370A"/>
    <w:rsid w:val="00F939FF"/>
    <w:rsid w:val="00F93E73"/>
    <w:rsid w:val="00F93F9C"/>
    <w:rsid w:val="00F947F0"/>
    <w:rsid w:val="00F94F46"/>
    <w:rsid w:val="00F9510B"/>
    <w:rsid w:val="00F9554A"/>
    <w:rsid w:val="00F9637E"/>
    <w:rsid w:val="00F9684A"/>
    <w:rsid w:val="00F97206"/>
    <w:rsid w:val="00F9722A"/>
    <w:rsid w:val="00F97FF1"/>
    <w:rsid w:val="00FA00D5"/>
    <w:rsid w:val="00FA0628"/>
    <w:rsid w:val="00FA06C7"/>
    <w:rsid w:val="00FA07DE"/>
    <w:rsid w:val="00FA0825"/>
    <w:rsid w:val="00FA08AD"/>
    <w:rsid w:val="00FA0B70"/>
    <w:rsid w:val="00FA0E9D"/>
    <w:rsid w:val="00FA0EA8"/>
    <w:rsid w:val="00FA17E7"/>
    <w:rsid w:val="00FA19CA"/>
    <w:rsid w:val="00FA1E69"/>
    <w:rsid w:val="00FA2605"/>
    <w:rsid w:val="00FA2C6C"/>
    <w:rsid w:val="00FA2F27"/>
    <w:rsid w:val="00FA31D0"/>
    <w:rsid w:val="00FA334E"/>
    <w:rsid w:val="00FA3BF6"/>
    <w:rsid w:val="00FA3CE2"/>
    <w:rsid w:val="00FA3DC3"/>
    <w:rsid w:val="00FA4150"/>
    <w:rsid w:val="00FA448B"/>
    <w:rsid w:val="00FA4902"/>
    <w:rsid w:val="00FA5151"/>
    <w:rsid w:val="00FA525C"/>
    <w:rsid w:val="00FA54E7"/>
    <w:rsid w:val="00FA5766"/>
    <w:rsid w:val="00FA5847"/>
    <w:rsid w:val="00FA5A79"/>
    <w:rsid w:val="00FA5E1B"/>
    <w:rsid w:val="00FA5E7A"/>
    <w:rsid w:val="00FA5FC4"/>
    <w:rsid w:val="00FA623D"/>
    <w:rsid w:val="00FA66B8"/>
    <w:rsid w:val="00FA66D0"/>
    <w:rsid w:val="00FA69FA"/>
    <w:rsid w:val="00FA6EC1"/>
    <w:rsid w:val="00FA6EE0"/>
    <w:rsid w:val="00FA7D7D"/>
    <w:rsid w:val="00FB0557"/>
    <w:rsid w:val="00FB07AA"/>
    <w:rsid w:val="00FB155C"/>
    <w:rsid w:val="00FB158B"/>
    <w:rsid w:val="00FB17B0"/>
    <w:rsid w:val="00FB1B5D"/>
    <w:rsid w:val="00FB1CF0"/>
    <w:rsid w:val="00FB1D79"/>
    <w:rsid w:val="00FB2100"/>
    <w:rsid w:val="00FB2249"/>
    <w:rsid w:val="00FB2D64"/>
    <w:rsid w:val="00FB31B1"/>
    <w:rsid w:val="00FB3332"/>
    <w:rsid w:val="00FB3A1A"/>
    <w:rsid w:val="00FB3A41"/>
    <w:rsid w:val="00FB3F21"/>
    <w:rsid w:val="00FB3F65"/>
    <w:rsid w:val="00FB3FB1"/>
    <w:rsid w:val="00FB4045"/>
    <w:rsid w:val="00FB46C4"/>
    <w:rsid w:val="00FB4A53"/>
    <w:rsid w:val="00FB52FF"/>
    <w:rsid w:val="00FB537B"/>
    <w:rsid w:val="00FB54D8"/>
    <w:rsid w:val="00FB56D2"/>
    <w:rsid w:val="00FB620D"/>
    <w:rsid w:val="00FB64A5"/>
    <w:rsid w:val="00FB6DD4"/>
    <w:rsid w:val="00FB6F25"/>
    <w:rsid w:val="00FB6F67"/>
    <w:rsid w:val="00FB7725"/>
    <w:rsid w:val="00FB78D3"/>
    <w:rsid w:val="00FC035E"/>
    <w:rsid w:val="00FC0389"/>
    <w:rsid w:val="00FC067C"/>
    <w:rsid w:val="00FC09E9"/>
    <w:rsid w:val="00FC0AD7"/>
    <w:rsid w:val="00FC0F12"/>
    <w:rsid w:val="00FC10D3"/>
    <w:rsid w:val="00FC10DE"/>
    <w:rsid w:val="00FC151B"/>
    <w:rsid w:val="00FC1A9F"/>
    <w:rsid w:val="00FC1CCF"/>
    <w:rsid w:val="00FC27F4"/>
    <w:rsid w:val="00FC2A0C"/>
    <w:rsid w:val="00FC2D5F"/>
    <w:rsid w:val="00FC3476"/>
    <w:rsid w:val="00FC38A5"/>
    <w:rsid w:val="00FC38D6"/>
    <w:rsid w:val="00FC394E"/>
    <w:rsid w:val="00FC3C29"/>
    <w:rsid w:val="00FC3C40"/>
    <w:rsid w:val="00FC415A"/>
    <w:rsid w:val="00FC440A"/>
    <w:rsid w:val="00FC4EA5"/>
    <w:rsid w:val="00FC4F21"/>
    <w:rsid w:val="00FC5603"/>
    <w:rsid w:val="00FC5612"/>
    <w:rsid w:val="00FC56D8"/>
    <w:rsid w:val="00FC595C"/>
    <w:rsid w:val="00FC5B00"/>
    <w:rsid w:val="00FC5D6D"/>
    <w:rsid w:val="00FC5DAD"/>
    <w:rsid w:val="00FC6828"/>
    <w:rsid w:val="00FC6D01"/>
    <w:rsid w:val="00FC6D7A"/>
    <w:rsid w:val="00FC7030"/>
    <w:rsid w:val="00FC719A"/>
    <w:rsid w:val="00FC73B4"/>
    <w:rsid w:val="00FC7645"/>
    <w:rsid w:val="00FC7C90"/>
    <w:rsid w:val="00FD0182"/>
    <w:rsid w:val="00FD04A7"/>
    <w:rsid w:val="00FD0B28"/>
    <w:rsid w:val="00FD0CAE"/>
    <w:rsid w:val="00FD0EBA"/>
    <w:rsid w:val="00FD0F68"/>
    <w:rsid w:val="00FD1480"/>
    <w:rsid w:val="00FD17BA"/>
    <w:rsid w:val="00FD242D"/>
    <w:rsid w:val="00FD25D7"/>
    <w:rsid w:val="00FD2C9D"/>
    <w:rsid w:val="00FD2F74"/>
    <w:rsid w:val="00FD349E"/>
    <w:rsid w:val="00FD36D8"/>
    <w:rsid w:val="00FD37C7"/>
    <w:rsid w:val="00FD3904"/>
    <w:rsid w:val="00FD3B22"/>
    <w:rsid w:val="00FD3B94"/>
    <w:rsid w:val="00FD3D3A"/>
    <w:rsid w:val="00FD40DD"/>
    <w:rsid w:val="00FD43B3"/>
    <w:rsid w:val="00FD477C"/>
    <w:rsid w:val="00FD4876"/>
    <w:rsid w:val="00FD4983"/>
    <w:rsid w:val="00FD4D54"/>
    <w:rsid w:val="00FD4EB5"/>
    <w:rsid w:val="00FD52E4"/>
    <w:rsid w:val="00FD5B1C"/>
    <w:rsid w:val="00FD5E91"/>
    <w:rsid w:val="00FD6107"/>
    <w:rsid w:val="00FD6295"/>
    <w:rsid w:val="00FD7590"/>
    <w:rsid w:val="00FD7844"/>
    <w:rsid w:val="00FD7874"/>
    <w:rsid w:val="00FD7F4F"/>
    <w:rsid w:val="00FE0338"/>
    <w:rsid w:val="00FE1118"/>
    <w:rsid w:val="00FE1547"/>
    <w:rsid w:val="00FE1BBA"/>
    <w:rsid w:val="00FE1BCF"/>
    <w:rsid w:val="00FE1BE2"/>
    <w:rsid w:val="00FE1C5A"/>
    <w:rsid w:val="00FE1ED4"/>
    <w:rsid w:val="00FE1F53"/>
    <w:rsid w:val="00FE2D27"/>
    <w:rsid w:val="00FE319D"/>
    <w:rsid w:val="00FE3604"/>
    <w:rsid w:val="00FE40E5"/>
    <w:rsid w:val="00FE429D"/>
    <w:rsid w:val="00FE43ED"/>
    <w:rsid w:val="00FE44AE"/>
    <w:rsid w:val="00FE46A2"/>
    <w:rsid w:val="00FE4739"/>
    <w:rsid w:val="00FE4DB2"/>
    <w:rsid w:val="00FE4FA0"/>
    <w:rsid w:val="00FE50E3"/>
    <w:rsid w:val="00FE5164"/>
    <w:rsid w:val="00FE5525"/>
    <w:rsid w:val="00FE56A7"/>
    <w:rsid w:val="00FE594D"/>
    <w:rsid w:val="00FE5F4D"/>
    <w:rsid w:val="00FE5F6B"/>
    <w:rsid w:val="00FE600E"/>
    <w:rsid w:val="00FE60A2"/>
    <w:rsid w:val="00FE62F3"/>
    <w:rsid w:val="00FE6527"/>
    <w:rsid w:val="00FE681D"/>
    <w:rsid w:val="00FE6D0D"/>
    <w:rsid w:val="00FE706A"/>
    <w:rsid w:val="00FE71F9"/>
    <w:rsid w:val="00FE74DF"/>
    <w:rsid w:val="00FE7519"/>
    <w:rsid w:val="00FF045B"/>
    <w:rsid w:val="00FF071F"/>
    <w:rsid w:val="00FF0DBD"/>
    <w:rsid w:val="00FF2100"/>
    <w:rsid w:val="00FF2355"/>
    <w:rsid w:val="00FF237F"/>
    <w:rsid w:val="00FF2503"/>
    <w:rsid w:val="00FF2565"/>
    <w:rsid w:val="00FF2580"/>
    <w:rsid w:val="00FF3172"/>
    <w:rsid w:val="00FF3475"/>
    <w:rsid w:val="00FF34ED"/>
    <w:rsid w:val="00FF362D"/>
    <w:rsid w:val="00FF381C"/>
    <w:rsid w:val="00FF3A07"/>
    <w:rsid w:val="00FF3A09"/>
    <w:rsid w:val="00FF3A51"/>
    <w:rsid w:val="00FF3E52"/>
    <w:rsid w:val="00FF3FEA"/>
    <w:rsid w:val="00FF425A"/>
    <w:rsid w:val="00FF46E9"/>
    <w:rsid w:val="00FF4C68"/>
    <w:rsid w:val="00FF509A"/>
    <w:rsid w:val="00FF50A5"/>
    <w:rsid w:val="00FF5465"/>
    <w:rsid w:val="00FF56EC"/>
    <w:rsid w:val="00FF604C"/>
    <w:rsid w:val="00FF60DC"/>
    <w:rsid w:val="00FF64E7"/>
    <w:rsid w:val="00FF69D5"/>
    <w:rsid w:val="00FF6B70"/>
    <w:rsid w:val="00FF6FF0"/>
    <w:rsid w:val="00FF70CC"/>
    <w:rsid w:val="00FF73EB"/>
    <w:rsid w:val="00FF75C6"/>
    <w:rsid w:val="00FF783F"/>
    <w:rsid w:val="00FF786C"/>
    <w:rsid w:val="01BE9B83"/>
    <w:rsid w:val="01C103BB"/>
    <w:rsid w:val="045A7D0C"/>
    <w:rsid w:val="049A1893"/>
    <w:rsid w:val="05E7FBDA"/>
    <w:rsid w:val="07259907"/>
    <w:rsid w:val="072BC821"/>
    <w:rsid w:val="07FCACA8"/>
    <w:rsid w:val="09F2E19F"/>
    <w:rsid w:val="0A40D11A"/>
    <w:rsid w:val="0C39BA51"/>
    <w:rsid w:val="0D5DD4E7"/>
    <w:rsid w:val="0EF57439"/>
    <w:rsid w:val="0F1D0999"/>
    <w:rsid w:val="0F4FA1BC"/>
    <w:rsid w:val="0F584B21"/>
    <w:rsid w:val="0F89DFD1"/>
    <w:rsid w:val="0FD0CF2A"/>
    <w:rsid w:val="0FDE5FE6"/>
    <w:rsid w:val="10EBE212"/>
    <w:rsid w:val="115BCCB7"/>
    <w:rsid w:val="116A7265"/>
    <w:rsid w:val="11785F24"/>
    <w:rsid w:val="11D7C94C"/>
    <w:rsid w:val="1232CCD5"/>
    <w:rsid w:val="1259F6D9"/>
    <w:rsid w:val="125A7A7F"/>
    <w:rsid w:val="12821CF7"/>
    <w:rsid w:val="1283DFD0"/>
    <w:rsid w:val="1306337A"/>
    <w:rsid w:val="1361A2FF"/>
    <w:rsid w:val="1468C460"/>
    <w:rsid w:val="155D615D"/>
    <w:rsid w:val="15894AEA"/>
    <w:rsid w:val="15E512C6"/>
    <w:rsid w:val="1783294B"/>
    <w:rsid w:val="1812EC5A"/>
    <w:rsid w:val="18517919"/>
    <w:rsid w:val="1A6D37E3"/>
    <w:rsid w:val="1B533BA8"/>
    <w:rsid w:val="1B61B9C6"/>
    <w:rsid w:val="1BDBB82A"/>
    <w:rsid w:val="1BF0E116"/>
    <w:rsid w:val="1C7FF5FE"/>
    <w:rsid w:val="1CE39BC2"/>
    <w:rsid w:val="1D87AE96"/>
    <w:rsid w:val="20311CAE"/>
    <w:rsid w:val="207A441E"/>
    <w:rsid w:val="20B2B218"/>
    <w:rsid w:val="20CB9E68"/>
    <w:rsid w:val="22AF2793"/>
    <w:rsid w:val="2355E20F"/>
    <w:rsid w:val="236B029D"/>
    <w:rsid w:val="23B2DD2D"/>
    <w:rsid w:val="2431474C"/>
    <w:rsid w:val="2450E591"/>
    <w:rsid w:val="252127D4"/>
    <w:rsid w:val="25F220EA"/>
    <w:rsid w:val="2691A3F4"/>
    <w:rsid w:val="26E19B7C"/>
    <w:rsid w:val="27A6ADB5"/>
    <w:rsid w:val="27D0803B"/>
    <w:rsid w:val="283BE06C"/>
    <w:rsid w:val="28941937"/>
    <w:rsid w:val="290BBB42"/>
    <w:rsid w:val="2BD5B969"/>
    <w:rsid w:val="2C0FAFF1"/>
    <w:rsid w:val="2C34D49F"/>
    <w:rsid w:val="2C398CF2"/>
    <w:rsid w:val="2DD7F9E5"/>
    <w:rsid w:val="2E02DD6D"/>
    <w:rsid w:val="2E638BA3"/>
    <w:rsid w:val="2F152AC1"/>
    <w:rsid w:val="2FCC3C25"/>
    <w:rsid w:val="3183170C"/>
    <w:rsid w:val="32C35E1F"/>
    <w:rsid w:val="33964A5F"/>
    <w:rsid w:val="34259BD7"/>
    <w:rsid w:val="345D33F8"/>
    <w:rsid w:val="35525D7F"/>
    <w:rsid w:val="3597FCDA"/>
    <w:rsid w:val="35E9A725"/>
    <w:rsid w:val="361653CA"/>
    <w:rsid w:val="373B97BE"/>
    <w:rsid w:val="39B99E7F"/>
    <w:rsid w:val="39D408EB"/>
    <w:rsid w:val="3A1E872A"/>
    <w:rsid w:val="3A44231D"/>
    <w:rsid w:val="3AA94054"/>
    <w:rsid w:val="3BE9956C"/>
    <w:rsid w:val="3BEBC033"/>
    <w:rsid w:val="3CD450B9"/>
    <w:rsid w:val="40331AD2"/>
    <w:rsid w:val="40942317"/>
    <w:rsid w:val="40B53B5B"/>
    <w:rsid w:val="432874C0"/>
    <w:rsid w:val="434D3B8A"/>
    <w:rsid w:val="443D8325"/>
    <w:rsid w:val="44692DD6"/>
    <w:rsid w:val="44848FEC"/>
    <w:rsid w:val="452314B6"/>
    <w:rsid w:val="474EF7C9"/>
    <w:rsid w:val="47B7C16C"/>
    <w:rsid w:val="47F7C6E2"/>
    <w:rsid w:val="49342470"/>
    <w:rsid w:val="4A5A9E21"/>
    <w:rsid w:val="4A7BBB5B"/>
    <w:rsid w:val="4CA1BF43"/>
    <w:rsid w:val="4D89DB8D"/>
    <w:rsid w:val="4EC15955"/>
    <w:rsid w:val="4FD7CC77"/>
    <w:rsid w:val="507BBE7B"/>
    <w:rsid w:val="51D302A4"/>
    <w:rsid w:val="525E4E48"/>
    <w:rsid w:val="55AE3136"/>
    <w:rsid w:val="56094289"/>
    <w:rsid w:val="578907A9"/>
    <w:rsid w:val="589EF8FD"/>
    <w:rsid w:val="5A5D1D29"/>
    <w:rsid w:val="5AC5E5B0"/>
    <w:rsid w:val="5B1D8EBC"/>
    <w:rsid w:val="5BA54617"/>
    <w:rsid w:val="5C10A7CE"/>
    <w:rsid w:val="5CBD97B6"/>
    <w:rsid w:val="5D3F724F"/>
    <w:rsid w:val="5D42A1DF"/>
    <w:rsid w:val="5FA8F710"/>
    <w:rsid w:val="60EB2593"/>
    <w:rsid w:val="612D67EF"/>
    <w:rsid w:val="613DE8CB"/>
    <w:rsid w:val="62309B32"/>
    <w:rsid w:val="62C63006"/>
    <w:rsid w:val="62C8592E"/>
    <w:rsid w:val="64013C6D"/>
    <w:rsid w:val="642511BB"/>
    <w:rsid w:val="64B43759"/>
    <w:rsid w:val="64F9E3C0"/>
    <w:rsid w:val="659CB946"/>
    <w:rsid w:val="664B988A"/>
    <w:rsid w:val="66C42178"/>
    <w:rsid w:val="678A9C79"/>
    <w:rsid w:val="67A1D199"/>
    <w:rsid w:val="682C5FFA"/>
    <w:rsid w:val="6921E714"/>
    <w:rsid w:val="6A67C5C0"/>
    <w:rsid w:val="6B099D5F"/>
    <w:rsid w:val="6B393F3C"/>
    <w:rsid w:val="6B52C7AD"/>
    <w:rsid w:val="6C0AEB2C"/>
    <w:rsid w:val="6C317D1E"/>
    <w:rsid w:val="6C488D05"/>
    <w:rsid w:val="6C59B8FB"/>
    <w:rsid w:val="6C80BE78"/>
    <w:rsid w:val="6D399359"/>
    <w:rsid w:val="6D5BA36A"/>
    <w:rsid w:val="6EDA836B"/>
    <w:rsid w:val="6F445A10"/>
    <w:rsid w:val="700CB320"/>
    <w:rsid w:val="71D3271F"/>
    <w:rsid w:val="7303505D"/>
    <w:rsid w:val="7379D6B7"/>
    <w:rsid w:val="73883AD9"/>
    <w:rsid w:val="7439FC1D"/>
    <w:rsid w:val="74CDFA0F"/>
    <w:rsid w:val="7676BF56"/>
    <w:rsid w:val="774BC5DD"/>
    <w:rsid w:val="77C82180"/>
    <w:rsid w:val="787FFAAB"/>
    <w:rsid w:val="7923438D"/>
    <w:rsid w:val="79A67EB6"/>
    <w:rsid w:val="7A09A2B8"/>
    <w:rsid w:val="7A9A68F4"/>
    <w:rsid w:val="7C13698A"/>
    <w:rsid w:val="7C62F921"/>
    <w:rsid w:val="7C8C97F8"/>
    <w:rsid w:val="7F56A199"/>
    <w:rsid w:val="7F6A203B"/>
    <w:rsid w:val="7FAF0C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FC06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aliases w:val="Comment Text Char Char,Comment Text Char Char Char Char,Comment Text Char Char1,Comment Text Char1 Char Char"/>
    <w:basedOn w:val="Normal"/>
    <w:link w:val="CommentTextChar"/>
    <w:uiPriority w:val="99"/>
    <w:unhideWhenUsed/>
    <w:qFormat/>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aliases w:val="Comment Text Char Char Char,Comment Text Char Char Char Char Char,Comment Text Char Char1 Char,Comment Text Char1 Char Char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 Antiqua" w:hAnsi="Book Antiqua"/>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CMA Table Template,Conclusion box,Table Grid nm,PBAC table,HTAtableplain,MSD Table Grid,Dossier table,Summary Table,PHE Table Grid,Lash Style Table,Section 3- footnot"/>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Questions,List Paragraph1,Heading K,Figure_name,Numbered Indented Text,Bullet- First level,List NUmber,Listenabsatz1,lp1,List Paragraph11,Style 2,TOC style,List Paragraph2,List Paragraph Char Char,Number_1,SGLText List Paragraph,new"/>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link w:val="TableHeadingChar0"/>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Questions Char,List Paragraph1 Char,Heading K Char,Figure_name Char,Numbered Indented Text Char,Bullet- First level Char,List NUmber Char,Listenabsatz1 Char,lp1 Char,List Paragraph11 Char,Style 2 Char,TOC style Char,Number_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ook Antiqua" w:hAnsi="Book Antiqu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ook Antiqua" w:hAnsi="Book Antiqu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ook Antiqua" w:hAnsi="Book Antiqua"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Default">
    <w:name w:val="Default"/>
    <w:rsid w:val="00AE0301"/>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ormaltextrun">
    <w:name w:val="normaltextrun"/>
    <w:basedOn w:val="DefaultParagraphFont"/>
    <w:rsid w:val="00EA50B7"/>
  </w:style>
  <w:style w:type="character" w:styleId="UnresolvedMention">
    <w:name w:val="Unresolved Mention"/>
    <w:basedOn w:val="DefaultParagraphFont"/>
    <w:uiPriority w:val="99"/>
    <w:semiHidden/>
    <w:unhideWhenUsed/>
    <w:rsid w:val="00EA4448"/>
    <w:rPr>
      <w:color w:val="605E5C"/>
      <w:shd w:val="clear" w:color="auto" w:fill="E1DFDD"/>
    </w:rPr>
  </w:style>
  <w:style w:type="paragraph" w:customStyle="1" w:styleId="Notes-TableFigure">
    <w:name w:val="Notes - Table/Figure"/>
    <w:basedOn w:val="Normal"/>
    <w:link w:val="Notes-TableFigureChar"/>
    <w:qFormat/>
    <w:rsid w:val="003D36EE"/>
    <w:pPr>
      <w:spacing w:after="360" w:line="240" w:lineRule="auto"/>
      <w:contextualSpacing/>
    </w:pPr>
    <w:rPr>
      <w:rFonts w:ascii="Arial Narrow" w:hAnsi="Arial Narrow"/>
      <w:sz w:val="18"/>
      <w:lang w:val="en-US"/>
    </w:rPr>
  </w:style>
  <w:style w:type="character" w:customStyle="1" w:styleId="Notes-TableFigureChar">
    <w:name w:val="Notes - Table/Figure Char"/>
    <w:basedOn w:val="DefaultParagraphFont"/>
    <w:link w:val="Notes-TableFigure"/>
    <w:rsid w:val="003D36EE"/>
    <w:rPr>
      <w:rFonts w:ascii="Arial Narrow" w:hAnsi="Arial Narrow"/>
      <w:sz w:val="18"/>
      <w:lang w:val="en-US"/>
    </w:rPr>
  </w:style>
  <w:style w:type="character" w:customStyle="1" w:styleId="TableHeadingChar0">
    <w:name w:val="Table Heading Char"/>
    <w:basedOn w:val="DefaultParagraphFont"/>
    <w:link w:val="TableHeading0"/>
    <w:rsid w:val="003D36EE"/>
    <w:rPr>
      <w:rFonts w:ascii="Arial Narrow" w:hAnsi="Arial Narrow"/>
      <w:b/>
      <w:sz w:val="20"/>
    </w:rPr>
  </w:style>
  <w:style w:type="table" w:styleId="TableGridLight">
    <w:name w:val="Grid Table Light"/>
    <w:basedOn w:val="TableNormal"/>
    <w:uiPriority w:val="40"/>
    <w:rsid w:val="003D36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3nonumbers">
    <w:name w:val="Heading 3 no numbers"/>
    <w:basedOn w:val="Heading3"/>
    <w:next w:val="Normal"/>
    <w:link w:val="Heading3nonumbersChar"/>
    <w:qFormat/>
    <w:rsid w:val="00761636"/>
    <w:pPr>
      <w:tabs>
        <w:tab w:val="clear" w:pos="851"/>
      </w:tabs>
    </w:pPr>
    <w:rPr>
      <w:color w:val="000000" w:themeColor="text1"/>
      <w:lang w:val="en-US"/>
    </w:rPr>
  </w:style>
  <w:style w:type="character" w:customStyle="1" w:styleId="Heading3nonumbersChar">
    <w:name w:val="Heading 3 no numbers Char"/>
    <w:basedOn w:val="Heading3Char"/>
    <w:link w:val="Heading3nonumbers"/>
    <w:rsid w:val="00761636"/>
    <w:rPr>
      <w:rFonts w:ascii="Franklin Gothic Medium" w:eastAsiaTheme="majorEastAsia" w:hAnsi="Franklin Gothic Medium" w:cstheme="majorBidi"/>
      <w:color w:val="000000" w:themeColor="text1"/>
      <w:sz w:val="24"/>
      <w:szCs w:val="24"/>
      <w:lang w:val="en-US"/>
    </w:rPr>
  </w:style>
  <w:style w:type="character" w:styleId="Mention">
    <w:name w:val="Mention"/>
    <w:basedOn w:val="DefaultParagraphFont"/>
    <w:uiPriority w:val="99"/>
    <w:unhideWhenUsed/>
    <w:rsid w:val="00853F36"/>
    <w:rPr>
      <w:color w:val="2B579A"/>
      <w:shd w:val="clear" w:color="auto" w:fill="E1DFDD"/>
    </w:rPr>
  </w:style>
  <w:style w:type="character" w:customStyle="1" w:styleId="cf01">
    <w:name w:val="cf01"/>
    <w:basedOn w:val="DefaultParagraphFont"/>
    <w:rsid w:val="002E40AF"/>
    <w:rPr>
      <w:rFonts w:ascii="Segoe UI" w:hAnsi="Segoe UI" w:cs="Segoe UI" w:hint="default"/>
      <w:sz w:val="18"/>
      <w:szCs w:val="18"/>
    </w:rPr>
  </w:style>
  <w:style w:type="character" w:customStyle="1" w:styleId="Heading5Char">
    <w:name w:val="Heading 5 Char"/>
    <w:basedOn w:val="DefaultParagraphFont"/>
    <w:link w:val="Heading5"/>
    <w:uiPriority w:val="9"/>
    <w:rsid w:val="00FC067C"/>
    <w:rPr>
      <w:rFonts w:asciiTheme="majorHAnsi" w:eastAsiaTheme="majorEastAsia" w:hAnsiTheme="majorHAnsi" w:cstheme="majorBidi"/>
      <w:color w:val="2E74B5" w:themeColor="accent1" w:themeShade="BF"/>
    </w:rPr>
  </w:style>
  <w:style w:type="character" w:customStyle="1" w:styleId="comments">
    <w:name w:val="* comments"/>
    <w:uiPriority w:val="1"/>
    <w:qFormat/>
    <w:rsid w:val="00FC067C"/>
    <w:rPr>
      <w:rFonts w:ascii="Helvetica" w:hAnsi="Helvetica"/>
      <w:i/>
      <w:iCs/>
      <w:color w:val="00B050"/>
      <w:sz w:val="22"/>
    </w:rPr>
  </w:style>
  <w:style w:type="paragraph" w:customStyle="1" w:styleId="TableDash">
    <w:name w:val="TableDash"/>
    <w:basedOn w:val="TableText1"/>
    <w:rsid w:val="00BD2DFE"/>
    <w:pPr>
      <w:numPr>
        <w:numId w:val="44"/>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oxName0">
    <w:name w:val="BoxName"/>
    <w:basedOn w:val="Normal"/>
    <w:rsid w:val="00BD2DFE"/>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BD2DFE"/>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BD2DFE"/>
    <w:pPr>
      <w:numPr>
        <w:numId w:val="45"/>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styleId="BodyText">
    <w:name w:val="Body Text"/>
    <w:basedOn w:val="Normal"/>
    <w:link w:val="BodyTextChar"/>
    <w:rsid w:val="00CF7A55"/>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CF7A55"/>
    <w:rPr>
      <w:rFonts w:ascii="Book Antiqua" w:eastAsia="Times New Roman" w:hAnsi="Book Antiqua" w:cs="Times New Roman"/>
      <w:sz w:val="24"/>
      <w:szCs w:val="20"/>
    </w:rPr>
  </w:style>
  <w:style w:type="paragraph" w:customStyle="1" w:styleId="paragraph">
    <w:name w:val="paragraph"/>
    <w:basedOn w:val="Normal"/>
    <w:rsid w:val="00AE5D1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E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98109621">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31083056">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92987390">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625211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0478390">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69539996">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01127910">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189923">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5994325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33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msac.gov.au/internet/msac/publishing.nsf/Content/Home-1" TargetMode="External"/><Relationship Id="rId2" Type="http://schemas.openxmlformats.org/officeDocument/2006/relationships/numbering" Target="numbering.xml"/><Relationship Id="rId16" Type="http://schemas.openxmlformats.org/officeDocument/2006/relationships/hyperlink" Target="http://www.msac.gov.au/internet/msac/publishing.nsf/Content/1732-publ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ac.gov.au/internet/msac/publishing.nsf/Content/1732-public"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msac.gov.au/internet/msac/publishing.nsf/Content/8995C85C02E712FACA2588B400836B18/$File/1732%20Final%20PSD%20-%20July%202023%20(redacted).pdf" TargetMode="External"/><Relationship Id="rId2" Type="http://schemas.openxmlformats.org/officeDocument/2006/relationships/hyperlink" Target="https://www.tga.gov.au/resources/auspmd/idefirix" TargetMode="External"/><Relationship Id="rId1" Type="http://schemas.openxmlformats.org/officeDocument/2006/relationships/hyperlink" Target="http://www.msac.gov.au/internet/msac/publishing.nsf/Content/8995C85C02E712FACA2588B400836B18/$File/1732%20Final%20PSD%20-%20July%202023%20(redacted).pdf" TargetMode="External"/><Relationship Id="rId6" Type="http://schemas.openxmlformats.org/officeDocument/2006/relationships/hyperlink" Target="https://www.tga.gov.au/resources/artg/391413" TargetMode="External"/><Relationship Id="rId5" Type="http://schemas.openxmlformats.org/officeDocument/2006/relationships/hyperlink" Target="https://www.anzdata.org.au/report/anzdata-46th-annual-report-2023-data-to-2022/" TargetMode="External"/><Relationship Id="rId4" Type="http://schemas.openxmlformats.org/officeDocument/2006/relationships/hyperlink" Target="https://www.ema.europa.eu/en/documents/product-information/idefirix-epar-product-informat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25080</Words>
  <Characters>142956</Characters>
  <Application>Microsoft Office Word</Application>
  <DocSecurity>2</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167701</CharactersWithSpaces>
  <SharedDoc>false</SharedDoc>
  <HyperlinkBase/>
  <HLinks>
    <vt:vector size="180" baseType="variant">
      <vt:variant>
        <vt:i4>6684716</vt:i4>
      </vt:variant>
      <vt:variant>
        <vt:i4>24</vt:i4>
      </vt:variant>
      <vt:variant>
        <vt:i4>0</vt:i4>
      </vt:variant>
      <vt:variant>
        <vt:i4>5</vt:i4>
      </vt:variant>
      <vt:variant>
        <vt:lpwstr>http://msac.gov.au/internet/msac/publishing.nsf/Content/Home-1</vt:lpwstr>
      </vt:variant>
      <vt:variant>
        <vt:lpwstr/>
      </vt:variant>
      <vt:variant>
        <vt:i4>1966082</vt:i4>
      </vt:variant>
      <vt:variant>
        <vt:i4>21</vt:i4>
      </vt:variant>
      <vt:variant>
        <vt:i4>0</vt:i4>
      </vt:variant>
      <vt:variant>
        <vt:i4>5</vt:i4>
      </vt:variant>
      <vt:variant>
        <vt:lpwstr>https://clinicaltrials.gov/study/NCT03897205?tab=history</vt:lpwstr>
      </vt:variant>
      <vt:variant>
        <vt:lpwstr/>
      </vt:variant>
      <vt:variant>
        <vt:i4>2293867</vt:i4>
      </vt:variant>
      <vt:variant>
        <vt:i4>18</vt:i4>
      </vt:variant>
      <vt:variant>
        <vt:i4>0</vt:i4>
      </vt:variant>
      <vt:variant>
        <vt:i4>5</vt:i4>
      </vt:variant>
      <vt:variant>
        <vt:lpwstr>http://www.msac.gov.au/internet/msac/publishing.nsf/Content/1732-public</vt:lpwstr>
      </vt:variant>
      <vt:variant>
        <vt:lpwstr/>
      </vt:variant>
      <vt:variant>
        <vt:i4>8323187</vt:i4>
      </vt:variant>
      <vt:variant>
        <vt:i4>6</vt:i4>
      </vt:variant>
      <vt:variant>
        <vt:i4>0</vt:i4>
      </vt:variant>
      <vt:variant>
        <vt:i4>5</vt:i4>
      </vt:variant>
      <vt:variant>
        <vt:lpwstr/>
      </vt:variant>
      <vt:variant>
        <vt:lpwstr>_Executive_Summary</vt:lpwstr>
      </vt:variant>
      <vt:variant>
        <vt:i4>2293867</vt:i4>
      </vt:variant>
      <vt:variant>
        <vt:i4>3</vt:i4>
      </vt:variant>
      <vt:variant>
        <vt:i4>0</vt:i4>
      </vt:variant>
      <vt:variant>
        <vt:i4>5</vt:i4>
      </vt:variant>
      <vt:variant>
        <vt:lpwstr>http://www.msac.gov.au/internet/msac/publishing.nsf/Content/1732-public</vt:lpwstr>
      </vt:variant>
      <vt:variant>
        <vt:lpwstr/>
      </vt:variant>
      <vt:variant>
        <vt:i4>3997744</vt:i4>
      </vt:variant>
      <vt:variant>
        <vt:i4>0</vt:i4>
      </vt:variant>
      <vt:variant>
        <vt:i4>0</vt:i4>
      </vt:variant>
      <vt:variant>
        <vt:i4>5</vt:i4>
      </vt:variant>
      <vt:variant>
        <vt:lpwstr>http://www.msac.gov.au/</vt:lpwstr>
      </vt:variant>
      <vt:variant>
        <vt:lpwstr/>
      </vt:variant>
      <vt:variant>
        <vt:i4>5570590</vt:i4>
      </vt:variant>
      <vt:variant>
        <vt:i4>15</vt:i4>
      </vt:variant>
      <vt:variant>
        <vt:i4>0</vt:i4>
      </vt:variant>
      <vt:variant>
        <vt:i4>5</vt:i4>
      </vt:variant>
      <vt:variant>
        <vt:lpwstr>https://www.tga.gov.au/resources/artg/391413</vt:lpwstr>
      </vt:variant>
      <vt:variant>
        <vt:lpwstr/>
      </vt:variant>
      <vt:variant>
        <vt:i4>2621550</vt:i4>
      </vt:variant>
      <vt:variant>
        <vt:i4>12</vt:i4>
      </vt:variant>
      <vt:variant>
        <vt:i4>0</vt:i4>
      </vt:variant>
      <vt:variant>
        <vt:i4>5</vt:i4>
      </vt:variant>
      <vt:variant>
        <vt:lpwstr>https://www.anzdata.org.au/report/anzdata-46th-annual-report-2023-data-to-2022/</vt:lpwstr>
      </vt:variant>
      <vt:variant>
        <vt:lpwstr/>
      </vt:variant>
      <vt:variant>
        <vt:i4>3080281</vt:i4>
      </vt:variant>
      <vt:variant>
        <vt:i4>9</vt:i4>
      </vt:variant>
      <vt:variant>
        <vt:i4>0</vt:i4>
      </vt:variant>
      <vt:variant>
        <vt:i4>5</vt:i4>
      </vt:variant>
      <vt:variant>
        <vt:lpwstr>https://www.ema.europa.eu/en/documents/product-information/idefirix-epar-product-information_en.pdf</vt:lpwstr>
      </vt:variant>
      <vt:variant>
        <vt:lpwstr/>
      </vt:variant>
      <vt:variant>
        <vt:i4>983053</vt:i4>
      </vt:variant>
      <vt:variant>
        <vt:i4>6</vt:i4>
      </vt:variant>
      <vt:variant>
        <vt:i4>0</vt:i4>
      </vt:variant>
      <vt:variant>
        <vt:i4>5</vt:i4>
      </vt:variant>
      <vt:variant>
        <vt:lpwstr>http://www.msac.gov.au/internet/msac/publishing.nsf/Content/8995C85C02E712FACA2588B400836B18/$File/1732 Final PSD - July 2023 (redacted).pdf</vt:lpwstr>
      </vt:variant>
      <vt:variant>
        <vt:lpwstr/>
      </vt:variant>
      <vt:variant>
        <vt:i4>589909</vt:i4>
      </vt:variant>
      <vt:variant>
        <vt:i4>3</vt:i4>
      </vt:variant>
      <vt:variant>
        <vt:i4>0</vt:i4>
      </vt:variant>
      <vt:variant>
        <vt:i4>5</vt:i4>
      </vt:variant>
      <vt:variant>
        <vt:lpwstr>https://www.tga.gov.au/resources/auspmd/idefirix</vt:lpwstr>
      </vt:variant>
      <vt:variant>
        <vt:lpwstr/>
      </vt:variant>
      <vt:variant>
        <vt:i4>983053</vt:i4>
      </vt:variant>
      <vt:variant>
        <vt:i4>0</vt:i4>
      </vt:variant>
      <vt:variant>
        <vt:i4>0</vt:i4>
      </vt:variant>
      <vt:variant>
        <vt:i4>5</vt:i4>
      </vt:variant>
      <vt:variant>
        <vt:lpwstr>http://www.msac.gov.au/internet/msac/publishing.nsf/Content/8995C85C02E712FACA2588B400836B18/$File/1732 Final PSD - July 2023 (redacted).pdf</vt:lpwstr>
      </vt:variant>
      <vt:variant>
        <vt:lpwstr/>
      </vt:variant>
      <vt:variant>
        <vt:i4>4915318</vt:i4>
      </vt:variant>
      <vt:variant>
        <vt:i4>51</vt:i4>
      </vt:variant>
      <vt:variant>
        <vt:i4>0</vt:i4>
      </vt:variant>
      <vt:variant>
        <vt:i4>5</vt:i4>
      </vt:variant>
      <vt:variant>
        <vt:lpwstr>mailto:TetFar.SOON@Health.gov.au</vt:lpwstr>
      </vt:variant>
      <vt:variant>
        <vt:lpwstr/>
      </vt:variant>
      <vt:variant>
        <vt:i4>2752530</vt:i4>
      </vt:variant>
      <vt:variant>
        <vt:i4>48</vt:i4>
      </vt:variant>
      <vt:variant>
        <vt:i4>0</vt:i4>
      </vt:variant>
      <vt:variant>
        <vt:i4>5</vt:i4>
      </vt:variant>
      <vt:variant>
        <vt:lpwstr>mailto:Sanduni.Hapuarachchi@Health.gov.au</vt:lpwstr>
      </vt:variant>
      <vt:variant>
        <vt:lpwstr/>
      </vt:variant>
      <vt:variant>
        <vt:i4>4915318</vt:i4>
      </vt:variant>
      <vt:variant>
        <vt:i4>45</vt:i4>
      </vt:variant>
      <vt:variant>
        <vt:i4>0</vt:i4>
      </vt:variant>
      <vt:variant>
        <vt:i4>5</vt:i4>
      </vt:variant>
      <vt:variant>
        <vt:lpwstr>mailto:TetFar.SOON@Health.gov.au</vt:lpwstr>
      </vt:variant>
      <vt:variant>
        <vt:lpwstr/>
      </vt:variant>
      <vt:variant>
        <vt:i4>3342368</vt:i4>
      </vt:variant>
      <vt:variant>
        <vt:i4>42</vt:i4>
      </vt:variant>
      <vt:variant>
        <vt:i4>0</vt:i4>
      </vt:variant>
      <vt:variant>
        <vt:i4>5</vt:i4>
      </vt:variant>
      <vt:variant>
        <vt:lpwstr>https://www.icmje.org/journals-following-the-icmje-recommendations/</vt:lpwstr>
      </vt:variant>
      <vt:variant>
        <vt:lpwstr/>
      </vt:variant>
      <vt:variant>
        <vt:i4>2359337</vt:i4>
      </vt:variant>
      <vt:variant>
        <vt:i4>39</vt:i4>
      </vt:variant>
      <vt:variant>
        <vt:i4>0</vt:i4>
      </vt:variant>
      <vt:variant>
        <vt:i4>5</vt:i4>
      </vt:variant>
      <vt:variant>
        <vt:lpwstr>https://www.icmje.org/news-and-editorials/updated_recommendations_may2022.html</vt:lpwstr>
      </vt:variant>
      <vt:variant>
        <vt:lpwstr/>
      </vt:variant>
      <vt:variant>
        <vt:i4>3342368</vt:i4>
      </vt:variant>
      <vt:variant>
        <vt:i4>36</vt:i4>
      </vt:variant>
      <vt:variant>
        <vt:i4>0</vt:i4>
      </vt:variant>
      <vt:variant>
        <vt:i4>5</vt:i4>
      </vt:variant>
      <vt:variant>
        <vt:lpwstr>https://www.icmje.org/journals-following-the-icmje-recommendations/</vt:lpwstr>
      </vt:variant>
      <vt:variant>
        <vt:lpwstr/>
      </vt:variant>
      <vt:variant>
        <vt:i4>2359337</vt:i4>
      </vt:variant>
      <vt:variant>
        <vt:i4>33</vt:i4>
      </vt:variant>
      <vt:variant>
        <vt:i4>0</vt:i4>
      </vt:variant>
      <vt:variant>
        <vt:i4>5</vt:i4>
      </vt:variant>
      <vt:variant>
        <vt:lpwstr>https://www.icmje.org/news-and-editorials/updated_recommendations_may2022.html</vt:lpwstr>
      </vt:variant>
      <vt:variant>
        <vt:lpwstr/>
      </vt:variant>
      <vt:variant>
        <vt:i4>2686980</vt:i4>
      </vt:variant>
      <vt:variant>
        <vt:i4>30</vt:i4>
      </vt:variant>
      <vt:variant>
        <vt:i4>0</vt:i4>
      </vt:variant>
      <vt:variant>
        <vt:i4>5</vt:i4>
      </vt:variant>
      <vt:variant>
        <vt:lpwstr>mailto:Dinusha.Vithanachchi@health.gov.au</vt:lpwstr>
      </vt:variant>
      <vt:variant>
        <vt:lpwstr/>
      </vt:variant>
      <vt:variant>
        <vt:i4>6291463</vt:i4>
      </vt:variant>
      <vt:variant>
        <vt:i4>27</vt:i4>
      </vt:variant>
      <vt:variant>
        <vt:i4>0</vt:i4>
      </vt:variant>
      <vt:variant>
        <vt:i4>5</vt:i4>
      </vt:variant>
      <vt:variant>
        <vt:lpwstr>mailto:marcus.dahlman@hansabiopharma.com</vt:lpwstr>
      </vt:variant>
      <vt:variant>
        <vt:lpwstr/>
      </vt:variant>
      <vt:variant>
        <vt:i4>2228300</vt:i4>
      </vt:variant>
      <vt:variant>
        <vt:i4>24</vt:i4>
      </vt:variant>
      <vt:variant>
        <vt:i4>0</vt:i4>
      </vt:variant>
      <vt:variant>
        <vt:i4>5</vt:i4>
      </vt:variant>
      <vt:variant>
        <vt:lpwstr>mailto:tim.waugh@hansabiopharma.com</vt:lpwstr>
      </vt:variant>
      <vt:variant>
        <vt:lpwstr/>
      </vt:variant>
      <vt:variant>
        <vt:i4>2752530</vt:i4>
      </vt:variant>
      <vt:variant>
        <vt:i4>21</vt:i4>
      </vt:variant>
      <vt:variant>
        <vt:i4>0</vt:i4>
      </vt:variant>
      <vt:variant>
        <vt:i4>5</vt:i4>
      </vt:variant>
      <vt:variant>
        <vt:lpwstr>mailto:Sanduni.Hapuarachchi@Health.gov.au</vt:lpwstr>
      </vt:variant>
      <vt:variant>
        <vt:lpwstr/>
      </vt:variant>
      <vt:variant>
        <vt:i4>983053</vt:i4>
      </vt:variant>
      <vt:variant>
        <vt:i4>18</vt:i4>
      </vt:variant>
      <vt:variant>
        <vt:i4>0</vt:i4>
      </vt:variant>
      <vt:variant>
        <vt:i4>5</vt:i4>
      </vt:variant>
      <vt:variant>
        <vt:lpwstr>http://www.msac.gov.au/internet/msac/publishing.nsf/Content/8995C85C02E712FACA2588B400836B18/$File/1732 Final PSD - July 2023 (redacted).pdf</vt:lpwstr>
      </vt:variant>
      <vt:variant>
        <vt:lpwstr/>
      </vt:variant>
      <vt:variant>
        <vt:i4>2752530</vt:i4>
      </vt:variant>
      <vt:variant>
        <vt:i4>15</vt:i4>
      </vt:variant>
      <vt:variant>
        <vt:i4>0</vt:i4>
      </vt:variant>
      <vt:variant>
        <vt:i4>5</vt:i4>
      </vt:variant>
      <vt:variant>
        <vt:lpwstr>mailto:Sanduni.Hapuarachchi@Health.gov.au</vt:lpwstr>
      </vt:variant>
      <vt:variant>
        <vt:lpwstr/>
      </vt:variant>
      <vt:variant>
        <vt:i4>983053</vt:i4>
      </vt:variant>
      <vt:variant>
        <vt:i4>12</vt:i4>
      </vt:variant>
      <vt:variant>
        <vt:i4>0</vt:i4>
      </vt:variant>
      <vt:variant>
        <vt:i4>5</vt:i4>
      </vt:variant>
      <vt:variant>
        <vt:lpwstr>http://www.msac.gov.au/internet/msac/publishing.nsf/Content/8995C85C02E712FACA2588B400836B18/$File/1732 Final PSD - July 2023 (redacted).pdf</vt:lpwstr>
      </vt:variant>
      <vt:variant>
        <vt:lpwstr/>
      </vt:variant>
      <vt:variant>
        <vt:i4>6553601</vt:i4>
      </vt:variant>
      <vt:variant>
        <vt:i4>9</vt:i4>
      </vt:variant>
      <vt:variant>
        <vt:i4>0</vt:i4>
      </vt:variant>
      <vt:variant>
        <vt:i4>5</vt:i4>
      </vt:variant>
      <vt:variant>
        <vt:lpwstr>http://www.msac.gov.au/internet/msac/publishing.nsf/Content/3A5BEFB60D35C015CA258AC4001AB132/$File/1732.1 PICO sets v2_redacted.pdf</vt:lpwstr>
      </vt:variant>
      <vt:variant>
        <vt:lpwstr/>
      </vt:variant>
      <vt:variant>
        <vt:i4>2752530</vt:i4>
      </vt:variant>
      <vt:variant>
        <vt:i4>6</vt:i4>
      </vt:variant>
      <vt:variant>
        <vt:i4>0</vt:i4>
      </vt:variant>
      <vt:variant>
        <vt:i4>5</vt:i4>
      </vt:variant>
      <vt:variant>
        <vt:lpwstr>mailto:Sanduni.Hapuarachchi@Health.gov.au</vt:lpwstr>
      </vt:variant>
      <vt:variant>
        <vt:lpwstr/>
      </vt:variant>
      <vt:variant>
        <vt:i4>2752530</vt:i4>
      </vt:variant>
      <vt:variant>
        <vt:i4>3</vt:i4>
      </vt:variant>
      <vt:variant>
        <vt:i4>0</vt:i4>
      </vt:variant>
      <vt:variant>
        <vt:i4>5</vt:i4>
      </vt:variant>
      <vt:variant>
        <vt:lpwstr>mailto:Sanduni.Hapuarachchi@Health.gov.au</vt:lpwstr>
      </vt:variant>
      <vt:variant>
        <vt:lpwstr/>
      </vt:variant>
      <vt:variant>
        <vt:i4>4915318</vt:i4>
      </vt:variant>
      <vt:variant>
        <vt:i4>0</vt:i4>
      </vt:variant>
      <vt:variant>
        <vt:i4>0</vt:i4>
      </vt:variant>
      <vt:variant>
        <vt:i4>5</vt:i4>
      </vt:variant>
      <vt:variant>
        <vt:lpwstr>mailto:TetFar.SOON@Health.gov.au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2024-10-10T23:31:00Z</dcterms:created>
  <dcterms:modified xsi:type="dcterms:W3CDTF">2024-10-10T23:32:00Z</dcterms:modified>
  <cp:category/>
</cp:coreProperties>
</file>