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99E2E" w14:textId="56367561" w:rsidR="0C44A21B" w:rsidRPr="00A74972" w:rsidRDefault="005814C8" w:rsidP="005814C8">
      <w:pPr>
        <w:tabs>
          <w:tab w:val="left" w:pos="1770"/>
          <w:tab w:val="center" w:pos="4790"/>
        </w:tabs>
        <w:spacing w:before="2880"/>
        <w:ind w:left="-20" w:right="-20"/>
        <w:jc w:val="center"/>
        <w:rPr>
          <w:sz w:val="48"/>
          <w:szCs w:val="48"/>
        </w:rPr>
      </w:pPr>
      <w:r>
        <w:rPr>
          <w:rFonts w:asciiTheme="minorHAnsi" w:eastAsiaTheme="minorEastAsia" w:hAnsiTheme="minorHAnsi" w:cstheme="minorBidi"/>
          <w:b/>
          <w:bCs/>
          <w:sz w:val="48"/>
          <w:szCs w:val="48"/>
        </w:rPr>
        <w:t>M</w:t>
      </w:r>
      <w:r w:rsidR="0C44A21B" w:rsidRPr="00A74972">
        <w:rPr>
          <w:rFonts w:asciiTheme="minorHAnsi" w:eastAsiaTheme="minorEastAsia" w:hAnsiTheme="minorHAnsi" w:cstheme="minorBidi"/>
          <w:b/>
          <w:bCs/>
          <w:sz w:val="48"/>
          <w:szCs w:val="48"/>
        </w:rPr>
        <w:t xml:space="preserve">SAC </w:t>
      </w:r>
      <w:r w:rsidR="145F1491" w:rsidRPr="00A74972">
        <w:rPr>
          <w:rFonts w:asciiTheme="minorHAnsi" w:eastAsiaTheme="minorEastAsia" w:hAnsiTheme="minorHAnsi" w:cstheme="minorBidi"/>
          <w:b/>
          <w:bCs/>
          <w:sz w:val="48"/>
          <w:szCs w:val="48"/>
        </w:rPr>
        <w:t xml:space="preserve">Application </w:t>
      </w:r>
      <w:r w:rsidR="14164502" w:rsidRPr="00A74972">
        <w:rPr>
          <w:rFonts w:cs="Calibri"/>
          <w:b/>
          <w:bCs/>
          <w:sz w:val="48"/>
          <w:szCs w:val="48"/>
          <w:lang w:val="en-US"/>
        </w:rPr>
        <w:t>1767</w:t>
      </w:r>
    </w:p>
    <w:p w14:paraId="692AE406" w14:textId="5963EEF4" w:rsidR="005814C8" w:rsidRPr="008971A0" w:rsidRDefault="14164502" w:rsidP="005814C8">
      <w:pPr>
        <w:spacing w:line="240" w:lineRule="auto"/>
        <w:ind w:left="-20" w:right="-20"/>
        <w:jc w:val="center"/>
        <w:rPr>
          <w:rFonts w:cs="Calibri"/>
          <w:b/>
          <w:bCs/>
          <w:color w:val="2E74B5" w:themeColor="accent1" w:themeShade="BF"/>
          <w:sz w:val="48"/>
          <w:szCs w:val="48"/>
          <w:lang w:val="en-US"/>
        </w:rPr>
      </w:pPr>
      <w:r w:rsidRPr="008971A0">
        <w:rPr>
          <w:rFonts w:cs="Calibri"/>
          <w:b/>
          <w:bCs/>
          <w:color w:val="2E74B5" w:themeColor="accent1" w:themeShade="BF"/>
          <w:sz w:val="48"/>
          <w:szCs w:val="48"/>
          <w:lang w:val="en-US"/>
        </w:rPr>
        <w:t>Immunohistochemistry testing for C</w:t>
      </w:r>
      <w:r w:rsidR="001D0186">
        <w:rPr>
          <w:rFonts w:cs="Calibri"/>
          <w:b/>
          <w:bCs/>
          <w:color w:val="2E74B5" w:themeColor="accent1" w:themeShade="BF"/>
          <w:sz w:val="48"/>
          <w:szCs w:val="48"/>
          <w:lang w:val="en-US"/>
        </w:rPr>
        <w:t xml:space="preserve">laudin </w:t>
      </w:r>
      <w:r w:rsidRPr="008971A0">
        <w:rPr>
          <w:rFonts w:cs="Calibri"/>
          <w:b/>
          <w:bCs/>
          <w:color w:val="2E74B5" w:themeColor="accent1" w:themeShade="BF"/>
          <w:sz w:val="48"/>
          <w:szCs w:val="48"/>
          <w:lang w:val="en-US"/>
        </w:rPr>
        <w:t>18 expression in</w:t>
      </w:r>
      <w:r w:rsidR="0075375B" w:rsidRPr="008971A0">
        <w:rPr>
          <w:rFonts w:cs="Calibri"/>
          <w:b/>
          <w:bCs/>
          <w:color w:val="2E74B5" w:themeColor="accent1" w:themeShade="BF"/>
          <w:sz w:val="48"/>
          <w:szCs w:val="48"/>
          <w:lang w:val="en-US"/>
        </w:rPr>
        <w:t xml:space="preserve"> patients with</w:t>
      </w:r>
      <w:r w:rsidRPr="008971A0">
        <w:rPr>
          <w:rFonts w:cs="Calibri"/>
          <w:b/>
          <w:bCs/>
          <w:color w:val="2E74B5" w:themeColor="accent1" w:themeShade="BF"/>
          <w:sz w:val="48"/>
          <w:szCs w:val="48"/>
          <w:lang w:val="en-US"/>
        </w:rPr>
        <w:t xml:space="preserve"> gastric or gastro</w:t>
      </w:r>
      <w:r w:rsidR="000D2E50" w:rsidRPr="008971A0">
        <w:rPr>
          <w:rFonts w:cs="Calibri"/>
          <w:b/>
          <w:bCs/>
          <w:color w:val="2E74B5" w:themeColor="accent1" w:themeShade="BF"/>
          <w:sz w:val="48"/>
          <w:szCs w:val="48"/>
          <w:lang w:val="en-US"/>
        </w:rPr>
        <w:t>-o</w:t>
      </w:r>
      <w:r w:rsidRPr="008971A0">
        <w:rPr>
          <w:rFonts w:cs="Calibri"/>
          <w:b/>
          <w:bCs/>
          <w:color w:val="2E74B5" w:themeColor="accent1" w:themeShade="BF"/>
          <w:sz w:val="48"/>
          <w:szCs w:val="48"/>
          <w:lang w:val="en-US"/>
        </w:rPr>
        <w:t xml:space="preserve">esophageal junction </w:t>
      </w:r>
      <w:r w:rsidR="0075375B" w:rsidRPr="008971A0">
        <w:rPr>
          <w:rFonts w:cs="Calibri"/>
          <w:b/>
          <w:bCs/>
          <w:color w:val="2E74B5" w:themeColor="accent1" w:themeShade="BF"/>
          <w:sz w:val="48"/>
          <w:szCs w:val="48"/>
          <w:lang w:val="en-US"/>
        </w:rPr>
        <w:t>cancers, to determine eligibility for PBS subsidised zolbetuximab treatment</w:t>
      </w:r>
      <w:r w:rsidR="005814C8" w:rsidRPr="008971A0">
        <w:rPr>
          <w:rFonts w:cs="Calibri"/>
          <w:b/>
          <w:bCs/>
          <w:color w:val="2E74B5" w:themeColor="accent1" w:themeShade="BF"/>
          <w:sz w:val="48"/>
          <w:szCs w:val="48"/>
          <w:lang w:val="en-US"/>
        </w:rPr>
        <w:t xml:space="preserve"> </w:t>
      </w:r>
    </w:p>
    <w:p w14:paraId="45CDFD31" w14:textId="77777777" w:rsidR="005814C8" w:rsidRPr="008971A0" w:rsidRDefault="005814C8" w:rsidP="005814C8">
      <w:pPr>
        <w:spacing w:line="240" w:lineRule="auto"/>
        <w:ind w:left="-20" w:right="-20"/>
        <w:jc w:val="center"/>
        <w:rPr>
          <w:rFonts w:cs="Calibri"/>
          <w:b/>
          <w:bCs/>
          <w:color w:val="2E74B5" w:themeColor="accent1" w:themeShade="BF"/>
          <w:sz w:val="40"/>
          <w:szCs w:val="40"/>
          <w:lang w:val="en-US"/>
        </w:rPr>
      </w:pPr>
    </w:p>
    <w:p w14:paraId="4B21E4EF" w14:textId="2D7AA867" w:rsidR="005814C8" w:rsidRPr="008971A0" w:rsidRDefault="005814C8" w:rsidP="005814C8">
      <w:pPr>
        <w:ind w:left="-20" w:right="-20"/>
        <w:jc w:val="center"/>
        <w:rPr>
          <w:rFonts w:cs="Calibri"/>
          <w:b/>
          <w:bCs/>
          <w:color w:val="2E74B5" w:themeColor="accent1" w:themeShade="BF"/>
          <w:sz w:val="40"/>
          <w:szCs w:val="40"/>
          <w:lang w:val="en-US"/>
        </w:rPr>
      </w:pPr>
      <w:r w:rsidRPr="008971A0">
        <w:rPr>
          <w:rFonts w:cs="Calibri"/>
          <w:b/>
          <w:bCs/>
          <w:color w:val="2E74B5" w:themeColor="accent1" w:themeShade="BF"/>
          <w:sz w:val="40"/>
          <w:szCs w:val="40"/>
          <w:lang w:val="en-US"/>
        </w:rPr>
        <w:t>Applicant: Astellas Pharma Australia Pty Ltd</w:t>
      </w:r>
    </w:p>
    <w:p w14:paraId="2FB790FA" w14:textId="261837E4" w:rsidR="00C07BA9" w:rsidRPr="00A74972" w:rsidRDefault="00C07BA9" w:rsidP="00C07BA9">
      <w:pPr>
        <w:pStyle w:val="Heading1"/>
        <w:rPr>
          <w:color w:val="auto"/>
        </w:rPr>
      </w:pPr>
      <w:r w:rsidRPr="1237ACF9">
        <w:rPr>
          <w:color w:val="auto"/>
        </w:rPr>
        <w:t>PICO Confirmation</w:t>
      </w:r>
    </w:p>
    <w:p w14:paraId="73416B20" w14:textId="77777777" w:rsidR="00C07BA9" w:rsidRPr="00A74972" w:rsidRDefault="00C07BA9" w:rsidP="52D7E161">
      <w:pPr>
        <w:ind w:left="-20" w:right="-20"/>
        <w:jc w:val="center"/>
      </w:pPr>
    </w:p>
    <w:p w14:paraId="23900CA0" w14:textId="5F6B20D4" w:rsidR="006478E7" w:rsidRPr="00A74972" w:rsidRDefault="006478E7" w:rsidP="00BB0FFB">
      <w:pPr>
        <w:pStyle w:val="Heading1"/>
        <w:rPr>
          <w:color w:val="auto"/>
        </w:rPr>
      </w:pPr>
      <w:r w:rsidRPr="00A74972">
        <w:rPr>
          <w:color w:val="auto"/>
        </w:rPr>
        <w:br w:type="page"/>
      </w:r>
    </w:p>
    <w:p w14:paraId="219312C8" w14:textId="77777777" w:rsidR="006478E7" w:rsidRPr="00A74972" w:rsidRDefault="006478E7" w:rsidP="00BB0FFB">
      <w:pPr>
        <w:pStyle w:val="Heading2"/>
        <w:rPr>
          <w:color w:val="auto"/>
        </w:rPr>
      </w:pPr>
      <w:r w:rsidRPr="00A74972">
        <w:rPr>
          <w:color w:val="auto"/>
        </w:rPr>
        <w:lastRenderedPageBreak/>
        <w:t>Summary of PI</w:t>
      </w:r>
      <w:r w:rsidR="00235B21" w:rsidRPr="00A74972">
        <w:rPr>
          <w:color w:val="auto"/>
        </w:rPr>
        <w:t xml:space="preserve">CO/PPICO criteria to define </w:t>
      </w:r>
      <w:r w:rsidRPr="00A74972">
        <w:rPr>
          <w:color w:val="auto"/>
        </w:rPr>
        <w:t>question(s) to be addressed in an Assessment Report to the Medical Services Advisory Committee (MSAC)</w:t>
      </w:r>
    </w:p>
    <w:p w14:paraId="224459F3" w14:textId="6CDD1AEC" w:rsidR="00D52956" w:rsidRPr="00A74972" w:rsidRDefault="00D52956" w:rsidP="00D52956">
      <w:pPr>
        <w:pStyle w:val="Caption"/>
      </w:pPr>
      <w:bookmarkStart w:id="0" w:name="_Ref69732160"/>
      <w:bookmarkStart w:id="1" w:name="_Ref69732155"/>
      <w:r w:rsidRPr="00A74972">
        <w:t>Table</w:t>
      </w:r>
      <w:r w:rsidR="00FD4C65" w:rsidRPr="00A74972">
        <w:t> </w:t>
      </w:r>
      <w:r w:rsidRPr="00A74972">
        <w:fldChar w:fldCharType="begin"/>
      </w:r>
      <w:r w:rsidRPr="00A74972">
        <w:instrText xml:space="preserve"> SEQ Table \* ARABIC </w:instrText>
      </w:r>
      <w:r w:rsidRPr="00A74972">
        <w:fldChar w:fldCharType="separate"/>
      </w:r>
      <w:r w:rsidR="000F4CE1" w:rsidRPr="00A74972">
        <w:rPr>
          <w:noProof/>
        </w:rPr>
        <w:t>1</w:t>
      </w:r>
      <w:r w:rsidRPr="00A74972">
        <w:fldChar w:fldCharType="end"/>
      </w:r>
      <w:bookmarkEnd w:id="0"/>
      <w:r w:rsidRPr="00A74972">
        <w:tab/>
        <w:t xml:space="preserve">PICO for </w:t>
      </w:r>
      <w:r w:rsidR="00DC0376" w:rsidRPr="00A74972">
        <w:rPr>
          <w:rFonts w:eastAsia="Segoe UI"/>
        </w:rPr>
        <w:t>Immunohistochemistry (IHC) testing for CLDN18.2 expression in gastric or gastroesophageal junction adenocarcinoma</w:t>
      </w:r>
      <w:bookmarkEnd w:id="1"/>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23"/>
        <w:gridCol w:w="7643"/>
      </w:tblGrid>
      <w:tr w:rsidR="00A74972" w:rsidRPr="00A74972" w14:paraId="2A509B30" w14:textId="77777777" w:rsidTr="52D7E161">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33B8A35" w14:textId="77777777" w:rsidR="006478E7" w:rsidRPr="00A74972" w:rsidRDefault="006478E7" w:rsidP="00C54349">
            <w:pPr>
              <w:spacing w:before="20" w:after="20" w:line="240" w:lineRule="auto"/>
              <w:rPr>
                <w:b/>
              </w:rPr>
            </w:pPr>
            <w:bookmarkStart w:id="2" w:name="Title_Table1" w:colFirst="0" w:colLast="0"/>
            <w:r w:rsidRPr="00A74972">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1DF4F" w14:textId="77777777" w:rsidR="006478E7" w:rsidRPr="00A74972" w:rsidRDefault="006478E7" w:rsidP="00C54349">
            <w:pPr>
              <w:spacing w:before="20" w:after="20" w:line="240" w:lineRule="auto"/>
              <w:rPr>
                <w:b/>
              </w:rPr>
            </w:pPr>
            <w:r w:rsidRPr="00A74972">
              <w:rPr>
                <w:b/>
              </w:rPr>
              <w:t>Description</w:t>
            </w:r>
          </w:p>
        </w:tc>
      </w:tr>
      <w:bookmarkEnd w:id="2"/>
      <w:tr w:rsidR="00A74972" w:rsidRPr="00A74972" w14:paraId="78E0BB65" w14:textId="77777777" w:rsidTr="52D7E161">
        <w:tc>
          <w:tcPr>
            <w:tcW w:w="1005" w:type="pct"/>
            <w:tcBorders>
              <w:top w:val="single" w:sz="8" w:space="0" w:color="auto"/>
              <w:left w:val="single" w:sz="8" w:space="0" w:color="auto"/>
              <w:bottom w:val="single" w:sz="4" w:space="0" w:color="auto"/>
              <w:right w:val="single" w:sz="4" w:space="0" w:color="auto"/>
            </w:tcBorders>
            <w:hideMark/>
          </w:tcPr>
          <w:p w14:paraId="715E50D5" w14:textId="74EB4863" w:rsidR="006478E7" w:rsidRPr="00A74972" w:rsidRDefault="00F660E8" w:rsidP="00E01349">
            <w:pPr>
              <w:spacing w:before="120" w:after="120" w:line="240" w:lineRule="auto"/>
              <w:rPr>
                <w:rFonts w:cs="Arial"/>
              </w:rPr>
            </w:pPr>
            <w:r w:rsidRPr="00A74972">
              <w:rPr>
                <w:rFonts w:cs="Arial"/>
              </w:rPr>
              <w:t>Population</w:t>
            </w:r>
          </w:p>
        </w:tc>
        <w:tc>
          <w:tcPr>
            <w:tcW w:w="3995" w:type="pct"/>
            <w:tcBorders>
              <w:top w:val="single" w:sz="4" w:space="0" w:color="auto"/>
              <w:left w:val="single" w:sz="4" w:space="0" w:color="auto"/>
              <w:bottom w:val="single" w:sz="4" w:space="0" w:color="auto"/>
              <w:right w:val="single" w:sz="4" w:space="0" w:color="auto"/>
            </w:tcBorders>
            <w:hideMark/>
          </w:tcPr>
          <w:p w14:paraId="2077F6FE" w14:textId="41936E35" w:rsidR="003841D5" w:rsidRPr="00A74972" w:rsidRDefault="52D7E161" w:rsidP="52D7E161">
            <w:pPr>
              <w:spacing w:before="120" w:after="160" w:line="257" w:lineRule="auto"/>
              <w:ind w:left="-20" w:right="-20"/>
              <w:rPr>
                <w:rFonts w:cs="Calibri"/>
              </w:rPr>
            </w:pPr>
            <w:r w:rsidRPr="00A74972">
              <w:rPr>
                <w:rFonts w:cs="Calibri"/>
                <w:u w:val="single"/>
              </w:rPr>
              <w:t>Test</w:t>
            </w:r>
            <w:r w:rsidRPr="00A74972">
              <w:rPr>
                <w:rFonts w:cs="Calibri"/>
              </w:rPr>
              <w:t>:</w:t>
            </w:r>
            <w:r w:rsidR="7A0B8CEF" w:rsidRPr="00A74972">
              <w:rPr>
                <w:rFonts w:cs="Calibri"/>
              </w:rPr>
              <w:t xml:space="preserve"> </w:t>
            </w:r>
          </w:p>
          <w:p w14:paraId="493E01D3" w14:textId="7F97F750" w:rsidR="52D7E161" w:rsidRPr="00A74972" w:rsidRDefault="003A4039" w:rsidP="52D7E161">
            <w:pPr>
              <w:spacing w:before="120" w:after="160" w:line="257" w:lineRule="auto"/>
              <w:ind w:left="-20" w:right="-20"/>
              <w:rPr>
                <w:rFonts w:asciiTheme="minorHAnsi" w:eastAsiaTheme="minorEastAsia" w:hAnsiTheme="minorHAnsi" w:cstheme="minorBidi"/>
                <w:lang w:val="en-US"/>
              </w:rPr>
            </w:pPr>
            <w:r w:rsidRPr="00A74972">
              <w:t>P</w:t>
            </w:r>
            <w:r w:rsidRPr="00A74972">
              <w:rPr>
                <w:szCs w:val="24"/>
              </w:rPr>
              <w:t xml:space="preserve">atients with locally advanced unresectable or metastatic </w:t>
            </w:r>
            <w:r w:rsidR="0072243D" w:rsidRPr="00A74972">
              <w:rPr>
                <w:rFonts w:asciiTheme="minorHAnsi" w:eastAsiaTheme="minorEastAsia" w:hAnsiTheme="minorHAnsi" w:cstheme="minorBidi"/>
              </w:rPr>
              <w:t>gastric or gastro-oesophageal junction (</w:t>
            </w:r>
            <w:r w:rsidR="4A2F4E10" w:rsidRPr="00A74972">
              <w:rPr>
                <w:rFonts w:asciiTheme="minorHAnsi" w:eastAsiaTheme="minorEastAsia" w:hAnsiTheme="minorHAnsi" w:cstheme="minorBidi"/>
              </w:rPr>
              <w:t>G/</w:t>
            </w:r>
            <w:r w:rsidR="00A85C54" w:rsidRPr="00A74972">
              <w:rPr>
                <w:rFonts w:asciiTheme="minorHAnsi" w:eastAsiaTheme="minorEastAsia" w:hAnsiTheme="minorHAnsi" w:cstheme="minorBidi"/>
              </w:rPr>
              <w:t>GOJ</w:t>
            </w:r>
            <w:r w:rsidR="0072243D" w:rsidRPr="00A74972">
              <w:rPr>
                <w:rFonts w:asciiTheme="minorHAnsi" w:eastAsiaTheme="minorEastAsia" w:hAnsiTheme="minorHAnsi" w:cstheme="minorBidi"/>
              </w:rPr>
              <w:t>)</w:t>
            </w:r>
            <w:r w:rsidR="4A2F4E10" w:rsidRPr="00A74972">
              <w:rPr>
                <w:rFonts w:asciiTheme="minorHAnsi" w:eastAsiaTheme="minorEastAsia" w:hAnsiTheme="minorHAnsi" w:cstheme="minorBidi"/>
              </w:rPr>
              <w:t xml:space="preserve"> adenocarcinoma</w:t>
            </w:r>
            <w:r w:rsidR="008515F9" w:rsidRPr="00A74972">
              <w:rPr>
                <w:rFonts w:asciiTheme="minorHAnsi" w:eastAsiaTheme="minorEastAsia" w:hAnsiTheme="minorHAnsi" w:cstheme="minorBidi"/>
              </w:rPr>
              <w:t>.</w:t>
            </w:r>
          </w:p>
          <w:p w14:paraId="7BC7CC9E" w14:textId="335BC70C" w:rsidR="52D7E161" w:rsidRPr="00A74972" w:rsidRDefault="52D7E161" w:rsidP="0081672F">
            <w:pPr>
              <w:pStyle w:val="Instructionaltext"/>
              <w:rPr>
                <w:color w:val="auto"/>
              </w:rPr>
            </w:pPr>
            <w:r w:rsidRPr="00A74972">
              <w:rPr>
                <w:rFonts w:cs="Calibri"/>
                <w:color w:val="auto"/>
                <w:u w:val="single"/>
              </w:rPr>
              <w:t>Drug</w:t>
            </w:r>
            <w:r w:rsidRPr="00A74972">
              <w:rPr>
                <w:rFonts w:cs="Calibri"/>
                <w:color w:val="auto"/>
              </w:rPr>
              <w:t>:</w:t>
            </w:r>
            <w:r w:rsidR="5095E474" w:rsidRPr="00A74972">
              <w:rPr>
                <w:rFonts w:cs="Calibri"/>
                <w:color w:val="auto"/>
              </w:rPr>
              <w:t xml:space="preserve"> </w:t>
            </w:r>
            <w:r w:rsidR="0081672F" w:rsidRPr="00A74972">
              <w:rPr>
                <w:color w:val="auto"/>
              </w:rPr>
              <w:t xml:space="preserve">Patients with locally advanced unresectable or metastatic HER2-negative G/GOJ adenocarcinoma who are found </w:t>
            </w:r>
            <w:r w:rsidR="007F3D23" w:rsidRPr="00A74972">
              <w:rPr>
                <w:color w:val="auto"/>
              </w:rPr>
              <w:t xml:space="preserve">positive after </w:t>
            </w:r>
            <w:r w:rsidR="00561DB5" w:rsidRPr="00A74972">
              <w:rPr>
                <w:color w:val="auto"/>
              </w:rPr>
              <w:t>claudin testing (</w:t>
            </w:r>
            <w:r w:rsidR="0081672F" w:rsidRPr="00A74972">
              <w:rPr>
                <w:color w:val="auto"/>
              </w:rPr>
              <w:t>CLDN18.2+</w:t>
            </w:r>
            <w:r w:rsidR="00561DB5" w:rsidRPr="00A74972">
              <w:rPr>
                <w:color w:val="auto"/>
              </w:rPr>
              <w:t>)</w:t>
            </w:r>
            <w:r w:rsidR="008515F9" w:rsidRPr="00A74972">
              <w:rPr>
                <w:color w:val="auto"/>
              </w:rPr>
              <w:t>.</w:t>
            </w:r>
            <w:r w:rsidR="0081672F" w:rsidRPr="00A74972">
              <w:rPr>
                <w:color w:val="auto"/>
              </w:rPr>
              <w:t xml:space="preserve"> </w:t>
            </w:r>
          </w:p>
        </w:tc>
      </w:tr>
      <w:tr w:rsidR="00A74972" w:rsidRPr="00A74972" w14:paraId="2A9CC9A6" w14:textId="77777777" w:rsidTr="52D7E161">
        <w:tc>
          <w:tcPr>
            <w:tcW w:w="1005" w:type="pct"/>
            <w:tcBorders>
              <w:top w:val="single" w:sz="8" w:space="0" w:color="auto"/>
              <w:left w:val="single" w:sz="8" w:space="0" w:color="auto"/>
              <w:bottom w:val="single" w:sz="4" w:space="0" w:color="auto"/>
              <w:right w:val="single" w:sz="4" w:space="0" w:color="auto"/>
            </w:tcBorders>
            <w:hideMark/>
          </w:tcPr>
          <w:p w14:paraId="75E49351" w14:textId="50B15DFE" w:rsidR="006478E7" w:rsidRPr="00A74972" w:rsidRDefault="006478E7" w:rsidP="00E01349">
            <w:pPr>
              <w:spacing w:before="120" w:after="120" w:line="240" w:lineRule="auto"/>
              <w:rPr>
                <w:rStyle w:val="InstructionaltextChar"/>
                <w:color w:val="auto"/>
              </w:rPr>
            </w:pPr>
            <w:r w:rsidRPr="00A74972">
              <w:rPr>
                <w:rFonts w:cs="Arial"/>
              </w:rPr>
              <w:t>Prior tests</w:t>
            </w:r>
            <w:r w:rsidR="6868E347" w:rsidRPr="00A74972">
              <w:rPr>
                <w:rFonts w:cs="Arial"/>
              </w:rPr>
              <w:t xml:space="preserve"> </w:t>
            </w:r>
            <w:r w:rsidRPr="00A74972">
              <w:br/>
            </w:r>
          </w:p>
        </w:tc>
        <w:tc>
          <w:tcPr>
            <w:tcW w:w="3995" w:type="pct"/>
            <w:tcBorders>
              <w:top w:val="single" w:sz="4" w:space="0" w:color="auto"/>
              <w:left w:val="single" w:sz="4" w:space="0" w:color="auto"/>
              <w:bottom w:val="single" w:sz="4" w:space="0" w:color="auto"/>
              <w:right w:val="single" w:sz="4" w:space="0" w:color="auto"/>
            </w:tcBorders>
            <w:hideMark/>
          </w:tcPr>
          <w:p w14:paraId="3C81EDA2" w14:textId="754833AE" w:rsidR="3BE3D124" w:rsidRPr="00A74972" w:rsidRDefault="005A2BEB" w:rsidP="52D7E161">
            <w:pPr>
              <w:spacing w:before="120" w:after="160" w:line="257" w:lineRule="auto"/>
              <w:ind w:left="-20" w:right="-20"/>
              <w:rPr>
                <w:rFonts w:asciiTheme="minorHAnsi" w:eastAsiaTheme="minorEastAsia" w:hAnsiTheme="minorHAnsi" w:cstheme="minorBidi"/>
              </w:rPr>
            </w:pPr>
            <w:r>
              <w:rPr>
                <w:rFonts w:asciiTheme="minorHAnsi" w:eastAsiaTheme="minorEastAsia" w:hAnsiTheme="minorHAnsi" w:cstheme="minorBidi"/>
              </w:rPr>
              <w:t>None</w:t>
            </w:r>
          </w:p>
        </w:tc>
      </w:tr>
      <w:tr w:rsidR="00A74972" w:rsidRPr="00A74972" w14:paraId="654E13A9" w14:textId="77777777" w:rsidTr="52D7E161">
        <w:tc>
          <w:tcPr>
            <w:tcW w:w="1005" w:type="pct"/>
            <w:tcBorders>
              <w:top w:val="single" w:sz="4" w:space="0" w:color="auto"/>
              <w:left w:val="single" w:sz="8" w:space="0" w:color="auto"/>
              <w:bottom w:val="single" w:sz="4" w:space="0" w:color="auto"/>
              <w:right w:val="single" w:sz="4" w:space="0" w:color="auto"/>
            </w:tcBorders>
            <w:hideMark/>
          </w:tcPr>
          <w:p w14:paraId="5BF0C211" w14:textId="77777777" w:rsidR="006478E7" w:rsidRPr="00A74972" w:rsidRDefault="006478E7" w:rsidP="00E01349">
            <w:pPr>
              <w:spacing w:before="120" w:after="120" w:line="240" w:lineRule="auto"/>
              <w:rPr>
                <w:rFonts w:cs="Arial"/>
              </w:rPr>
            </w:pPr>
            <w:r w:rsidRPr="00A74972">
              <w:rPr>
                <w:rFonts w:cs="Arial"/>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70822BA4" w14:textId="4C9E5567" w:rsidR="52D7E161" w:rsidRPr="00A74972" w:rsidRDefault="52D7E161" w:rsidP="52D7E161">
            <w:pPr>
              <w:spacing w:before="120" w:after="160" w:line="257" w:lineRule="auto"/>
              <w:ind w:left="-20" w:right="-20"/>
              <w:rPr>
                <w:rFonts w:cs="Calibri"/>
              </w:rPr>
            </w:pPr>
            <w:r w:rsidRPr="00A74972">
              <w:rPr>
                <w:rFonts w:cs="Calibri"/>
                <w:u w:val="single"/>
              </w:rPr>
              <w:t>Test</w:t>
            </w:r>
            <w:r w:rsidRPr="00A74972">
              <w:rPr>
                <w:rFonts w:cs="Calibri"/>
              </w:rPr>
              <w:t>:</w:t>
            </w:r>
            <w:r w:rsidR="25D15FE2" w:rsidRPr="00A74972">
              <w:rPr>
                <w:rFonts w:cs="Calibri"/>
              </w:rPr>
              <w:t xml:space="preserve"> </w:t>
            </w:r>
            <w:r w:rsidR="005D2606" w:rsidRPr="00A74972">
              <w:rPr>
                <w:rFonts w:cs="Calibri"/>
              </w:rPr>
              <w:t xml:space="preserve">Immunohistochemistry (IHC) testing for CLDN18.2 expression using the </w:t>
            </w:r>
            <w:r w:rsidR="64764513" w:rsidRPr="00A74972">
              <w:rPr>
                <w:rFonts w:asciiTheme="minorHAnsi" w:eastAsiaTheme="minorEastAsia" w:hAnsiTheme="minorHAnsi" w:cstheme="minorBidi"/>
              </w:rPr>
              <w:t>Ventana® CLDN18 (43-14A) RxDx Assay</w:t>
            </w:r>
          </w:p>
          <w:p w14:paraId="202218BA" w14:textId="031F4DAE" w:rsidR="52D7E161" w:rsidRPr="00A74972" w:rsidRDefault="52D7E161" w:rsidP="52D7E161">
            <w:pPr>
              <w:spacing w:before="120" w:after="160" w:line="257" w:lineRule="auto"/>
              <w:ind w:left="-20" w:right="-20"/>
              <w:rPr>
                <w:rFonts w:cs="Calibri"/>
              </w:rPr>
            </w:pPr>
            <w:r w:rsidRPr="00A74972">
              <w:rPr>
                <w:rFonts w:cs="Calibri"/>
                <w:u w:val="single"/>
              </w:rPr>
              <w:t>Drug</w:t>
            </w:r>
            <w:r w:rsidRPr="00A74972">
              <w:rPr>
                <w:rFonts w:cs="Calibri"/>
              </w:rPr>
              <w:t>:</w:t>
            </w:r>
            <w:r w:rsidR="43F4F08C" w:rsidRPr="00A74972">
              <w:rPr>
                <w:rFonts w:cs="Calibri"/>
              </w:rPr>
              <w:t xml:space="preserve"> Zolbetuximab</w:t>
            </w:r>
            <w:r w:rsidR="008853BC" w:rsidRPr="00A74972">
              <w:t xml:space="preserve"> in combination with fluoropyrimidine</w:t>
            </w:r>
            <w:r w:rsidR="006975A1">
              <w:t xml:space="preserve"> </w:t>
            </w:r>
            <w:r w:rsidR="008853BC" w:rsidRPr="00A74972">
              <w:t>and platinum-containing chemotherapy</w:t>
            </w:r>
          </w:p>
        </w:tc>
      </w:tr>
      <w:tr w:rsidR="00A74972" w:rsidRPr="00A74972" w14:paraId="1F5647C3" w14:textId="77777777" w:rsidTr="52D7E161">
        <w:tc>
          <w:tcPr>
            <w:tcW w:w="1005" w:type="pct"/>
            <w:tcBorders>
              <w:top w:val="single" w:sz="4" w:space="0" w:color="auto"/>
              <w:left w:val="single" w:sz="8" w:space="0" w:color="auto"/>
              <w:bottom w:val="single" w:sz="4" w:space="0" w:color="auto"/>
              <w:right w:val="single" w:sz="4" w:space="0" w:color="auto"/>
            </w:tcBorders>
            <w:hideMark/>
          </w:tcPr>
          <w:p w14:paraId="7F55173A" w14:textId="77777777" w:rsidR="006478E7" w:rsidRPr="00A74972" w:rsidRDefault="006478E7" w:rsidP="00E01349">
            <w:pPr>
              <w:spacing w:before="120" w:after="120" w:line="240" w:lineRule="auto"/>
              <w:rPr>
                <w:rFonts w:cs="Arial"/>
              </w:rPr>
            </w:pPr>
            <w:r w:rsidRPr="00A74972">
              <w:rPr>
                <w:rFonts w:cs="Arial"/>
              </w:rPr>
              <w:t>Comparator</w:t>
            </w:r>
            <w:r w:rsidR="00D83062" w:rsidRPr="00A74972">
              <w:rPr>
                <w:rFonts w:cs="Arial"/>
              </w:rPr>
              <w:t>/s</w:t>
            </w:r>
          </w:p>
        </w:tc>
        <w:tc>
          <w:tcPr>
            <w:tcW w:w="3995" w:type="pct"/>
            <w:tcBorders>
              <w:top w:val="single" w:sz="4" w:space="0" w:color="auto"/>
              <w:left w:val="single" w:sz="4" w:space="0" w:color="auto"/>
              <w:bottom w:val="single" w:sz="4" w:space="0" w:color="auto"/>
              <w:right w:val="single" w:sz="4" w:space="0" w:color="auto"/>
            </w:tcBorders>
            <w:hideMark/>
          </w:tcPr>
          <w:p w14:paraId="7BECD577" w14:textId="48B1A16F" w:rsidR="52D7E161" w:rsidRPr="00A74972" w:rsidRDefault="52D7E161" w:rsidP="52D7E161">
            <w:pPr>
              <w:spacing w:before="120" w:after="160" w:line="257" w:lineRule="auto"/>
              <w:ind w:left="-20" w:right="-20"/>
              <w:rPr>
                <w:rFonts w:cs="Calibri"/>
              </w:rPr>
            </w:pPr>
            <w:r w:rsidRPr="00A74972">
              <w:rPr>
                <w:rFonts w:cs="Calibri"/>
                <w:u w:val="single"/>
              </w:rPr>
              <w:t>Test</w:t>
            </w:r>
            <w:r w:rsidRPr="00A74972">
              <w:rPr>
                <w:rFonts w:cs="Calibri"/>
              </w:rPr>
              <w:t>:</w:t>
            </w:r>
            <w:r w:rsidR="3EEF2E9D" w:rsidRPr="00A74972">
              <w:rPr>
                <w:rFonts w:cs="Calibri"/>
              </w:rPr>
              <w:t xml:space="preserve"> No testing</w:t>
            </w:r>
          </w:p>
          <w:p w14:paraId="4D01C26B" w14:textId="4945B6F9" w:rsidR="008D1282" w:rsidRPr="00A74972" w:rsidRDefault="52D7E161" w:rsidP="00874616">
            <w:pPr>
              <w:spacing w:before="120" w:after="160" w:line="257" w:lineRule="auto"/>
              <w:ind w:left="-20" w:right="-20"/>
            </w:pPr>
            <w:r w:rsidRPr="00A74972">
              <w:rPr>
                <w:rFonts w:cs="Calibri"/>
                <w:u w:val="single"/>
              </w:rPr>
              <w:t>Drug</w:t>
            </w:r>
            <w:r w:rsidRPr="00A74972">
              <w:rPr>
                <w:rFonts w:cs="Calibri"/>
              </w:rPr>
              <w:t>:</w:t>
            </w:r>
            <w:r w:rsidR="4DE80688" w:rsidRPr="00A74972">
              <w:rPr>
                <w:rFonts w:cs="Calibri"/>
              </w:rPr>
              <w:t xml:space="preserve"> </w:t>
            </w:r>
            <w:r w:rsidR="008D1282" w:rsidRPr="00A74972">
              <w:rPr>
                <w:rFonts w:cs="Calibri"/>
              </w:rPr>
              <w:t xml:space="preserve">For patients without prior immune checkpoint inhibitor therapy, </w:t>
            </w:r>
            <w:r w:rsidR="5ABB04BC" w:rsidRPr="00A74972">
              <w:rPr>
                <w:rFonts w:cs="Calibri"/>
              </w:rPr>
              <w:t>n</w:t>
            </w:r>
            <w:r w:rsidR="1086B14D" w:rsidRPr="00A74972">
              <w:rPr>
                <w:rFonts w:cs="Calibri"/>
              </w:rPr>
              <w:t>ivolumab</w:t>
            </w:r>
            <w:r w:rsidR="4DE80688" w:rsidRPr="00A74972">
              <w:rPr>
                <w:rFonts w:cs="Calibri"/>
              </w:rPr>
              <w:t xml:space="preserve"> in combination with </w:t>
            </w:r>
            <w:r w:rsidR="0076158B" w:rsidRPr="00A74972">
              <w:t xml:space="preserve">fluoropyrimidine- and platinum-containing </w:t>
            </w:r>
            <w:r w:rsidR="4DE80688" w:rsidRPr="00A74972">
              <w:t>chemotherapy</w:t>
            </w:r>
            <w:r w:rsidR="00874616">
              <w:t xml:space="preserve">. </w:t>
            </w:r>
            <w:r w:rsidR="008D1282" w:rsidRPr="00A74972">
              <w:t>For patients who received nivolumab therapy for Stage II/III disease and subsequently relapsed with locally advanced unresectable/metastatic disease, chemotherapy alone</w:t>
            </w:r>
            <w:r w:rsidR="00A840EC">
              <w:t xml:space="preserve"> appeared to be</w:t>
            </w:r>
            <w:r w:rsidR="008D1282" w:rsidRPr="00A74972">
              <w:t xml:space="preserve"> the appropriate comparator</w:t>
            </w:r>
            <w:r w:rsidR="00A840EC">
              <w:t xml:space="preserve"> (to be confirmed by PBAC)</w:t>
            </w:r>
            <w:r w:rsidR="008D1282" w:rsidRPr="00A74972">
              <w:t>.</w:t>
            </w:r>
          </w:p>
        </w:tc>
      </w:tr>
      <w:tr w:rsidR="00A74972" w:rsidRPr="00A74972" w14:paraId="13D8130D" w14:textId="77777777" w:rsidTr="52D7E161">
        <w:tc>
          <w:tcPr>
            <w:tcW w:w="1005" w:type="pct"/>
            <w:tcBorders>
              <w:top w:val="single" w:sz="4" w:space="0" w:color="auto"/>
              <w:left w:val="single" w:sz="8" w:space="0" w:color="auto"/>
              <w:bottom w:val="single" w:sz="4" w:space="0" w:color="auto"/>
              <w:right w:val="single" w:sz="4" w:space="0" w:color="auto"/>
            </w:tcBorders>
          </w:tcPr>
          <w:p w14:paraId="5A8AC74C" w14:textId="4BC4DA96" w:rsidR="00C64764" w:rsidRPr="00A74972" w:rsidRDefault="00C64764" w:rsidP="00E01349">
            <w:pPr>
              <w:spacing w:before="120" w:after="120" w:line="240" w:lineRule="auto"/>
              <w:rPr>
                <w:rFonts w:cs="Arial"/>
              </w:rPr>
            </w:pPr>
            <w:r w:rsidRPr="00A74972">
              <w:rPr>
                <w:rFonts w:cs="Arial"/>
              </w:rPr>
              <w:t xml:space="preserve">Clinical utility standard </w:t>
            </w:r>
            <w:r w:rsidR="0065205D" w:rsidRPr="00A74972">
              <w:rPr>
                <w:rFonts w:cs="Arial"/>
              </w:rPr>
              <w:br/>
            </w:r>
            <w:r w:rsidRPr="00A74972">
              <w:rPr>
                <w:rStyle w:val="InstructionaltextChar"/>
                <w:color w:val="auto"/>
              </w:rPr>
              <w:t>(for codependent tests only)</w:t>
            </w:r>
          </w:p>
        </w:tc>
        <w:tc>
          <w:tcPr>
            <w:tcW w:w="3995" w:type="pct"/>
            <w:tcBorders>
              <w:top w:val="single" w:sz="4" w:space="0" w:color="auto"/>
              <w:left w:val="single" w:sz="4" w:space="0" w:color="auto"/>
              <w:bottom w:val="single" w:sz="4" w:space="0" w:color="auto"/>
              <w:right w:val="single" w:sz="4" w:space="0" w:color="auto"/>
            </w:tcBorders>
          </w:tcPr>
          <w:p w14:paraId="077D7EC7" w14:textId="77378EC5" w:rsidR="52D7E161" w:rsidRPr="00A74972" w:rsidRDefault="00787BCE" w:rsidP="52D7E161">
            <w:pPr>
              <w:spacing w:before="120" w:after="160" w:line="257" w:lineRule="auto"/>
              <w:ind w:left="-20" w:right="-20"/>
            </w:pPr>
            <w:r w:rsidRPr="00A74972">
              <w:t xml:space="preserve">Ventana® CLDN18 (43-14A) RxDx Assay; a positive result </w:t>
            </w:r>
            <w:r w:rsidR="00BA4D52" w:rsidRPr="00A74972">
              <w:t xml:space="preserve">corresponds to </w:t>
            </w:r>
            <w:r w:rsidRPr="00A74972">
              <w:t xml:space="preserve">≥75% </w:t>
            </w:r>
            <w:r w:rsidR="000A3935" w:rsidRPr="00A74972">
              <w:t>tumour cells (</w:t>
            </w:r>
            <w:r w:rsidRPr="00A74972">
              <w:t>TCs</w:t>
            </w:r>
            <w:r w:rsidR="000A3935" w:rsidRPr="00A74972">
              <w:t>)</w:t>
            </w:r>
            <w:r w:rsidRPr="00A74972">
              <w:t xml:space="preserve"> showing moderate-to-strong membranous staining above background, while &lt;75% TCs showing moderate-to-strong membranous staining was indicative of a negative result.</w:t>
            </w:r>
            <w:r w:rsidR="00F425EC" w:rsidRPr="00A74972">
              <w:t xml:space="preserve"> P</w:t>
            </w:r>
            <w:r w:rsidR="00F425EC" w:rsidRPr="00A74972">
              <w:rPr>
                <w:rFonts w:asciiTheme="minorHAnsi" w:hAnsiTheme="minorHAnsi" w:cstheme="minorBidi"/>
              </w:rPr>
              <w:t xml:space="preserve">atients </w:t>
            </w:r>
            <w:r w:rsidR="0022484E" w:rsidRPr="00A74972">
              <w:t>who have locally advanced unresectable or metastatic HER2-negative G/GOJ adenocarcinoma</w:t>
            </w:r>
            <w:r w:rsidR="0022484E" w:rsidRPr="00A74972">
              <w:rPr>
                <w:rFonts w:asciiTheme="minorHAnsi" w:hAnsiTheme="minorHAnsi" w:cstheme="minorBidi"/>
              </w:rPr>
              <w:t xml:space="preserve"> </w:t>
            </w:r>
            <w:r w:rsidR="00F425EC" w:rsidRPr="00A74972">
              <w:rPr>
                <w:rFonts w:asciiTheme="minorHAnsi" w:hAnsiTheme="minorHAnsi" w:cstheme="minorBidi"/>
              </w:rPr>
              <w:t>which are</w:t>
            </w:r>
            <w:r w:rsidR="00F94FAE" w:rsidRPr="00A74972">
              <w:t xml:space="preserve"> CLDN18</w:t>
            </w:r>
            <w:r w:rsidR="006B598D" w:rsidRPr="00A74972">
              <w:t>.2</w:t>
            </w:r>
            <w:r w:rsidR="00440E3F" w:rsidRPr="00A74972">
              <w:t>+</w:t>
            </w:r>
            <w:r w:rsidR="00F94FAE" w:rsidRPr="00A74972">
              <w:t xml:space="preserve"> will be eligible for zolbetuximab treatment in combination with fluoropyrimidine- and platinum-containing chemotherapy.</w:t>
            </w:r>
          </w:p>
        </w:tc>
      </w:tr>
      <w:tr w:rsidR="00A74972" w:rsidRPr="00A74972" w14:paraId="591B1D2D" w14:textId="77777777" w:rsidTr="52D7E161">
        <w:tc>
          <w:tcPr>
            <w:tcW w:w="1005" w:type="pct"/>
            <w:tcBorders>
              <w:top w:val="single" w:sz="4" w:space="0" w:color="auto"/>
              <w:left w:val="single" w:sz="8" w:space="0" w:color="auto"/>
              <w:bottom w:val="single" w:sz="4" w:space="0" w:color="auto"/>
              <w:right w:val="single" w:sz="4" w:space="0" w:color="auto"/>
            </w:tcBorders>
            <w:hideMark/>
          </w:tcPr>
          <w:p w14:paraId="635F9D15" w14:textId="77777777" w:rsidR="006478E7" w:rsidRPr="00A74972" w:rsidRDefault="006478E7" w:rsidP="00E01349">
            <w:pPr>
              <w:spacing w:before="120" w:after="120" w:line="240" w:lineRule="auto"/>
              <w:rPr>
                <w:rFonts w:cs="Arial"/>
              </w:rPr>
            </w:pPr>
            <w:r w:rsidRPr="00A74972">
              <w:rPr>
                <w:rFonts w:cs="Arial"/>
              </w:rPr>
              <w:t>Outcomes</w:t>
            </w:r>
          </w:p>
        </w:tc>
        <w:tc>
          <w:tcPr>
            <w:tcW w:w="3995" w:type="pct"/>
            <w:tcBorders>
              <w:top w:val="single" w:sz="4" w:space="0" w:color="auto"/>
              <w:left w:val="single" w:sz="4" w:space="0" w:color="auto"/>
              <w:bottom w:val="single" w:sz="4" w:space="0" w:color="auto"/>
              <w:right w:val="single" w:sz="4" w:space="0" w:color="auto"/>
            </w:tcBorders>
            <w:hideMark/>
          </w:tcPr>
          <w:p w14:paraId="43D5B6B3" w14:textId="6EC5F055" w:rsidR="52D7E161" w:rsidRPr="00A74972" w:rsidRDefault="52D7E161" w:rsidP="52D7E161">
            <w:pPr>
              <w:spacing w:before="120" w:after="160" w:line="257" w:lineRule="auto"/>
              <w:ind w:left="-20" w:right="-20"/>
            </w:pPr>
            <w:r w:rsidRPr="00A74972">
              <w:rPr>
                <w:rFonts w:cs="Calibri"/>
                <w:u w:val="single"/>
              </w:rPr>
              <w:t>Test outcomes</w:t>
            </w:r>
            <w:r w:rsidRPr="00A74972">
              <w:rPr>
                <w:rFonts w:cs="Calibri"/>
              </w:rPr>
              <w:t>:</w:t>
            </w:r>
          </w:p>
          <w:p w14:paraId="5DB46419" w14:textId="77777777" w:rsidR="005143E2" w:rsidRPr="00A74972" w:rsidRDefault="005143E2" w:rsidP="005143E2">
            <w:pPr>
              <w:ind w:left="-20" w:right="-20"/>
            </w:pPr>
            <w:r w:rsidRPr="00A74972">
              <w:rPr>
                <w:rFonts w:cs="Calibri"/>
              </w:rPr>
              <w:t>Safety: Adverse events associated with biopsy/re-biopsy for patients with inadequate tissue for tumour testing.</w:t>
            </w:r>
          </w:p>
          <w:p w14:paraId="6C70EB92" w14:textId="6198F9B6" w:rsidR="005143E2" w:rsidRPr="00A74972" w:rsidRDefault="005143E2" w:rsidP="005143E2">
            <w:pPr>
              <w:ind w:left="-20" w:right="-20"/>
            </w:pPr>
            <w:r w:rsidRPr="00A74972">
              <w:t xml:space="preserve">Diagnostic performance: Sensitivity, specificity, assessment of extent of and implications of discordances between Australian IHC testing and clinical utility standard, test-retest reliability, evidence of stability of proteins in archival tissue, </w:t>
            </w:r>
            <w:r w:rsidRPr="00A74972">
              <w:lastRenderedPageBreak/>
              <w:t>evidence of stability in CLDN18.2 status over time, test failure rate</w:t>
            </w:r>
            <w:r w:rsidR="008F6F14">
              <w:t>, heterogeneity within tissue samples</w:t>
            </w:r>
            <w:r w:rsidRPr="00A74972">
              <w:t xml:space="preserve">. </w:t>
            </w:r>
          </w:p>
          <w:p w14:paraId="430A2DBC" w14:textId="77777777" w:rsidR="005143E2" w:rsidRPr="00A74972" w:rsidRDefault="005143E2" w:rsidP="005143E2">
            <w:pPr>
              <w:ind w:left="-20" w:right="-20"/>
            </w:pPr>
            <w:r w:rsidRPr="00A74972">
              <w:t>Clinical validity: Positive and negative predictive values, positive and negative likelihood ratios.</w:t>
            </w:r>
          </w:p>
          <w:p w14:paraId="78895C23" w14:textId="77777777" w:rsidR="005143E2" w:rsidRPr="00A74972" w:rsidRDefault="005143E2" w:rsidP="005143E2">
            <w:pPr>
              <w:ind w:left="-20" w:right="-20"/>
            </w:pPr>
            <w:r w:rsidRPr="00A74972">
              <w:rPr>
                <w:rFonts w:cs="Calibri"/>
              </w:rPr>
              <w:t>Clinical utility of the test: Determine whether testing for CLDN18.2 predicts variation in the treatment effect of zolbetuximab in terms of health outcomes for patients.</w:t>
            </w:r>
          </w:p>
          <w:p w14:paraId="5F0D3C4B" w14:textId="77777777" w:rsidR="005143E2" w:rsidRPr="00A74972" w:rsidRDefault="005143E2" w:rsidP="005143E2">
            <w:pPr>
              <w:ind w:left="-20" w:right="-20"/>
            </w:pPr>
            <w:r w:rsidRPr="00A74972">
              <w:rPr>
                <w:rFonts w:cs="Calibri"/>
                <w:u w:val="single"/>
              </w:rPr>
              <w:t>Drug-related outcomes</w:t>
            </w:r>
            <w:r w:rsidRPr="00A74972">
              <w:rPr>
                <w:rFonts w:cs="Calibri"/>
              </w:rPr>
              <w:t xml:space="preserve">: </w:t>
            </w:r>
          </w:p>
          <w:p w14:paraId="19CEE88F" w14:textId="3548D892" w:rsidR="005143E2" w:rsidRPr="00A74972" w:rsidRDefault="005143E2" w:rsidP="005143E2">
            <w:pPr>
              <w:ind w:left="-20" w:right="-20"/>
            </w:pPr>
            <w:r w:rsidRPr="00A74972">
              <w:rPr>
                <w:rFonts w:cs="Calibri"/>
              </w:rPr>
              <w:t xml:space="preserve">Safety outcomes: Safety and tolerability of treatment with zolbetuximab </w:t>
            </w:r>
            <w:r w:rsidR="00230C94">
              <w:rPr>
                <w:rFonts w:cs="Calibri"/>
              </w:rPr>
              <w:t>compared to alternative treatments</w:t>
            </w:r>
            <w:r w:rsidRPr="00A74972">
              <w:rPr>
                <w:rFonts w:cs="Calibri"/>
              </w:rPr>
              <w:t xml:space="preserve"> </w:t>
            </w:r>
            <w:r w:rsidR="00D338CE">
              <w:rPr>
                <w:rFonts w:cs="Calibri"/>
              </w:rPr>
              <w:t xml:space="preserve">assessed by </w:t>
            </w:r>
            <w:r w:rsidRPr="00A74972">
              <w:rPr>
                <w:rFonts w:cs="Calibri"/>
              </w:rPr>
              <w:t xml:space="preserve">adverse events, physical examination, laboratory findings and vital signs. </w:t>
            </w:r>
          </w:p>
          <w:p w14:paraId="31BC6B39" w14:textId="77777777" w:rsidR="005143E2" w:rsidRPr="00A74972" w:rsidRDefault="005143E2" w:rsidP="005143E2">
            <w:pPr>
              <w:ind w:left="-20" w:right="-20"/>
            </w:pPr>
            <w:r w:rsidRPr="00A74972">
              <w:rPr>
                <w:rFonts w:cs="Calibri"/>
              </w:rPr>
              <w:t xml:space="preserve">Clinical effectiveness outcomes: </w:t>
            </w:r>
          </w:p>
          <w:p w14:paraId="246A492B" w14:textId="77777777" w:rsidR="005143E2" w:rsidRPr="00A74972" w:rsidRDefault="005143E2" w:rsidP="00E227DB">
            <w:pPr>
              <w:pStyle w:val="ListParagraph"/>
              <w:numPr>
                <w:ilvl w:val="0"/>
                <w:numId w:val="2"/>
              </w:numPr>
            </w:pPr>
            <w:r w:rsidRPr="00A74972">
              <w:t>Objective response rate (ORR)</w:t>
            </w:r>
          </w:p>
          <w:p w14:paraId="1C85B9D6" w14:textId="77777777" w:rsidR="005143E2" w:rsidRPr="00A74972" w:rsidRDefault="005143E2" w:rsidP="00E227DB">
            <w:pPr>
              <w:pStyle w:val="ListParagraph"/>
              <w:numPr>
                <w:ilvl w:val="0"/>
                <w:numId w:val="2"/>
              </w:numPr>
            </w:pPr>
            <w:r w:rsidRPr="00A74972">
              <w:t>Overall survival (OS)</w:t>
            </w:r>
          </w:p>
          <w:p w14:paraId="5136F798" w14:textId="77777777" w:rsidR="005143E2" w:rsidRPr="00A74972" w:rsidRDefault="005143E2" w:rsidP="00E227DB">
            <w:pPr>
              <w:pStyle w:val="ListParagraph"/>
              <w:numPr>
                <w:ilvl w:val="0"/>
                <w:numId w:val="2"/>
              </w:numPr>
            </w:pPr>
            <w:r w:rsidRPr="00A74972">
              <w:t xml:space="preserve">Progression-free survival (PFS) </w:t>
            </w:r>
          </w:p>
          <w:p w14:paraId="44C56C8B" w14:textId="77777777" w:rsidR="005143E2" w:rsidRPr="00A74972" w:rsidRDefault="005143E2" w:rsidP="00E227DB">
            <w:pPr>
              <w:pStyle w:val="ListParagraph"/>
              <w:numPr>
                <w:ilvl w:val="0"/>
                <w:numId w:val="2"/>
              </w:numPr>
            </w:pPr>
            <w:r w:rsidRPr="00A74972">
              <w:t>Partial response (PR)</w:t>
            </w:r>
          </w:p>
          <w:p w14:paraId="64E1E0AB" w14:textId="77777777" w:rsidR="005143E2" w:rsidRPr="00A74972" w:rsidRDefault="005143E2" w:rsidP="00E227DB">
            <w:pPr>
              <w:pStyle w:val="ListParagraph"/>
              <w:numPr>
                <w:ilvl w:val="0"/>
                <w:numId w:val="2"/>
              </w:numPr>
            </w:pPr>
            <w:r w:rsidRPr="00A74972">
              <w:t>Complete response (CR)</w:t>
            </w:r>
          </w:p>
          <w:p w14:paraId="4874E799" w14:textId="77777777" w:rsidR="005143E2" w:rsidRPr="00A74972" w:rsidRDefault="005143E2" w:rsidP="00E227DB">
            <w:pPr>
              <w:pStyle w:val="ListParagraph"/>
              <w:numPr>
                <w:ilvl w:val="0"/>
                <w:numId w:val="2"/>
              </w:numPr>
            </w:pPr>
            <w:r w:rsidRPr="00A74972">
              <w:t>Health-related quality of life (HRQoL)</w:t>
            </w:r>
          </w:p>
          <w:p w14:paraId="47E5AC80" w14:textId="2EC9A4B1" w:rsidR="005143E2" w:rsidRPr="00A74972" w:rsidRDefault="005143E2" w:rsidP="005143E2">
            <w:pPr>
              <w:ind w:left="-20" w:right="-20"/>
            </w:pPr>
            <w:r w:rsidRPr="00A74972">
              <w:rPr>
                <w:rFonts w:cs="Calibri"/>
              </w:rPr>
              <w:t>Healthcare system</w:t>
            </w:r>
            <w:r w:rsidR="1B6485D7" w:rsidRPr="00A74972">
              <w:rPr>
                <w:rFonts w:cs="Calibri"/>
              </w:rPr>
              <w:t xml:space="preserve"> outcomes</w:t>
            </w:r>
            <w:r w:rsidRPr="00A74972">
              <w:rPr>
                <w:rFonts w:cs="Calibri"/>
              </w:rPr>
              <w:t xml:space="preserve">: </w:t>
            </w:r>
          </w:p>
          <w:p w14:paraId="5117951F" w14:textId="2EC9A4B1" w:rsidR="005143E2" w:rsidRPr="00A74972" w:rsidRDefault="005143E2" w:rsidP="00E227DB">
            <w:pPr>
              <w:pStyle w:val="ListParagraph"/>
              <w:numPr>
                <w:ilvl w:val="0"/>
                <w:numId w:val="2"/>
              </w:numPr>
            </w:pPr>
            <w:r w:rsidRPr="00A74972">
              <w:t xml:space="preserve">Cost of testing per patient </w:t>
            </w:r>
            <w:r w:rsidR="0D96217D" w:rsidRPr="00A74972">
              <w:t>and cost of</w:t>
            </w:r>
            <w:r w:rsidRPr="00A74972">
              <w:t xml:space="preserve"> associated re-biopsies (e.g.: early-stage disease that has relapsed</w:t>
            </w:r>
            <w:r w:rsidR="71447F75" w:rsidRPr="00A74972">
              <w:t>, test failure, inadequate sampling</w:t>
            </w:r>
            <w:r w:rsidR="4CC5B621" w:rsidRPr="00A74972">
              <w:t>)</w:t>
            </w:r>
          </w:p>
          <w:p w14:paraId="10C0B250" w14:textId="77777777" w:rsidR="00E162AC" w:rsidRPr="00A74972" w:rsidRDefault="005143E2" w:rsidP="00E227DB">
            <w:pPr>
              <w:pStyle w:val="ListParagraph"/>
              <w:numPr>
                <w:ilvl w:val="0"/>
                <w:numId w:val="2"/>
              </w:numPr>
            </w:pPr>
            <w:r w:rsidRPr="00A74972">
              <w:t>Cost of treatment and cost of treating adverse events</w:t>
            </w:r>
          </w:p>
          <w:p w14:paraId="3689F5E7" w14:textId="46030D4A" w:rsidR="52D7E161" w:rsidRPr="00A74972" w:rsidRDefault="005143E2" w:rsidP="00E227DB">
            <w:pPr>
              <w:pStyle w:val="ListParagraph"/>
              <w:numPr>
                <w:ilvl w:val="0"/>
                <w:numId w:val="2"/>
              </w:numPr>
            </w:pPr>
            <w:r w:rsidRPr="00A74972">
              <w:t>Financial implications</w:t>
            </w:r>
            <w:r w:rsidR="00DB20F8" w:rsidRPr="00A74972">
              <w:t xml:space="preserve">: </w:t>
            </w:r>
            <w:r w:rsidR="00401DAB" w:rsidRPr="00A74972">
              <w:t>number of patients tested; number of patients treated.</w:t>
            </w:r>
          </w:p>
        </w:tc>
      </w:tr>
      <w:tr w:rsidR="00A74972" w:rsidRPr="00A74972" w14:paraId="4A55FFDB" w14:textId="77777777" w:rsidTr="52D7E161">
        <w:tc>
          <w:tcPr>
            <w:tcW w:w="1005" w:type="pct"/>
            <w:tcBorders>
              <w:top w:val="single" w:sz="4" w:space="0" w:color="auto"/>
              <w:left w:val="single" w:sz="8" w:space="0" w:color="auto"/>
              <w:bottom w:val="single" w:sz="8" w:space="0" w:color="auto"/>
              <w:right w:val="single" w:sz="4" w:space="0" w:color="auto"/>
            </w:tcBorders>
          </w:tcPr>
          <w:p w14:paraId="003B36EC" w14:textId="77777777" w:rsidR="00BB1698" w:rsidRPr="00A74972" w:rsidRDefault="00BB1698" w:rsidP="00E01349">
            <w:pPr>
              <w:spacing w:before="120" w:after="120" w:line="240" w:lineRule="auto"/>
              <w:rPr>
                <w:rFonts w:cs="Arial"/>
              </w:rPr>
            </w:pPr>
            <w:r w:rsidRPr="00A74972">
              <w:rPr>
                <w:rFonts w:cs="Arial"/>
              </w:rPr>
              <w:lastRenderedPageBreak/>
              <w:t>Assessment questions</w:t>
            </w:r>
          </w:p>
        </w:tc>
        <w:tc>
          <w:tcPr>
            <w:tcW w:w="3995" w:type="pct"/>
            <w:tcBorders>
              <w:top w:val="single" w:sz="4" w:space="0" w:color="auto"/>
              <w:left w:val="single" w:sz="4" w:space="0" w:color="auto"/>
              <w:bottom w:val="single" w:sz="4" w:space="0" w:color="auto"/>
              <w:right w:val="single" w:sz="4" w:space="0" w:color="auto"/>
            </w:tcBorders>
          </w:tcPr>
          <w:p w14:paraId="17F06744" w14:textId="42E20770" w:rsidR="00BB1698" w:rsidRPr="00A74972" w:rsidRDefault="00BB1698" w:rsidP="00E01349">
            <w:pPr>
              <w:spacing w:before="120" w:after="120" w:line="240" w:lineRule="auto"/>
            </w:pPr>
            <w:r w:rsidRPr="00A74972">
              <w:t>What is the safety</w:t>
            </w:r>
            <w:r w:rsidR="006272CE" w:rsidRPr="00A74972">
              <w:t xml:space="preserve">, </w:t>
            </w:r>
            <w:r w:rsidRPr="00A74972">
              <w:t>effectiveness</w:t>
            </w:r>
            <w:r w:rsidR="006272CE" w:rsidRPr="00A74972">
              <w:t>, cost-effectiveness and total costs</w:t>
            </w:r>
            <w:r w:rsidRPr="00A74972">
              <w:t xml:space="preserve"> of</w:t>
            </w:r>
            <w:r w:rsidR="00BE3B95" w:rsidRPr="00A74972">
              <w:rPr>
                <w:rFonts w:eastAsia="Segoe UI"/>
              </w:rPr>
              <w:t xml:space="preserve"> CLDN18.2</w:t>
            </w:r>
            <w:r w:rsidR="00EC66AC" w:rsidRPr="00A74972">
              <w:rPr>
                <w:rFonts w:eastAsia="Segoe UI"/>
              </w:rPr>
              <w:t xml:space="preserve"> </w:t>
            </w:r>
            <w:r w:rsidR="00BA0F68" w:rsidRPr="00A74972">
              <w:rPr>
                <w:rFonts w:eastAsia="Segoe UI"/>
              </w:rPr>
              <w:t>testing</w:t>
            </w:r>
            <w:r w:rsidR="00BE3B95" w:rsidRPr="00A74972">
              <w:rPr>
                <w:rFonts w:eastAsia="Segoe UI"/>
              </w:rPr>
              <w:t xml:space="preserve"> </w:t>
            </w:r>
            <w:r w:rsidR="002A45B6" w:rsidRPr="00A74972">
              <w:rPr>
                <w:rFonts w:eastAsia="Segoe UI"/>
              </w:rPr>
              <w:t xml:space="preserve">and treatment with </w:t>
            </w:r>
            <w:r w:rsidR="00C71499" w:rsidRPr="00A74972">
              <w:rPr>
                <w:rFonts w:eastAsia="Segoe UI"/>
              </w:rPr>
              <w:t xml:space="preserve">zolbetuximab </w:t>
            </w:r>
            <w:r w:rsidRPr="00A74972">
              <w:t>versus</w:t>
            </w:r>
            <w:r w:rsidR="00C71499" w:rsidRPr="00A74972">
              <w:t xml:space="preserve"> no testing and treatment with nivolumab</w:t>
            </w:r>
            <w:r w:rsidRPr="00A74972">
              <w:t xml:space="preserve"> in </w:t>
            </w:r>
            <w:r w:rsidR="00EB2FF4" w:rsidRPr="00A74972">
              <w:t>patients with</w:t>
            </w:r>
            <w:r w:rsidR="008612BE" w:rsidRPr="00A74972">
              <w:rPr>
                <w:rFonts w:eastAsia="Segoe UI"/>
              </w:rPr>
              <w:t xml:space="preserve"> </w:t>
            </w:r>
            <w:r w:rsidR="008612BE" w:rsidRPr="00A74972">
              <w:t xml:space="preserve">locally advanced </w:t>
            </w:r>
            <w:r w:rsidR="00D9692B" w:rsidRPr="00A74972">
              <w:t xml:space="preserve">unresectable </w:t>
            </w:r>
            <w:r w:rsidR="008612BE" w:rsidRPr="00A74972">
              <w:t>or me</w:t>
            </w:r>
            <w:r w:rsidR="008B04C3" w:rsidRPr="00A74972">
              <w:t>tastatic</w:t>
            </w:r>
            <w:r w:rsidR="00C71499" w:rsidRPr="00A74972">
              <w:rPr>
                <w:rFonts w:eastAsia="Segoe UI"/>
              </w:rPr>
              <w:t xml:space="preserve"> </w:t>
            </w:r>
            <w:r w:rsidR="00E13D83" w:rsidRPr="00A74972">
              <w:rPr>
                <w:rFonts w:eastAsia="Segoe UI"/>
              </w:rPr>
              <w:t xml:space="preserve">HER2 negative </w:t>
            </w:r>
            <w:r w:rsidR="008C6CD5" w:rsidRPr="00A74972">
              <w:rPr>
                <w:rFonts w:asciiTheme="minorHAnsi" w:eastAsiaTheme="minorEastAsia" w:hAnsiTheme="minorHAnsi" w:cstheme="minorBidi"/>
              </w:rPr>
              <w:t xml:space="preserve">G/GOJ </w:t>
            </w:r>
            <w:r w:rsidR="00C71499" w:rsidRPr="00A74972">
              <w:rPr>
                <w:rFonts w:eastAsia="Segoe UI"/>
              </w:rPr>
              <w:t>adenocarcinoma</w:t>
            </w:r>
            <w:r w:rsidR="00640D6E" w:rsidRPr="00A74972">
              <w:rPr>
                <w:rFonts w:eastAsia="Segoe UI"/>
              </w:rPr>
              <w:t>?</w:t>
            </w:r>
          </w:p>
          <w:p w14:paraId="21CC1B58" w14:textId="77777777" w:rsidR="00B96B53" w:rsidRPr="00A74972" w:rsidRDefault="007D531A" w:rsidP="00E01349">
            <w:pPr>
              <w:spacing w:before="120" w:after="120" w:line="240" w:lineRule="auto"/>
            </w:pPr>
            <w:r w:rsidRPr="00A74972">
              <w:t xml:space="preserve">Does testing </w:t>
            </w:r>
            <w:r w:rsidR="008F2242" w:rsidRPr="00A74972">
              <w:t>for CLDN18.2 predict</w:t>
            </w:r>
            <w:r w:rsidR="00FA0D66" w:rsidRPr="00A74972">
              <w:t xml:space="preserve"> a treatment effect modification</w:t>
            </w:r>
            <w:r w:rsidR="00D641B7" w:rsidRPr="00A74972">
              <w:t xml:space="preserve"> with zolbetuximab?</w:t>
            </w:r>
            <w:r w:rsidR="00225A3E" w:rsidRPr="00A74972">
              <w:t xml:space="preserve"> </w:t>
            </w:r>
          </w:p>
          <w:p w14:paraId="7AB69A9A" w14:textId="135C95A1" w:rsidR="00BB1698" w:rsidRPr="00A74972" w:rsidRDefault="4496D2DD" w:rsidP="00E01349">
            <w:pPr>
              <w:spacing w:before="120" w:after="120" w:line="240" w:lineRule="auto"/>
              <w:rPr>
                <w:rFonts w:eastAsia="Segoe UI"/>
              </w:rPr>
            </w:pPr>
            <w:r w:rsidRPr="00A74972">
              <w:rPr>
                <w:rFonts w:eastAsia="Segoe UI"/>
              </w:rPr>
              <w:t xml:space="preserve">What are the potential costs and cost offsets associated with disease management arising </w:t>
            </w:r>
            <w:r w:rsidR="0D3724D1" w:rsidRPr="00A74972">
              <w:rPr>
                <w:rFonts w:eastAsia="Segoe UI"/>
              </w:rPr>
              <w:t>from the listing of CLDN18.2 testing?</w:t>
            </w:r>
          </w:p>
        </w:tc>
      </w:tr>
    </w:tbl>
    <w:p w14:paraId="5D5376EF" w14:textId="7C67DFBE" w:rsidR="006478E7" w:rsidRPr="00A74972" w:rsidRDefault="006478E7" w:rsidP="00E01349">
      <w:r w:rsidRPr="00A74972">
        <w:br w:type="page"/>
      </w:r>
    </w:p>
    <w:p w14:paraId="53297713" w14:textId="0DA7B658" w:rsidR="00912660" w:rsidRPr="00A74972" w:rsidRDefault="00912660" w:rsidP="00713728">
      <w:pPr>
        <w:pStyle w:val="Heading2"/>
        <w:rPr>
          <w:color w:val="auto"/>
        </w:rPr>
      </w:pPr>
      <w:r w:rsidRPr="00A74972">
        <w:rPr>
          <w:color w:val="auto"/>
        </w:rPr>
        <w:lastRenderedPageBreak/>
        <w:t>Purpose of application</w:t>
      </w:r>
    </w:p>
    <w:p w14:paraId="513C7D6B" w14:textId="22475A71" w:rsidR="4198FF5A" w:rsidRPr="00A74972" w:rsidRDefault="4198FF5A" w:rsidP="52D7E161">
      <w:pPr>
        <w:spacing w:before="120" w:after="240" w:line="259" w:lineRule="auto"/>
        <w:rPr>
          <w:rFonts w:cs="Calibri"/>
        </w:rPr>
      </w:pPr>
      <w:r w:rsidRPr="00A74972">
        <w:rPr>
          <w:rFonts w:cs="Calibri"/>
        </w:rPr>
        <w:t>The codependent application requested:</w:t>
      </w:r>
    </w:p>
    <w:p w14:paraId="77E600E6" w14:textId="1BF2B81B" w:rsidR="0037167A" w:rsidRPr="00431265" w:rsidRDefault="00027DAC" w:rsidP="00431265">
      <w:pPr>
        <w:pStyle w:val="ListParagraph"/>
        <w:numPr>
          <w:ilvl w:val="0"/>
          <w:numId w:val="4"/>
        </w:numPr>
        <w:spacing w:before="120" w:after="240" w:line="257" w:lineRule="auto"/>
        <w:ind w:right="-20"/>
        <w:rPr>
          <w:rFonts w:cs="Calibri"/>
        </w:rPr>
      </w:pPr>
      <w:r w:rsidRPr="00A74972">
        <w:rPr>
          <w:rFonts w:cs="Calibri"/>
        </w:rPr>
        <w:t>Medicare Benefits Schedule (MBS) listing</w:t>
      </w:r>
      <w:r w:rsidR="005322E7">
        <w:rPr>
          <w:rStyle w:val="FootnoteReference"/>
          <w:rFonts w:cs="Calibri"/>
        </w:rPr>
        <w:footnoteReference w:id="2"/>
      </w:r>
      <w:r w:rsidRPr="00A74972">
        <w:rPr>
          <w:rFonts w:cs="Calibri"/>
        </w:rPr>
        <w:t xml:space="preserve"> of </w:t>
      </w:r>
      <w:r>
        <w:rPr>
          <w:rFonts w:cs="Calibri"/>
        </w:rPr>
        <w:t>i</w:t>
      </w:r>
      <w:r w:rsidR="0037167A" w:rsidRPr="00431265">
        <w:rPr>
          <w:rFonts w:cs="Calibri"/>
        </w:rPr>
        <w:t xml:space="preserve">mmunohistochemical </w:t>
      </w:r>
      <w:r>
        <w:rPr>
          <w:rFonts w:cs="Calibri"/>
        </w:rPr>
        <w:t>(IHC) testing</w:t>
      </w:r>
      <w:r w:rsidR="0037167A" w:rsidRPr="00431265">
        <w:rPr>
          <w:rFonts w:cs="Calibri"/>
        </w:rPr>
        <w:t xml:space="preserve"> </w:t>
      </w:r>
      <w:r w:rsidR="00596180" w:rsidRPr="00A74972">
        <w:rPr>
          <w:rFonts w:cs="Calibri"/>
        </w:rPr>
        <w:t xml:space="preserve">for Claudin18.2 expression to determine eligibility for </w:t>
      </w:r>
      <w:r w:rsidR="00596180">
        <w:rPr>
          <w:rFonts w:cs="Calibri"/>
        </w:rPr>
        <w:t>relevant</w:t>
      </w:r>
      <w:r w:rsidR="00596180" w:rsidRPr="00A74972">
        <w:rPr>
          <w:rFonts w:cs="Calibri"/>
        </w:rPr>
        <w:t xml:space="preserve"> treatment </w:t>
      </w:r>
      <w:r w:rsidR="00973730">
        <w:rPr>
          <w:rFonts w:cs="Calibri"/>
        </w:rPr>
        <w:t xml:space="preserve">for </w:t>
      </w:r>
      <w:r w:rsidR="00596180" w:rsidRPr="00A74972">
        <w:rPr>
          <w:rFonts w:cs="Calibri"/>
        </w:rPr>
        <w:t>patients with locally advanced unresectable or metastatic</w:t>
      </w:r>
      <w:r w:rsidR="00973730">
        <w:rPr>
          <w:rFonts w:cs="Calibri"/>
        </w:rPr>
        <w:t xml:space="preserve"> </w:t>
      </w:r>
      <w:r w:rsidR="00596180" w:rsidRPr="00A74972">
        <w:rPr>
          <w:rFonts w:cs="Calibri"/>
        </w:rPr>
        <w:t>gastric or gastro-oesophageal junction (G/GOJ) adenocarcinoma</w:t>
      </w:r>
      <w:r w:rsidR="00B700A8">
        <w:rPr>
          <w:rFonts w:cs="Calibri"/>
        </w:rPr>
        <w:t>; and</w:t>
      </w:r>
      <w:r w:rsidR="0037167A" w:rsidRPr="00431265">
        <w:rPr>
          <w:rFonts w:cs="Calibri"/>
        </w:rPr>
        <w:t> </w:t>
      </w:r>
    </w:p>
    <w:p w14:paraId="48A8C490" w14:textId="52C7E7A6" w:rsidR="30F36CE4" w:rsidRPr="00A74972" w:rsidRDefault="30F36CE4" w:rsidP="00E227DB">
      <w:pPr>
        <w:pStyle w:val="ListParagraph"/>
        <w:numPr>
          <w:ilvl w:val="0"/>
          <w:numId w:val="4"/>
        </w:numPr>
        <w:spacing w:before="120" w:after="240" w:line="257" w:lineRule="auto"/>
        <w:ind w:right="-20"/>
        <w:rPr>
          <w:rFonts w:cs="Calibri"/>
        </w:rPr>
      </w:pPr>
      <w:r w:rsidRPr="00A74972">
        <w:rPr>
          <w:rFonts w:cs="Calibri"/>
        </w:rPr>
        <w:t>Pharmaceutical Benefits Scheme (PBS) Authority Required listing of zolbetuximab, a monoclonal antibody targeting CLDN18.2, for patients with CLDN18.2</w:t>
      </w:r>
      <w:r w:rsidR="006B6D1D" w:rsidRPr="00A74972">
        <w:rPr>
          <w:rFonts w:cs="Calibri"/>
        </w:rPr>
        <w:t>+</w:t>
      </w:r>
      <w:r w:rsidRPr="00A74972">
        <w:rPr>
          <w:rFonts w:cs="Calibri"/>
        </w:rPr>
        <w:t>, HER2</w:t>
      </w:r>
      <w:r w:rsidR="00715B2D" w:rsidRPr="00A74972">
        <w:rPr>
          <w:rFonts w:cs="Calibri"/>
        </w:rPr>
        <w:t>-</w:t>
      </w:r>
      <w:r w:rsidR="006B6D1D" w:rsidRPr="00A74972">
        <w:rPr>
          <w:rFonts w:cs="Calibri"/>
        </w:rPr>
        <w:t>negative</w:t>
      </w:r>
      <w:r w:rsidRPr="00A74972">
        <w:rPr>
          <w:rFonts w:cs="Calibri"/>
        </w:rPr>
        <w:t>, locally advanced unresectable or metastatic G/</w:t>
      </w:r>
      <w:r w:rsidR="00A85C54" w:rsidRPr="00A74972">
        <w:rPr>
          <w:rFonts w:cs="Calibri"/>
        </w:rPr>
        <w:t>GOJ</w:t>
      </w:r>
      <w:r w:rsidRPr="00A74972">
        <w:rPr>
          <w:rFonts w:cs="Calibri"/>
        </w:rPr>
        <w:t xml:space="preserve"> adenocarcinoma.</w:t>
      </w:r>
    </w:p>
    <w:p w14:paraId="1B3B697B" w14:textId="6373CA9D" w:rsidR="00086EFF" w:rsidRPr="00A74972" w:rsidRDefault="00086EFF">
      <w:pPr>
        <w:pStyle w:val="Instructionaltext"/>
        <w:spacing w:after="0"/>
        <w:rPr>
          <w:color w:val="auto"/>
        </w:rPr>
      </w:pPr>
      <w:r w:rsidRPr="00A74972">
        <w:rPr>
          <w:color w:val="auto"/>
        </w:rPr>
        <w:t xml:space="preserve">The use of the proposed technology results in noninferior health outcomes compared to no testing. At the pre-PASC teleconference, the applicant stated that the </w:t>
      </w:r>
      <w:r w:rsidR="6A0AED84" w:rsidRPr="00A74972">
        <w:rPr>
          <w:color w:val="auto"/>
        </w:rPr>
        <w:t>noninferior</w:t>
      </w:r>
      <w:r w:rsidRPr="00A74972">
        <w:rPr>
          <w:color w:val="auto"/>
        </w:rPr>
        <w:t>ity clinical</w:t>
      </w:r>
      <w:r w:rsidR="00BF32D9" w:rsidRPr="00A74972">
        <w:rPr>
          <w:color w:val="auto"/>
        </w:rPr>
        <w:t xml:space="preserve"> claim</w:t>
      </w:r>
      <w:r w:rsidRPr="00A74972">
        <w:rPr>
          <w:color w:val="auto"/>
        </w:rPr>
        <w:t xml:space="preserve"> pertained to the entire pathway, </w:t>
      </w:r>
      <w:r w:rsidR="00BF32D9" w:rsidRPr="00A74972">
        <w:rPr>
          <w:color w:val="auto"/>
        </w:rPr>
        <w:t xml:space="preserve">and </w:t>
      </w:r>
      <w:r w:rsidRPr="00A74972">
        <w:rPr>
          <w:color w:val="auto"/>
        </w:rPr>
        <w:t xml:space="preserve">not </w:t>
      </w:r>
      <w:r w:rsidR="00BF32D9" w:rsidRPr="00A74972">
        <w:rPr>
          <w:color w:val="auto"/>
        </w:rPr>
        <w:t xml:space="preserve">only </w:t>
      </w:r>
      <w:r w:rsidRPr="00A74972">
        <w:rPr>
          <w:color w:val="auto"/>
        </w:rPr>
        <w:t>the test component.</w:t>
      </w:r>
    </w:p>
    <w:p w14:paraId="18E66948" w14:textId="55831584" w:rsidR="00D73332" w:rsidRPr="00A74972" w:rsidRDefault="58EA749E" w:rsidP="7B44FA91">
      <w:pPr>
        <w:pStyle w:val="Heading2"/>
        <w:spacing w:after="0"/>
        <w:rPr>
          <w:color w:val="auto"/>
        </w:rPr>
      </w:pPr>
      <w:r w:rsidRPr="00A74972">
        <w:rPr>
          <w:color w:val="auto"/>
        </w:rPr>
        <w:t xml:space="preserve">PICO </w:t>
      </w:r>
      <w:r w:rsidR="19AF5332" w:rsidRPr="00A74972">
        <w:rPr>
          <w:color w:val="auto"/>
        </w:rPr>
        <w:t xml:space="preserve">criteria </w:t>
      </w:r>
    </w:p>
    <w:p w14:paraId="06B30611" w14:textId="77777777" w:rsidR="007D6B83" w:rsidRPr="009D5DBB" w:rsidRDefault="007D6B83" w:rsidP="007D6B83">
      <w:pPr>
        <w:pStyle w:val="Heading3"/>
        <w:rPr>
          <w:iCs/>
        </w:rPr>
      </w:pPr>
      <w:r w:rsidRPr="009D5DBB">
        <w:rPr>
          <w:iCs/>
        </w:rPr>
        <w:t>Population</w:t>
      </w:r>
    </w:p>
    <w:p w14:paraId="36CBD24C" w14:textId="0EBB7209" w:rsidR="004508D9" w:rsidRPr="009D5DBB" w:rsidRDefault="004508D9" w:rsidP="0039154E">
      <w:pPr>
        <w:pStyle w:val="Instructionaltext"/>
        <w:spacing w:line="276" w:lineRule="auto"/>
        <w:rPr>
          <w:i/>
          <w:iCs/>
          <w:color w:val="0070C0"/>
        </w:rPr>
      </w:pPr>
      <w:r w:rsidRPr="009D5DBB" w:rsidDel="008A46F6">
        <w:rPr>
          <w:i/>
          <w:iCs/>
          <w:color w:val="0070C0"/>
        </w:rPr>
        <w:t>T</w:t>
      </w:r>
      <w:r w:rsidRPr="009D5DBB" w:rsidDel="00F8195D">
        <w:rPr>
          <w:i/>
          <w:iCs/>
          <w:color w:val="0070C0"/>
        </w:rPr>
        <w:t xml:space="preserve">est </w:t>
      </w:r>
      <w:r w:rsidRPr="009D5DBB">
        <w:rPr>
          <w:i/>
          <w:iCs/>
          <w:color w:val="0070C0"/>
        </w:rPr>
        <w:t>population</w:t>
      </w:r>
    </w:p>
    <w:p w14:paraId="444F6C79" w14:textId="3AECE7B6" w:rsidR="004508D9" w:rsidRPr="00A74972" w:rsidRDefault="004508D9" w:rsidP="0039154E">
      <w:pPr>
        <w:pStyle w:val="Instructionaltext"/>
        <w:spacing w:line="276" w:lineRule="auto"/>
        <w:rPr>
          <w:color w:val="auto"/>
        </w:rPr>
      </w:pPr>
      <w:r w:rsidRPr="00A74972">
        <w:rPr>
          <w:color w:val="auto"/>
        </w:rPr>
        <w:t>The population eligible for CLDN18.2 testing includes all patients with locally advanced unresectable or metastatic G/GOJ adenocarcinoma</w:t>
      </w:r>
      <w:r w:rsidR="00002E0E">
        <w:rPr>
          <w:color w:val="auto"/>
        </w:rPr>
        <w:t xml:space="preserve"> who are treatment naïve </w:t>
      </w:r>
      <w:r w:rsidR="000F3794">
        <w:rPr>
          <w:color w:val="auto"/>
        </w:rPr>
        <w:t>for this disease stage</w:t>
      </w:r>
      <w:r w:rsidRPr="00A74972">
        <w:rPr>
          <w:color w:val="auto"/>
        </w:rPr>
        <w:t xml:space="preserve">. The key trials </w:t>
      </w:r>
      <w:r w:rsidRPr="00A74972">
        <w:rPr>
          <w:rFonts w:cs="Calibri"/>
          <w:color w:val="auto"/>
        </w:rPr>
        <w:t>(GLOW and SPOTLIGHT)</w:t>
      </w:r>
      <w:r w:rsidRPr="00A74972">
        <w:rPr>
          <w:color w:val="auto"/>
        </w:rPr>
        <w:t xml:space="preserve"> did not describe the population that ha</w:t>
      </w:r>
      <w:r w:rsidR="008608A3">
        <w:rPr>
          <w:color w:val="auto"/>
        </w:rPr>
        <w:t>d</w:t>
      </w:r>
      <w:r w:rsidRPr="00A74972">
        <w:rPr>
          <w:color w:val="auto"/>
        </w:rPr>
        <w:t xml:space="preserve"> undergone CLND18.2 testing. Therefore, the proposed testing population relative to the two trials could not be appraised.</w:t>
      </w:r>
    </w:p>
    <w:p w14:paraId="6B5040A7" w14:textId="77777777" w:rsidR="009173C7" w:rsidRPr="00480CE6" w:rsidRDefault="009173C7" w:rsidP="0039154E">
      <w:pPr>
        <w:autoSpaceDE w:val="0"/>
        <w:autoSpaceDN w:val="0"/>
        <w:adjustRightInd w:val="0"/>
        <w:rPr>
          <w:rStyle w:val="normaltextrun"/>
          <w:i/>
          <w:iCs/>
        </w:rPr>
      </w:pPr>
      <w:r w:rsidRPr="00480CE6">
        <w:rPr>
          <w:rStyle w:val="normaltextrun"/>
          <w:i/>
          <w:iCs/>
        </w:rPr>
        <w:t>PASC queried whether the proposed testing is intended prior to first line treatment in the advanced setting or whether the testing should be extended for use prior to second line treatment as well. The applicant’s clinical expert noted that zolbetuximab was trialled in the key studies (GLOW and SPOTLIGHT) as a first line treatment in the advanced setting, and hence the proposed testing is intended prior to first line treatment in the advanced setting. PASC agreed with the applicant that the proposed population should align with that of the key trials.</w:t>
      </w:r>
    </w:p>
    <w:p w14:paraId="00CD3C3C" w14:textId="77777777" w:rsidR="009173C7" w:rsidRPr="00480CE6" w:rsidRDefault="009173C7" w:rsidP="0039154E">
      <w:pPr>
        <w:autoSpaceDE w:val="0"/>
        <w:autoSpaceDN w:val="0"/>
        <w:adjustRightInd w:val="0"/>
        <w:rPr>
          <w:rStyle w:val="normaltextrun"/>
          <w:i/>
          <w:iCs/>
        </w:rPr>
      </w:pPr>
      <w:r w:rsidRPr="00480CE6">
        <w:rPr>
          <w:rStyle w:val="normaltextrun"/>
          <w:i/>
          <w:iCs/>
        </w:rPr>
        <w:t xml:space="preserve">PASC acknowledged the applicant’s revised approach for CLDN18.2 testing to be performed in parallel with HER2 testing, and therefore the testing population will include all patients with locally advanced unresectable or metastatic G/GOJ adenocarcinoma, regardless of HER2 status which would be unknown at the time of CLDN18.2 testing. The applicant’s clinical expert suggested this population would be made up of approximately 60% of patients who have de novo locally advanced unresectable/metastatic disease, and 40% who have previously diagnosed disease that has progressed from an earlier stage (for which most/all would have received treatment) into locally advanced unresectable/metastatic disease. The applicant stated that parallel testing was a better approach than sequential testing as it minimised workflow and allowed for timely treatment decisions. Furthermore, PASC noted from the applicant’s pre-PASC response </w:t>
      </w:r>
      <w:r w:rsidRPr="00480CE6">
        <w:rPr>
          <w:rStyle w:val="normaltextrun"/>
          <w:i/>
          <w:iCs/>
        </w:rPr>
        <w:lastRenderedPageBreak/>
        <w:t xml:space="preserve">that parallel testing allows for the efficient use of limited biopsy material, thereby reducing the need for repeated invasive procedures, and that parallel testing aligns with the </w:t>
      </w:r>
      <w:r w:rsidRPr="00480CE6">
        <w:rPr>
          <w:i/>
          <w:iCs/>
        </w:rPr>
        <w:t xml:space="preserve">European-Australasian consensus on the management of advanced gastric and gastro-oesophageal junction cancer treatment guidelines </w:t>
      </w:r>
      <w:r w:rsidRPr="00480CE6">
        <w:rPr>
          <w:i/>
          <w:iCs/>
          <w:szCs w:val="20"/>
        </w:rPr>
        <w:t>(Pavlakis et al 2022)</w:t>
      </w:r>
      <w:r w:rsidRPr="00480CE6">
        <w:rPr>
          <w:rStyle w:val="normaltextrun"/>
          <w:i/>
          <w:iCs/>
        </w:rPr>
        <w:t xml:space="preserve">. </w:t>
      </w:r>
    </w:p>
    <w:p w14:paraId="1DEE4EB0" w14:textId="091D7147" w:rsidR="009173C7" w:rsidRPr="009173C7" w:rsidRDefault="009173C7" w:rsidP="008971A0">
      <w:pPr>
        <w:autoSpaceDE w:val="0"/>
        <w:autoSpaceDN w:val="0"/>
        <w:adjustRightInd w:val="0"/>
        <w:rPr>
          <w:i/>
          <w:iCs/>
        </w:rPr>
      </w:pPr>
      <w:r w:rsidRPr="00480CE6">
        <w:rPr>
          <w:rStyle w:val="normaltextrun"/>
          <w:i/>
          <w:iCs/>
        </w:rPr>
        <w:t xml:space="preserve">PASC considered whether parallel testing would result in redundancy if clinicians have decided to treat patients with treatment options other than zolbetuximab (for example nivolumab) regardless of test outcomes. However, the applicant’s clinical expert emphasized that parallel testing provides more comprehensive information about the patient’s tumour profile upfront, facilitating more informed decision-making regarding the optimal first line treatment in the advanced setting based on all the treatment options suitable for the patient. PASC </w:t>
      </w:r>
      <w:r w:rsidR="00195E67">
        <w:rPr>
          <w:rStyle w:val="normaltextrun"/>
          <w:i/>
          <w:iCs/>
        </w:rPr>
        <w:t xml:space="preserve">accepted </w:t>
      </w:r>
      <w:r w:rsidRPr="00480CE6">
        <w:rPr>
          <w:rStyle w:val="normaltextrun"/>
          <w:i/>
          <w:iCs/>
        </w:rPr>
        <w:t>the applicant</w:t>
      </w:r>
      <w:r w:rsidR="00195E67">
        <w:rPr>
          <w:rStyle w:val="normaltextrun"/>
          <w:i/>
          <w:iCs/>
        </w:rPr>
        <w:t>’s advice</w:t>
      </w:r>
      <w:r w:rsidRPr="00480CE6">
        <w:rPr>
          <w:rStyle w:val="normaltextrun"/>
          <w:i/>
          <w:iCs/>
        </w:rPr>
        <w:t xml:space="preserve"> that parallel testing </w:t>
      </w:r>
      <w:r w:rsidR="00195E67">
        <w:rPr>
          <w:rStyle w:val="normaltextrun"/>
          <w:i/>
          <w:iCs/>
        </w:rPr>
        <w:t>may</w:t>
      </w:r>
      <w:r w:rsidR="00195E67" w:rsidRPr="00480CE6">
        <w:rPr>
          <w:rStyle w:val="normaltextrun"/>
          <w:i/>
          <w:iCs/>
        </w:rPr>
        <w:t xml:space="preserve"> </w:t>
      </w:r>
      <w:r w:rsidRPr="00480CE6">
        <w:rPr>
          <w:rStyle w:val="normaltextrun"/>
          <w:i/>
          <w:iCs/>
        </w:rPr>
        <w:t>facilitate better timing of management decisions and is best practice for treatment considerations. PASC also noted the applicant’s pre-PASC response suggested to define one single population diagnosed with locally advanced unresectable/metastatic disease, of which a subset of patients will have</w:t>
      </w:r>
      <w:r w:rsidRPr="00480CE6" w:rsidDel="004649D7">
        <w:rPr>
          <w:rStyle w:val="normaltextrun"/>
          <w:i/>
          <w:iCs/>
        </w:rPr>
        <w:t xml:space="preserve"> </w:t>
      </w:r>
      <w:r w:rsidRPr="00480CE6">
        <w:rPr>
          <w:rStyle w:val="normaltextrun"/>
          <w:i/>
          <w:iCs/>
        </w:rPr>
        <w:t xml:space="preserve">received nivolumab treatment as adjuvant therapy for Stage II or III disease which has subsequently relapsed into unresectable/metastatic disease. PASC confirmed that </w:t>
      </w:r>
      <w:r w:rsidR="00D62319">
        <w:rPr>
          <w:rStyle w:val="normaltextrun"/>
          <w:i/>
          <w:iCs/>
        </w:rPr>
        <w:t>the population</w:t>
      </w:r>
      <w:r w:rsidRPr="00480CE6">
        <w:rPr>
          <w:rStyle w:val="normaltextrun"/>
          <w:i/>
          <w:iCs/>
        </w:rPr>
        <w:t xml:space="preserve"> will </w:t>
      </w:r>
      <w:r w:rsidR="00275183">
        <w:rPr>
          <w:rStyle w:val="normaltextrun"/>
          <w:i/>
          <w:iCs/>
        </w:rPr>
        <w:t xml:space="preserve">consist of </w:t>
      </w:r>
      <w:r w:rsidRPr="00480CE6">
        <w:rPr>
          <w:rStyle w:val="normaltextrun"/>
          <w:i/>
          <w:iCs/>
        </w:rPr>
        <w:t xml:space="preserve">one single population with locally advanced unresectable/metastatic disease who </w:t>
      </w:r>
      <w:r w:rsidR="00275183">
        <w:rPr>
          <w:rStyle w:val="normaltextrun"/>
          <w:i/>
          <w:iCs/>
        </w:rPr>
        <w:t>are</w:t>
      </w:r>
      <w:r w:rsidR="00E51766">
        <w:rPr>
          <w:rStyle w:val="normaltextrun"/>
          <w:i/>
          <w:iCs/>
        </w:rPr>
        <w:t xml:space="preserve"> </w:t>
      </w:r>
      <w:r w:rsidRPr="00480CE6">
        <w:rPr>
          <w:rStyle w:val="normaltextrun"/>
          <w:i/>
          <w:iCs/>
        </w:rPr>
        <w:t>treatment naïve for this disea</w:t>
      </w:r>
      <w:r w:rsidRPr="00631A7C">
        <w:rPr>
          <w:rStyle w:val="normaltextrun"/>
          <w:i/>
          <w:iCs/>
        </w:rPr>
        <w:t>se</w:t>
      </w:r>
      <w:r w:rsidRPr="00480CE6">
        <w:rPr>
          <w:rStyle w:val="normaltextrun"/>
          <w:i/>
          <w:iCs/>
        </w:rPr>
        <w:t xml:space="preserve"> stage. </w:t>
      </w:r>
    </w:p>
    <w:p w14:paraId="6A0DE487" w14:textId="77777777" w:rsidR="004508D9" w:rsidRPr="009D5DBB" w:rsidRDefault="004508D9" w:rsidP="004508D9">
      <w:pPr>
        <w:pStyle w:val="Instructionaltext"/>
        <w:rPr>
          <w:i/>
          <w:iCs/>
          <w:color w:val="0070C0"/>
        </w:rPr>
      </w:pPr>
      <w:r w:rsidRPr="009D5DBB">
        <w:rPr>
          <w:i/>
          <w:iCs/>
          <w:color w:val="0070C0"/>
        </w:rPr>
        <w:t>Drug population</w:t>
      </w:r>
    </w:p>
    <w:p w14:paraId="350582B9" w14:textId="4DC10F02" w:rsidR="000C1DD7" w:rsidRPr="00A74972" w:rsidRDefault="004508D9" w:rsidP="004508D9">
      <w:pPr>
        <w:pStyle w:val="Instructionaltext"/>
        <w:rPr>
          <w:color w:val="auto"/>
        </w:rPr>
      </w:pPr>
      <w:r w:rsidRPr="00A74972">
        <w:rPr>
          <w:color w:val="auto"/>
        </w:rPr>
        <w:t xml:space="preserve">Patients eligible for zolbetuximab must be diagnosed with locally advanced unresectable or metastatic HER2-negative G/GOJ adenocarcinoma and found to be CLDN18.2+. This population is consistent with the treatment population in </w:t>
      </w:r>
      <w:r w:rsidRPr="00A74972">
        <w:rPr>
          <w:rFonts w:cs="Calibri"/>
          <w:color w:val="auto"/>
        </w:rPr>
        <w:t>key trials (GLOW and SPOTLIGHT).</w:t>
      </w:r>
      <w:r w:rsidRPr="00A74972">
        <w:rPr>
          <w:color w:val="auto"/>
        </w:rPr>
        <w:t xml:space="preserve"> </w:t>
      </w:r>
    </w:p>
    <w:p w14:paraId="5A495807" w14:textId="5A63D869" w:rsidR="002000BA" w:rsidRPr="009D5DBB" w:rsidRDefault="002000BA" w:rsidP="002000BA">
      <w:pPr>
        <w:pStyle w:val="Instructionaltext"/>
        <w:rPr>
          <w:i/>
          <w:iCs/>
          <w:color w:val="0070C0"/>
        </w:rPr>
      </w:pPr>
      <w:r w:rsidRPr="009D5DBB">
        <w:rPr>
          <w:i/>
          <w:iCs/>
          <w:color w:val="0070C0"/>
        </w:rPr>
        <w:t>Background and rationale for testing CLDN18.2</w:t>
      </w:r>
    </w:p>
    <w:p w14:paraId="6877B3B6" w14:textId="420BE45A" w:rsidR="002000BA" w:rsidRPr="00A74972" w:rsidRDefault="002000BA" w:rsidP="008971A0">
      <w:pPr>
        <w:pStyle w:val="Instructionaltext"/>
        <w:spacing w:line="276" w:lineRule="auto"/>
        <w:rPr>
          <w:color w:val="auto"/>
        </w:rPr>
      </w:pPr>
      <w:r w:rsidRPr="00A74972">
        <w:rPr>
          <w:color w:val="auto"/>
        </w:rPr>
        <w:t>G/</w:t>
      </w:r>
      <w:r w:rsidR="00A85C54" w:rsidRPr="00A74972">
        <w:rPr>
          <w:color w:val="auto"/>
        </w:rPr>
        <w:t>GOJ</w:t>
      </w:r>
      <w:r w:rsidRPr="00A74972">
        <w:rPr>
          <w:color w:val="auto"/>
        </w:rPr>
        <w:t xml:space="preserve"> cancer arises from the epithelial lining of the stomach and the </w:t>
      </w:r>
      <w:r w:rsidR="0096049E" w:rsidRPr="00A74972">
        <w:rPr>
          <w:color w:val="auto"/>
        </w:rPr>
        <w:t>GOJ</w:t>
      </w:r>
      <w:r w:rsidRPr="00A74972">
        <w:rPr>
          <w:color w:val="auto"/>
        </w:rPr>
        <w:t xml:space="preserve"> (</w:t>
      </w:r>
      <w:r w:rsidR="007A491C" w:rsidRPr="00A74972">
        <w:rPr>
          <w:color w:val="auto"/>
        </w:rPr>
        <w:t xml:space="preserve">the area </w:t>
      </w:r>
      <w:r w:rsidR="00754390" w:rsidRPr="00A74972">
        <w:rPr>
          <w:color w:val="auto"/>
        </w:rPr>
        <w:t xml:space="preserve">located </w:t>
      </w:r>
      <w:r w:rsidRPr="00A74972">
        <w:rPr>
          <w:color w:val="auto"/>
        </w:rPr>
        <w:t xml:space="preserve">between the stomach and the oesophagus), respectively. </w:t>
      </w:r>
      <w:r w:rsidR="00B66764" w:rsidRPr="00A74972">
        <w:rPr>
          <w:color w:val="auto"/>
        </w:rPr>
        <w:t>Globally, g</w:t>
      </w:r>
      <w:r w:rsidRPr="00A74972">
        <w:rPr>
          <w:color w:val="auto"/>
        </w:rPr>
        <w:t>astric cancer</w:t>
      </w:r>
      <w:r w:rsidR="00A31678" w:rsidRPr="00A74972">
        <w:rPr>
          <w:color w:val="auto"/>
        </w:rPr>
        <w:t xml:space="preserve"> (GC)</w:t>
      </w:r>
      <w:r w:rsidRPr="00A74972">
        <w:rPr>
          <w:color w:val="auto"/>
        </w:rPr>
        <w:t xml:space="preserve"> is the fifth most common type of cancer and third leading cause of cancer related deaths with more than one million new cases and an estimated 769,000 deaths in 2020. </w:t>
      </w:r>
      <w:r w:rsidR="002B69C6" w:rsidRPr="00A74972">
        <w:rPr>
          <w:color w:val="auto"/>
        </w:rPr>
        <w:t>G</w:t>
      </w:r>
      <w:r w:rsidR="00B66764" w:rsidRPr="00A74972">
        <w:rPr>
          <w:color w:val="auto"/>
        </w:rPr>
        <w:t>O</w:t>
      </w:r>
      <w:r w:rsidR="002B69C6" w:rsidRPr="00A74972">
        <w:rPr>
          <w:color w:val="auto"/>
        </w:rPr>
        <w:t>J</w:t>
      </w:r>
      <w:r w:rsidRPr="00A74972">
        <w:rPr>
          <w:color w:val="auto"/>
        </w:rPr>
        <w:t xml:space="preserve"> adenocarcinomas are the ninth most common cancer, with over 600,000 new cases annually</w:t>
      </w:r>
      <w:r w:rsidR="007C178F" w:rsidRPr="00A74972">
        <w:rPr>
          <w:color w:val="auto"/>
        </w:rPr>
        <w:t xml:space="preserve"> and</w:t>
      </w:r>
      <w:r w:rsidRPr="00A74972">
        <w:rPr>
          <w:color w:val="auto"/>
        </w:rPr>
        <w:t xml:space="preserve"> resulting in 544,000 deaths worldwide </w:t>
      </w:r>
      <w:r w:rsidRPr="00A74972">
        <w:rPr>
          <w:color w:val="auto"/>
        </w:rPr>
        <w:fldChar w:fldCharType="begin"/>
      </w:r>
      <w:r w:rsidR="00985CC2" w:rsidRPr="00A74972">
        <w:rPr>
          <w:color w:val="auto"/>
        </w:rPr>
        <w:instrText xml:space="preserve"> ADDIN EN.CITE &lt;EndNote&gt;&lt;Cite&gt;&lt;Author&gt;Sung&lt;/Author&gt;&lt;Year&gt;2021&lt;/Year&gt;&lt;RecNum&gt;135&lt;/RecNum&gt;&lt;DisplayText&gt;(Sung et al. 2021)&lt;/DisplayText&gt;&lt;record&gt;&lt;rec-number&gt;135&lt;/rec-number&gt;&lt;foreign-keys&gt;&lt;key app="EN" db-id="efx9s5pw4fwez6ed5azp5ddz9xxarv0a9599" timestamp="1710102998" guid="562257e7-4225-4c10-a764-ba9e02e23d47"&gt;135&lt;/key&gt;&lt;/foreign-keys&gt;&lt;ref-type name="Journal Article"&gt;17&lt;/ref-type&gt;&lt;contributors&gt;&lt;authors&gt;&lt;author&gt;Sung, Hyuna&lt;/author&gt;&lt;author&gt;Ferlay, Jacques&lt;/author&gt;&lt;author&gt;Siegel, Rebecca L.&lt;/author&gt;&lt;author&gt;Laversanne, Mathieu&lt;/author&gt;&lt;author&gt;Soerjomataram, Isabelle&lt;/author&gt;&lt;author&gt;Jemal, Ahmedin&lt;/author&gt;&lt;author&gt;Bray, Freddie&lt;/author&gt;&lt;/authors&gt;&lt;/contributors&gt;&lt;titles&gt;&lt;title&gt;Global Cancer Statistics 2020: GLOBOCAN Estimates of Incidence and Mortality Worldwide for 36 Cancers in 185 Countries&lt;/title&gt;&lt;secondary-title&gt;CA: A Cancer Journal for Clinicians&lt;/secondary-title&gt;&lt;/titles&gt;&lt;periodical&gt;&lt;full-title&gt;CA: A Cancer Journal for Clinicians&lt;/full-title&gt;&lt;/periodical&gt;&lt;pages&gt;209-249&lt;/pages&gt;&lt;volume&gt;71&lt;/volume&gt;&lt;number&gt;3&lt;/number&gt;&lt;dates&gt;&lt;year&gt;2021&lt;/year&gt;&lt;/dates&gt;&lt;isbn&gt;0007-9235&lt;/isbn&gt;&lt;urls&gt;&lt;related-urls&gt;&lt;url&gt;https://acsjournals.onlinelibrary.wiley.com/doi/abs/10.3322/caac.21660&lt;/url&gt;&lt;/related-urls&gt;&lt;/urls&gt;&lt;electronic-resource-num&gt;https://doi.org/10.3322/caac.21660&lt;/electronic-resource-num&gt;&lt;/record&gt;&lt;/Cite&gt;&lt;/EndNote&gt;</w:instrText>
      </w:r>
      <w:r w:rsidRPr="00A74972">
        <w:rPr>
          <w:color w:val="auto"/>
        </w:rPr>
        <w:fldChar w:fldCharType="separate"/>
      </w:r>
      <w:r w:rsidRPr="00A74972">
        <w:rPr>
          <w:noProof/>
          <w:color w:val="auto"/>
        </w:rPr>
        <w:t>(Sung et al. 2021)</w:t>
      </w:r>
      <w:r w:rsidRPr="00A74972">
        <w:rPr>
          <w:color w:val="auto"/>
        </w:rPr>
        <w:fldChar w:fldCharType="end"/>
      </w:r>
      <w:r w:rsidRPr="00A74972">
        <w:rPr>
          <w:color w:val="auto"/>
        </w:rPr>
        <w:t xml:space="preserve">. </w:t>
      </w:r>
      <w:r w:rsidR="007D6370" w:rsidRPr="00A74972">
        <w:rPr>
          <w:rFonts w:asciiTheme="minorHAnsi" w:eastAsiaTheme="minorEastAsia" w:hAnsiTheme="minorHAnsi"/>
          <w:color w:val="auto"/>
        </w:rPr>
        <w:t>Adenocarcinoma is the most common G/GOJ cancer histological type, representing 85% of all G/GOJ cancer cases diagnosed.</w:t>
      </w:r>
    </w:p>
    <w:p w14:paraId="287A9647" w14:textId="296F2E34" w:rsidR="002E1167" w:rsidRPr="00A74972" w:rsidRDefault="6FE49442" w:rsidP="0039154E">
      <w:pPr>
        <w:pStyle w:val="Instructionaltext"/>
        <w:spacing w:line="276" w:lineRule="auto"/>
        <w:rPr>
          <w:color w:val="auto"/>
        </w:rPr>
      </w:pPr>
      <w:r w:rsidRPr="00A74972">
        <w:rPr>
          <w:color w:val="auto"/>
        </w:rPr>
        <w:t>Early-stage</w:t>
      </w:r>
      <w:r w:rsidR="002000BA" w:rsidRPr="00A74972">
        <w:rPr>
          <w:color w:val="auto"/>
        </w:rPr>
        <w:t xml:space="preserve"> G/</w:t>
      </w:r>
      <w:r w:rsidR="00A85C54" w:rsidRPr="00A74972">
        <w:rPr>
          <w:color w:val="auto"/>
        </w:rPr>
        <w:t>GOJ</w:t>
      </w:r>
      <w:r w:rsidR="002000BA" w:rsidRPr="00A74972">
        <w:rPr>
          <w:color w:val="auto"/>
        </w:rPr>
        <w:t xml:space="preserve"> cancer is often asymptomatic, </w:t>
      </w:r>
      <w:r w:rsidR="007C178F" w:rsidRPr="00A74972">
        <w:rPr>
          <w:color w:val="auto"/>
        </w:rPr>
        <w:t>while</w:t>
      </w:r>
      <w:r w:rsidR="002000BA" w:rsidRPr="00A74972">
        <w:rPr>
          <w:color w:val="auto"/>
        </w:rPr>
        <w:t xml:space="preserve"> later stage</w:t>
      </w:r>
      <w:r w:rsidR="007C178F" w:rsidRPr="00A74972">
        <w:rPr>
          <w:color w:val="auto"/>
        </w:rPr>
        <w:t>s</w:t>
      </w:r>
      <w:r w:rsidR="002000BA" w:rsidRPr="00A74972">
        <w:rPr>
          <w:color w:val="auto"/>
        </w:rPr>
        <w:t xml:space="preserve"> often </w:t>
      </w:r>
      <w:r w:rsidR="007C178F" w:rsidRPr="00A74972">
        <w:rPr>
          <w:color w:val="auto"/>
        </w:rPr>
        <w:t xml:space="preserve">present with </w:t>
      </w:r>
      <w:r w:rsidR="002000BA" w:rsidRPr="00A74972">
        <w:rPr>
          <w:color w:val="auto"/>
        </w:rPr>
        <w:t>non-specific</w:t>
      </w:r>
      <w:r w:rsidR="007C178F" w:rsidRPr="00A74972">
        <w:rPr>
          <w:color w:val="auto"/>
        </w:rPr>
        <w:t xml:space="preserve"> symptoms such as </w:t>
      </w:r>
      <w:r w:rsidR="002000BA" w:rsidRPr="00A74972">
        <w:rPr>
          <w:color w:val="auto"/>
        </w:rPr>
        <w:t xml:space="preserve">dysphagia, asthenia, indigestion, vomiting, stomach pain, bloating, weight loss, early satiety and/or iron deficiency anaemia </w:t>
      </w:r>
      <w:r w:rsidR="002000BA" w:rsidRPr="00A74972">
        <w:rPr>
          <w:color w:val="auto"/>
        </w:rPr>
        <w:fldChar w:fldCharType="begin">
          <w:fldData xml:space="preserve">PEVuZE5vdGU+PENpdGU+PEF1dGhvcj5QZWxsaW5vPC9BdXRob3I+PFllYXI+MjAyMTwvWWVhcj48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</w:fldData>
        </w:fldChar>
      </w:r>
      <w:r w:rsidR="00985CC2" w:rsidRPr="00A74972">
        <w:rPr>
          <w:color w:val="auto"/>
        </w:rPr>
        <w:instrText xml:space="preserve"> ADDIN EN.CITE </w:instrText>
      </w:r>
      <w:r w:rsidR="00985CC2" w:rsidRPr="00A74972">
        <w:rPr>
          <w:color w:val="auto"/>
        </w:rPr>
        <w:fldChar w:fldCharType="begin">
          <w:fldData xml:space="preserve">PEVuZE5vdGU+PENpdGU+PEF1dGhvcj5QZWxsaW5vPC9BdXRob3I+PFllYXI+MjAyMTwvWWVhcj48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</w:fldData>
        </w:fldChar>
      </w:r>
      <w:r w:rsidR="00985CC2" w:rsidRPr="00A74972">
        <w:rPr>
          <w:color w:val="auto"/>
        </w:rPr>
        <w:instrText xml:space="preserve"> ADDIN EN.CITE.DATA </w:instrText>
      </w:r>
      <w:r w:rsidR="00985CC2" w:rsidRPr="00A74972">
        <w:rPr>
          <w:color w:val="auto"/>
        </w:rPr>
      </w:r>
      <w:r w:rsidR="00985CC2" w:rsidRPr="00A74972">
        <w:rPr>
          <w:color w:val="auto"/>
        </w:rPr>
        <w:fldChar w:fldCharType="end"/>
      </w:r>
      <w:r w:rsidR="002000BA" w:rsidRPr="00A74972">
        <w:rPr>
          <w:color w:val="auto"/>
        </w:rPr>
      </w:r>
      <w:r w:rsidR="002000BA" w:rsidRPr="00A74972">
        <w:rPr>
          <w:color w:val="auto"/>
        </w:rPr>
        <w:fldChar w:fldCharType="separate"/>
      </w:r>
      <w:r w:rsidR="002000BA" w:rsidRPr="00A74972">
        <w:rPr>
          <w:noProof/>
          <w:color w:val="auto"/>
        </w:rPr>
        <w:t>(Pellino et al. 2021)</w:t>
      </w:r>
      <w:r w:rsidR="002000BA" w:rsidRPr="00A74972">
        <w:rPr>
          <w:color w:val="auto"/>
        </w:rPr>
        <w:fldChar w:fldCharType="end"/>
      </w:r>
      <w:r w:rsidR="002000BA" w:rsidRPr="00A74972">
        <w:rPr>
          <w:color w:val="auto"/>
        </w:rPr>
        <w:t xml:space="preserve">. </w:t>
      </w:r>
      <w:r w:rsidR="00454529" w:rsidRPr="00A74972">
        <w:rPr>
          <w:rStyle w:val="normaltextrun"/>
          <w:rFonts w:cs="Calibri"/>
          <w:color w:val="auto"/>
          <w:bdr w:val="none" w:sz="0" w:space="0" w:color="auto" w:frame="1"/>
        </w:rPr>
        <w:t>The lack of specific or pathognomonic symptoms prevents early diagnosis in the absence of screening programs and it is estimated that 80–90% of patients in Western countries will present with locally advanced or metastatic tumours that are minimally resectable</w:t>
      </w:r>
      <w:r w:rsidR="00697BAA" w:rsidRPr="00A74972">
        <w:rPr>
          <w:rStyle w:val="normaltextrun"/>
          <w:rFonts w:cs="Calibri"/>
          <w:color w:val="auto"/>
          <w:bdr w:val="none" w:sz="0" w:space="0" w:color="auto" w:frame="1"/>
        </w:rPr>
        <w:t xml:space="preserve"> </w:t>
      </w:r>
      <w:r w:rsidR="000D468C" w:rsidRPr="00A74972">
        <w:rPr>
          <w:rStyle w:val="normaltextrun"/>
          <w:rFonts w:cs="Calibri"/>
          <w:color w:val="auto"/>
          <w:bdr w:val="none" w:sz="0" w:space="0" w:color="auto" w:frame="1"/>
        </w:rPr>
        <w:fldChar w:fldCharType="begin"/>
      </w:r>
      <w:r w:rsidR="00985CC2" w:rsidRPr="00A74972">
        <w:rPr>
          <w:rStyle w:val="normaltextrun"/>
          <w:rFonts w:cs="Calibri"/>
          <w:color w:val="auto"/>
          <w:bdr w:val="none" w:sz="0" w:space="0" w:color="auto" w:frame="1"/>
        </w:rPr>
        <w:instrText xml:space="preserve"> ADDIN EN.CITE &lt;EndNote&gt;&lt;Cite&gt;&lt;Author&gt;Bickenbach&lt;/Author&gt;&lt;Year&gt;2012&lt;/Year&gt;&lt;RecNum&gt;137&lt;/RecNum&gt;&lt;DisplayText&gt;(Bickenbach and Strong 2012)&lt;/DisplayText&gt;&lt;record&gt;&lt;rec-number&gt;137&lt;/rec-number&gt;&lt;foreign-keys&gt;&lt;key app="EN" db-id="efx9s5pw4fwez6ed5azp5ddz9xxarv0a9599" timestamp="1710104048" guid="6d8f265e-88e3-43a5-8e3d-9c1bfbddbaec"&gt;137&lt;/key&gt;&lt;/foreign-keys&gt;&lt;ref-type name="Journal Article"&gt;17&lt;/ref-type&gt;&lt;contributors&gt;&lt;authors&gt;&lt;author&gt;Bickenbach, K.&lt;/author&gt;&lt;author&gt;Strong, V. E.&lt;/author&gt;&lt;/authors&gt;&lt;/contributors&gt;&lt;auth-address&gt;Department of Surgery, University of Medicine and Dentistry of New Jersey-New Jersey Medical School, Newark, NJ, USA.&lt;/auth-address&gt;&lt;titles&gt;&lt;title&gt;Comparisons of Gastric Cancer Treatments: East vs. West&lt;/title&gt;&lt;secondary-title&gt;J Gastric Cancer&lt;/secondary-title&gt;&lt;/titles&gt;&lt;periodical&gt;&lt;full-title&gt;J Gastric Cancer&lt;/full-title&gt;&lt;/periodical&gt;&lt;pages&gt;55-62&lt;/pages&gt;&lt;volume&gt;12&lt;/volume&gt;&lt;number&gt;2&lt;/number&gt;&lt;edition&gt;20120627&lt;/edition&gt;&lt;keywords&gt;&lt;keyword&gt;Eastern experience&lt;/keyword&gt;&lt;keyword&gt;Gastric Cancer&lt;/keyword&gt;&lt;keyword&gt;Gastric adenocarcinoma&lt;/keyword&gt;&lt;keyword&gt;Gastric cancer survival&lt;/keyword&gt;&lt;keyword&gt;Western experience&lt;/keyword&gt;&lt;/keywords&gt;&lt;dates&gt;&lt;year&gt;2012&lt;/year&gt;&lt;pub-dates&gt;&lt;date&gt;Jun&lt;/date&gt;&lt;/pub-dates&gt;&lt;/dates&gt;&lt;isbn&gt;2093-582X (Print)&amp;#xD;1598-1320&lt;/isbn&gt;&lt;accession-num&gt;22792517&lt;/accession-num&gt;&lt;urls&gt;&lt;/urls&gt;&lt;custom2&gt;PMC3392325&lt;/custom2&gt;&lt;electronic-resource-num&gt;10.5230/jgc.2012.12.2.55&lt;/electronic-resource-num&gt;&lt;remote-database-provider&gt;NLM&lt;/remote-database-provider&gt;&lt;language&gt;eng&lt;/language&gt;&lt;/record&gt;&lt;/Cite&gt;&lt;/EndNote&gt;</w:instrText>
      </w:r>
      <w:r w:rsidR="000D468C" w:rsidRPr="00A74972">
        <w:rPr>
          <w:rStyle w:val="normaltextrun"/>
          <w:rFonts w:cs="Calibri"/>
          <w:color w:val="auto"/>
          <w:bdr w:val="none" w:sz="0" w:space="0" w:color="auto" w:frame="1"/>
        </w:rPr>
        <w:fldChar w:fldCharType="separate"/>
      </w:r>
      <w:r w:rsidR="000D468C" w:rsidRPr="00A74972">
        <w:rPr>
          <w:rStyle w:val="normaltextrun"/>
          <w:rFonts w:cs="Calibri"/>
          <w:noProof/>
          <w:color w:val="auto"/>
          <w:bdr w:val="none" w:sz="0" w:space="0" w:color="auto" w:frame="1"/>
        </w:rPr>
        <w:t>(Bickenbach and Strong 2012)</w:t>
      </w:r>
      <w:r w:rsidR="000D468C" w:rsidRPr="00A74972">
        <w:rPr>
          <w:rStyle w:val="normaltextrun"/>
          <w:rFonts w:cs="Calibri"/>
          <w:color w:val="auto"/>
          <w:bdr w:val="none" w:sz="0" w:space="0" w:color="auto" w:frame="1"/>
        </w:rPr>
        <w:fldChar w:fldCharType="end"/>
      </w:r>
      <w:r w:rsidR="00697BAA" w:rsidRPr="00A74972">
        <w:rPr>
          <w:rStyle w:val="normaltextrun"/>
          <w:rFonts w:cs="Calibri"/>
          <w:color w:val="auto"/>
          <w:bdr w:val="none" w:sz="0" w:space="0" w:color="auto" w:frame="1"/>
        </w:rPr>
        <w:t xml:space="preserve">. </w:t>
      </w:r>
      <w:r w:rsidR="00C455A5" w:rsidRPr="00A74972">
        <w:rPr>
          <w:rStyle w:val="normaltextrun"/>
          <w:rFonts w:cs="Calibri"/>
          <w:color w:val="auto"/>
          <w:shd w:val="clear" w:color="auto" w:fill="FFFFFF"/>
        </w:rPr>
        <w:t>Although multimodal treatments</w:t>
      </w:r>
      <w:r w:rsidR="00502E7E" w:rsidRPr="00A74972">
        <w:rPr>
          <w:rStyle w:val="normaltextrun"/>
          <w:rFonts w:cs="Calibri"/>
          <w:color w:val="auto"/>
          <w:shd w:val="clear" w:color="auto" w:fill="FFFFFF"/>
        </w:rPr>
        <w:t>,</w:t>
      </w:r>
      <w:r w:rsidR="00C455A5" w:rsidRPr="00A74972">
        <w:rPr>
          <w:rStyle w:val="normaltextrun"/>
          <w:rFonts w:cs="Calibri"/>
          <w:color w:val="auto"/>
          <w:shd w:val="clear" w:color="auto" w:fill="FFFFFF"/>
        </w:rPr>
        <w:t xml:space="preserve"> including curative surgery and perioperative/adjuvant chemotherapy have improved outcomes in patients with early-stage disease, </w:t>
      </w:r>
      <w:r w:rsidR="00C455A5" w:rsidRPr="00A74972">
        <w:rPr>
          <w:rStyle w:val="normaltextrun"/>
          <w:rFonts w:cs="Calibri"/>
          <w:color w:val="auto"/>
        </w:rPr>
        <w:t xml:space="preserve">the prognosis in those with advanced cancer remains poor </w:t>
      </w:r>
      <w:r w:rsidR="000D468C" w:rsidRPr="00A74972">
        <w:rPr>
          <w:rStyle w:val="normaltextrun"/>
          <w:rFonts w:cs="Calibri"/>
          <w:color w:val="auto"/>
        </w:rPr>
        <w:fldChar w:fldCharType="begin"/>
      </w:r>
      <w:r w:rsidR="00985CC2" w:rsidRPr="00A74972">
        <w:rPr>
          <w:rStyle w:val="normaltextrun"/>
          <w:rFonts w:cs="Calibri"/>
          <w:color w:val="auto"/>
        </w:rPr>
        <w:instrText xml:space="preserve"> ADDIN EN.CITE &lt;EndNote&gt;&lt;Cite&gt;&lt;Author&gt;Van Cutsem&lt;/Author&gt;&lt;Year&gt;2016&lt;/Year&gt;&lt;RecNum&gt;138&lt;/RecNum&gt;&lt;DisplayText&gt;(Van Cutsem et al. 2016)&lt;/DisplayText&gt;&lt;record&gt;&lt;rec-number&gt;138&lt;/rec-number&gt;&lt;foreign-keys&gt;&lt;key app="EN" db-id="efx9s5pw4fwez6ed5azp5ddz9xxarv0a9599" timestamp="1710104263" guid="156cba39-cb17-44a1-8f32-1249c59b0493"&gt;138&lt;/key&gt;&lt;/foreign-keys&gt;&lt;ref-type name="Journal Article"&gt;17&lt;/ref-type&gt;&lt;contributors&gt;&lt;authors&gt;&lt;author&gt;Van Cutsem, Eric&lt;/author&gt;&lt;author&gt;Sagaert, Xavier&lt;/author&gt;&lt;author&gt;Topal, Baki&lt;/author&gt;&lt;author&gt;Haustermans, Karin&lt;/author&gt;&lt;author&gt;Prenen, Hans&lt;/author&gt;&lt;/authors&gt;&lt;/contributors&gt;&lt;titles&gt;&lt;title&gt;Gastric cancer&lt;/title&gt;&lt;secondary-title&gt;The Lancet&lt;/secondary-title&gt;&lt;/titles&gt;&lt;periodical&gt;&lt;full-title&gt;The Lancet&lt;/full-title&gt;&lt;/periodical&gt;&lt;pages&gt;2654-2664&lt;/pages&gt;&lt;volume&gt;388&lt;/volume&gt;&lt;number&gt;10060&lt;/number&gt;&lt;dates&gt;&lt;year&gt;2016&lt;/year&gt;&lt;/dates&gt;&lt;isbn&gt;0140-6736&lt;/isbn&gt;&lt;urls&gt;&lt;/urls&gt;&lt;/record&gt;&lt;/Cite&gt;&lt;/EndNote&gt;</w:instrText>
      </w:r>
      <w:r w:rsidR="000D468C" w:rsidRPr="00A74972">
        <w:rPr>
          <w:rStyle w:val="normaltextrun"/>
          <w:rFonts w:cs="Calibri"/>
          <w:color w:val="auto"/>
        </w:rPr>
        <w:fldChar w:fldCharType="separate"/>
      </w:r>
      <w:r w:rsidR="000D468C" w:rsidRPr="00A74972">
        <w:rPr>
          <w:rStyle w:val="normaltextrun"/>
          <w:rFonts w:cs="Calibri"/>
          <w:noProof/>
          <w:color w:val="auto"/>
        </w:rPr>
        <w:t>(Van Cutsem et al. 2016)</w:t>
      </w:r>
      <w:r w:rsidR="000D468C" w:rsidRPr="00A74972">
        <w:rPr>
          <w:rStyle w:val="normaltextrun"/>
          <w:rFonts w:cs="Calibri"/>
          <w:color w:val="auto"/>
        </w:rPr>
        <w:fldChar w:fldCharType="end"/>
      </w:r>
      <w:r w:rsidR="004B72B6" w:rsidRPr="00A74972">
        <w:rPr>
          <w:rStyle w:val="normaltextrun"/>
          <w:rFonts w:cs="Calibri"/>
          <w:color w:val="auto"/>
        </w:rPr>
        <w:t>.</w:t>
      </w:r>
    </w:p>
    <w:p w14:paraId="2846FB47" w14:textId="33E39669" w:rsidR="002E1167" w:rsidRPr="00A74972" w:rsidRDefault="71AEF1CB" w:rsidP="0039154E">
      <w:pPr>
        <w:pStyle w:val="Instructionaltext"/>
        <w:spacing w:line="276" w:lineRule="auto"/>
        <w:rPr>
          <w:color w:val="auto"/>
        </w:rPr>
      </w:pPr>
      <w:r w:rsidRPr="00A74972">
        <w:rPr>
          <w:color w:val="auto"/>
        </w:rPr>
        <w:t>In Australia, GC is less common</w:t>
      </w:r>
      <w:r w:rsidR="00E45971" w:rsidRPr="00A74972">
        <w:rPr>
          <w:color w:val="auto"/>
        </w:rPr>
        <w:t xml:space="preserve"> relative to global estimates</w:t>
      </w:r>
      <w:r w:rsidRPr="00A74972">
        <w:rPr>
          <w:color w:val="auto"/>
        </w:rPr>
        <w:t>, representing the 15</w:t>
      </w:r>
      <w:r w:rsidRPr="00A74972">
        <w:rPr>
          <w:color w:val="auto"/>
          <w:vertAlign w:val="superscript"/>
        </w:rPr>
        <w:t>th</w:t>
      </w:r>
      <w:r w:rsidRPr="00A74972">
        <w:rPr>
          <w:color w:val="auto"/>
        </w:rPr>
        <w:t xml:space="preserve"> </w:t>
      </w:r>
      <w:r w:rsidR="00D8579E" w:rsidRPr="00A74972">
        <w:rPr>
          <w:color w:val="auto"/>
        </w:rPr>
        <w:t>most diagnosed</w:t>
      </w:r>
      <w:r w:rsidRPr="00A74972">
        <w:rPr>
          <w:color w:val="auto"/>
        </w:rPr>
        <w:t xml:space="preserve"> cancer in 2020. In Australia, approximately 2000 new cases of GC are diagnosed each year, and the incidence of GOJ cancers is rising </w:t>
      </w:r>
      <w:r w:rsidR="002000BA" w:rsidRPr="00A74972">
        <w:rPr>
          <w:color w:val="auto"/>
        </w:rPr>
        <w:fldChar w:fldCharType="begin"/>
      </w:r>
      <w:r w:rsidR="00985CC2" w:rsidRPr="00A74972">
        <w:rPr>
          <w:color w:val="auto"/>
        </w:rPr>
        <w:instrText xml:space="preserve"> ADDIN EN.CITE &lt;EndNote&gt;&lt;Cite&gt;&lt;Author&gt;Abbas&lt;/Author&gt;&lt;Year&gt;2021&lt;/Year&gt;&lt;RecNum&gt;144&lt;/RecNum&gt;&lt;DisplayText&gt;(Abbas et al. 2021)&lt;/DisplayText&gt;&lt;record&gt;&lt;rec-number&gt;144&lt;/rec-number&gt;&lt;foreign-keys&gt;&lt;key app="EN" db-id="efx9s5pw4fwez6ed5azp5ddz9xxarv0a9599" timestamp="1710121807" guid="38b1aae2-e93d-4068-b156-806ed169a40f"&gt;144&lt;/key&gt;&lt;/foreign-keys&gt;&lt;ref-type name="Journal Article"&gt;17&lt;/ref-type&gt;&lt;contributors&gt;&lt;authors&gt;&lt;author&gt;Abbas, M Nazim&lt;/author&gt;&lt;author&gt;Bright, Tim&lt;/author&gt;&lt;author&gt;Price, Timothy&lt;/author&gt;&lt;author&gt;Karapetis, Christos&lt;/author&gt;&lt;author&gt;Thompson, Sarah&lt;/author&gt;&lt;author&gt;Connell, Caroline&lt;/author&gt;&lt;author&gt;Watson, David&lt;/author&gt;&lt;author&gt;Barnes, Mary&lt;/author&gt;&lt;author&gt;Bull, Jeff&lt;/author&gt;&lt;author&gt;Singhal, Nimit&lt;/author&gt;&lt;author&gt;Roy, Amitesh&lt;/author&gt;&lt;/authors&gt;&lt;/contributors&gt;&lt;titles&gt;&lt;title&gt;Patterns of care and outcomes for gastric and gastro-oesophageal junction cancer in an Australian population&lt;/title&gt;&lt;secondary-title&gt;ANZ Journal of Surgery&lt;/secondary-title&gt;&lt;/titles&gt;&lt;periodical&gt;&lt;full-title&gt;ANZ Journal of Surgery&lt;/full-title&gt;&lt;/periodical&gt;&lt;pages&gt;2675-2682&lt;/pages&gt;&lt;volume&gt;91&lt;/volume&gt;&lt;number&gt;12&lt;/number&gt;&lt;dates&gt;&lt;year&gt;2021&lt;/year&gt;&lt;/dates&gt;&lt;isbn&gt;1445-1433&lt;/isbn&gt;&lt;urls&gt;&lt;related-urls&gt;&lt;url&gt;https://onlinelibrary.wiley.com/doi/abs/10.1111/ans.17249&lt;/url&gt;&lt;/related-urls&gt;&lt;/urls&gt;&lt;electronic-resource-num&gt;https://doi.org/10.1111/ans.17249&lt;/electronic-resource-num&gt;&lt;/record&gt;&lt;/Cite&gt;&lt;/EndNote&gt;</w:instrText>
      </w:r>
      <w:r w:rsidR="002000BA" w:rsidRPr="00A74972">
        <w:rPr>
          <w:color w:val="auto"/>
        </w:rPr>
        <w:fldChar w:fldCharType="separate"/>
      </w:r>
      <w:r w:rsidRPr="00A74972">
        <w:rPr>
          <w:noProof/>
          <w:color w:val="auto"/>
        </w:rPr>
        <w:t>(Abbas et al. 2021)</w:t>
      </w:r>
      <w:r w:rsidR="002000BA" w:rsidRPr="00A74972">
        <w:rPr>
          <w:color w:val="auto"/>
        </w:rPr>
        <w:fldChar w:fldCharType="end"/>
      </w:r>
      <w:r w:rsidRPr="00A74972">
        <w:rPr>
          <w:color w:val="auto"/>
        </w:rPr>
        <w:t xml:space="preserve">. </w:t>
      </w:r>
      <w:r w:rsidR="00EB47FF" w:rsidRPr="00A74972">
        <w:rPr>
          <w:color w:val="auto"/>
        </w:rPr>
        <w:t>Australian data shows that</w:t>
      </w:r>
      <w:r w:rsidR="00D101E8" w:rsidRPr="00A74972">
        <w:rPr>
          <w:color w:val="auto"/>
        </w:rPr>
        <w:t xml:space="preserve"> patients </w:t>
      </w:r>
      <w:r w:rsidRPr="00A74972">
        <w:rPr>
          <w:color w:val="auto"/>
        </w:rPr>
        <w:t xml:space="preserve">with </w:t>
      </w:r>
      <w:r w:rsidRPr="00A74972">
        <w:rPr>
          <w:rFonts w:asciiTheme="minorHAnsi" w:eastAsiaTheme="minorEastAsia" w:hAnsiTheme="minorHAnsi"/>
          <w:color w:val="auto"/>
        </w:rPr>
        <w:t>G/GOJ cancer had a 30% chance of surviving 5 years compared with the general population</w:t>
      </w:r>
      <w:r w:rsidR="00B436AF" w:rsidRPr="00A74972">
        <w:rPr>
          <w:rFonts w:asciiTheme="minorHAnsi" w:eastAsiaTheme="minorEastAsia" w:hAnsiTheme="minorHAnsi"/>
          <w:color w:val="auto"/>
        </w:rPr>
        <w:t xml:space="preserve"> </w:t>
      </w:r>
      <w:r w:rsidR="00C778CE" w:rsidRPr="00A74972">
        <w:rPr>
          <w:rFonts w:asciiTheme="minorHAnsi" w:eastAsiaTheme="minorEastAsia" w:hAnsiTheme="minorHAnsi"/>
          <w:color w:val="auto"/>
        </w:rPr>
        <w:fldChar w:fldCharType="begin"/>
      </w:r>
      <w:r w:rsidR="00914C27">
        <w:rPr>
          <w:rFonts w:asciiTheme="minorHAnsi" w:eastAsiaTheme="minorEastAsia" w:hAnsiTheme="minorHAnsi"/>
          <w:color w:val="auto"/>
        </w:rPr>
        <w:instrText xml:space="preserve"> ADDIN EN.CITE &lt;EndNote&gt;&lt;Cite&gt;&lt;Author&gt;AIHW&lt;/Author&gt;&lt;Year&gt;2018&lt;/Year&gt;&lt;RecNum&gt;145&lt;/RecNum&gt;&lt;DisplayText&gt;(AIHW 2018)&lt;/DisplayText&gt;&lt;record&gt;&lt;rec-number&gt;145&lt;/rec-number&gt;&lt;foreign-keys&gt;&lt;key app="EN" db-id="efx9s5pw4fwez6ed5azp5ddz9xxarv0a9599" timestamp="1710339133" guid="798fe800-de56-42b0-b2b8-ad583f64dbc4"&gt;145&lt;/key&gt;&lt;/foreign-keys&gt;&lt;ref-type name="Government Document"&gt;46&lt;/ref-type&gt;&lt;contributors&gt;&lt;authors&gt;&lt;author&gt;AIHW, Australian Institute of Health Welfare&lt;/author&gt;&lt;/authors&gt;&lt;/contributors&gt;&lt;titles&gt;&lt;title&gt;Colorectal and other digestive-tract cancers&lt;/title&gt;&lt;/titles&gt;&lt;dates&gt;&lt;year&gt;2018&lt;/year&gt;&lt;/dates&gt;&lt;pub-location&gt;Canberra&lt;/pub-location&gt;&lt;publisher&gt;AIHW&lt;/publisher&gt;&lt;urls&gt;&lt;related-urls&gt;&lt;url&gt;https://www.aihw.gov.au/reports/cancer/colorectal-other-digestive-tract-cancers&lt;/url&gt;&lt;/related-urls&gt;&lt;/urls&gt;&lt;/record&gt;&lt;/Cite&gt;&lt;/EndNote&gt;</w:instrText>
      </w:r>
      <w:r w:rsidR="00C778CE" w:rsidRPr="00A74972">
        <w:rPr>
          <w:rFonts w:asciiTheme="minorHAnsi" w:eastAsiaTheme="minorEastAsia" w:hAnsiTheme="minorHAnsi"/>
          <w:color w:val="auto"/>
        </w:rPr>
        <w:fldChar w:fldCharType="separate"/>
      </w:r>
      <w:r w:rsidR="00BD10E0">
        <w:rPr>
          <w:rFonts w:asciiTheme="minorHAnsi" w:eastAsiaTheme="minorEastAsia" w:hAnsiTheme="minorHAnsi"/>
          <w:noProof/>
          <w:color w:val="auto"/>
        </w:rPr>
        <w:t>(AIHW 2018)</w:t>
      </w:r>
      <w:r w:rsidR="00C778CE" w:rsidRPr="00A74972">
        <w:rPr>
          <w:rFonts w:asciiTheme="minorHAnsi" w:eastAsiaTheme="minorEastAsia" w:hAnsiTheme="minorHAnsi"/>
          <w:color w:val="auto"/>
        </w:rPr>
        <w:fldChar w:fldCharType="end"/>
      </w:r>
      <w:r w:rsidRPr="00A74972">
        <w:rPr>
          <w:rFonts w:asciiTheme="minorHAnsi" w:eastAsiaTheme="minorEastAsia" w:hAnsiTheme="minorHAnsi"/>
          <w:color w:val="auto"/>
        </w:rPr>
        <w:t xml:space="preserve">. Males were 2.1 times as </w:t>
      </w:r>
      <w:r w:rsidRPr="00A74972">
        <w:rPr>
          <w:rFonts w:asciiTheme="minorHAnsi" w:eastAsiaTheme="minorEastAsia" w:hAnsiTheme="minorHAnsi"/>
          <w:color w:val="auto"/>
        </w:rPr>
        <w:lastRenderedPageBreak/>
        <w:t xml:space="preserve">likely to be diagnosed with G/GOJ cancer and 2.0 times </w:t>
      </w:r>
      <w:r w:rsidR="001C5639" w:rsidRPr="00A74972">
        <w:rPr>
          <w:rFonts w:asciiTheme="minorHAnsi" w:eastAsiaTheme="minorEastAsia" w:hAnsiTheme="minorHAnsi"/>
          <w:color w:val="auto"/>
        </w:rPr>
        <w:t>more</w:t>
      </w:r>
      <w:r w:rsidRPr="00A74972">
        <w:rPr>
          <w:rFonts w:asciiTheme="minorHAnsi" w:eastAsiaTheme="minorEastAsia" w:hAnsiTheme="minorHAnsi"/>
          <w:color w:val="auto"/>
        </w:rPr>
        <w:t xml:space="preserve"> likely to die from </w:t>
      </w:r>
      <w:r w:rsidR="00FD353A" w:rsidRPr="00A74972">
        <w:rPr>
          <w:rFonts w:asciiTheme="minorHAnsi" w:eastAsiaTheme="minorEastAsia" w:hAnsiTheme="minorHAnsi"/>
          <w:color w:val="auto"/>
        </w:rPr>
        <w:t>G/GOJ</w:t>
      </w:r>
      <w:r w:rsidRPr="00A74972">
        <w:rPr>
          <w:rFonts w:asciiTheme="minorHAnsi" w:eastAsiaTheme="minorEastAsia" w:hAnsiTheme="minorHAnsi"/>
          <w:color w:val="auto"/>
        </w:rPr>
        <w:t xml:space="preserve"> cancer </w:t>
      </w:r>
      <w:r w:rsidR="001C5639" w:rsidRPr="00A74972">
        <w:rPr>
          <w:rFonts w:asciiTheme="minorHAnsi" w:eastAsiaTheme="minorEastAsia" w:hAnsiTheme="minorHAnsi"/>
          <w:color w:val="auto"/>
        </w:rPr>
        <w:t xml:space="preserve">compared to </w:t>
      </w:r>
      <w:r w:rsidRPr="00A74972">
        <w:rPr>
          <w:rFonts w:asciiTheme="minorHAnsi" w:eastAsiaTheme="minorEastAsia" w:hAnsiTheme="minorHAnsi"/>
          <w:color w:val="auto"/>
        </w:rPr>
        <w:t>females</w:t>
      </w:r>
      <w:r w:rsidR="00283722" w:rsidRPr="00A74972">
        <w:rPr>
          <w:rFonts w:asciiTheme="minorHAnsi" w:eastAsiaTheme="minorEastAsia" w:hAnsiTheme="minorHAnsi"/>
          <w:color w:val="auto"/>
        </w:rPr>
        <w:t xml:space="preserve"> </w:t>
      </w:r>
      <w:r w:rsidR="000D468C" w:rsidRPr="00A74972">
        <w:rPr>
          <w:rFonts w:asciiTheme="minorHAnsi" w:eastAsiaTheme="minorEastAsia" w:hAnsiTheme="minorHAnsi"/>
          <w:color w:val="auto"/>
        </w:rPr>
        <w:fldChar w:fldCharType="begin"/>
      </w:r>
      <w:r w:rsidR="00914C27">
        <w:rPr>
          <w:rFonts w:asciiTheme="minorHAnsi" w:eastAsiaTheme="minorEastAsia" w:hAnsiTheme="minorHAnsi"/>
          <w:color w:val="auto"/>
        </w:rPr>
        <w:instrText xml:space="preserve"> ADDIN EN.CITE &lt;EndNote&gt;&lt;Cite&gt;&lt;Author&gt;AIHW&lt;/Author&gt;&lt;Year&gt;2018&lt;/Year&gt;&lt;RecNum&gt;145&lt;/RecNum&gt;&lt;DisplayText&gt;(AIHW 2018)&lt;/DisplayText&gt;&lt;record&gt;&lt;rec-number&gt;145&lt;/rec-number&gt;&lt;foreign-keys&gt;&lt;key app="EN" db-id="efx9s5pw4fwez6ed5azp5ddz9xxarv0a9599" timestamp="1710339133" guid="798fe800-de56-42b0-b2b8-ad583f64dbc4"&gt;145&lt;/key&gt;&lt;/foreign-keys&gt;&lt;ref-type name="Government Document"&gt;46&lt;/ref-type&gt;&lt;contributors&gt;&lt;authors&gt;&lt;author&gt;AIHW, Australian Institute of Health Welfare&lt;/author&gt;&lt;/authors&gt;&lt;/contributors&gt;&lt;titles&gt;&lt;title&gt;Colorectal and other digestive-tract cancers&lt;/title&gt;&lt;/titles&gt;&lt;dates&gt;&lt;year&gt;2018&lt;/year&gt;&lt;/dates&gt;&lt;pub-location&gt;Canberra&lt;/pub-location&gt;&lt;publisher&gt;AIHW&lt;/publisher&gt;&lt;urls&gt;&lt;related-urls&gt;&lt;url&gt;https://www.aihw.gov.au/reports/cancer/colorectal-other-digestive-tract-cancers&lt;/url&gt;&lt;/related-urls&gt;&lt;/urls&gt;&lt;/record&gt;&lt;/Cite&gt;&lt;/EndNote&gt;</w:instrText>
      </w:r>
      <w:r w:rsidR="000D468C" w:rsidRPr="00A74972">
        <w:rPr>
          <w:rFonts w:asciiTheme="minorHAnsi" w:eastAsiaTheme="minorEastAsia" w:hAnsiTheme="minorHAnsi"/>
          <w:color w:val="auto"/>
        </w:rPr>
        <w:fldChar w:fldCharType="separate"/>
      </w:r>
      <w:r w:rsidR="00BD10E0">
        <w:rPr>
          <w:rFonts w:asciiTheme="minorHAnsi" w:eastAsiaTheme="minorEastAsia" w:hAnsiTheme="minorHAnsi"/>
          <w:noProof/>
          <w:color w:val="auto"/>
        </w:rPr>
        <w:t>(AIHW 2018)</w:t>
      </w:r>
      <w:r w:rsidR="000D468C" w:rsidRPr="00A74972">
        <w:rPr>
          <w:rFonts w:asciiTheme="minorHAnsi" w:eastAsiaTheme="minorEastAsia" w:hAnsiTheme="minorHAnsi"/>
          <w:color w:val="auto"/>
        </w:rPr>
        <w:fldChar w:fldCharType="end"/>
      </w:r>
      <w:r w:rsidRPr="00A74972">
        <w:rPr>
          <w:rFonts w:asciiTheme="minorHAnsi" w:eastAsiaTheme="minorEastAsia" w:hAnsiTheme="minorHAnsi"/>
          <w:color w:val="auto"/>
        </w:rPr>
        <w:t xml:space="preserve">. </w:t>
      </w:r>
      <w:r w:rsidR="5D4A5F0A" w:rsidRPr="00A74972">
        <w:rPr>
          <w:rFonts w:asciiTheme="minorHAnsi" w:eastAsiaTheme="minorEastAsia" w:hAnsiTheme="minorHAnsi"/>
          <w:color w:val="auto"/>
        </w:rPr>
        <w:t xml:space="preserve">Indigenous Australians were 1.5 times as likely to be diagnosed with </w:t>
      </w:r>
      <w:r w:rsidR="003C12C3" w:rsidRPr="00A74972">
        <w:rPr>
          <w:rFonts w:asciiTheme="minorHAnsi" w:eastAsiaTheme="minorEastAsia" w:hAnsiTheme="minorHAnsi"/>
          <w:color w:val="auto"/>
        </w:rPr>
        <w:t xml:space="preserve">G/GOJ </w:t>
      </w:r>
      <w:r w:rsidR="5D4A5F0A" w:rsidRPr="00A74972">
        <w:rPr>
          <w:rFonts w:asciiTheme="minorHAnsi" w:eastAsiaTheme="minorEastAsia" w:hAnsiTheme="minorHAnsi"/>
          <w:color w:val="auto"/>
        </w:rPr>
        <w:t xml:space="preserve">cancer and 1.6 times as likely to die from </w:t>
      </w:r>
      <w:r w:rsidR="00B47C4A" w:rsidRPr="00A74972">
        <w:rPr>
          <w:rFonts w:asciiTheme="minorHAnsi" w:eastAsiaTheme="minorEastAsia" w:hAnsiTheme="minorHAnsi"/>
          <w:color w:val="auto"/>
        </w:rPr>
        <w:t>G/GOJ</w:t>
      </w:r>
      <w:r w:rsidR="5D4A5F0A" w:rsidRPr="00A74972">
        <w:rPr>
          <w:rFonts w:asciiTheme="minorHAnsi" w:eastAsiaTheme="minorEastAsia" w:hAnsiTheme="minorHAnsi"/>
          <w:color w:val="auto"/>
        </w:rPr>
        <w:t xml:space="preserve"> cancer </w:t>
      </w:r>
      <w:r w:rsidR="00B47C4A" w:rsidRPr="00A74972">
        <w:rPr>
          <w:rFonts w:asciiTheme="minorHAnsi" w:eastAsiaTheme="minorEastAsia" w:hAnsiTheme="minorHAnsi"/>
          <w:color w:val="auto"/>
        </w:rPr>
        <w:t>compared to</w:t>
      </w:r>
      <w:r w:rsidR="5D4A5F0A" w:rsidRPr="00A74972">
        <w:rPr>
          <w:rFonts w:asciiTheme="minorHAnsi" w:eastAsiaTheme="minorEastAsia" w:hAnsiTheme="minorHAnsi"/>
          <w:color w:val="auto"/>
        </w:rPr>
        <w:t xml:space="preserve"> non-Indigenous Australians.</w:t>
      </w:r>
      <w:r w:rsidR="0AE770C2" w:rsidRPr="00A74972">
        <w:rPr>
          <w:rFonts w:asciiTheme="minorHAnsi" w:eastAsiaTheme="minorEastAsia" w:hAnsiTheme="minorHAnsi"/>
          <w:color w:val="auto"/>
        </w:rPr>
        <w:t xml:space="preserve"> Australians in the lowest socioeconomic group were 1.3 times as likely to be diagnosed with </w:t>
      </w:r>
      <w:r w:rsidR="00B47C4A" w:rsidRPr="00A74972">
        <w:rPr>
          <w:rFonts w:asciiTheme="minorHAnsi" w:eastAsiaTheme="minorEastAsia" w:hAnsiTheme="minorHAnsi"/>
          <w:color w:val="auto"/>
        </w:rPr>
        <w:t>G/GOJ</w:t>
      </w:r>
      <w:r w:rsidR="0AE770C2" w:rsidRPr="00A74972">
        <w:rPr>
          <w:rFonts w:asciiTheme="minorHAnsi" w:eastAsiaTheme="minorEastAsia" w:hAnsiTheme="minorHAnsi"/>
          <w:color w:val="auto"/>
        </w:rPr>
        <w:t xml:space="preserve"> cancer and 1.4 times as likely to die from </w:t>
      </w:r>
      <w:r w:rsidR="00B47C4A" w:rsidRPr="00A74972">
        <w:rPr>
          <w:rFonts w:asciiTheme="minorHAnsi" w:eastAsiaTheme="minorEastAsia" w:hAnsiTheme="minorHAnsi"/>
          <w:color w:val="auto"/>
        </w:rPr>
        <w:t>the same</w:t>
      </w:r>
      <w:r w:rsidR="0AE770C2" w:rsidRPr="00A74972">
        <w:rPr>
          <w:rFonts w:asciiTheme="minorHAnsi" w:eastAsiaTheme="minorEastAsia" w:hAnsiTheme="minorHAnsi"/>
          <w:color w:val="auto"/>
        </w:rPr>
        <w:t xml:space="preserve"> compared with Australians in the highest socioeconomic group</w:t>
      </w:r>
      <w:r w:rsidR="004657DF">
        <w:rPr>
          <w:rFonts w:asciiTheme="minorHAnsi" w:eastAsiaTheme="minorEastAsia" w:hAnsiTheme="minorHAnsi"/>
          <w:color w:val="auto"/>
        </w:rPr>
        <w:t xml:space="preserve"> </w:t>
      </w:r>
      <w:r w:rsidR="004657DF">
        <w:rPr>
          <w:rFonts w:asciiTheme="minorHAnsi" w:eastAsiaTheme="minorEastAsia" w:hAnsiTheme="minorHAnsi"/>
          <w:color w:val="auto"/>
        </w:rPr>
        <w:fldChar w:fldCharType="begin"/>
      </w:r>
      <w:r w:rsidR="004657DF">
        <w:rPr>
          <w:rFonts w:asciiTheme="minorHAnsi" w:eastAsiaTheme="minorEastAsia" w:hAnsiTheme="minorHAnsi"/>
          <w:color w:val="auto"/>
        </w:rPr>
        <w:instrText xml:space="preserve"> ADDIN EN.CITE &lt;EndNote&gt;&lt;Cite&gt;&lt;Author&gt;AIHW&lt;/Author&gt;&lt;Year&gt;2018&lt;/Year&gt;&lt;RecNum&gt;13583&lt;/RecNum&gt;&lt;DisplayText&gt;(AIHW 2018)&lt;/DisplayText&gt;&lt;record&gt;&lt;rec-number&gt;13583&lt;/rec-number&gt;&lt;foreign-keys&gt;&lt;key app="EN" db-id="efx9s5pw4fwez6ed5azp5ddz9xxarv0a9599" timestamp="1716430292"&gt;13583&lt;/key&gt;&lt;/foreign-keys&gt;&lt;ref-type name="Government Document"&gt;46&lt;/ref-type&gt;&lt;contributors&gt;&lt;authors&gt;&lt;author&gt;AIHW, Australian Institute of Health Welfare&lt;/author&gt;&lt;/authors&gt;&lt;/contributors&gt;&lt;titles&gt;&lt;title&gt;Colorectal and other digestive-tract cancers&lt;/title&gt;&lt;/titles&gt;&lt;dates&gt;&lt;year&gt;2018&lt;/year&gt;&lt;/dates&gt;&lt;pub-location&gt;Canberra&lt;/pub-location&gt;&lt;publisher&gt;AIHW&lt;/publisher&gt;&lt;urls&gt;&lt;related-urls&gt;&lt;url&gt;https://www.aihw.gov.au/reports/cancer/colorectal-other-digestive-tract-cancers&lt;/url&gt;&lt;/related-urls&gt;&lt;/urls&gt;&lt;/record&gt;&lt;/Cite&gt;&lt;/EndNote&gt;</w:instrText>
      </w:r>
      <w:r w:rsidR="004657DF">
        <w:rPr>
          <w:rFonts w:asciiTheme="minorHAnsi" w:eastAsiaTheme="minorEastAsia" w:hAnsiTheme="minorHAnsi"/>
          <w:color w:val="auto"/>
        </w:rPr>
        <w:fldChar w:fldCharType="separate"/>
      </w:r>
      <w:r w:rsidR="004657DF">
        <w:rPr>
          <w:rFonts w:asciiTheme="minorHAnsi" w:eastAsiaTheme="minorEastAsia" w:hAnsiTheme="minorHAnsi"/>
          <w:noProof/>
          <w:color w:val="auto"/>
        </w:rPr>
        <w:t>(AIHW 2018)</w:t>
      </w:r>
      <w:r w:rsidR="004657DF">
        <w:rPr>
          <w:rFonts w:asciiTheme="minorHAnsi" w:eastAsiaTheme="minorEastAsia" w:hAnsiTheme="minorHAnsi"/>
          <w:color w:val="auto"/>
        </w:rPr>
        <w:fldChar w:fldCharType="end"/>
      </w:r>
      <w:r w:rsidR="00EF39DF" w:rsidRPr="00A74972">
        <w:rPr>
          <w:rFonts w:asciiTheme="minorHAnsi" w:eastAsiaTheme="minorEastAsia" w:hAnsiTheme="minorHAnsi"/>
          <w:color w:val="auto"/>
        </w:rPr>
        <w:t>.</w:t>
      </w:r>
    </w:p>
    <w:p w14:paraId="1EDF9C54" w14:textId="79E7B6BA" w:rsidR="002E1167" w:rsidRPr="00A74972" w:rsidRDefault="72727235" w:rsidP="0039154E">
      <w:pPr>
        <w:pStyle w:val="Instructionaltext"/>
        <w:spacing w:line="276" w:lineRule="auto"/>
        <w:rPr>
          <w:color w:val="auto"/>
        </w:rPr>
      </w:pPr>
      <w:r w:rsidRPr="00A74972">
        <w:rPr>
          <w:color w:val="auto"/>
        </w:rPr>
        <w:t xml:space="preserve">Patients with locally advanced unresectable/metastatic cancer are further classified according to </w:t>
      </w:r>
      <w:r w:rsidR="00F22DC6" w:rsidRPr="00A74972">
        <w:rPr>
          <w:color w:val="auto"/>
        </w:rPr>
        <w:t>human epidermal growth factor receptor 2</w:t>
      </w:r>
      <w:r w:rsidR="008C46C2" w:rsidRPr="00A74972">
        <w:rPr>
          <w:color w:val="auto"/>
        </w:rPr>
        <w:t xml:space="preserve"> (</w:t>
      </w:r>
      <w:r w:rsidRPr="00A74972">
        <w:rPr>
          <w:color w:val="auto"/>
        </w:rPr>
        <w:t>HER2</w:t>
      </w:r>
      <w:r w:rsidR="008C46C2" w:rsidRPr="00A74972">
        <w:rPr>
          <w:color w:val="auto"/>
        </w:rPr>
        <w:t>)</w:t>
      </w:r>
      <w:r w:rsidRPr="00A74972">
        <w:rPr>
          <w:color w:val="auto"/>
        </w:rPr>
        <w:t xml:space="preserve"> status.</w:t>
      </w:r>
      <w:r w:rsidR="00874297" w:rsidRPr="00A74972">
        <w:rPr>
          <w:color w:val="auto"/>
        </w:rPr>
        <w:t xml:space="preserve"> </w:t>
      </w:r>
      <w:r w:rsidR="000F4639" w:rsidRPr="00A74972">
        <w:rPr>
          <w:rFonts w:cs="Calibri"/>
          <w:color w:val="auto"/>
        </w:rPr>
        <w:t xml:space="preserve">HER2 testing is done as part of the standard work up for G/GOJ cancer diagnosis and staging. A tumour is defined as being HER2-negative if a lack of HER2 expression is confirmed by an IHC score of 0, 1+, or </w:t>
      </w:r>
      <w:r w:rsidR="00457257" w:rsidRPr="00A74972">
        <w:rPr>
          <w:rFonts w:cs="Calibri"/>
          <w:color w:val="auto"/>
        </w:rPr>
        <w:t>by an</w:t>
      </w:r>
      <w:r w:rsidR="000F4639" w:rsidRPr="00A74972">
        <w:rPr>
          <w:rFonts w:cs="Calibri"/>
          <w:color w:val="auto"/>
        </w:rPr>
        <w:t xml:space="preserve"> IHC </w:t>
      </w:r>
      <w:r w:rsidR="00FD353A" w:rsidRPr="00A74972">
        <w:rPr>
          <w:rFonts w:cs="Calibri"/>
          <w:color w:val="auto"/>
        </w:rPr>
        <w:t xml:space="preserve">score of </w:t>
      </w:r>
      <w:r w:rsidR="000F4639" w:rsidRPr="00A74972">
        <w:rPr>
          <w:rFonts w:cs="Calibri"/>
          <w:color w:val="auto"/>
        </w:rPr>
        <w:t>2+</w:t>
      </w:r>
      <w:r w:rsidR="00457257" w:rsidRPr="00A74972">
        <w:rPr>
          <w:rFonts w:cs="Calibri"/>
          <w:color w:val="auto"/>
        </w:rPr>
        <w:t xml:space="preserve"> combined</w:t>
      </w:r>
      <w:r w:rsidR="000F4639" w:rsidRPr="00A74972" w:rsidDel="006A429D">
        <w:rPr>
          <w:rFonts w:cs="Calibri"/>
          <w:color w:val="auto"/>
        </w:rPr>
        <w:t xml:space="preserve"> with a</w:t>
      </w:r>
      <w:r w:rsidR="00457257" w:rsidRPr="00A74972">
        <w:rPr>
          <w:rFonts w:cs="Calibri"/>
          <w:color w:val="auto"/>
        </w:rPr>
        <w:t xml:space="preserve"> </w:t>
      </w:r>
      <w:r w:rsidR="000F4639" w:rsidRPr="00A74972">
        <w:rPr>
          <w:rFonts w:cs="Calibri"/>
          <w:color w:val="auto"/>
        </w:rPr>
        <w:t xml:space="preserve">confirmation </w:t>
      </w:r>
      <w:r w:rsidR="00710EF2" w:rsidRPr="00A74972">
        <w:rPr>
          <w:rFonts w:cs="Calibri"/>
          <w:color w:val="auto"/>
        </w:rPr>
        <w:t>of the</w:t>
      </w:r>
      <w:r w:rsidR="000F4639" w:rsidRPr="00A74972">
        <w:rPr>
          <w:rFonts w:cs="Calibri"/>
          <w:color w:val="auto"/>
        </w:rPr>
        <w:t xml:space="preserve"> </w:t>
      </w:r>
      <w:r w:rsidR="00710EF2" w:rsidRPr="00A74972">
        <w:rPr>
          <w:rFonts w:cs="Calibri"/>
          <w:color w:val="auto"/>
        </w:rPr>
        <w:t>tumour</w:t>
      </w:r>
      <w:r w:rsidR="00D1590C" w:rsidRPr="00A74972">
        <w:rPr>
          <w:rFonts w:cs="Calibri"/>
          <w:color w:val="auto"/>
        </w:rPr>
        <w:t xml:space="preserve">’s HER2 </w:t>
      </w:r>
      <w:r w:rsidR="000F4639" w:rsidRPr="00A74972">
        <w:rPr>
          <w:rFonts w:cs="Calibri"/>
          <w:color w:val="auto"/>
        </w:rPr>
        <w:t>negative</w:t>
      </w:r>
      <w:r w:rsidR="00D1590C" w:rsidRPr="00A74972">
        <w:rPr>
          <w:rFonts w:cs="Calibri"/>
          <w:color w:val="auto"/>
        </w:rPr>
        <w:t xml:space="preserve"> status</w:t>
      </w:r>
      <w:r w:rsidR="000F4639" w:rsidRPr="00A74972">
        <w:rPr>
          <w:rFonts w:cs="Calibri"/>
          <w:color w:val="auto"/>
        </w:rPr>
        <w:t xml:space="preserve"> by in-situ hybridization (ISH) testing</w:t>
      </w:r>
      <w:r w:rsidR="00041763" w:rsidRPr="00A74972">
        <w:rPr>
          <w:rFonts w:cs="Calibri"/>
          <w:color w:val="auto"/>
        </w:rPr>
        <w:t xml:space="preserve">. An Australian study </w:t>
      </w:r>
      <w:r w:rsidR="00041763" w:rsidRPr="00A74972">
        <w:rPr>
          <w:rFonts w:cs="Calibri"/>
          <w:color w:val="auto"/>
        </w:rPr>
        <w:fldChar w:fldCharType="begin">
          <w:fldData xml:space="preserve">PEVuZE5vdGU+PENpdGU+PEF1dGhvcj5LdW1hcmFzaW5naGU8L0F1dGhvcj48WWVhcj4yMDE3PC9Z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=
</w:fldData>
        </w:fldChar>
      </w:r>
      <w:r w:rsidR="00985CC2" w:rsidRPr="00A74972">
        <w:rPr>
          <w:rFonts w:cs="Calibri"/>
          <w:color w:val="auto"/>
        </w:rPr>
        <w:instrText xml:space="preserve"> ADDIN EN.CITE </w:instrText>
      </w:r>
      <w:r w:rsidR="00985CC2" w:rsidRPr="00A74972">
        <w:rPr>
          <w:rFonts w:cs="Calibri"/>
          <w:color w:val="auto"/>
        </w:rPr>
        <w:fldChar w:fldCharType="begin">
          <w:fldData xml:space="preserve">PEVuZE5vdGU+PENpdGU+PEF1dGhvcj5LdW1hcmFzaW5naGU8L0F1dGhvcj48WWVhcj4yMDE3PC9Z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=
</w:fldData>
        </w:fldChar>
      </w:r>
      <w:r w:rsidR="00985CC2" w:rsidRPr="00A74972">
        <w:rPr>
          <w:rFonts w:cs="Calibri"/>
          <w:color w:val="auto"/>
        </w:rPr>
        <w:instrText xml:space="preserve"> ADDIN EN.CITE.DATA </w:instrText>
      </w:r>
      <w:r w:rsidR="00985CC2" w:rsidRPr="00A74972">
        <w:rPr>
          <w:rFonts w:cs="Calibri"/>
          <w:color w:val="auto"/>
        </w:rPr>
      </w:r>
      <w:r w:rsidR="00985CC2" w:rsidRPr="00A74972">
        <w:rPr>
          <w:rFonts w:cs="Calibri"/>
          <w:color w:val="auto"/>
        </w:rPr>
        <w:fldChar w:fldCharType="end"/>
      </w:r>
      <w:r w:rsidR="00041763" w:rsidRPr="00A74972">
        <w:rPr>
          <w:rFonts w:cs="Calibri"/>
          <w:color w:val="auto"/>
        </w:rPr>
      </w:r>
      <w:r w:rsidR="00041763" w:rsidRPr="00A74972">
        <w:rPr>
          <w:rFonts w:cs="Calibri"/>
          <w:color w:val="auto"/>
        </w:rPr>
        <w:fldChar w:fldCharType="separate"/>
      </w:r>
      <w:r w:rsidR="00041763" w:rsidRPr="00A74972">
        <w:rPr>
          <w:rFonts w:cs="Calibri"/>
          <w:noProof/>
          <w:color w:val="auto"/>
        </w:rPr>
        <w:t>(Kumarasinghe et al. 2017)</w:t>
      </w:r>
      <w:r w:rsidR="00041763" w:rsidRPr="00A74972">
        <w:rPr>
          <w:rFonts w:cs="Calibri"/>
          <w:color w:val="auto"/>
        </w:rPr>
        <w:fldChar w:fldCharType="end"/>
      </w:r>
      <w:r w:rsidR="00041763" w:rsidRPr="00A74972">
        <w:rPr>
          <w:rFonts w:cs="Calibri"/>
          <w:color w:val="auto"/>
        </w:rPr>
        <w:t xml:space="preserve"> estimated 86.1% of patients</w:t>
      </w:r>
      <w:r w:rsidR="00824DE2" w:rsidRPr="00A74972">
        <w:rPr>
          <w:rFonts w:cs="Calibri"/>
          <w:color w:val="auto"/>
        </w:rPr>
        <w:t xml:space="preserve"> with</w:t>
      </w:r>
      <w:r w:rsidR="007740A8" w:rsidRPr="00A74972">
        <w:rPr>
          <w:rFonts w:cs="Calibri"/>
          <w:color w:val="auto"/>
        </w:rPr>
        <w:t xml:space="preserve"> G/GOJ cancer</w:t>
      </w:r>
      <w:r w:rsidR="000312B1" w:rsidRPr="00A74972">
        <w:rPr>
          <w:rFonts w:cs="Calibri"/>
          <w:color w:val="auto"/>
        </w:rPr>
        <w:t xml:space="preserve"> </w:t>
      </w:r>
      <w:r w:rsidR="000B6B69" w:rsidRPr="00A74972">
        <w:rPr>
          <w:rFonts w:cs="Calibri"/>
          <w:color w:val="auto"/>
        </w:rPr>
        <w:t>were</w:t>
      </w:r>
      <w:r w:rsidR="00041763" w:rsidRPr="00A74972">
        <w:rPr>
          <w:rFonts w:cs="Calibri"/>
          <w:color w:val="auto"/>
        </w:rPr>
        <w:t xml:space="preserve"> HER2-negative.</w:t>
      </w:r>
      <w:r w:rsidR="0098072B" w:rsidRPr="00A74972">
        <w:rPr>
          <w:rFonts w:cs="Calibri"/>
          <w:color w:val="auto"/>
        </w:rPr>
        <w:t xml:space="preserve"> </w:t>
      </w:r>
      <w:r w:rsidR="007555E2" w:rsidRPr="00A74972">
        <w:rPr>
          <w:rFonts w:cs="Calibri"/>
          <w:color w:val="auto"/>
        </w:rPr>
        <w:t xml:space="preserve">The current </w:t>
      </w:r>
      <w:r w:rsidR="00B26948" w:rsidRPr="00A74972">
        <w:rPr>
          <w:rFonts w:cs="Calibri"/>
          <w:color w:val="auto"/>
        </w:rPr>
        <w:t xml:space="preserve">first-line </w:t>
      </w:r>
      <w:r w:rsidR="007555E2" w:rsidRPr="00A74972">
        <w:rPr>
          <w:rFonts w:cs="Calibri"/>
          <w:color w:val="auto"/>
        </w:rPr>
        <w:t xml:space="preserve">treatment options </w:t>
      </w:r>
      <w:r w:rsidR="00BE71DB" w:rsidRPr="00A74972">
        <w:rPr>
          <w:rFonts w:cs="Calibri"/>
          <w:color w:val="auto"/>
        </w:rPr>
        <w:t xml:space="preserve">in the Australian context </w:t>
      </w:r>
      <w:r w:rsidR="007555E2" w:rsidRPr="00A74972">
        <w:rPr>
          <w:rFonts w:cs="Calibri"/>
          <w:color w:val="auto"/>
        </w:rPr>
        <w:t xml:space="preserve">for </w:t>
      </w:r>
      <w:r w:rsidR="00267043" w:rsidRPr="00A74972">
        <w:rPr>
          <w:color w:val="auto"/>
        </w:rPr>
        <w:t>patients with</w:t>
      </w:r>
      <w:r w:rsidR="00604586" w:rsidRPr="00A74972">
        <w:rPr>
          <w:color w:val="auto"/>
        </w:rPr>
        <w:t xml:space="preserve"> </w:t>
      </w:r>
      <w:r w:rsidR="00267043" w:rsidRPr="00A74972">
        <w:rPr>
          <w:color w:val="auto"/>
        </w:rPr>
        <w:t xml:space="preserve">locally advanced unresectable/metastatic </w:t>
      </w:r>
      <w:r w:rsidR="002C44C1" w:rsidRPr="00A74972">
        <w:rPr>
          <w:rFonts w:cs="Calibri"/>
          <w:color w:val="auto"/>
        </w:rPr>
        <w:t xml:space="preserve">HER2-negative </w:t>
      </w:r>
      <w:r w:rsidR="00267043" w:rsidRPr="00A74972">
        <w:rPr>
          <w:rFonts w:cs="Calibri"/>
          <w:color w:val="auto"/>
        </w:rPr>
        <w:t xml:space="preserve">G/GOJ </w:t>
      </w:r>
      <w:r w:rsidR="00267043" w:rsidRPr="00A74972">
        <w:rPr>
          <w:color w:val="auto"/>
        </w:rPr>
        <w:t xml:space="preserve">cancer </w:t>
      </w:r>
      <w:r w:rsidR="00397DD3" w:rsidRPr="00A74972">
        <w:rPr>
          <w:color w:val="auto"/>
        </w:rPr>
        <w:t>are</w:t>
      </w:r>
      <w:r w:rsidR="008E7302" w:rsidRPr="00A74972">
        <w:rPr>
          <w:color w:val="auto"/>
        </w:rPr>
        <w:t xml:space="preserve"> platinum plus fluoropyrimidine-containing chemotherapy</w:t>
      </w:r>
      <w:r w:rsidR="0019771F" w:rsidRPr="00A74972">
        <w:rPr>
          <w:color w:val="auto"/>
        </w:rPr>
        <w:t xml:space="preserve"> (PF chemo)</w:t>
      </w:r>
      <w:r w:rsidR="00030ADA" w:rsidRPr="00A74972">
        <w:rPr>
          <w:color w:val="auto"/>
        </w:rPr>
        <w:t xml:space="preserve"> </w:t>
      </w:r>
      <w:r w:rsidR="00CB0DA6" w:rsidRPr="00A74972">
        <w:rPr>
          <w:rFonts w:cs="Calibri"/>
          <w:color w:val="auto"/>
        </w:rPr>
        <w:t>with or without</w:t>
      </w:r>
      <w:r w:rsidR="00030ADA" w:rsidRPr="00A74972">
        <w:rPr>
          <w:color w:val="auto"/>
        </w:rPr>
        <w:t xml:space="preserve"> nivolumab</w:t>
      </w:r>
      <w:r w:rsidR="008E7302" w:rsidRPr="00A74972">
        <w:rPr>
          <w:color w:val="auto"/>
        </w:rPr>
        <w:t xml:space="preserve">. </w:t>
      </w:r>
      <w:r w:rsidR="0019771F" w:rsidRPr="00A74972">
        <w:rPr>
          <w:color w:val="auto"/>
        </w:rPr>
        <w:t>The applica</w:t>
      </w:r>
      <w:r w:rsidR="00DA3BFE" w:rsidRPr="00A74972">
        <w:rPr>
          <w:color w:val="auto"/>
        </w:rPr>
        <w:t xml:space="preserve">tion proposed a new treatment option </w:t>
      </w:r>
      <w:r w:rsidR="00941C8B" w:rsidRPr="00A74972">
        <w:rPr>
          <w:color w:val="auto"/>
        </w:rPr>
        <w:t xml:space="preserve">with </w:t>
      </w:r>
      <w:r w:rsidR="00D86B5E" w:rsidRPr="00A74972">
        <w:rPr>
          <w:color w:val="auto"/>
        </w:rPr>
        <w:t>Zolbetuximab (</w:t>
      </w:r>
      <w:r w:rsidR="00F35D02" w:rsidRPr="00A74972">
        <w:rPr>
          <w:color w:val="auto"/>
        </w:rPr>
        <w:t xml:space="preserve">immunoglobulin G1 monoclonal antibody) </w:t>
      </w:r>
      <w:r w:rsidR="00030ADA" w:rsidRPr="00A74972">
        <w:rPr>
          <w:color w:val="auto"/>
        </w:rPr>
        <w:t xml:space="preserve">for patients </w:t>
      </w:r>
      <w:r w:rsidR="00312B83" w:rsidRPr="00A74972">
        <w:rPr>
          <w:color w:val="auto"/>
        </w:rPr>
        <w:t xml:space="preserve">with locally advanced unresectable/metastatic </w:t>
      </w:r>
      <w:r w:rsidR="00312B83" w:rsidRPr="00A74972">
        <w:rPr>
          <w:rFonts w:cs="Calibri"/>
          <w:color w:val="auto"/>
        </w:rPr>
        <w:t xml:space="preserve">HER2-negative G/GOJ </w:t>
      </w:r>
      <w:r w:rsidR="00312B83" w:rsidRPr="00A74972">
        <w:rPr>
          <w:color w:val="auto"/>
        </w:rPr>
        <w:t xml:space="preserve">cancer </w:t>
      </w:r>
      <w:r w:rsidR="001672F1" w:rsidRPr="00A74972">
        <w:rPr>
          <w:color w:val="auto"/>
        </w:rPr>
        <w:t xml:space="preserve">that </w:t>
      </w:r>
      <w:r w:rsidR="00CE43E0" w:rsidRPr="00A74972">
        <w:rPr>
          <w:color w:val="auto"/>
        </w:rPr>
        <w:t xml:space="preserve">are </w:t>
      </w:r>
      <w:r w:rsidR="001672F1" w:rsidRPr="00A74972">
        <w:rPr>
          <w:color w:val="auto"/>
        </w:rPr>
        <w:t xml:space="preserve">also </w:t>
      </w:r>
      <w:r w:rsidR="00CE43E0" w:rsidRPr="00A74972">
        <w:rPr>
          <w:color w:val="auto"/>
        </w:rPr>
        <w:t xml:space="preserve">found to be </w:t>
      </w:r>
      <w:r w:rsidR="00294150" w:rsidRPr="00A74972">
        <w:rPr>
          <w:color w:val="auto"/>
        </w:rPr>
        <w:t>CLND18.2+</w:t>
      </w:r>
      <w:r w:rsidR="009552AF" w:rsidRPr="00A74972">
        <w:rPr>
          <w:color w:val="auto"/>
        </w:rPr>
        <w:t xml:space="preserve">. </w:t>
      </w:r>
    </w:p>
    <w:p w14:paraId="32BABF8C" w14:textId="5DF747ED" w:rsidR="002A6717" w:rsidRPr="00A74972" w:rsidRDefault="002000BA" w:rsidP="0039154E">
      <w:pPr>
        <w:pStyle w:val="Instructionaltext"/>
        <w:spacing w:line="276" w:lineRule="auto"/>
        <w:rPr>
          <w:color w:val="auto"/>
        </w:rPr>
      </w:pPr>
      <w:r w:rsidRPr="00A74972">
        <w:rPr>
          <w:rFonts w:cs="Calibri"/>
          <w:color w:val="auto"/>
        </w:rPr>
        <w:t xml:space="preserve">Claudins are a </w:t>
      </w:r>
      <w:r w:rsidR="003D1ABD" w:rsidRPr="00A74972">
        <w:rPr>
          <w:rFonts w:eastAsia="Calibri" w:cs="Calibri"/>
          <w:color w:val="auto"/>
        </w:rPr>
        <w:t xml:space="preserve">protein which </w:t>
      </w:r>
      <w:r w:rsidRPr="00A74972">
        <w:rPr>
          <w:rFonts w:eastAsia="Calibri" w:cs="Calibri"/>
          <w:color w:val="auto"/>
        </w:rPr>
        <w:t>represent essential components of</w:t>
      </w:r>
      <w:r w:rsidRPr="00A74972">
        <w:rPr>
          <w:rFonts w:cs="Calibri"/>
          <w:color w:val="auto"/>
        </w:rPr>
        <w:t xml:space="preserve"> tight cell junctions in epithelial cells</w:t>
      </w:r>
      <w:r w:rsidRPr="00A74972">
        <w:rPr>
          <w:rFonts w:eastAsia="Calibri" w:cs="Calibri"/>
          <w:color w:val="auto"/>
        </w:rPr>
        <w:t>. One of the most important is claudin-18 (CLDN18), which is located on the cell membrane/surface. It plays a pivotal role in maintaining barrier function and</w:t>
      </w:r>
      <w:r w:rsidRPr="00A74972">
        <w:rPr>
          <w:rFonts w:cs="Calibri"/>
          <w:color w:val="auto"/>
        </w:rPr>
        <w:t xml:space="preserve"> cell polarity</w:t>
      </w:r>
      <w:r w:rsidRPr="00A74972">
        <w:rPr>
          <w:rFonts w:eastAsia="Calibri" w:cs="Calibri"/>
          <w:color w:val="auto"/>
        </w:rPr>
        <w:t xml:space="preserve"> promot</w:t>
      </w:r>
      <w:r w:rsidR="12B314F6" w:rsidRPr="00A74972">
        <w:rPr>
          <w:rFonts w:eastAsia="Calibri" w:cs="Calibri"/>
          <w:color w:val="auto"/>
        </w:rPr>
        <w:t>ing</w:t>
      </w:r>
      <w:r w:rsidRPr="00A74972">
        <w:rPr>
          <w:rFonts w:eastAsia="Calibri" w:cs="Calibri"/>
          <w:color w:val="auto"/>
        </w:rPr>
        <w:t xml:space="preserve"> acid resistance </w:t>
      </w:r>
      <w:r w:rsidRPr="00A74972">
        <w:rPr>
          <w:color w:val="auto"/>
        </w:rPr>
        <w:fldChar w:fldCharType="begin">
          <w:fldData xml:space="preserve">PEVuZE5vdGU+PENpdGU+PEF1dGhvcj5DaGVuPC9BdXRob3I+PFllYXI+MjAyMzwvWWVhcj48UmVj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</w:fldData>
        </w:fldChar>
      </w:r>
      <w:r w:rsidR="00985CC2" w:rsidRPr="00A74972">
        <w:rPr>
          <w:color w:val="auto"/>
        </w:rPr>
        <w:instrText xml:space="preserve"> ADDIN EN.CITE </w:instrText>
      </w:r>
      <w:r w:rsidR="00985CC2" w:rsidRPr="00A74972">
        <w:rPr>
          <w:color w:val="auto"/>
        </w:rPr>
        <w:fldChar w:fldCharType="begin">
          <w:fldData xml:space="preserve">PEVuZE5vdGU+PENpdGU+PEF1dGhvcj5DaGVuPC9BdXRob3I+PFllYXI+MjAyMzwvWWVhcj48UmVj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</w:fldData>
        </w:fldChar>
      </w:r>
      <w:r w:rsidR="00985CC2" w:rsidRPr="00A74972">
        <w:rPr>
          <w:color w:val="auto"/>
        </w:rPr>
        <w:instrText xml:space="preserve"> ADDIN EN.CITE.DATA </w:instrText>
      </w:r>
      <w:r w:rsidR="00985CC2" w:rsidRPr="00A74972">
        <w:rPr>
          <w:color w:val="auto"/>
        </w:rPr>
      </w:r>
      <w:r w:rsidR="00985CC2" w:rsidRPr="00A74972">
        <w:rPr>
          <w:color w:val="auto"/>
        </w:rPr>
        <w:fldChar w:fldCharType="end"/>
      </w:r>
      <w:r w:rsidRPr="00A74972">
        <w:rPr>
          <w:color w:val="auto"/>
        </w:rPr>
      </w:r>
      <w:r w:rsidRPr="00A74972">
        <w:rPr>
          <w:color w:val="auto"/>
        </w:rPr>
        <w:fldChar w:fldCharType="separate"/>
      </w:r>
      <w:r w:rsidRPr="00A74972">
        <w:rPr>
          <w:noProof/>
          <w:color w:val="auto"/>
        </w:rPr>
        <w:t>(Chen et al. 2023; LaFemina et al. 2014)</w:t>
      </w:r>
      <w:r w:rsidRPr="00A74972">
        <w:rPr>
          <w:color w:val="auto"/>
        </w:rPr>
        <w:fldChar w:fldCharType="end"/>
      </w:r>
      <w:r w:rsidRPr="00A74972">
        <w:rPr>
          <w:color w:val="auto"/>
        </w:rPr>
        <w:t xml:space="preserve">. </w:t>
      </w:r>
      <w:r w:rsidRPr="00A74972">
        <w:rPr>
          <w:rFonts w:eastAsia="Calibri" w:cs="Calibri"/>
          <w:color w:val="auto"/>
        </w:rPr>
        <w:t xml:space="preserve">During malignant transformation, the loss of cell polarity exposes the epitope of </w:t>
      </w:r>
      <w:r w:rsidR="007D755E" w:rsidRPr="00A74972">
        <w:rPr>
          <w:rFonts w:eastAsia="Calibri" w:cs="Calibri"/>
          <w:color w:val="auto"/>
        </w:rPr>
        <w:t>CLDN18</w:t>
      </w:r>
      <w:r w:rsidRPr="00A74972">
        <w:rPr>
          <w:rFonts w:eastAsia="Calibri" w:cs="Calibri"/>
          <w:color w:val="auto"/>
        </w:rPr>
        <w:t xml:space="preserve">, making it more accessible to antibodies </w:t>
      </w:r>
      <w:r w:rsidRPr="00A74972">
        <w:rPr>
          <w:color w:val="auto"/>
        </w:rPr>
        <w:fldChar w:fldCharType="begin"/>
      </w:r>
      <w:r w:rsidR="00985CC2" w:rsidRPr="00A74972">
        <w:rPr>
          <w:color w:val="auto"/>
        </w:rPr>
        <w:instrText xml:space="preserve"> ADDIN EN.CITE &lt;EndNote&gt;&lt;Cite&gt;&lt;Author&gt;Cao&lt;/Author&gt;&lt;Year&gt;2022&lt;/Year&gt;&lt;RecNum&gt;141&lt;/RecNum&gt;&lt;DisplayText&gt;(Cao et al. 2022)&lt;/DisplayText&gt;&lt;record&gt;&lt;rec-number&gt;141&lt;/rec-number&gt;&lt;foreign-keys&gt;&lt;key app="EN" db-id="efx9s5pw4fwez6ed5azp5ddz9xxarv0a9599" timestamp="1710106356" guid="6cf252b5-97f9-43b2-9504-1e8e7f929c57"&gt;141&lt;/key&gt;&lt;/foreign-keys&gt;&lt;ref-type name="Journal Article"&gt;17&lt;/ref-type&gt;&lt;contributors&gt;&lt;authors&gt;&lt;author&gt;Cao, Weijie&lt;/author&gt;&lt;author&gt;Xing, Haizhou&lt;/author&gt;&lt;author&gt;Li, Yingmei&lt;/author&gt;&lt;author&gt;Tian, Wenliang&lt;/author&gt;&lt;author&gt;Song, Yongping&lt;/author&gt;&lt;author&gt;Jiang, Zhongxing&lt;/author&gt;&lt;author&gt;Yu, Jifeng&lt;/author&gt;&lt;/authors&gt;&lt;/contributors&gt;&lt;titles&gt;&lt;title&gt;Claudin18. 2 is a novel molecular biomarker for tumor-targeted immunotherapy&lt;/title&gt;&lt;secondary-title&gt;Biomarker Research&lt;/secondary-title&gt;&lt;/titles&gt;&lt;periodical&gt;&lt;full-title&gt;Biomarker Research&lt;/full-title&gt;&lt;/periodical&gt;&lt;pages&gt;38&lt;/pages&gt;&lt;volume&gt;10&lt;/volume&gt;&lt;number&gt;1&lt;/number&gt;&lt;dates&gt;&lt;year&gt;2022&lt;/year&gt;&lt;/dates&gt;&lt;isbn&gt;2050-7771&lt;/isbn&gt;&lt;urls&gt;&lt;/urls&gt;&lt;/record&gt;&lt;/Cite&gt;&lt;/EndNote&gt;</w:instrText>
      </w:r>
      <w:r w:rsidRPr="00A74972">
        <w:rPr>
          <w:color w:val="auto"/>
        </w:rPr>
        <w:fldChar w:fldCharType="separate"/>
      </w:r>
      <w:r w:rsidRPr="00A74972">
        <w:rPr>
          <w:noProof/>
          <w:color w:val="auto"/>
        </w:rPr>
        <w:t>(Cao et al. 2022)</w:t>
      </w:r>
      <w:r w:rsidRPr="00A74972">
        <w:rPr>
          <w:color w:val="auto"/>
        </w:rPr>
        <w:fldChar w:fldCharType="end"/>
      </w:r>
      <w:r w:rsidR="00473CA1" w:rsidRPr="00A74972">
        <w:rPr>
          <w:color w:val="auto"/>
        </w:rPr>
        <w:t xml:space="preserve">. </w:t>
      </w:r>
      <w:r w:rsidR="00426D6C" w:rsidRPr="00A74972">
        <w:rPr>
          <w:color w:val="auto"/>
        </w:rPr>
        <w:t>Z</w:t>
      </w:r>
      <w:r w:rsidRPr="00A74972">
        <w:rPr>
          <w:color w:val="auto"/>
        </w:rPr>
        <w:t xml:space="preserve">olbetuximab, </w:t>
      </w:r>
      <w:r w:rsidR="00C43356" w:rsidRPr="00A74972">
        <w:rPr>
          <w:color w:val="auto"/>
        </w:rPr>
        <w:t>mediates antibody-dependent cellular cytotoxicity and complement-dependent cytotoxicity in CLDN18.2+ G/</w:t>
      </w:r>
      <w:r w:rsidR="00A85C54" w:rsidRPr="00A74972">
        <w:rPr>
          <w:color w:val="auto"/>
        </w:rPr>
        <w:t>GOJ</w:t>
      </w:r>
      <w:r w:rsidR="00C43356" w:rsidRPr="00A74972">
        <w:rPr>
          <w:color w:val="auto"/>
        </w:rPr>
        <w:t xml:space="preserve"> adenocarcinoma cells</w:t>
      </w:r>
      <w:r w:rsidRPr="00A74972">
        <w:rPr>
          <w:color w:val="auto"/>
        </w:rPr>
        <w:t>.</w:t>
      </w:r>
      <w:r w:rsidR="007B062E" w:rsidRPr="00A74972">
        <w:rPr>
          <w:color w:val="auto"/>
        </w:rPr>
        <w:t xml:space="preserve"> Therefore, the population under consideration </w:t>
      </w:r>
      <w:r w:rsidR="00A37E73" w:rsidRPr="00A74972">
        <w:rPr>
          <w:color w:val="auto"/>
        </w:rPr>
        <w:t>is required to undergo CLDN18.2 testing to determine eligibility for zolbetuximab.</w:t>
      </w:r>
      <w:r w:rsidR="003D12B5" w:rsidRPr="00A74972">
        <w:rPr>
          <w:color w:val="auto"/>
        </w:rPr>
        <w:t xml:space="preserve"> </w:t>
      </w:r>
    </w:p>
    <w:p w14:paraId="6043AB77" w14:textId="77777777" w:rsidR="009F7515" w:rsidRPr="009D5DBB" w:rsidRDefault="00AC283D" w:rsidP="009F7515">
      <w:pPr>
        <w:spacing w:before="120"/>
        <w:rPr>
          <w:rFonts w:cs="Calibri"/>
          <w:i/>
          <w:iCs/>
          <w:color w:val="0070C0"/>
        </w:rPr>
      </w:pPr>
      <w:r w:rsidRPr="009D5DBB">
        <w:rPr>
          <w:rFonts w:cs="Calibri"/>
          <w:i/>
          <w:iCs/>
          <w:color w:val="0070C0"/>
        </w:rPr>
        <w:t>Estimated utilisation</w:t>
      </w:r>
    </w:p>
    <w:p w14:paraId="02AEF2F2" w14:textId="33626183" w:rsidR="402C73F4" w:rsidRPr="009F7515" w:rsidRDefault="00B3123F" w:rsidP="009F7515">
      <w:pPr>
        <w:spacing w:before="120"/>
        <w:rPr>
          <w:rFonts w:cs="Calibri"/>
          <w:color w:val="0070C0"/>
        </w:rPr>
      </w:pPr>
      <w:r w:rsidRPr="00A74972">
        <w:rPr>
          <w:rFonts w:cs="Calibri"/>
        </w:rPr>
        <w:t xml:space="preserve">Based on the annual incidence of </w:t>
      </w:r>
      <w:r w:rsidR="00AB3CBE" w:rsidRPr="00A74972">
        <w:rPr>
          <w:rFonts w:cs="Calibri"/>
        </w:rPr>
        <w:t>GC</w:t>
      </w:r>
      <w:r w:rsidR="001915A1" w:rsidRPr="00A74972">
        <w:rPr>
          <w:rFonts w:cs="Calibri"/>
        </w:rPr>
        <w:t xml:space="preserve"> </w:t>
      </w:r>
      <w:r w:rsidR="00AB3CBE" w:rsidRPr="00A74972">
        <w:rPr>
          <w:rFonts w:cs="Calibri"/>
        </w:rPr>
        <w:t xml:space="preserve">estimated </w:t>
      </w:r>
      <w:r w:rsidR="001915A1" w:rsidRPr="00A74972">
        <w:rPr>
          <w:rFonts w:cs="Calibri"/>
        </w:rPr>
        <w:t>in 2021</w:t>
      </w:r>
      <w:r w:rsidR="00604738" w:rsidRPr="00A74972">
        <w:rPr>
          <w:rFonts w:cs="Calibri"/>
        </w:rPr>
        <w:t xml:space="preserve">, and applying </w:t>
      </w:r>
      <w:r w:rsidR="00A545DF" w:rsidRPr="00A74972">
        <w:rPr>
          <w:rFonts w:cs="Calibri"/>
        </w:rPr>
        <w:t>a</w:t>
      </w:r>
      <w:r w:rsidR="00604738" w:rsidRPr="00A74972">
        <w:rPr>
          <w:rFonts w:cs="Calibri"/>
        </w:rPr>
        <w:t>n annual</w:t>
      </w:r>
      <w:r w:rsidR="00A545DF" w:rsidRPr="00A74972">
        <w:rPr>
          <w:rFonts w:cs="Calibri"/>
        </w:rPr>
        <w:t xml:space="preserve"> population growth rate of 2.2%</w:t>
      </w:r>
      <w:r w:rsidR="00885CE5" w:rsidRPr="00A74972">
        <w:rPr>
          <w:rFonts w:cs="Calibri"/>
        </w:rPr>
        <w:t xml:space="preserve">, the </w:t>
      </w:r>
      <w:r w:rsidR="00D039F5" w:rsidRPr="00A74972">
        <w:rPr>
          <w:rFonts w:cs="Calibri"/>
        </w:rPr>
        <w:t xml:space="preserve">application </w:t>
      </w:r>
      <w:r w:rsidR="00885CE5" w:rsidRPr="00A74972">
        <w:rPr>
          <w:rFonts w:cs="Calibri"/>
        </w:rPr>
        <w:t>estimate</w:t>
      </w:r>
      <w:r w:rsidR="001C3D78" w:rsidRPr="00A74972">
        <w:rPr>
          <w:rFonts w:cs="Calibri"/>
        </w:rPr>
        <w:t>d</w:t>
      </w:r>
      <w:r w:rsidR="00885CE5" w:rsidRPr="00A74972">
        <w:rPr>
          <w:rFonts w:cs="Calibri"/>
        </w:rPr>
        <w:t xml:space="preserve"> the incidence of </w:t>
      </w:r>
      <w:r w:rsidR="0079784B" w:rsidRPr="00A74972">
        <w:rPr>
          <w:rFonts w:cs="Calibri"/>
        </w:rPr>
        <w:t>GC</w:t>
      </w:r>
      <w:r w:rsidR="00885CE5" w:rsidRPr="00A74972">
        <w:rPr>
          <w:rFonts w:cs="Calibri"/>
        </w:rPr>
        <w:t xml:space="preserve"> in 2025 to be 2,808. </w:t>
      </w:r>
      <w:r w:rsidR="00DF609B" w:rsidRPr="00A74972">
        <w:rPr>
          <w:rFonts w:cs="Calibri"/>
        </w:rPr>
        <w:t xml:space="preserve">Further, it was estimated that </w:t>
      </w:r>
      <w:r w:rsidR="00A342B3" w:rsidRPr="00A74972">
        <w:rPr>
          <w:rFonts w:cs="Calibri"/>
        </w:rPr>
        <w:t>84.08%</w:t>
      </w:r>
      <w:r w:rsidR="00AD1DB1" w:rsidRPr="00A74972">
        <w:rPr>
          <w:rFonts w:cs="Calibri"/>
        </w:rPr>
        <w:t xml:space="preserve"> of all gastric </w:t>
      </w:r>
      <w:r w:rsidR="00FC3664" w:rsidRPr="00A74972">
        <w:rPr>
          <w:rFonts w:cs="Calibri"/>
        </w:rPr>
        <w:t xml:space="preserve">cancers </w:t>
      </w:r>
      <w:r w:rsidR="00604738" w:rsidRPr="00A74972">
        <w:rPr>
          <w:rFonts w:cs="Calibri"/>
        </w:rPr>
        <w:t>are of</w:t>
      </w:r>
      <w:r w:rsidR="00FC3664" w:rsidRPr="00A74972">
        <w:rPr>
          <w:rFonts w:cs="Calibri"/>
        </w:rPr>
        <w:t xml:space="preserve"> adenocarcinoma histology</w:t>
      </w:r>
      <w:r w:rsidR="00EA0FE0" w:rsidRPr="00A74972">
        <w:rPr>
          <w:rFonts w:cs="Calibri"/>
        </w:rPr>
        <w:t xml:space="preserve"> out of which </w:t>
      </w:r>
      <w:r w:rsidR="007E2954" w:rsidRPr="00A74972">
        <w:rPr>
          <w:rFonts w:cs="Calibri"/>
        </w:rPr>
        <w:t xml:space="preserve">84% were </w:t>
      </w:r>
      <w:r w:rsidR="00EA0FE0" w:rsidRPr="00A74972">
        <w:rPr>
          <w:rFonts w:cs="Calibri"/>
        </w:rPr>
        <w:t>categorised as</w:t>
      </w:r>
      <w:r w:rsidR="007E2954" w:rsidRPr="00A74972">
        <w:rPr>
          <w:rFonts w:cs="Calibri"/>
        </w:rPr>
        <w:t xml:space="preserve"> Stages II-IV</w:t>
      </w:r>
      <w:r w:rsidR="006D3B7D" w:rsidRPr="00A74972">
        <w:rPr>
          <w:rFonts w:cs="Calibri"/>
        </w:rPr>
        <w:t xml:space="preserve"> and </w:t>
      </w:r>
      <w:r w:rsidR="0042694D" w:rsidRPr="00A74972">
        <w:rPr>
          <w:rFonts w:cs="Calibri"/>
        </w:rPr>
        <w:t>most corresponded to advanced or metastatic disease (</w:t>
      </w:r>
      <w:r w:rsidR="00B44E72" w:rsidRPr="00A74972">
        <w:rPr>
          <w:rFonts w:cs="Calibri"/>
        </w:rPr>
        <w:t>90%</w:t>
      </w:r>
      <w:r w:rsidR="0042694D" w:rsidRPr="00A74972">
        <w:rPr>
          <w:rFonts w:cs="Calibri"/>
        </w:rPr>
        <w:t>)</w:t>
      </w:r>
      <w:r w:rsidR="00352982" w:rsidRPr="00A74972">
        <w:rPr>
          <w:rFonts w:cs="Calibri"/>
        </w:rPr>
        <w:t>.</w:t>
      </w:r>
      <w:r w:rsidR="00766DD4" w:rsidRPr="00A74972">
        <w:rPr>
          <w:rFonts w:cs="Calibri"/>
        </w:rPr>
        <w:t xml:space="preserve"> </w:t>
      </w:r>
      <w:r w:rsidR="000039BC" w:rsidRPr="00A74972">
        <w:rPr>
          <w:rFonts w:cs="Calibri"/>
        </w:rPr>
        <w:t xml:space="preserve">The number of </w:t>
      </w:r>
      <w:r w:rsidR="00BC4976" w:rsidRPr="00A74972">
        <w:rPr>
          <w:rFonts w:cs="Calibri"/>
        </w:rPr>
        <w:t xml:space="preserve">tumours that were </w:t>
      </w:r>
      <w:r w:rsidR="00014A79" w:rsidRPr="00A74972">
        <w:rPr>
          <w:rFonts w:cs="Calibri"/>
        </w:rPr>
        <w:t xml:space="preserve">categorised as </w:t>
      </w:r>
      <w:r w:rsidR="000039BC" w:rsidRPr="00A74972">
        <w:rPr>
          <w:rFonts w:cs="Calibri"/>
        </w:rPr>
        <w:t>HER2 negative were based on a</w:t>
      </w:r>
      <w:r w:rsidR="007E4C64" w:rsidRPr="00A74972">
        <w:rPr>
          <w:rFonts w:cs="Calibri"/>
        </w:rPr>
        <w:t xml:space="preserve">n Australian study </w:t>
      </w:r>
      <w:r w:rsidR="007E4C64" w:rsidRPr="00A74972">
        <w:rPr>
          <w:rFonts w:cs="Calibri"/>
        </w:rPr>
        <w:fldChar w:fldCharType="begin">
          <w:fldData xml:space="preserve">PEVuZE5vdGU+PENpdGU+PEF1dGhvcj5LdW1hcmFzaW5naGU8L0F1dGhvcj48WWVhcj4yMDE3PC9Z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=
</w:fldData>
        </w:fldChar>
      </w:r>
      <w:r w:rsidR="00985CC2" w:rsidRPr="00A74972">
        <w:rPr>
          <w:rFonts w:cs="Calibri"/>
        </w:rPr>
        <w:instrText xml:space="preserve"> ADDIN EN.CITE </w:instrText>
      </w:r>
      <w:r w:rsidR="00985CC2" w:rsidRPr="00A74972">
        <w:rPr>
          <w:rFonts w:cs="Calibri"/>
        </w:rPr>
        <w:fldChar w:fldCharType="begin">
          <w:fldData xml:space="preserve">PEVuZE5vdGU+PENpdGU+PEF1dGhvcj5LdW1hcmFzaW5naGU8L0F1dGhvcj48WWVhcj4yMDE3PC9Z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=
</w:fldData>
        </w:fldChar>
      </w:r>
      <w:r w:rsidR="00985CC2" w:rsidRPr="00A74972">
        <w:rPr>
          <w:rFonts w:cs="Calibri"/>
        </w:rPr>
        <w:instrText xml:space="preserve"> ADDIN EN.CITE.DATA </w:instrText>
      </w:r>
      <w:r w:rsidR="00985CC2" w:rsidRPr="00A74972">
        <w:rPr>
          <w:rFonts w:cs="Calibri"/>
        </w:rPr>
      </w:r>
      <w:r w:rsidR="00985CC2" w:rsidRPr="00A74972">
        <w:rPr>
          <w:rFonts w:cs="Calibri"/>
        </w:rPr>
        <w:fldChar w:fldCharType="end"/>
      </w:r>
      <w:r w:rsidR="007E4C64" w:rsidRPr="00A74972">
        <w:rPr>
          <w:rFonts w:cs="Calibri"/>
        </w:rPr>
      </w:r>
      <w:r w:rsidR="007E4C64" w:rsidRPr="00A74972">
        <w:rPr>
          <w:rFonts w:cs="Calibri"/>
        </w:rPr>
        <w:fldChar w:fldCharType="separate"/>
      </w:r>
      <w:r w:rsidR="007E4C64" w:rsidRPr="00A74972">
        <w:rPr>
          <w:rFonts w:cs="Calibri"/>
          <w:noProof/>
        </w:rPr>
        <w:t>(Kumarasinghe et al. 2017)</w:t>
      </w:r>
      <w:r w:rsidR="007E4C64" w:rsidRPr="00A74972">
        <w:rPr>
          <w:rFonts w:cs="Calibri"/>
        </w:rPr>
        <w:fldChar w:fldCharType="end"/>
      </w:r>
      <w:r w:rsidR="007E4C64" w:rsidRPr="00A74972">
        <w:rPr>
          <w:rFonts w:cs="Calibri"/>
        </w:rPr>
        <w:t xml:space="preserve"> </w:t>
      </w:r>
      <w:r w:rsidR="00E75626" w:rsidRPr="00A74972">
        <w:rPr>
          <w:rFonts w:cs="Calibri"/>
        </w:rPr>
        <w:t xml:space="preserve">that </w:t>
      </w:r>
      <w:r w:rsidR="004F4CC1" w:rsidRPr="00A74972">
        <w:rPr>
          <w:rFonts w:cs="Calibri"/>
        </w:rPr>
        <w:t>estimated 86.1% of</w:t>
      </w:r>
      <w:r w:rsidR="007E4C64" w:rsidRPr="00A74972">
        <w:rPr>
          <w:rFonts w:cs="Calibri"/>
        </w:rPr>
        <w:t xml:space="preserve"> </w:t>
      </w:r>
      <w:r w:rsidR="00BA5463" w:rsidRPr="00A74972">
        <w:rPr>
          <w:rFonts w:cs="Calibri"/>
        </w:rPr>
        <w:t xml:space="preserve">patients with </w:t>
      </w:r>
      <w:r w:rsidR="007E4C64" w:rsidRPr="00A74972">
        <w:rPr>
          <w:rFonts w:cs="Calibri"/>
        </w:rPr>
        <w:t>G/</w:t>
      </w:r>
      <w:r w:rsidR="00A85C54" w:rsidRPr="00A74972">
        <w:rPr>
          <w:rFonts w:cs="Calibri"/>
        </w:rPr>
        <w:t>GOJ</w:t>
      </w:r>
      <w:r w:rsidR="00A91FE5" w:rsidRPr="00A74972">
        <w:rPr>
          <w:rFonts w:cs="Calibri"/>
        </w:rPr>
        <w:t xml:space="preserve"> cancer</w:t>
      </w:r>
      <w:r w:rsidR="007E4C64" w:rsidRPr="00A74972">
        <w:rPr>
          <w:rFonts w:cs="Calibri"/>
        </w:rPr>
        <w:t xml:space="preserve"> </w:t>
      </w:r>
      <w:r w:rsidR="006C5DCB" w:rsidRPr="00A74972">
        <w:rPr>
          <w:rFonts w:cs="Calibri"/>
        </w:rPr>
        <w:t xml:space="preserve">were </w:t>
      </w:r>
      <w:r w:rsidR="00BA5463" w:rsidRPr="00A74972">
        <w:rPr>
          <w:rFonts w:cs="Calibri"/>
        </w:rPr>
        <w:t>HER2-negative</w:t>
      </w:r>
      <w:r w:rsidR="007E4C64" w:rsidRPr="00A74972">
        <w:rPr>
          <w:rFonts w:cs="Calibri"/>
        </w:rPr>
        <w:t>.</w:t>
      </w:r>
      <w:r w:rsidR="00B413F3" w:rsidRPr="00A74972">
        <w:rPr>
          <w:rFonts w:cs="Calibri"/>
        </w:rPr>
        <w:t xml:space="preserve"> The </w:t>
      </w:r>
      <w:r w:rsidR="00D039F5" w:rsidRPr="00A74972">
        <w:rPr>
          <w:rFonts w:eastAsiaTheme="minorEastAsia" w:cstheme="minorBidi"/>
        </w:rPr>
        <w:t xml:space="preserve">application </w:t>
      </w:r>
      <w:r w:rsidR="00B413F3" w:rsidRPr="00A74972">
        <w:rPr>
          <w:rFonts w:cs="Calibri"/>
        </w:rPr>
        <w:t>assumed</w:t>
      </w:r>
      <w:r w:rsidR="002441C5" w:rsidRPr="00A74972">
        <w:rPr>
          <w:rFonts w:cs="Calibri"/>
        </w:rPr>
        <w:t xml:space="preserve"> an uptake of </w:t>
      </w:r>
      <w:r w:rsidR="008D6DA3" w:rsidRPr="00A74972">
        <w:rPr>
          <w:rFonts w:cs="Calibri"/>
        </w:rPr>
        <w:t xml:space="preserve">the test of </w:t>
      </w:r>
      <w:r w:rsidR="00CB7049" w:rsidRPr="00A74972">
        <w:rPr>
          <w:rFonts w:cs="Calibri"/>
        </w:rPr>
        <w:t xml:space="preserve">90% of the </w:t>
      </w:r>
      <w:r w:rsidR="00457CA8" w:rsidRPr="00A74972">
        <w:rPr>
          <w:rFonts w:cs="Calibri"/>
        </w:rPr>
        <w:t xml:space="preserve">eligible patients </w:t>
      </w:r>
      <w:r w:rsidR="0091135A" w:rsidRPr="00A74972">
        <w:rPr>
          <w:rFonts w:cs="Calibri"/>
        </w:rPr>
        <w:t xml:space="preserve">and </w:t>
      </w:r>
      <w:r w:rsidR="00044666" w:rsidRPr="00A74972">
        <w:rPr>
          <w:rFonts w:cs="Calibri"/>
        </w:rPr>
        <w:t>based on the key trials, SPOTLIGHT and GLOW,</w:t>
      </w:r>
      <w:r w:rsidR="007078BF" w:rsidRPr="00A74972">
        <w:rPr>
          <w:rFonts w:cs="Calibri"/>
        </w:rPr>
        <w:t xml:space="preserve"> </w:t>
      </w:r>
      <w:r w:rsidR="0091135A" w:rsidRPr="00A74972">
        <w:rPr>
          <w:rFonts w:cs="Calibri"/>
        </w:rPr>
        <w:t>t</w:t>
      </w:r>
      <w:r w:rsidR="7D0FE2FC" w:rsidRPr="00A74972">
        <w:rPr>
          <w:rFonts w:cs="Calibri"/>
        </w:rPr>
        <w:t xml:space="preserve">he proportion of </w:t>
      </w:r>
      <w:r w:rsidR="00014A79" w:rsidRPr="00A74972">
        <w:rPr>
          <w:rFonts w:cs="Calibri"/>
        </w:rPr>
        <w:t xml:space="preserve">patients with </w:t>
      </w:r>
      <w:r w:rsidR="00CB3021" w:rsidRPr="00A74972">
        <w:rPr>
          <w:rFonts w:cs="Calibri"/>
        </w:rPr>
        <w:t xml:space="preserve">G/GOJ </w:t>
      </w:r>
      <w:r w:rsidR="00014A79" w:rsidRPr="00A74972">
        <w:rPr>
          <w:rFonts w:cs="Calibri"/>
        </w:rPr>
        <w:t>cancer</w:t>
      </w:r>
      <w:r w:rsidR="00A24F54" w:rsidRPr="00A74972">
        <w:rPr>
          <w:rFonts w:cs="Calibri"/>
        </w:rPr>
        <w:t xml:space="preserve"> </w:t>
      </w:r>
      <w:r w:rsidR="00C54AFB" w:rsidRPr="00A74972">
        <w:rPr>
          <w:rFonts w:cs="Calibri"/>
        </w:rPr>
        <w:t xml:space="preserve">with </w:t>
      </w:r>
      <w:r w:rsidR="7D0FE2FC" w:rsidRPr="00A74972">
        <w:rPr>
          <w:rFonts w:cs="Calibri"/>
        </w:rPr>
        <w:t>CLDN18.2</w:t>
      </w:r>
      <w:r w:rsidR="00044666" w:rsidRPr="00A74972">
        <w:rPr>
          <w:rFonts w:cs="Calibri"/>
        </w:rPr>
        <w:t>+</w:t>
      </w:r>
      <w:r w:rsidR="7D0FE2FC" w:rsidRPr="00A74972">
        <w:rPr>
          <w:rFonts w:cs="Calibri"/>
        </w:rPr>
        <w:t xml:space="preserve"> expression</w:t>
      </w:r>
      <w:r w:rsidR="00C54AFB" w:rsidRPr="00A74972">
        <w:rPr>
          <w:rFonts w:cs="Calibri"/>
        </w:rPr>
        <w:t xml:space="preserve"> (≥ 75%)</w:t>
      </w:r>
      <w:r w:rsidR="7D0FE2FC" w:rsidRPr="00A74972">
        <w:rPr>
          <w:rFonts w:cs="Calibri"/>
        </w:rPr>
        <w:t xml:space="preserve"> </w:t>
      </w:r>
      <w:r w:rsidR="00044666" w:rsidRPr="00A74972">
        <w:rPr>
          <w:rFonts w:cs="Calibri"/>
        </w:rPr>
        <w:t>was</w:t>
      </w:r>
      <w:r w:rsidR="00C54AFB" w:rsidRPr="00A74972">
        <w:rPr>
          <w:rFonts w:cs="Calibri"/>
        </w:rPr>
        <w:t xml:space="preserve"> </w:t>
      </w:r>
      <w:r w:rsidR="7D0FE2FC" w:rsidRPr="00A74972">
        <w:rPr>
          <w:rFonts w:cs="Calibri"/>
        </w:rPr>
        <w:t>38%.</w:t>
      </w:r>
      <w:r w:rsidR="0091135A" w:rsidRPr="00A74972">
        <w:rPr>
          <w:rFonts w:cs="Calibri"/>
        </w:rPr>
        <w:t xml:space="preserve"> </w:t>
      </w:r>
      <w:r w:rsidR="004F754C" w:rsidRPr="00A74972">
        <w:rPr>
          <w:rFonts w:cs="Calibri"/>
        </w:rPr>
        <w:t xml:space="preserve">Of those </w:t>
      </w:r>
      <w:r w:rsidR="002607F4">
        <w:rPr>
          <w:rFonts w:cs="Calibri"/>
        </w:rPr>
        <w:t xml:space="preserve">patients with </w:t>
      </w:r>
      <w:r w:rsidR="00F22752" w:rsidRPr="00A74972">
        <w:rPr>
          <w:rFonts w:cs="Calibri"/>
        </w:rPr>
        <w:t xml:space="preserve">tumours </w:t>
      </w:r>
      <w:r w:rsidR="004F754C" w:rsidRPr="00A74972">
        <w:rPr>
          <w:rFonts w:cs="Calibri"/>
        </w:rPr>
        <w:t>found to be CLDN18.2</w:t>
      </w:r>
      <w:r w:rsidR="00E40E16" w:rsidRPr="00A74972">
        <w:rPr>
          <w:rFonts w:cs="Calibri"/>
        </w:rPr>
        <w:t>+</w:t>
      </w:r>
      <w:r w:rsidR="00FA65BF" w:rsidRPr="00A74972">
        <w:rPr>
          <w:rFonts w:cs="Calibri"/>
        </w:rPr>
        <w:t xml:space="preserve">, </w:t>
      </w:r>
      <w:r w:rsidR="00F1199E" w:rsidRPr="00A74972">
        <w:rPr>
          <w:rFonts w:cs="Calibri"/>
        </w:rPr>
        <w:t xml:space="preserve">the application assumed </w:t>
      </w:r>
      <w:r w:rsidR="00672354" w:rsidRPr="00A74972">
        <w:rPr>
          <w:rFonts w:cs="Calibri"/>
        </w:rPr>
        <w:t xml:space="preserve">95% </w:t>
      </w:r>
      <w:r w:rsidR="00F1199E" w:rsidRPr="00A74972">
        <w:rPr>
          <w:rFonts w:cs="Calibri"/>
        </w:rPr>
        <w:t>would</w:t>
      </w:r>
      <w:r w:rsidR="008149D9" w:rsidRPr="00A74972">
        <w:rPr>
          <w:rFonts w:cs="Calibri"/>
        </w:rPr>
        <w:t xml:space="preserve"> </w:t>
      </w:r>
      <w:r w:rsidR="00D24FC1" w:rsidRPr="00A74972">
        <w:rPr>
          <w:rFonts w:cs="Calibri"/>
        </w:rPr>
        <w:t xml:space="preserve">receive </w:t>
      </w:r>
      <w:r w:rsidR="008149D9" w:rsidRPr="00A74972">
        <w:rPr>
          <w:rFonts w:cs="Calibri"/>
        </w:rPr>
        <w:t xml:space="preserve">zolbetuximab. </w:t>
      </w:r>
      <w:r w:rsidR="009E6638" w:rsidRPr="00A74972">
        <w:rPr>
          <w:rFonts w:cs="Calibri"/>
        </w:rPr>
        <w:t xml:space="preserve">A summary of the </w:t>
      </w:r>
      <w:r w:rsidR="00FC3E06" w:rsidRPr="00A74972">
        <w:rPr>
          <w:rFonts w:cs="Calibri"/>
        </w:rPr>
        <w:t xml:space="preserve">estimated uptake of CLDN18.2 testing and zolbetuximab </w:t>
      </w:r>
      <w:r w:rsidR="009E6638" w:rsidRPr="00A74972">
        <w:rPr>
          <w:rFonts w:cs="Calibri"/>
        </w:rPr>
        <w:t xml:space="preserve">is presented in </w:t>
      </w:r>
      <w:r w:rsidR="00FC3E06" w:rsidRPr="00A74972">
        <w:rPr>
          <w:rFonts w:cs="Calibri"/>
        </w:rPr>
        <w:fldChar w:fldCharType="begin"/>
      </w:r>
      <w:r w:rsidR="00FC3E06" w:rsidRPr="00A74972">
        <w:rPr>
          <w:rFonts w:cs="Calibri"/>
        </w:rPr>
        <w:instrText xml:space="preserve"> REF _Ref161049573 \h  \* MERGEFORMAT </w:instrText>
      </w:r>
      <w:r w:rsidR="00FC3E06" w:rsidRPr="00A74972">
        <w:rPr>
          <w:rFonts w:cs="Calibri"/>
        </w:rPr>
      </w:r>
      <w:r w:rsidR="00FC3E06" w:rsidRPr="00A74972">
        <w:rPr>
          <w:rFonts w:cs="Calibri"/>
        </w:rPr>
        <w:fldChar w:fldCharType="separate"/>
      </w:r>
      <w:r w:rsidR="000F4CE1" w:rsidRPr="00A74972">
        <w:t xml:space="preserve">Table </w:t>
      </w:r>
      <w:r w:rsidR="000F4CE1" w:rsidRPr="00A74972">
        <w:rPr>
          <w:noProof/>
        </w:rPr>
        <w:t>2</w:t>
      </w:r>
      <w:r w:rsidR="00FC3E06" w:rsidRPr="00A74972">
        <w:rPr>
          <w:rFonts w:cs="Calibri"/>
        </w:rPr>
        <w:fldChar w:fldCharType="end"/>
      </w:r>
      <w:r w:rsidR="00FC3E06" w:rsidRPr="00A74972">
        <w:rPr>
          <w:rFonts w:cs="Calibri"/>
        </w:rPr>
        <w:t>.</w:t>
      </w:r>
      <w:r w:rsidR="00577BE6">
        <w:rPr>
          <w:rFonts w:cs="Calibri"/>
        </w:rPr>
        <w:t xml:space="preserve"> </w:t>
      </w:r>
      <w:r w:rsidR="00577BE6">
        <w:t xml:space="preserve">The </w:t>
      </w:r>
      <w:r w:rsidR="00EE200F">
        <w:t xml:space="preserve">utilisation </w:t>
      </w:r>
      <w:r w:rsidR="00577BE6">
        <w:t xml:space="preserve">estimates presented </w:t>
      </w:r>
      <w:r w:rsidR="00D266DB">
        <w:t xml:space="preserve">in </w:t>
      </w:r>
      <w:r w:rsidR="00D266DB">
        <w:fldChar w:fldCharType="begin"/>
      </w:r>
      <w:r w:rsidR="00D266DB">
        <w:instrText xml:space="preserve"> REF _Ref161049573 \h </w:instrText>
      </w:r>
      <w:r w:rsidR="0039154E">
        <w:instrText xml:space="preserve"> \* MERGEFORMAT </w:instrText>
      </w:r>
      <w:r w:rsidR="00D266DB">
        <w:fldChar w:fldCharType="separate"/>
      </w:r>
      <w:r w:rsidR="00D266DB" w:rsidRPr="00A74972">
        <w:t xml:space="preserve">Table </w:t>
      </w:r>
      <w:r w:rsidR="00D266DB" w:rsidRPr="00A74972">
        <w:rPr>
          <w:noProof/>
        </w:rPr>
        <w:t>2</w:t>
      </w:r>
      <w:r w:rsidR="00D266DB">
        <w:fldChar w:fldCharType="end"/>
      </w:r>
      <w:r w:rsidR="00D266DB">
        <w:t xml:space="preserve"> </w:t>
      </w:r>
      <w:r w:rsidR="00577BE6">
        <w:t xml:space="preserve">are based on CLDN18.2 testing being performed after HER2 testing (i.e. sequential testing as initially proposed by the applicant). As CLDN18.2 testing is proposed to be performed in parallel with HER2 testing in the current proposal, </w:t>
      </w:r>
      <w:r w:rsidR="005E222C">
        <w:t xml:space="preserve">the </w:t>
      </w:r>
      <w:r w:rsidR="00577BE6">
        <w:t>number of patients undergoing CLDN18.2 testing will be more than initially estimated.</w:t>
      </w:r>
      <w:r w:rsidR="005E222C">
        <w:t xml:space="preserve"> By assuming that all patients will be tested for CLDN18.2 expression regardless of the HER2 status, the</w:t>
      </w:r>
      <w:r w:rsidR="004A240F">
        <w:t xml:space="preserve"> number of patients who are tested for CLDN18.2 will increase, to equal the number of patients </w:t>
      </w:r>
      <w:r w:rsidR="006531D8">
        <w:t>diagnosed with advanced or metastatic disease (e.g. 1787</w:t>
      </w:r>
      <w:r w:rsidR="00A25FB0">
        <w:t xml:space="preserve"> patients</w:t>
      </w:r>
      <w:r w:rsidR="006531D8">
        <w:t xml:space="preserve"> in 2025, according to Table 2 below).</w:t>
      </w:r>
      <w:r w:rsidR="004A240F">
        <w:t xml:space="preserve"> </w:t>
      </w:r>
      <w:r w:rsidR="005E222C">
        <w:t xml:space="preserve">The number of patients </w:t>
      </w:r>
      <w:r w:rsidR="003A20E7">
        <w:t xml:space="preserve">estimated to be </w:t>
      </w:r>
      <w:r w:rsidR="005E222C">
        <w:t>treated with zolbetuximab</w:t>
      </w:r>
      <w:r w:rsidR="003A20E7">
        <w:t xml:space="preserve"> (as per </w:t>
      </w:r>
      <w:r w:rsidR="003A20E7">
        <w:lastRenderedPageBreak/>
        <w:fldChar w:fldCharType="begin"/>
      </w:r>
      <w:r w:rsidR="003A20E7">
        <w:instrText xml:space="preserve"> REF _Ref161049573 \h </w:instrText>
      </w:r>
      <w:r w:rsidR="003A20E7">
        <w:fldChar w:fldCharType="separate"/>
      </w:r>
      <w:r w:rsidR="003A20E7" w:rsidRPr="00A74972">
        <w:t xml:space="preserve">Table </w:t>
      </w:r>
      <w:r w:rsidR="003A20E7" w:rsidRPr="00A74972">
        <w:rPr>
          <w:noProof/>
        </w:rPr>
        <w:t>2</w:t>
      </w:r>
      <w:r w:rsidR="003A20E7">
        <w:fldChar w:fldCharType="end"/>
      </w:r>
      <w:r w:rsidR="003A20E7">
        <w:t>)</w:t>
      </w:r>
      <w:r w:rsidR="005E222C">
        <w:t xml:space="preserve"> </w:t>
      </w:r>
      <w:r w:rsidR="0005463B">
        <w:t xml:space="preserve">would not increase </w:t>
      </w:r>
      <w:r w:rsidR="00EE200F">
        <w:t xml:space="preserve">with parallel testing </w:t>
      </w:r>
      <w:r w:rsidR="0005463B">
        <w:t>if the PBS use is restricted to</w:t>
      </w:r>
      <w:r w:rsidR="003A20E7">
        <w:t xml:space="preserve"> patients who are</w:t>
      </w:r>
      <w:r w:rsidR="0005463B">
        <w:t xml:space="preserve"> H</w:t>
      </w:r>
      <w:r w:rsidR="002410A0">
        <w:t>ER</w:t>
      </w:r>
      <w:r w:rsidR="0005463B">
        <w:t xml:space="preserve">2 negative </w:t>
      </w:r>
      <w:r w:rsidR="00AA683D">
        <w:t>and</w:t>
      </w:r>
      <w:r w:rsidR="003A20E7">
        <w:t xml:space="preserve"> CLDN18.2 positive</w:t>
      </w:r>
      <w:r w:rsidR="0005463B">
        <w:t xml:space="preserve">. </w:t>
      </w:r>
    </w:p>
    <w:p w14:paraId="5A7FCE35" w14:textId="7F84CE89" w:rsidR="00FA6963" w:rsidRPr="00A74972" w:rsidRDefault="00FA6963" w:rsidP="444C3E48">
      <w:pPr>
        <w:spacing w:before="120" w:after="160" w:line="257" w:lineRule="auto"/>
        <w:ind w:left="-20" w:right="-20"/>
        <w:rPr>
          <w:rFonts w:cs="Calibri"/>
        </w:rPr>
      </w:pPr>
      <w:r w:rsidRPr="00A74972">
        <w:rPr>
          <w:rFonts w:cs="Calibri"/>
        </w:rPr>
        <w:t>The</w:t>
      </w:r>
      <w:r w:rsidR="00CF41BD" w:rsidRPr="00A74972">
        <w:rPr>
          <w:rFonts w:cs="Calibri"/>
        </w:rPr>
        <w:t xml:space="preserve"> </w:t>
      </w:r>
      <w:r w:rsidRPr="00A74972">
        <w:rPr>
          <w:rFonts w:cs="Calibri"/>
        </w:rPr>
        <w:t>proposed uptake rate</w:t>
      </w:r>
      <w:r w:rsidR="00A423BF" w:rsidRPr="00A74972">
        <w:rPr>
          <w:rFonts w:cs="Calibri"/>
        </w:rPr>
        <w:t xml:space="preserve"> (95%)</w:t>
      </w:r>
      <w:r w:rsidRPr="00A74972">
        <w:rPr>
          <w:rFonts w:cs="Calibri"/>
        </w:rPr>
        <w:t xml:space="preserve"> of zolbetuximab </w:t>
      </w:r>
      <w:r w:rsidR="00C00D4D" w:rsidRPr="00A74972">
        <w:rPr>
          <w:rFonts w:cs="Calibri"/>
        </w:rPr>
        <w:t>in</w:t>
      </w:r>
      <w:r w:rsidR="00B3664B" w:rsidRPr="00A74972">
        <w:rPr>
          <w:rFonts w:cs="Calibri"/>
        </w:rPr>
        <w:t xml:space="preserve"> patients </w:t>
      </w:r>
      <w:r w:rsidR="00063ECD" w:rsidRPr="00A74972">
        <w:rPr>
          <w:rFonts w:cs="Calibri"/>
        </w:rPr>
        <w:t xml:space="preserve">with CLDN18.2+ expression </w:t>
      </w:r>
      <w:r w:rsidR="00B3664B" w:rsidRPr="00A74972">
        <w:rPr>
          <w:rFonts w:cs="Calibri"/>
        </w:rPr>
        <w:t>is</w:t>
      </w:r>
      <w:r w:rsidR="001B77D7" w:rsidRPr="00A74972">
        <w:rPr>
          <w:rFonts w:cs="Calibri"/>
        </w:rPr>
        <w:t xml:space="preserve"> likely</w:t>
      </w:r>
      <w:r w:rsidR="00B3664B" w:rsidRPr="00A74972">
        <w:rPr>
          <w:rFonts w:cs="Calibri"/>
        </w:rPr>
        <w:t xml:space="preserve"> overestimated. </w:t>
      </w:r>
      <w:r w:rsidR="00667B7F" w:rsidRPr="00A74972">
        <w:rPr>
          <w:rFonts w:cs="Calibri"/>
        </w:rPr>
        <w:t>C</w:t>
      </w:r>
      <w:r w:rsidR="001A28D9" w:rsidRPr="00A74972">
        <w:rPr>
          <w:rFonts w:cs="Calibri"/>
        </w:rPr>
        <w:t xml:space="preserve">linicians are </w:t>
      </w:r>
      <w:r w:rsidR="00336325" w:rsidRPr="00A74972">
        <w:rPr>
          <w:rFonts w:cs="Calibri"/>
        </w:rPr>
        <w:t xml:space="preserve">familiar with immune checkpoint inhibitor therapies such as nivolumab, </w:t>
      </w:r>
      <w:r w:rsidR="00E82E38" w:rsidRPr="00A74972">
        <w:rPr>
          <w:rFonts w:cs="Calibri"/>
        </w:rPr>
        <w:t xml:space="preserve">and uptake rates </w:t>
      </w:r>
      <w:r w:rsidR="00674BAD" w:rsidRPr="00A74972">
        <w:rPr>
          <w:rFonts w:cs="Calibri"/>
        </w:rPr>
        <w:t xml:space="preserve">of novel drugs </w:t>
      </w:r>
      <w:r w:rsidR="00616390" w:rsidRPr="00A74972">
        <w:rPr>
          <w:rFonts w:cs="Calibri"/>
        </w:rPr>
        <w:t xml:space="preserve">are </w:t>
      </w:r>
      <w:r w:rsidR="003022A8" w:rsidRPr="00A74972">
        <w:rPr>
          <w:rFonts w:cs="Calibri"/>
        </w:rPr>
        <w:t>typically gradu</w:t>
      </w:r>
      <w:r w:rsidR="00EA5080" w:rsidRPr="00A74972">
        <w:rPr>
          <w:rFonts w:cs="Calibri"/>
        </w:rPr>
        <w:t>ated</w:t>
      </w:r>
      <w:r w:rsidR="00C94A1C" w:rsidRPr="00A74972">
        <w:rPr>
          <w:rFonts w:cs="Calibri"/>
        </w:rPr>
        <w:t xml:space="preserve">. The </w:t>
      </w:r>
      <w:r w:rsidR="00C10FBD" w:rsidRPr="00A74972">
        <w:rPr>
          <w:rFonts w:cs="Calibri"/>
        </w:rPr>
        <w:t xml:space="preserve">application </w:t>
      </w:r>
      <w:r w:rsidR="00C94A1C" w:rsidRPr="00A74972">
        <w:rPr>
          <w:rFonts w:cs="Calibri"/>
        </w:rPr>
        <w:t>propose</w:t>
      </w:r>
      <w:r w:rsidR="006E6066" w:rsidRPr="00A74972">
        <w:rPr>
          <w:rFonts w:cs="Calibri"/>
        </w:rPr>
        <w:t>d</w:t>
      </w:r>
      <w:r w:rsidR="00C94A1C" w:rsidRPr="00A74972">
        <w:rPr>
          <w:rFonts w:cs="Calibri"/>
        </w:rPr>
        <w:t xml:space="preserve"> that </w:t>
      </w:r>
      <w:r w:rsidR="00D42998" w:rsidRPr="00A74972">
        <w:rPr>
          <w:rFonts w:cs="Calibri"/>
        </w:rPr>
        <w:t xml:space="preserve">zolbetuximab </w:t>
      </w:r>
      <w:r w:rsidR="00E52DE9" w:rsidRPr="00A74972">
        <w:rPr>
          <w:rFonts w:cs="Calibri"/>
        </w:rPr>
        <w:t xml:space="preserve">is </w:t>
      </w:r>
      <w:r w:rsidR="48A2DF35" w:rsidRPr="00A74972">
        <w:rPr>
          <w:rFonts w:cs="Calibri"/>
        </w:rPr>
        <w:t>noninferior</w:t>
      </w:r>
      <w:r w:rsidR="00E52DE9" w:rsidRPr="00A74972">
        <w:rPr>
          <w:rFonts w:cs="Calibri"/>
        </w:rPr>
        <w:t xml:space="preserve"> to nivolumab</w:t>
      </w:r>
      <w:r w:rsidR="0098576E" w:rsidRPr="00A74972">
        <w:rPr>
          <w:rFonts w:cs="Calibri"/>
        </w:rPr>
        <w:t xml:space="preserve"> </w:t>
      </w:r>
      <w:r w:rsidR="00E52DE9" w:rsidRPr="00A74972">
        <w:rPr>
          <w:rFonts w:cs="Calibri"/>
        </w:rPr>
        <w:t xml:space="preserve">and has not </w:t>
      </w:r>
      <w:r w:rsidR="00B07F3C" w:rsidRPr="00A74972">
        <w:rPr>
          <w:rFonts w:cs="Calibri"/>
        </w:rPr>
        <w:t xml:space="preserve">provided justification for </w:t>
      </w:r>
      <w:r w:rsidR="00360A82" w:rsidRPr="00A74972">
        <w:rPr>
          <w:rFonts w:cs="Calibri"/>
        </w:rPr>
        <w:t xml:space="preserve">why </w:t>
      </w:r>
      <w:r w:rsidR="00A71A4F" w:rsidRPr="00A74972">
        <w:rPr>
          <w:rFonts w:cs="Calibri"/>
        </w:rPr>
        <w:t xml:space="preserve">it anticipates </w:t>
      </w:r>
      <w:r w:rsidR="00360A82" w:rsidRPr="00A74972">
        <w:rPr>
          <w:rFonts w:cs="Calibri"/>
        </w:rPr>
        <w:t xml:space="preserve">clinicians </w:t>
      </w:r>
      <w:r w:rsidR="00F61850" w:rsidRPr="00A74972">
        <w:rPr>
          <w:rFonts w:cs="Calibri"/>
        </w:rPr>
        <w:t>will</w:t>
      </w:r>
      <w:r w:rsidR="00360A82" w:rsidRPr="00A74972">
        <w:rPr>
          <w:rFonts w:cs="Calibri"/>
        </w:rPr>
        <w:t xml:space="preserve"> prefer zolbetuximab over nivolumab in</w:t>
      </w:r>
      <w:r w:rsidR="007D704D" w:rsidRPr="00A74972">
        <w:rPr>
          <w:rFonts w:cs="Calibri"/>
        </w:rPr>
        <w:t xml:space="preserve"> 95% </w:t>
      </w:r>
      <w:r w:rsidR="00360A82" w:rsidRPr="00A74972">
        <w:rPr>
          <w:rFonts w:cs="Calibri"/>
        </w:rPr>
        <w:t>of patients</w:t>
      </w:r>
      <w:r w:rsidR="00063ECD" w:rsidRPr="00A74972">
        <w:rPr>
          <w:rFonts w:cs="Calibri"/>
        </w:rPr>
        <w:t xml:space="preserve"> with CLDN18.2+ expression</w:t>
      </w:r>
      <w:r w:rsidR="00360A82" w:rsidRPr="00A74972">
        <w:rPr>
          <w:rFonts w:cs="Calibri"/>
        </w:rPr>
        <w:t xml:space="preserve"> </w:t>
      </w:r>
      <w:r w:rsidR="007D704D" w:rsidRPr="00A74972">
        <w:rPr>
          <w:rFonts w:cs="Calibri"/>
        </w:rPr>
        <w:t>from year 1 onwards.</w:t>
      </w:r>
      <w:r w:rsidR="0055308E" w:rsidRPr="003E5D76">
        <w:rPr>
          <w:rFonts w:cs="Calibri"/>
          <w:i/>
          <w:iCs/>
        </w:rPr>
        <w:t xml:space="preserve"> </w:t>
      </w:r>
    </w:p>
    <w:p w14:paraId="132AC389" w14:textId="1A8A591B" w:rsidR="402C73F4" w:rsidRPr="00A74972" w:rsidRDefault="00332EFF" w:rsidP="00332EFF">
      <w:pPr>
        <w:pStyle w:val="Caption"/>
        <w:rPr>
          <w:rFonts w:cs="Calibri"/>
        </w:rPr>
      </w:pPr>
      <w:bookmarkStart w:id="3" w:name="_Ref161049573"/>
      <w:r w:rsidRPr="00A74972">
        <w:t xml:space="preserve">Table </w:t>
      </w:r>
      <w:r w:rsidRPr="00A74972">
        <w:fldChar w:fldCharType="begin"/>
      </w:r>
      <w:r w:rsidRPr="00A74972">
        <w:instrText xml:space="preserve"> SEQ Table \* ARABIC </w:instrText>
      </w:r>
      <w:r w:rsidRPr="00A74972">
        <w:fldChar w:fldCharType="separate"/>
      </w:r>
      <w:r w:rsidR="000F4CE1" w:rsidRPr="00A74972">
        <w:rPr>
          <w:noProof/>
        </w:rPr>
        <w:t>2</w:t>
      </w:r>
      <w:r w:rsidRPr="00A74972">
        <w:fldChar w:fldCharType="end"/>
      </w:r>
      <w:bookmarkEnd w:id="3"/>
      <w:r w:rsidR="007B4A53" w:rsidRPr="00A74972">
        <w:t xml:space="preserve">: Estimated uptake of </w:t>
      </w:r>
      <w:r w:rsidR="00507CDA" w:rsidRPr="00A74972">
        <w:t xml:space="preserve">Claudin18.2 testing </w:t>
      </w:r>
      <w:r w:rsidR="007C622E" w:rsidRPr="00A74972">
        <w:t xml:space="preserve">and </w:t>
      </w:r>
      <w:r w:rsidR="00407E81" w:rsidRPr="00A74972">
        <w:t>treatment with zolbetuximab</w:t>
      </w:r>
    </w:p>
    <w:tbl>
      <w:tblPr>
        <w:tblStyle w:val="TableGrid"/>
        <w:tblW w:w="0" w:type="auto"/>
        <w:tblInd w:w="0" w:type="dxa"/>
        <w:tblLayout w:type="fixed"/>
        <w:tblLook w:val="04A0" w:firstRow="1" w:lastRow="0" w:firstColumn="1" w:lastColumn="0" w:noHBand="0" w:noVBand="1"/>
      </w:tblPr>
      <w:tblGrid>
        <w:gridCol w:w="4010"/>
        <w:gridCol w:w="795"/>
        <w:gridCol w:w="795"/>
        <w:gridCol w:w="795"/>
        <w:gridCol w:w="795"/>
        <w:gridCol w:w="795"/>
        <w:gridCol w:w="795"/>
        <w:gridCol w:w="791"/>
      </w:tblGrid>
      <w:tr w:rsidR="00A74972" w:rsidRPr="00A74972" w14:paraId="72192D5B" w14:textId="77777777" w:rsidTr="000F0C40">
        <w:trPr>
          <w:trHeight w:val="300"/>
        </w:trPr>
        <w:tc>
          <w:tcPr>
            <w:tcW w:w="4010" w:type="dxa"/>
            <w:vMerge w:val="restart"/>
            <w:tcMar>
              <w:left w:w="108" w:type="dxa"/>
              <w:right w:w="108" w:type="dxa"/>
            </w:tcMar>
          </w:tcPr>
          <w:p w14:paraId="5DCCB940" w14:textId="660F23DA" w:rsidR="444C3E48" w:rsidRPr="00A74972" w:rsidRDefault="444C3E48" w:rsidP="444C3E48">
            <w:pPr>
              <w:spacing w:before="120" w:after="160" w:line="257" w:lineRule="auto"/>
              <w:ind w:left="-20" w:right="-20"/>
              <w:jc w:val="center"/>
              <w:rPr>
                <w:rFonts w:ascii="Arial Narrow" w:eastAsia="Arial Narrow" w:hAnsi="Arial Narrow" w:cs="Arial Narrow"/>
                <w:b/>
                <w:bCs/>
                <w:sz w:val="20"/>
                <w:szCs w:val="20"/>
              </w:rPr>
            </w:pPr>
            <w:r w:rsidRPr="00A74972">
              <w:rPr>
                <w:rFonts w:ascii="Arial Narrow" w:eastAsia="Arial Narrow" w:hAnsi="Arial Narrow" w:cs="Arial Narrow"/>
                <w:b/>
                <w:bCs/>
                <w:sz w:val="20"/>
                <w:szCs w:val="20"/>
              </w:rPr>
              <w:t>Parameter</w:t>
            </w:r>
          </w:p>
        </w:tc>
        <w:tc>
          <w:tcPr>
            <w:tcW w:w="795" w:type="dxa"/>
            <w:vMerge w:val="restart"/>
            <w:tcMar>
              <w:left w:w="108" w:type="dxa"/>
              <w:right w:w="108" w:type="dxa"/>
            </w:tcMar>
          </w:tcPr>
          <w:p w14:paraId="6A35668C" w14:textId="0797E919" w:rsidR="444C3E48" w:rsidRPr="00A74972" w:rsidRDefault="444C3E48" w:rsidP="444C3E48">
            <w:pPr>
              <w:spacing w:before="120" w:after="160" w:line="257" w:lineRule="auto"/>
              <w:ind w:left="-20" w:right="-20"/>
              <w:jc w:val="center"/>
              <w:rPr>
                <w:rFonts w:ascii="Arial Narrow" w:eastAsia="Arial Narrow" w:hAnsi="Arial Narrow" w:cs="Arial Narrow"/>
                <w:b/>
                <w:bCs/>
                <w:sz w:val="20"/>
                <w:szCs w:val="20"/>
              </w:rPr>
            </w:pPr>
            <w:r w:rsidRPr="00A74972">
              <w:rPr>
                <w:rFonts w:ascii="Arial Narrow" w:eastAsia="Arial Narrow" w:hAnsi="Arial Narrow" w:cs="Arial Narrow"/>
                <w:b/>
                <w:bCs/>
                <w:sz w:val="20"/>
                <w:szCs w:val="20"/>
              </w:rPr>
              <w:t>Value used</w:t>
            </w:r>
          </w:p>
        </w:tc>
        <w:tc>
          <w:tcPr>
            <w:tcW w:w="4766" w:type="dxa"/>
            <w:gridSpan w:val="6"/>
            <w:tcMar>
              <w:left w:w="108" w:type="dxa"/>
              <w:right w:w="108" w:type="dxa"/>
            </w:tcMar>
          </w:tcPr>
          <w:p w14:paraId="7F09E4C2" w14:textId="02E3DEAB" w:rsidR="444C3E48" w:rsidRPr="00A74972" w:rsidRDefault="444C3E48" w:rsidP="444C3E48">
            <w:pPr>
              <w:spacing w:before="120" w:after="160" w:line="257" w:lineRule="auto"/>
              <w:ind w:left="-20" w:right="-20"/>
              <w:jc w:val="center"/>
              <w:rPr>
                <w:rFonts w:ascii="Arial Narrow" w:eastAsia="Arial Narrow" w:hAnsi="Arial Narrow" w:cs="Arial Narrow"/>
                <w:b/>
                <w:bCs/>
                <w:sz w:val="20"/>
                <w:szCs w:val="20"/>
              </w:rPr>
            </w:pPr>
            <w:r w:rsidRPr="00A74972">
              <w:rPr>
                <w:rFonts w:ascii="Arial Narrow" w:eastAsia="Arial Narrow" w:hAnsi="Arial Narrow" w:cs="Arial Narrow"/>
                <w:b/>
                <w:bCs/>
                <w:sz w:val="20"/>
                <w:szCs w:val="20"/>
              </w:rPr>
              <w:t>Year</w:t>
            </w:r>
          </w:p>
        </w:tc>
      </w:tr>
      <w:tr w:rsidR="00A74972" w:rsidRPr="00A74972" w14:paraId="363D28C7" w14:textId="77777777" w:rsidTr="000F0C40">
        <w:trPr>
          <w:trHeight w:val="300"/>
        </w:trPr>
        <w:tc>
          <w:tcPr>
            <w:tcW w:w="4010" w:type="dxa"/>
            <w:vMerge/>
            <w:vAlign w:val="center"/>
          </w:tcPr>
          <w:p w14:paraId="291FFEC1" w14:textId="77777777" w:rsidR="006D5402" w:rsidRPr="00A74972" w:rsidRDefault="006D5402"/>
        </w:tc>
        <w:tc>
          <w:tcPr>
            <w:tcW w:w="795" w:type="dxa"/>
            <w:vMerge/>
            <w:vAlign w:val="center"/>
          </w:tcPr>
          <w:p w14:paraId="1224BBB9" w14:textId="77777777" w:rsidR="006D5402" w:rsidRPr="00A74972" w:rsidRDefault="006D5402"/>
        </w:tc>
        <w:tc>
          <w:tcPr>
            <w:tcW w:w="795" w:type="dxa"/>
            <w:tcMar>
              <w:left w:w="108" w:type="dxa"/>
              <w:right w:w="108" w:type="dxa"/>
            </w:tcMar>
            <w:vAlign w:val="center"/>
          </w:tcPr>
          <w:p w14:paraId="3C1BD6B3" w14:textId="5ACA09AB" w:rsidR="444C3E48" w:rsidRPr="00A74972" w:rsidRDefault="444C3E48" w:rsidP="444C3E48">
            <w:pPr>
              <w:spacing w:before="120" w:after="160" w:line="257" w:lineRule="auto"/>
              <w:ind w:left="-20" w:right="-20"/>
              <w:jc w:val="center"/>
              <w:rPr>
                <w:rFonts w:ascii="Arial Narrow" w:eastAsia="Arial Narrow" w:hAnsi="Arial Narrow" w:cs="Arial Narrow"/>
                <w:b/>
                <w:bCs/>
                <w:sz w:val="20"/>
                <w:szCs w:val="20"/>
              </w:rPr>
            </w:pPr>
            <w:r w:rsidRPr="00A74972">
              <w:rPr>
                <w:rFonts w:ascii="Arial Narrow" w:eastAsia="Arial Narrow" w:hAnsi="Arial Narrow" w:cs="Arial Narrow"/>
                <w:b/>
                <w:bCs/>
                <w:sz w:val="20"/>
                <w:szCs w:val="20"/>
              </w:rPr>
              <w:t>2025</w:t>
            </w:r>
          </w:p>
        </w:tc>
        <w:tc>
          <w:tcPr>
            <w:tcW w:w="795" w:type="dxa"/>
            <w:tcMar>
              <w:left w:w="108" w:type="dxa"/>
              <w:right w:w="108" w:type="dxa"/>
            </w:tcMar>
            <w:vAlign w:val="center"/>
          </w:tcPr>
          <w:p w14:paraId="030963E9" w14:textId="09E9596B" w:rsidR="444C3E48" w:rsidRPr="00A74972" w:rsidRDefault="444C3E48" w:rsidP="444C3E48">
            <w:pPr>
              <w:spacing w:before="120" w:after="160" w:line="257" w:lineRule="auto"/>
              <w:ind w:left="-20" w:right="-20"/>
              <w:jc w:val="center"/>
              <w:rPr>
                <w:rFonts w:ascii="Arial Narrow" w:eastAsia="Arial Narrow" w:hAnsi="Arial Narrow" w:cs="Arial Narrow"/>
                <w:b/>
                <w:bCs/>
                <w:sz w:val="20"/>
                <w:szCs w:val="20"/>
              </w:rPr>
            </w:pPr>
            <w:r w:rsidRPr="00A74972">
              <w:rPr>
                <w:rFonts w:ascii="Arial Narrow" w:eastAsia="Arial Narrow" w:hAnsi="Arial Narrow" w:cs="Arial Narrow"/>
                <w:b/>
                <w:bCs/>
                <w:sz w:val="20"/>
                <w:szCs w:val="20"/>
              </w:rPr>
              <w:t>2026</w:t>
            </w:r>
          </w:p>
        </w:tc>
        <w:tc>
          <w:tcPr>
            <w:tcW w:w="795" w:type="dxa"/>
            <w:tcMar>
              <w:left w:w="108" w:type="dxa"/>
              <w:right w:w="108" w:type="dxa"/>
            </w:tcMar>
            <w:vAlign w:val="center"/>
          </w:tcPr>
          <w:p w14:paraId="270E6D3D" w14:textId="5B5433E5" w:rsidR="444C3E48" w:rsidRPr="00A74972" w:rsidRDefault="444C3E48" w:rsidP="444C3E48">
            <w:pPr>
              <w:spacing w:before="120" w:after="160" w:line="257" w:lineRule="auto"/>
              <w:ind w:left="-20" w:right="-20"/>
              <w:jc w:val="center"/>
              <w:rPr>
                <w:rFonts w:ascii="Arial Narrow" w:eastAsia="Arial Narrow" w:hAnsi="Arial Narrow" w:cs="Arial Narrow"/>
                <w:b/>
                <w:bCs/>
                <w:sz w:val="20"/>
                <w:szCs w:val="20"/>
              </w:rPr>
            </w:pPr>
            <w:r w:rsidRPr="00A74972">
              <w:rPr>
                <w:rFonts w:ascii="Arial Narrow" w:eastAsia="Arial Narrow" w:hAnsi="Arial Narrow" w:cs="Arial Narrow"/>
                <w:b/>
                <w:bCs/>
                <w:sz w:val="20"/>
                <w:szCs w:val="20"/>
              </w:rPr>
              <w:t>2027</w:t>
            </w:r>
          </w:p>
        </w:tc>
        <w:tc>
          <w:tcPr>
            <w:tcW w:w="795" w:type="dxa"/>
            <w:tcMar>
              <w:left w:w="108" w:type="dxa"/>
              <w:right w:w="108" w:type="dxa"/>
            </w:tcMar>
            <w:vAlign w:val="center"/>
          </w:tcPr>
          <w:p w14:paraId="21FD9010" w14:textId="1BD520AA" w:rsidR="444C3E48" w:rsidRPr="00A74972" w:rsidRDefault="444C3E48" w:rsidP="444C3E48">
            <w:pPr>
              <w:spacing w:before="120" w:after="160" w:line="257" w:lineRule="auto"/>
              <w:ind w:left="-20" w:right="-20"/>
              <w:jc w:val="center"/>
              <w:rPr>
                <w:rFonts w:ascii="Arial Narrow" w:eastAsia="Arial Narrow" w:hAnsi="Arial Narrow" w:cs="Arial Narrow"/>
                <w:b/>
                <w:bCs/>
                <w:sz w:val="20"/>
                <w:szCs w:val="20"/>
              </w:rPr>
            </w:pPr>
            <w:r w:rsidRPr="00A74972">
              <w:rPr>
                <w:rFonts w:ascii="Arial Narrow" w:eastAsia="Arial Narrow" w:hAnsi="Arial Narrow" w:cs="Arial Narrow"/>
                <w:b/>
                <w:bCs/>
                <w:sz w:val="20"/>
                <w:szCs w:val="20"/>
              </w:rPr>
              <w:t>2028</w:t>
            </w:r>
          </w:p>
        </w:tc>
        <w:tc>
          <w:tcPr>
            <w:tcW w:w="795" w:type="dxa"/>
            <w:tcMar>
              <w:left w:w="108" w:type="dxa"/>
              <w:right w:w="108" w:type="dxa"/>
            </w:tcMar>
            <w:vAlign w:val="center"/>
          </w:tcPr>
          <w:p w14:paraId="58CFC1D0" w14:textId="37617C07" w:rsidR="444C3E48" w:rsidRPr="00A74972" w:rsidRDefault="444C3E48" w:rsidP="444C3E48">
            <w:pPr>
              <w:spacing w:before="120" w:after="160" w:line="257" w:lineRule="auto"/>
              <w:ind w:left="-20" w:right="-20"/>
              <w:jc w:val="center"/>
              <w:rPr>
                <w:rFonts w:ascii="Arial Narrow" w:eastAsia="Arial Narrow" w:hAnsi="Arial Narrow" w:cs="Arial Narrow"/>
                <w:b/>
                <w:bCs/>
                <w:sz w:val="20"/>
                <w:szCs w:val="20"/>
              </w:rPr>
            </w:pPr>
            <w:r w:rsidRPr="00A74972">
              <w:rPr>
                <w:rFonts w:ascii="Arial Narrow" w:eastAsia="Arial Narrow" w:hAnsi="Arial Narrow" w:cs="Arial Narrow"/>
                <w:b/>
                <w:bCs/>
                <w:sz w:val="20"/>
                <w:szCs w:val="20"/>
              </w:rPr>
              <w:t>2029</w:t>
            </w:r>
          </w:p>
        </w:tc>
        <w:tc>
          <w:tcPr>
            <w:tcW w:w="791" w:type="dxa"/>
            <w:tcMar>
              <w:left w:w="108" w:type="dxa"/>
              <w:right w:w="108" w:type="dxa"/>
            </w:tcMar>
            <w:vAlign w:val="center"/>
          </w:tcPr>
          <w:p w14:paraId="3B72E597" w14:textId="2FC977B1" w:rsidR="444C3E48" w:rsidRPr="00A74972" w:rsidRDefault="444C3E48" w:rsidP="444C3E48">
            <w:pPr>
              <w:spacing w:before="120" w:after="160" w:line="257" w:lineRule="auto"/>
              <w:ind w:left="-20" w:right="-20"/>
              <w:jc w:val="center"/>
              <w:rPr>
                <w:rFonts w:ascii="Arial Narrow" w:eastAsia="Arial Narrow" w:hAnsi="Arial Narrow" w:cs="Arial Narrow"/>
                <w:b/>
                <w:bCs/>
                <w:sz w:val="20"/>
                <w:szCs w:val="20"/>
              </w:rPr>
            </w:pPr>
            <w:r w:rsidRPr="00A74972">
              <w:rPr>
                <w:rFonts w:ascii="Arial Narrow" w:eastAsia="Arial Narrow" w:hAnsi="Arial Narrow" w:cs="Arial Narrow"/>
                <w:b/>
                <w:bCs/>
                <w:sz w:val="20"/>
                <w:szCs w:val="20"/>
              </w:rPr>
              <w:t>2030</w:t>
            </w:r>
          </w:p>
        </w:tc>
      </w:tr>
      <w:tr w:rsidR="00A74972" w:rsidRPr="00A74972" w14:paraId="7AAB4E7D" w14:textId="77777777" w:rsidTr="000F0C40">
        <w:trPr>
          <w:trHeight w:val="300"/>
        </w:trPr>
        <w:tc>
          <w:tcPr>
            <w:tcW w:w="4010" w:type="dxa"/>
            <w:tcMar>
              <w:left w:w="108" w:type="dxa"/>
              <w:right w:w="108" w:type="dxa"/>
            </w:tcMar>
          </w:tcPr>
          <w:p w14:paraId="1835BC9B" w14:textId="4B0EAFB4" w:rsidR="444C3E48" w:rsidRPr="00A74972" w:rsidRDefault="444C3E48" w:rsidP="444C3E48">
            <w:pPr>
              <w:spacing w:before="120" w:after="160" w:line="257" w:lineRule="auto"/>
              <w:ind w:left="-20" w:right="-20"/>
              <w:rPr>
                <w:rFonts w:ascii="Arial Narrow" w:eastAsia="Arial Narrow" w:hAnsi="Arial Narrow" w:cs="Arial Narrow"/>
                <w:sz w:val="20"/>
                <w:szCs w:val="20"/>
              </w:rPr>
            </w:pPr>
            <w:r w:rsidRPr="00A74972">
              <w:rPr>
                <w:rFonts w:ascii="Arial Narrow" w:eastAsia="Arial Narrow" w:hAnsi="Arial Narrow" w:cs="Arial Narrow"/>
                <w:sz w:val="20"/>
                <w:szCs w:val="20"/>
              </w:rPr>
              <w:t>Gastric cancer patients (incidence)</w:t>
            </w:r>
          </w:p>
        </w:tc>
        <w:tc>
          <w:tcPr>
            <w:tcW w:w="795" w:type="dxa"/>
            <w:tcMar>
              <w:left w:w="108" w:type="dxa"/>
              <w:right w:w="108" w:type="dxa"/>
            </w:tcMar>
            <w:vAlign w:val="center"/>
          </w:tcPr>
          <w:p w14:paraId="3F1A7E89" w14:textId="216EC8E6" w:rsidR="444C3E48" w:rsidRPr="00A74972" w:rsidRDefault="444C3E48" w:rsidP="444C3E48">
            <w:pPr>
              <w:spacing w:before="120" w:after="160" w:line="257" w:lineRule="auto"/>
              <w:ind w:left="-20" w:right="-20"/>
              <w:jc w:val="center"/>
              <w:rPr>
                <w:rFonts w:ascii="Arial Narrow" w:eastAsia="Arial Narrow" w:hAnsi="Arial Narrow" w:cs="Arial Narrow"/>
                <w:sz w:val="20"/>
                <w:szCs w:val="20"/>
              </w:rPr>
            </w:pPr>
            <w:r w:rsidRPr="00A74972">
              <w:rPr>
                <w:rFonts w:ascii="Arial Narrow" w:eastAsia="Arial Narrow" w:hAnsi="Arial Narrow" w:cs="Arial Narrow"/>
                <w:sz w:val="20"/>
                <w:szCs w:val="20"/>
              </w:rPr>
              <w:t xml:space="preserve"> </w:t>
            </w:r>
          </w:p>
        </w:tc>
        <w:tc>
          <w:tcPr>
            <w:tcW w:w="795" w:type="dxa"/>
            <w:tcMar>
              <w:left w:w="108" w:type="dxa"/>
              <w:right w:w="108" w:type="dxa"/>
            </w:tcMar>
            <w:vAlign w:val="center"/>
          </w:tcPr>
          <w:p w14:paraId="79260CF3" w14:textId="2A0D4D9B" w:rsidR="444C3E48" w:rsidRPr="00A74972" w:rsidRDefault="444C3E48" w:rsidP="444C3E48">
            <w:pPr>
              <w:spacing w:before="120" w:after="160" w:line="257" w:lineRule="auto"/>
              <w:ind w:left="-20" w:right="-20"/>
              <w:jc w:val="center"/>
              <w:rPr>
                <w:rFonts w:ascii="Arial Narrow" w:eastAsia="Arial Narrow" w:hAnsi="Arial Narrow" w:cs="Arial Narrow"/>
                <w:sz w:val="20"/>
                <w:szCs w:val="20"/>
              </w:rPr>
            </w:pPr>
            <w:r w:rsidRPr="00A74972">
              <w:rPr>
                <w:rFonts w:ascii="Arial Narrow" w:eastAsia="Arial Narrow" w:hAnsi="Arial Narrow" w:cs="Arial Narrow"/>
                <w:sz w:val="20"/>
                <w:szCs w:val="20"/>
              </w:rPr>
              <w:t>2808</w:t>
            </w:r>
          </w:p>
        </w:tc>
        <w:tc>
          <w:tcPr>
            <w:tcW w:w="795" w:type="dxa"/>
            <w:tcMar>
              <w:left w:w="108" w:type="dxa"/>
              <w:right w:w="108" w:type="dxa"/>
            </w:tcMar>
            <w:vAlign w:val="center"/>
          </w:tcPr>
          <w:p w14:paraId="7A6FD6F0" w14:textId="37ABA307" w:rsidR="444C3E48" w:rsidRPr="00A74972" w:rsidRDefault="444C3E48" w:rsidP="444C3E48">
            <w:pPr>
              <w:spacing w:before="120" w:after="160" w:line="257" w:lineRule="auto"/>
              <w:ind w:left="-20" w:right="-20"/>
              <w:jc w:val="center"/>
              <w:rPr>
                <w:rFonts w:ascii="Arial Narrow" w:eastAsia="Arial Narrow" w:hAnsi="Arial Narrow" w:cs="Arial Narrow"/>
                <w:sz w:val="20"/>
                <w:szCs w:val="20"/>
              </w:rPr>
            </w:pPr>
            <w:r w:rsidRPr="00A74972">
              <w:rPr>
                <w:rFonts w:ascii="Arial Narrow" w:eastAsia="Arial Narrow" w:hAnsi="Arial Narrow" w:cs="Arial Narrow"/>
                <w:sz w:val="20"/>
                <w:szCs w:val="20"/>
              </w:rPr>
              <w:t>2870</w:t>
            </w:r>
          </w:p>
        </w:tc>
        <w:tc>
          <w:tcPr>
            <w:tcW w:w="795" w:type="dxa"/>
            <w:tcMar>
              <w:left w:w="108" w:type="dxa"/>
              <w:right w:w="108" w:type="dxa"/>
            </w:tcMar>
            <w:vAlign w:val="center"/>
          </w:tcPr>
          <w:p w14:paraId="0ABA9F36" w14:textId="3637D9BB" w:rsidR="444C3E48" w:rsidRPr="00A74972" w:rsidRDefault="444C3E48" w:rsidP="444C3E48">
            <w:pPr>
              <w:spacing w:before="120" w:after="160" w:line="257" w:lineRule="auto"/>
              <w:ind w:left="-20" w:right="-20"/>
              <w:jc w:val="center"/>
              <w:rPr>
                <w:rFonts w:ascii="Arial Narrow" w:eastAsia="Arial Narrow" w:hAnsi="Arial Narrow" w:cs="Arial Narrow"/>
                <w:sz w:val="20"/>
                <w:szCs w:val="20"/>
              </w:rPr>
            </w:pPr>
            <w:r w:rsidRPr="00A74972">
              <w:rPr>
                <w:rFonts w:ascii="Arial Narrow" w:eastAsia="Arial Narrow" w:hAnsi="Arial Narrow" w:cs="Arial Narrow"/>
                <w:sz w:val="20"/>
                <w:szCs w:val="20"/>
              </w:rPr>
              <w:t>2934</w:t>
            </w:r>
          </w:p>
        </w:tc>
        <w:tc>
          <w:tcPr>
            <w:tcW w:w="795" w:type="dxa"/>
            <w:tcMar>
              <w:left w:w="108" w:type="dxa"/>
              <w:right w:w="108" w:type="dxa"/>
            </w:tcMar>
            <w:vAlign w:val="center"/>
          </w:tcPr>
          <w:p w14:paraId="6EC5C1F1" w14:textId="7AFE2C99" w:rsidR="444C3E48" w:rsidRPr="00A74972" w:rsidRDefault="444C3E48" w:rsidP="444C3E48">
            <w:pPr>
              <w:spacing w:before="120" w:after="160" w:line="257" w:lineRule="auto"/>
              <w:ind w:left="-20" w:right="-20"/>
              <w:jc w:val="center"/>
              <w:rPr>
                <w:rFonts w:ascii="Arial Narrow" w:eastAsia="Arial Narrow" w:hAnsi="Arial Narrow" w:cs="Arial Narrow"/>
                <w:sz w:val="20"/>
                <w:szCs w:val="20"/>
              </w:rPr>
            </w:pPr>
            <w:r w:rsidRPr="00A74972">
              <w:rPr>
                <w:rFonts w:ascii="Arial Narrow" w:eastAsia="Arial Narrow" w:hAnsi="Arial Narrow" w:cs="Arial Narrow"/>
                <w:sz w:val="20"/>
                <w:szCs w:val="20"/>
              </w:rPr>
              <w:t>2999</w:t>
            </w:r>
          </w:p>
        </w:tc>
        <w:tc>
          <w:tcPr>
            <w:tcW w:w="795" w:type="dxa"/>
            <w:tcMar>
              <w:left w:w="108" w:type="dxa"/>
              <w:right w:w="108" w:type="dxa"/>
            </w:tcMar>
            <w:vAlign w:val="center"/>
          </w:tcPr>
          <w:p w14:paraId="5D76984F" w14:textId="0E94055B" w:rsidR="444C3E48" w:rsidRPr="00A74972" w:rsidRDefault="444C3E48" w:rsidP="444C3E48">
            <w:pPr>
              <w:spacing w:before="120" w:after="160" w:line="257" w:lineRule="auto"/>
              <w:ind w:left="-20" w:right="-20"/>
              <w:jc w:val="center"/>
              <w:rPr>
                <w:rFonts w:ascii="Arial Narrow" w:eastAsia="Arial Narrow" w:hAnsi="Arial Narrow" w:cs="Arial Narrow"/>
                <w:sz w:val="20"/>
                <w:szCs w:val="20"/>
              </w:rPr>
            </w:pPr>
            <w:r w:rsidRPr="00A74972">
              <w:rPr>
                <w:rFonts w:ascii="Arial Narrow" w:eastAsia="Arial Narrow" w:hAnsi="Arial Narrow" w:cs="Arial Narrow"/>
                <w:sz w:val="20"/>
                <w:szCs w:val="20"/>
              </w:rPr>
              <w:t>3065</w:t>
            </w:r>
          </w:p>
        </w:tc>
        <w:tc>
          <w:tcPr>
            <w:tcW w:w="791" w:type="dxa"/>
            <w:tcMar>
              <w:left w:w="108" w:type="dxa"/>
              <w:right w:w="108" w:type="dxa"/>
            </w:tcMar>
            <w:vAlign w:val="center"/>
          </w:tcPr>
          <w:p w14:paraId="22E325D7" w14:textId="7DA380E3" w:rsidR="444C3E48" w:rsidRPr="00A74972" w:rsidRDefault="444C3E48" w:rsidP="444C3E48">
            <w:pPr>
              <w:spacing w:before="120" w:after="160" w:line="257" w:lineRule="auto"/>
              <w:ind w:left="-20" w:right="-20"/>
              <w:jc w:val="center"/>
              <w:rPr>
                <w:rFonts w:ascii="Arial Narrow" w:eastAsia="Arial Narrow" w:hAnsi="Arial Narrow" w:cs="Arial Narrow"/>
                <w:sz w:val="20"/>
                <w:szCs w:val="20"/>
              </w:rPr>
            </w:pPr>
            <w:r w:rsidRPr="00A74972">
              <w:rPr>
                <w:rFonts w:ascii="Arial Narrow" w:eastAsia="Arial Narrow" w:hAnsi="Arial Narrow" w:cs="Arial Narrow"/>
                <w:sz w:val="20"/>
                <w:szCs w:val="20"/>
              </w:rPr>
              <w:t>3133</w:t>
            </w:r>
          </w:p>
        </w:tc>
      </w:tr>
      <w:tr w:rsidR="00A74972" w:rsidRPr="00A74972" w14:paraId="06233E96" w14:textId="77777777" w:rsidTr="000F0C40">
        <w:trPr>
          <w:trHeight w:val="300"/>
        </w:trPr>
        <w:tc>
          <w:tcPr>
            <w:tcW w:w="4010" w:type="dxa"/>
            <w:tcMar>
              <w:left w:w="108" w:type="dxa"/>
              <w:right w:w="108" w:type="dxa"/>
            </w:tcMar>
          </w:tcPr>
          <w:p w14:paraId="590141BD" w14:textId="41982E8B" w:rsidR="444C3E48" w:rsidRPr="00A74972" w:rsidRDefault="444C3E48" w:rsidP="444C3E48">
            <w:pPr>
              <w:spacing w:before="120" w:after="160" w:line="257" w:lineRule="auto"/>
              <w:ind w:left="-20" w:right="-20"/>
              <w:rPr>
                <w:rFonts w:ascii="Arial Narrow" w:eastAsia="Arial Narrow" w:hAnsi="Arial Narrow" w:cs="Arial Narrow"/>
                <w:sz w:val="20"/>
                <w:szCs w:val="20"/>
              </w:rPr>
            </w:pPr>
            <w:r w:rsidRPr="00A74972">
              <w:rPr>
                <w:rFonts w:ascii="Arial Narrow" w:eastAsia="Arial Narrow" w:hAnsi="Arial Narrow" w:cs="Arial Narrow"/>
                <w:sz w:val="20"/>
                <w:szCs w:val="20"/>
              </w:rPr>
              <w:t xml:space="preserve">Number with </w:t>
            </w:r>
            <w:r w:rsidR="004C6D2F" w:rsidRPr="00A74972">
              <w:rPr>
                <w:rFonts w:ascii="Arial Narrow" w:eastAsia="Arial Narrow" w:hAnsi="Arial Narrow" w:cs="Arial Narrow"/>
                <w:sz w:val="20"/>
                <w:szCs w:val="20"/>
              </w:rPr>
              <w:t xml:space="preserve">adenocarcinoma </w:t>
            </w:r>
            <w:r w:rsidRPr="00A74972">
              <w:rPr>
                <w:rFonts w:ascii="Arial Narrow" w:eastAsia="Arial Narrow" w:hAnsi="Arial Narrow" w:cs="Arial Narrow"/>
                <w:sz w:val="20"/>
                <w:szCs w:val="20"/>
              </w:rPr>
              <w:t>histology (G</w:t>
            </w:r>
            <w:r w:rsidR="00376769" w:rsidRPr="00A74972">
              <w:rPr>
                <w:rFonts w:ascii="Arial Narrow" w:eastAsia="Arial Narrow" w:hAnsi="Arial Narrow" w:cs="Arial Narrow"/>
                <w:sz w:val="20"/>
                <w:szCs w:val="20"/>
              </w:rPr>
              <w:t>/</w:t>
            </w:r>
            <w:r w:rsidR="00A85C54" w:rsidRPr="00A74972">
              <w:rPr>
                <w:rFonts w:ascii="Arial Narrow" w:eastAsia="Arial Narrow" w:hAnsi="Arial Narrow" w:cs="Arial Narrow"/>
                <w:sz w:val="20"/>
                <w:szCs w:val="20"/>
              </w:rPr>
              <w:t>GOJ</w:t>
            </w:r>
            <w:r w:rsidR="00014ADF" w:rsidRPr="00A74972">
              <w:rPr>
                <w:rFonts w:ascii="Arial Narrow" w:eastAsia="Arial Narrow" w:hAnsi="Arial Narrow" w:cs="Arial Narrow"/>
                <w:sz w:val="20"/>
                <w:szCs w:val="20"/>
              </w:rPr>
              <w:t xml:space="preserve"> cancer</w:t>
            </w:r>
            <w:r w:rsidRPr="00A74972">
              <w:rPr>
                <w:rFonts w:ascii="Arial Narrow" w:eastAsia="Arial Narrow" w:hAnsi="Arial Narrow" w:cs="Arial Narrow"/>
                <w:sz w:val="20"/>
                <w:szCs w:val="20"/>
              </w:rPr>
              <w:t>)</w:t>
            </w:r>
          </w:p>
        </w:tc>
        <w:tc>
          <w:tcPr>
            <w:tcW w:w="795" w:type="dxa"/>
            <w:tcMar>
              <w:left w:w="108" w:type="dxa"/>
              <w:right w:w="108" w:type="dxa"/>
            </w:tcMar>
            <w:vAlign w:val="center"/>
          </w:tcPr>
          <w:p w14:paraId="34C5655B" w14:textId="6C6B7F4E" w:rsidR="444C3E48" w:rsidRPr="00A74972" w:rsidRDefault="444C3E48" w:rsidP="444C3E48">
            <w:pPr>
              <w:spacing w:before="120" w:after="160" w:line="257" w:lineRule="auto"/>
              <w:ind w:left="-20" w:right="-20"/>
              <w:jc w:val="center"/>
              <w:rPr>
                <w:rFonts w:ascii="Arial Narrow" w:eastAsia="Arial Narrow" w:hAnsi="Arial Narrow" w:cs="Arial Narrow"/>
                <w:sz w:val="20"/>
                <w:szCs w:val="20"/>
              </w:rPr>
            </w:pPr>
            <w:r w:rsidRPr="00A74972">
              <w:rPr>
                <w:rFonts w:ascii="Arial Narrow" w:eastAsia="Arial Narrow" w:hAnsi="Arial Narrow" w:cs="Arial Narrow"/>
                <w:sz w:val="20"/>
                <w:szCs w:val="20"/>
              </w:rPr>
              <w:t>84.08%</w:t>
            </w:r>
          </w:p>
        </w:tc>
        <w:tc>
          <w:tcPr>
            <w:tcW w:w="795" w:type="dxa"/>
            <w:tcMar>
              <w:left w:w="108" w:type="dxa"/>
              <w:right w:w="108" w:type="dxa"/>
            </w:tcMar>
            <w:vAlign w:val="center"/>
          </w:tcPr>
          <w:p w14:paraId="2489DA12" w14:textId="77A8B0F6" w:rsidR="444C3E48" w:rsidRPr="00A74972" w:rsidRDefault="444C3E48" w:rsidP="444C3E48">
            <w:pPr>
              <w:spacing w:before="120" w:after="160" w:line="257" w:lineRule="auto"/>
              <w:ind w:left="-20" w:right="-20"/>
              <w:jc w:val="center"/>
              <w:rPr>
                <w:rFonts w:ascii="Arial Narrow" w:eastAsia="Arial Narrow" w:hAnsi="Arial Narrow" w:cs="Arial Narrow"/>
                <w:sz w:val="20"/>
                <w:szCs w:val="20"/>
              </w:rPr>
            </w:pPr>
            <w:r w:rsidRPr="00A74972">
              <w:rPr>
                <w:rFonts w:ascii="Arial Narrow" w:eastAsia="Arial Narrow" w:hAnsi="Arial Narrow" w:cs="Arial Narrow"/>
                <w:sz w:val="20"/>
                <w:szCs w:val="20"/>
              </w:rPr>
              <w:t>2361</w:t>
            </w:r>
          </w:p>
        </w:tc>
        <w:tc>
          <w:tcPr>
            <w:tcW w:w="795" w:type="dxa"/>
            <w:tcMar>
              <w:left w:w="108" w:type="dxa"/>
              <w:right w:w="108" w:type="dxa"/>
            </w:tcMar>
            <w:vAlign w:val="center"/>
          </w:tcPr>
          <w:p w14:paraId="6DED541F" w14:textId="75A78D52" w:rsidR="444C3E48" w:rsidRPr="00A74972" w:rsidRDefault="444C3E48" w:rsidP="444C3E48">
            <w:pPr>
              <w:spacing w:before="120" w:after="160" w:line="257" w:lineRule="auto"/>
              <w:ind w:left="-20" w:right="-20"/>
              <w:jc w:val="center"/>
              <w:rPr>
                <w:rFonts w:ascii="Arial Narrow" w:eastAsia="Arial Narrow" w:hAnsi="Arial Narrow" w:cs="Arial Narrow"/>
                <w:sz w:val="20"/>
                <w:szCs w:val="20"/>
              </w:rPr>
            </w:pPr>
            <w:r w:rsidRPr="00A74972">
              <w:rPr>
                <w:rFonts w:ascii="Arial Narrow" w:eastAsia="Arial Narrow" w:hAnsi="Arial Narrow" w:cs="Arial Narrow"/>
                <w:sz w:val="20"/>
                <w:szCs w:val="20"/>
              </w:rPr>
              <w:t>2414</w:t>
            </w:r>
          </w:p>
        </w:tc>
        <w:tc>
          <w:tcPr>
            <w:tcW w:w="795" w:type="dxa"/>
            <w:tcMar>
              <w:left w:w="108" w:type="dxa"/>
              <w:right w:w="108" w:type="dxa"/>
            </w:tcMar>
            <w:vAlign w:val="center"/>
          </w:tcPr>
          <w:p w14:paraId="2EE66E8E" w14:textId="202AA4F8" w:rsidR="444C3E48" w:rsidRPr="00A74972" w:rsidRDefault="444C3E48" w:rsidP="444C3E48">
            <w:pPr>
              <w:spacing w:before="120" w:after="160" w:line="257" w:lineRule="auto"/>
              <w:ind w:left="-20" w:right="-20"/>
              <w:jc w:val="center"/>
              <w:rPr>
                <w:rFonts w:ascii="Arial Narrow" w:eastAsia="Arial Narrow" w:hAnsi="Arial Narrow" w:cs="Arial Narrow"/>
                <w:sz w:val="20"/>
                <w:szCs w:val="20"/>
              </w:rPr>
            </w:pPr>
            <w:r w:rsidRPr="00A74972">
              <w:rPr>
                <w:rFonts w:ascii="Arial Narrow" w:eastAsia="Arial Narrow" w:hAnsi="Arial Narrow" w:cs="Arial Narrow"/>
                <w:sz w:val="20"/>
                <w:szCs w:val="20"/>
              </w:rPr>
              <w:t>2467</w:t>
            </w:r>
          </w:p>
        </w:tc>
        <w:tc>
          <w:tcPr>
            <w:tcW w:w="795" w:type="dxa"/>
            <w:tcMar>
              <w:left w:w="108" w:type="dxa"/>
              <w:right w:w="108" w:type="dxa"/>
            </w:tcMar>
            <w:vAlign w:val="center"/>
          </w:tcPr>
          <w:p w14:paraId="41375E30" w14:textId="77562C84" w:rsidR="444C3E48" w:rsidRPr="00A74972" w:rsidRDefault="444C3E48" w:rsidP="444C3E48">
            <w:pPr>
              <w:spacing w:before="120" w:after="160" w:line="257" w:lineRule="auto"/>
              <w:ind w:left="-20" w:right="-20"/>
              <w:jc w:val="center"/>
              <w:rPr>
                <w:rFonts w:ascii="Arial Narrow" w:eastAsia="Arial Narrow" w:hAnsi="Arial Narrow" w:cs="Arial Narrow"/>
                <w:sz w:val="20"/>
                <w:szCs w:val="20"/>
              </w:rPr>
            </w:pPr>
            <w:r w:rsidRPr="00A74972">
              <w:rPr>
                <w:rFonts w:ascii="Arial Narrow" w:eastAsia="Arial Narrow" w:hAnsi="Arial Narrow" w:cs="Arial Narrow"/>
                <w:sz w:val="20"/>
                <w:szCs w:val="20"/>
              </w:rPr>
              <w:t>2522</w:t>
            </w:r>
          </w:p>
        </w:tc>
        <w:tc>
          <w:tcPr>
            <w:tcW w:w="795" w:type="dxa"/>
            <w:tcMar>
              <w:left w:w="108" w:type="dxa"/>
              <w:right w:w="108" w:type="dxa"/>
            </w:tcMar>
            <w:vAlign w:val="center"/>
          </w:tcPr>
          <w:p w14:paraId="3A1D525C" w14:textId="58EA7D2F" w:rsidR="444C3E48" w:rsidRPr="00A74972" w:rsidRDefault="444C3E48" w:rsidP="444C3E48">
            <w:pPr>
              <w:spacing w:before="120" w:after="160" w:line="257" w:lineRule="auto"/>
              <w:ind w:left="-20" w:right="-20"/>
              <w:jc w:val="center"/>
              <w:rPr>
                <w:rFonts w:ascii="Arial Narrow" w:eastAsia="Arial Narrow" w:hAnsi="Arial Narrow" w:cs="Arial Narrow"/>
                <w:sz w:val="20"/>
                <w:szCs w:val="20"/>
              </w:rPr>
            </w:pPr>
            <w:r w:rsidRPr="00A74972">
              <w:rPr>
                <w:rFonts w:ascii="Arial Narrow" w:eastAsia="Arial Narrow" w:hAnsi="Arial Narrow" w:cs="Arial Narrow"/>
                <w:sz w:val="20"/>
                <w:szCs w:val="20"/>
              </w:rPr>
              <w:t>2578</w:t>
            </w:r>
          </w:p>
        </w:tc>
        <w:tc>
          <w:tcPr>
            <w:tcW w:w="791" w:type="dxa"/>
            <w:tcMar>
              <w:left w:w="108" w:type="dxa"/>
              <w:right w:w="108" w:type="dxa"/>
            </w:tcMar>
            <w:vAlign w:val="center"/>
          </w:tcPr>
          <w:p w14:paraId="27CF359B" w14:textId="67660FFC" w:rsidR="444C3E48" w:rsidRPr="00A74972" w:rsidRDefault="444C3E48" w:rsidP="444C3E48">
            <w:pPr>
              <w:spacing w:before="120" w:after="160" w:line="257" w:lineRule="auto"/>
              <w:ind w:left="-20" w:right="-20"/>
              <w:jc w:val="center"/>
              <w:rPr>
                <w:rFonts w:ascii="Arial Narrow" w:eastAsia="Arial Narrow" w:hAnsi="Arial Narrow" w:cs="Arial Narrow"/>
                <w:sz w:val="20"/>
                <w:szCs w:val="20"/>
              </w:rPr>
            </w:pPr>
            <w:r w:rsidRPr="00A74972">
              <w:rPr>
                <w:rFonts w:ascii="Arial Narrow" w:eastAsia="Arial Narrow" w:hAnsi="Arial Narrow" w:cs="Arial Narrow"/>
                <w:sz w:val="20"/>
                <w:szCs w:val="20"/>
              </w:rPr>
              <w:t>2635</w:t>
            </w:r>
          </w:p>
        </w:tc>
      </w:tr>
      <w:tr w:rsidR="00A74972" w:rsidRPr="00A74972" w14:paraId="3A51358E" w14:textId="77777777" w:rsidTr="000F0C40">
        <w:trPr>
          <w:trHeight w:val="300"/>
        </w:trPr>
        <w:tc>
          <w:tcPr>
            <w:tcW w:w="4010" w:type="dxa"/>
            <w:tcMar>
              <w:left w:w="108" w:type="dxa"/>
              <w:right w:w="108" w:type="dxa"/>
            </w:tcMar>
          </w:tcPr>
          <w:p w14:paraId="6C8956E7" w14:textId="0044D8E3" w:rsidR="444C3E48" w:rsidRPr="00A74972" w:rsidRDefault="444C3E48" w:rsidP="444C3E48">
            <w:pPr>
              <w:spacing w:before="120" w:after="160" w:line="257" w:lineRule="auto"/>
              <w:ind w:left="-20" w:right="-20"/>
              <w:rPr>
                <w:rFonts w:ascii="Arial Narrow" w:eastAsia="Arial Narrow" w:hAnsi="Arial Narrow" w:cs="Arial Narrow"/>
                <w:sz w:val="20"/>
                <w:szCs w:val="20"/>
              </w:rPr>
            </w:pPr>
            <w:r w:rsidRPr="00A74972">
              <w:rPr>
                <w:rFonts w:ascii="Arial Narrow" w:eastAsia="Arial Narrow" w:hAnsi="Arial Narrow" w:cs="Arial Narrow"/>
                <w:sz w:val="20"/>
                <w:szCs w:val="20"/>
              </w:rPr>
              <w:t>Stage II/III</w:t>
            </w:r>
          </w:p>
        </w:tc>
        <w:tc>
          <w:tcPr>
            <w:tcW w:w="795" w:type="dxa"/>
            <w:tcMar>
              <w:left w:w="108" w:type="dxa"/>
              <w:right w:w="108" w:type="dxa"/>
            </w:tcMar>
            <w:vAlign w:val="center"/>
          </w:tcPr>
          <w:p w14:paraId="7B221921" w14:textId="793C5FC7" w:rsidR="444C3E48" w:rsidRPr="00A74972" w:rsidRDefault="444C3E48" w:rsidP="444C3E48">
            <w:pPr>
              <w:spacing w:before="120" w:after="160" w:line="257" w:lineRule="auto"/>
              <w:ind w:left="-20" w:right="-20"/>
              <w:jc w:val="center"/>
              <w:rPr>
                <w:rFonts w:ascii="Arial Narrow" w:eastAsia="Arial Narrow" w:hAnsi="Arial Narrow" w:cs="Arial Narrow"/>
                <w:sz w:val="20"/>
                <w:szCs w:val="20"/>
              </w:rPr>
            </w:pPr>
            <w:r w:rsidRPr="00A74972">
              <w:rPr>
                <w:rFonts w:ascii="Arial Narrow" w:eastAsia="Arial Narrow" w:hAnsi="Arial Narrow" w:cs="Arial Narrow"/>
                <w:sz w:val="20"/>
                <w:szCs w:val="20"/>
              </w:rPr>
              <w:t>56.80%</w:t>
            </w:r>
          </w:p>
        </w:tc>
        <w:tc>
          <w:tcPr>
            <w:tcW w:w="795" w:type="dxa"/>
            <w:tcMar>
              <w:left w:w="108" w:type="dxa"/>
              <w:right w:w="108" w:type="dxa"/>
            </w:tcMar>
            <w:vAlign w:val="center"/>
          </w:tcPr>
          <w:p w14:paraId="1A41C652" w14:textId="2B172E8E" w:rsidR="444C3E48" w:rsidRPr="00A74972" w:rsidRDefault="444C3E48" w:rsidP="444C3E48">
            <w:pPr>
              <w:spacing w:before="120" w:after="160" w:line="257" w:lineRule="auto"/>
              <w:ind w:left="-20" w:right="-20"/>
              <w:jc w:val="center"/>
              <w:rPr>
                <w:rFonts w:ascii="Arial Narrow" w:eastAsia="Arial Narrow" w:hAnsi="Arial Narrow" w:cs="Arial Narrow"/>
                <w:sz w:val="20"/>
                <w:szCs w:val="20"/>
              </w:rPr>
            </w:pPr>
            <w:r w:rsidRPr="00A74972">
              <w:rPr>
                <w:rFonts w:ascii="Arial Narrow" w:eastAsia="Arial Narrow" w:hAnsi="Arial Narrow" w:cs="Arial Narrow"/>
                <w:sz w:val="20"/>
                <w:szCs w:val="20"/>
              </w:rPr>
              <w:t>1342</w:t>
            </w:r>
          </w:p>
        </w:tc>
        <w:tc>
          <w:tcPr>
            <w:tcW w:w="795" w:type="dxa"/>
            <w:tcMar>
              <w:left w:w="108" w:type="dxa"/>
              <w:right w:w="108" w:type="dxa"/>
            </w:tcMar>
            <w:vAlign w:val="center"/>
          </w:tcPr>
          <w:p w14:paraId="4C2A399B" w14:textId="42EEE5D5" w:rsidR="444C3E48" w:rsidRPr="00A74972" w:rsidRDefault="444C3E48" w:rsidP="444C3E48">
            <w:pPr>
              <w:spacing w:before="120" w:after="160" w:line="257" w:lineRule="auto"/>
              <w:ind w:left="-20" w:right="-20"/>
              <w:jc w:val="center"/>
              <w:rPr>
                <w:rFonts w:ascii="Arial Narrow" w:eastAsia="Arial Narrow" w:hAnsi="Arial Narrow" w:cs="Arial Narrow"/>
                <w:sz w:val="20"/>
                <w:szCs w:val="20"/>
              </w:rPr>
            </w:pPr>
            <w:r w:rsidRPr="00A74972">
              <w:rPr>
                <w:rFonts w:ascii="Arial Narrow" w:eastAsia="Arial Narrow" w:hAnsi="Arial Narrow" w:cs="Arial Narrow"/>
                <w:sz w:val="20"/>
                <w:szCs w:val="20"/>
              </w:rPr>
              <w:t>1372</w:t>
            </w:r>
          </w:p>
        </w:tc>
        <w:tc>
          <w:tcPr>
            <w:tcW w:w="795" w:type="dxa"/>
            <w:tcMar>
              <w:left w:w="108" w:type="dxa"/>
              <w:right w:w="108" w:type="dxa"/>
            </w:tcMar>
            <w:vAlign w:val="center"/>
          </w:tcPr>
          <w:p w14:paraId="5911092B" w14:textId="735D6C9C" w:rsidR="444C3E48" w:rsidRPr="00A74972" w:rsidRDefault="444C3E48" w:rsidP="444C3E48">
            <w:pPr>
              <w:spacing w:before="120" w:after="160" w:line="257" w:lineRule="auto"/>
              <w:ind w:left="-20" w:right="-20"/>
              <w:jc w:val="center"/>
              <w:rPr>
                <w:rFonts w:ascii="Arial Narrow" w:eastAsia="Arial Narrow" w:hAnsi="Arial Narrow" w:cs="Arial Narrow"/>
                <w:sz w:val="20"/>
                <w:szCs w:val="20"/>
              </w:rPr>
            </w:pPr>
            <w:r w:rsidRPr="00A74972">
              <w:rPr>
                <w:rFonts w:ascii="Arial Narrow" w:eastAsia="Arial Narrow" w:hAnsi="Arial Narrow" w:cs="Arial Narrow"/>
                <w:sz w:val="20"/>
                <w:szCs w:val="20"/>
              </w:rPr>
              <w:t>1402</w:t>
            </w:r>
          </w:p>
        </w:tc>
        <w:tc>
          <w:tcPr>
            <w:tcW w:w="795" w:type="dxa"/>
            <w:tcMar>
              <w:left w:w="108" w:type="dxa"/>
              <w:right w:w="108" w:type="dxa"/>
            </w:tcMar>
            <w:vAlign w:val="center"/>
          </w:tcPr>
          <w:p w14:paraId="236713F7" w14:textId="42BBD595" w:rsidR="444C3E48" w:rsidRPr="00A74972" w:rsidRDefault="444C3E48" w:rsidP="444C3E48">
            <w:pPr>
              <w:spacing w:before="120" w:after="160" w:line="257" w:lineRule="auto"/>
              <w:ind w:left="-20" w:right="-20"/>
              <w:jc w:val="center"/>
              <w:rPr>
                <w:rFonts w:ascii="Arial Narrow" w:eastAsia="Arial Narrow" w:hAnsi="Arial Narrow" w:cs="Arial Narrow"/>
                <w:sz w:val="20"/>
                <w:szCs w:val="20"/>
              </w:rPr>
            </w:pPr>
            <w:r w:rsidRPr="00A74972">
              <w:rPr>
                <w:rFonts w:ascii="Arial Narrow" w:eastAsia="Arial Narrow" w:hAnsi="Arial Narrow" w:cs="Arial Narrow"/>
                <w:sz w:val="20"/>
                <w:szCs w:val="20"/>
              </w:rPr>
              <w:t>1433</w:t>
            </w:r>
          </w:p>
        </w:tc>
        <w:tc>
          <w:tcPr>
            <w:tcW w:w="795" w:type="dxa"/>
            <w:tcMar>
              <w:left w:w="108" w:type="dxa"/>
              <w:right w:w="108" w:type="dxa"/>
            </w:tcMar>
            <w:vAlign w:val="center"/>
          </w:tcPr>
          <w:p w14:paraId="612C776E" w14:textId="27E3E40F" w:rsidR="444C3E48" w:rsidRPr="00A74972" w:rsidRDefault="444C3E48" w:rsidP="444C3E48">
            <w:pPr>
              <w:spacing w:before="120" w:after="160" w:line="257" w:lineRule="auto"/>
              <w:ind w:left="-20" w:right="-20"/>
              <w:jc w:val="center"/>
              <w:rPr>
                <w:rFonts w:ascii="Arial Narrow" w:eastAsia="Arial Narrow" w:hAnsi="Arial Narrow" w:cs="Arial Narrow"/>
                <w:sz w:val="20"/>
                <w:szCs w:val="20"/>
              </w:rPr>
            </w:pPr>
            <w:r w:rsidRPr="00A74972">
              <w:rPr>
                <w:rFonts w:ascii="Arial Narrow" w:eastAsia="Arial Narrow" w:hAnsi="Arial Narrow" w:cs="Arial Narrow"/>
                <w:sz w:val="20"/>
                <w:szCs w:val="20"/>
              </w:rPr>
              <w:t>1465</w:t>
            </w:r>
          </w:p>
        </w:tc>
        <w:tc>
          <w:tcPr>
            <w:tcW w:w="791" w:type="dxa"/>
            <w:tcMar>
              <w:left w:w="108" w:type="dxa"/>
              <w:right w:w="108" w:type="dxa"/>
            </w:tcMar>
            <w:vAlign w:val="center"/>
          </w:tcPr>
          <w:p w14:paraId="0202A747" w14:textId="3E497D87" w:rsidR="444C3E48" w:rsidRPr="00A74972" w:rsidRDefault="444C3E48" w:rsidP="444C3E48">
            <w:pPr>
              <w:spacing w:before="120" w:after="160" w:line="257" w:lineRule="auto"/>
              <w:ind w:left="-20" w:right="-20"/>
              <w:jc w:val="center"/>
              <w:rPr>
                <w:rFonts w:ascii="Arial Narrow" w:eastAsia="Arial Narrow" w:hAnsi="Arial Narrow" w:cs="Arial Narrow"/>
                <w:sz w:val="20"/>
                <w:szCs w:val="20"/>
              </w:rPr>
            </w:pPr>
            <w:r w:rsidRPr="00A74972">
              <w:rPr>
                <w:rFonts w:ascii="Arial Narrow" w:eastAsia="Arial Narrow" w:hAnsi="Arial Narrow" w:cs="Arial Narrow"/>
                <w:sz w:val="20"/>
                <w:szCs w:val="20"/>
              </w:rPr>
              <w:t>1497</w:t>
            </w:r>
          </w:p>
        </w:tc>
      </w:tr>
      <w:tr w:rsidR="00A74972" w:rsidRPr="00A74972" w14:paraId="3622FD15" w14:textId="77777777" w:rsidTr="000F0C40">
        <w:trPr>
          <w:trHeight w:val="300"/>
        </w:trPr>
        <w:tc>
          <w:tcPr>
            <w:tcW w:w="4010" w:type="dxa"/>
            <w:tcMar>
              <w:left w:w="108" w:type="dxa"/>
              <w:right w:w="108" w:type="dxa"/>
            </w:tcMar>
          </w:tcPr>
          <w:p w14:paraId="64918AEB" w14:textId="1C0606F4" w:rsidR="444C3E48" w:rsidRPr="00A74972" w:rsidRDefault="444C3E48" w:rsidP="444C3E48">
            <w:pPr>
              <w:spacing w:before="120" w:after="160" w:line="257" w:lineRule="auto"/>
              <w:ind w:left="-20" w:right="-20"/>
              <w:rPr>
                <w:rFonts w:ascii="Arial Narrow" w:eastAsia="Arial Narrow" w:hAnsi="Arial Narrow" w:cs="Arial Narrow"/>
                <w:sz w:val="20"/>
                <w:szCs w:val="20"/>
              </w:rPr>
            </w:pPr>
            <w:r w:rsidRPr="00A74972">
              <w:rPr>
                <w:rFonts w:ascii="Arial Narrow" w:eastAsia="Arial Narrow" w:hAnsi="Arial Narrow" w:cs="Arial Narrow"/>
                <w:sz w:val="20"/>
                <w:szCs w:val="20"/>
              </w:rPr>
              <w:t>Stage IV</w:t>
            </w:r>
          </w:p>
        </w:tc>
        <w:tc>
          <w:tcPr>
            <w:tcW w:w="795" w:type="dxa"/>
            <w:tcMar>
              <w:left w:w="108" w:type="dxa"/>
              <w:right w:w="108" w:type="dxa"/>
            </w:tcMar>
            <w:vAlign w:val="center"/>
          </w:tcPr>
          <w:p w14:paraId="0250133A" w14:textId="234D4C2D" w:rsidR="444C3E48" w:rsidRPr="00A74972" w:rsidRDefault="444C3E48" w:rsidP="444C3E48">
            <w:pPr>
              <w:spacing w:before="120" w:after="160" w:line="257" w:lineRule="auto"/>
              <w:ind w:left="-20" w:right="-20"/>
              <w:jc w:val="center"/>
              <w:rPr>
                <w:rFonts w:ascii="Arial Narrow" w:eastAsia="Arial Narrow" w:hAnsi="Arial Narrow" w:cs="Arial Narrow"/>
                <w:sz w:val="20"/>
                <w:szCs w:val="20"/>
              </w:rPr>
            </w:pPr>
            <w:r w:rsidRPr="00A74972">
              <w:rPr>
                <w:rFonts w:ascii="Arial Narrow" w:eastAsia="Arial Narrow" w:hAnsi="Arial Narrow" w:cs="Arial Narrow"/>
                <w:sz w:val="20"/>
                <w:szCs w:val="20"/>
              </w:rPr>
              <w:t>27.20%</w:t>
            </w:r>
          </w:p>
        </w:tc>
        <w:tc>
          <w:tcPr>
            <w:tcW w:w="795" w:type="dxa"/>
            <w:tcMar>
              <w:left w:w="108" w:type="dxa"/>
              <w:right w:w="108" w:type="dxa"/>
            </w:tcMar>
            <w:vAlign w:val="center"/>
          </w:tcPr>
          <w:p w14:paraId="410A459D" w14:textId="6A9F9FD5" w:rsidR="00FF43BB" w:rsidRPr="00A74972" w:rsidRDefault="00EA7FDD" w:rsidP="00763FC7">
            <w:pPr>
              <w:spacing w:before="120" w:after="160" w:line="257" w:lineRule="auto"/>
              <w:ind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643</w:t>
            </w:r>
          </w:p>
        </w:tc>
        <w:tc>
          <w:tcPr>
            <w:tcW w:w="795" w:type="dxa"/>
            <w:tcMar>
              <w:left w:w="108" w:type="dxa"/>
              <w:right w:w="108" w:type="dxa"/>
            </w:tcMar>
            <w:vAlign w:val="center"/>
          </w:tcPr>
          <w:p w14:paraId="699F5CCA" w14:textId="7DE0473B" w:rsidR="00EA7FDD" w:rsidRPr="00A74972" w:rsidRDefault="00DC4D0E" w:rsidP="00763FC7">
            <w:pPr>
              <w:spacing w:before="120" w:after="160" w:line="257" w:lineRule="auto"/>
              <w:ind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657</w:t>
            </w:r>
          </w:p>
        </w:tc>
        <w:tc>
          <w:tcPr>
            <w:tcW w:w="795" w:type="dxa"/>
            <w:tcMar>
              <w:left w:w="108" w:type="dxa"/>
              <w:right w:w="108" w:type="dxa"/>
            </w:tcMar>
            <w:vAlign w:val="center"/>
          </w:tcPr>
          <w:p w14:paraId="7F32E61E" w14:textId="179CD533" w:rsidR="00DC4D0E" w:rsidRPr="00A74972" w:rsidRDefault="000E03AE" w:rsidP="00763FC7">
            <w:pPr>
              <w:spacing w:before="120" w:after="160" w:line="257" w:lineRule="auto"/>
              <w:ind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672</w:t>
            </w:r>
          </w:p>
        </w:tc>
        <w:tc>
          <w:tcPr>
            <w:tcW w:w="795" w:type="dxa"/>
            <w:tcMar>
              <w:left w:w="108" w:type="dxa"/>
              <w:right w:w="108" w:type="dxa"/>
            </w:tcMar>
            <w:vAlign w:val="center"/>
          </w:tcPr>
          <w:p w14:paraId="33F71400" w14:textId="36E94BC2" w:rsidR="000E03AE" w:rsidRPr="00A74972" w:rsidRDefault="00F72D2C" w:rsidP="00763FC7">
            <w:pPr>
              <w:spacing w:before="120" w:after="160" w:line="257" w:lineRule="auto"/>
              <w:ind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868</w:t>
            </w:r>
          </w:p>
        </w:tc>
        <w:tc>
          <w:tcPr>
            <w:tcW w:w="795" w:type="dxa"/>
            <w:tcMar>
              <w:left w:w="108" w:type="dxa"/>
              <w:right w:w="108" w:type="dxa"/>
            </w:tcMar>
            <w:vAlign w:val="center"/>
          </w:tcPr>
          <w:p w14:paraId="5D9F46BD" w14:textId="34427E47" w:rsidR="00F72D2C" w:rsidRPr="00A74972" w:rsidRDefault="008A6D5C" w:rsidP="00763FC7">
            <w:pPr>
              <w:spacing w:before="120" w:after="160" w:line="257" w:lineRule="auto"/>
              <w:ind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702</w:t>
            </w:r>
          </w:p>
        </w:tc>
        <w:tc>
          <w:tcPr>
            <w:tcW w:w="791" w:type="dxa"/>
            <w:tcMar>
              <w:left w:w="108" w:type="dxa"/>
              <w:right w:w="108" w:type="dxa"/>
            </w:tcMar>
            <w:vAlign w:val="center"/>
          </w:tcPr>
          <w:p w14:paraId="326DC9B0" w14:textId="3A3A93FB" w:rsidR="008A6D5C" w:rsidRPr="00A74972" w:rsidRDefault="00750D7F" w:rsidP="00763FC7">
            <w:pPr>
              <w:spacing w:before="120" w:after="160" w:line="257" w:lineRule="auto"/>
              <w:ind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717</w:t>
            </w:r>
          </w:p>
        </w:tc>
      </w:tr>
      <w:tr w:rsidR="00A74972" w:rsidRPr="00A74972" w14:paraId="29D9694C" w14:textId="77777777" w:rsidTr="000F0C40">
        <w:trPr>
          <w:trHeight w:val="300"/>
        </w:trPr>
        <w:tc>
          <w:tcPr>
            <w:tcW w:w="4010" w:type="dxa"/>
            <w:tcMar>
              <w:left w:w="108" w:type="dxa"/>
              <w:right w:w="108" w:type="dxa"/>
            </w:tcMar>
          </w:tcPr>
          <w:p w14:paraId="77E5B86C" w14:textId="29E2AE2C" w:rsidR="00A63322" w:rsidRPr="00A74972" w:rsidRDefault="00A63322" w:rsidP="00A63322">
            <w:pPr>
              <w:spacing w:before="120" w:after="160" w:line="257" w:lineRule="auto"/>
              <w:ind w:left="-20" w:right="-20"/>
              <w:rPr>
                <w:rFonts w:ascii="Arial Narrow" w:eastAsia="Arial Narrow" w:hAnsi="Arial Narrow" w:cs="Arial Narrow"/>
                <w:sz w:val="20"/>
                <w:szCs w:val="20"/>
              </w:rPr>
            </w:pPr>
            <w:r w:rsidRPr="00A74972">
              <w:rPr>
                <w:rFonts w:ascii="Arial Narrow" w:eastAsia="Arial Narrow" w:hAnsi="Arial Narrow" w:cs="Arial Narrow"/>
                <w:sz w:val="20"/>
                <w:szCs w:val="20"/>
              </w:rPr>
              <w:t>Stage II-IV</w:t>
            </w:r>
          </w:p>
        </w:tc>
        <w:tc>
          <w:tcPr>
            <w:tcW w:w="795" w:type="dxa"/>
            <w:tcMar>
              <w:left w:w="108" w:type="dxa"/>
              <w:right w:w="108" w:type="dxa"/>
            </w:tcMar>
            <w:vAlign w:val="center"/>
          </w:tcPr>
          <w:p w14:paraId="3953EF71" w14:textId="0F85B1A4" w:rsidR="00A63322" w:rsidRPr="00763FC7" w:rsidRDefault="00EE110B" w:rsidP="00A63322">
            <w:pPr>
              <w:spacing w:before="120" w:after="160" w:line="257" w:lineRule="auto"/>
              <w:ind w:left="-20" w:right="-20"/>
              <w:jc w:val="center"/>
              <w:rPr>
                <w:rFonts w:ascii="Arial Narrow" w:eastAsia="Arial Narrow" w:hAnsi="Arial Narrow" w:cs="Arial Narrow"/>
                <w:i/>
                <w:iCs/>
                <w:sz w:val="20"/>
                <w:szCs w:val="20"/>
              </w:rPr>
            </w:pPr>
            <w:r>
              <w:rPr>
                <w:rFonts w:ascii="Arial Narrow" w:eastAsia="Arial Narrow" w:hAnsi="Arial Narrow" w:cs="Arial Narrow"/>
                <w:i/>
                <w:iCs/>
                <w:sz w:val="20"/>
                <w:szCs w:val="20"/>
              </w:rPr>
              <w:t>84%</w:t>
            </w:r>
          </w:p>
        </w:tc>
        <w:tc>
          <w:tcPr>
            <w:tcW w:w="795" w:type="dxa"/>
            <w:tcMar>
              <w:left w:w="108" w:type="dxa"/>
              <w:right w:w="108" w:type="dxa"/>
            </w:tcMar>
            <w:vAlign w:val="center"/>
          </w:tcPr>
          <w:p w14:paraId="35C46AA7" w14:textId="6AB28115" w:rsidR="00A63322" w:rsidRPr="00A74972" w:rsidRDefault="00A63322" w:rsidP="00A63322">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1985</w:t>
            </w:r>
          </w:p>
        </w:tc>
        <w:tc>
          <w:tcPr>
            <w:tcW w:w="795" w:type="dxa"/>
            <w:tcMar>
              <w:left w:w="108" w:type="dxa"/>
              <w:right w:w="108" w:type="dxa"/>
            </w:tcMar>
            <w:vAlign w:val="center"/>
          </w:tcPr>
          <w:p w14:paraId="128AEB81" w14:textId="5D0EF061" w:rsidR="00A63322" w:rsidRPr="00A74972" w:rsidRDefault="00A63322" w:rsidP="00A63322">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2029</w:t>
            </w:r>
          </w:p>
        </w:tc>
        <w:tc>
          <w:tcPr>
            <w:tcW w:w="795" w:type="dxa"/>
            <w:tcMar>
              <w:left w:w="108" w:type="dxa"/>
              <w:right w:w="108" w:type="dxa"/>
            </w:tcMar>
            <w:vAlign w:val="center"/>
          </w:tcPr>
          <w:p w14:paraId="33F08124" w14:textId="21289EEB" w:rsidR="00A63322" w:rsidRPr="00A74972" w:rsidRDefault="00A63322" w:rsidP="00A63322">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2074</w:t>
            </w:r>
          </w:p>
        </w:tc>
        <w:tc>
          <w:tcPr>
            <w:tcW w:w="795" w:type="dxa"/>
            <w:tcMar>
              <w:left w:w="108" w:type="dxa"/>
              <w:right w:w="108" w:type="dxa"/>
            </w:tcMar>
            <w:vAlign w:val="center"/>
          </w:tcPr>
          <w:p w14:paraId="051B4223" w14:textId="2E656381" w:rsidR="00A63322" w:rsidRPr="00A74972" w:rsidRDefault="00A63322" w:rsidP="00A63322">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2119</w:t>
            </w:r>
          </w:p>
        </w:tc>
        <w:tc>
          <w:tcPr>
            <w:tcW w:w="795" w:type="dxa"/>
            <w:tcMar>
              <w:left w:w="108" w:type="dxa"/>
              <w:right w:w="108" w:type="dxa"/>
            </w:tcMar>
            <w:vAlign w:val="center"/>
          </w:tcPr>
          <w:p w14:paraId="223872E3" w14:textId="02A7264E" w:rsidR="00A63322" w:rsidRPr="00A74972" w:rsidRDefault="00A63322" w:rsidP="00A63322">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2167</w:t>
            </w:r>
          </w:p>
        </w:tc>
        <w:tc>
          <w:tcPr>
            <w:tcW w:w="791" w:type="dxa"/>
            <w:tcMar>
              <w:left w:w="108" w:type="dxa"/>
              <w:right w:w="108" w:type="dxa"/>
            </w:tcMar>
            <w:vAlign w:val="center"/>
          </w:tcPr>
          <w:p w14:paraId="29A45AB1" w14:textId="61753B07" w:rsidR="00A63322" w:rsidRPr="00A74972" w:rsidRDefault="00A63322" w:rsidP="00A63322">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2214</w:t>
            </w:r>
          </w:p>
        </w:tc>
      </w:tr>
      <w:tr w:rsidR="00A74972" w:rsidRPr="00A74972" w14:paraId="386C334F" w14:textId="77777777" w:rsidTr="000F0C40">
        <w:trPr>
          <w:trHeight w:val="300"/>
        </w:trPr>
        <w:tc>
          <w:tcPr>
            <w:tcW w:w="4010" w:type="dxa"/>
            <w:tcMar>
              <w:left w:w="108" w:type="dxa"/>
              <w:right w:w="108" w:type="dxa"/>
            </w:tcMar>
          </w:tcPr>
          <w:p w14:paraId="268924B0" w14:textId="77667AE5" w:rsidR="001E4F8E" w:rsidRPr="00A74972" w:rsidRDefault="001E4F8E" w:rsidP="001E4F8E">
            <w:pPr>
              <w:spacing w:before="120" w:after="160" w:line="257" w:lineRule="auto"/>
              <w:ind w:left="-20" w:right="-20"/>
              <w:rPr>
                <w:rFonts w:ascii="Arial Narrow" w:eastAsia="Arial Narrow" w:hAnsi="Arial Narrow" w:cs="Arial Narrow"/>
                <w:sz w:val="20"/>
                <w:szCs w:val="20"/>
              </w:rPr>
            </w:pPr>
            <w:r w:rsidRPr="00A74972">
              <w:rPr>
                <w:rFonts w:ascii="Arial Narrow" w:eastAsia="Arial Narrow" w:hAnsi="Arial Narrow" w:cs="Arial Narrow"/>
                <w:sz w:val="20"/>
                <w:szCs w:val="20"/>
              </w:rPr>
              <w:t>Number diagnosed with advanced or metastatic disease</w:t>
            </w:r>
          </w:p>
        </w:tc>
        <w:tc>
          <w:tcPr>
            <w:tcW w:w="795" w:type="dxa"/>
            <w:tcMar>
              <w:left w:w="108" w:type="dxa"/>
              <w:right w:w="108" w:type="dxa"/>
            </w:tcMar>
            <w:vAlign w:val="center"/>
          </w:tcPr>
          <w:p w14:paraId="4DE8A36A" w14:textId="663D9C79" w:rsidR="001E4F8E" w:rsidRPr="00A74972" w:rsidRDefault="001E4F8E" w:rsidP="001E4F8E">
            <w:pPr>
              <w:spacing w:before="120" w:after="160" w:line="257" w:lineRule="auto"/>
              <w:ind w:left="-20" w:right="-20"/>
              <w:jc w:val="center"/>
              <w:rPr>
                <w:rFonts w:ascii="Arial Narrow" w:eastAsia="Arial Narrow" w:hAnsi="Arial Narrow" w:cs="Arial Narrow"/>
                <w:sz w:val="20"/>
                <w:szCs w:val="20"/>
              </w:rPr>
            </w:pPr>
            <w:r w:rsidRPr="00A74972">
              <w:rPr>
                <w:rFonts w:ascii="Arial Narrow" w:eastAsia="Arial Narrow" w:hAnsi="Arial Narrow" w:cs="Arial Narrow"/>
                <w:sz w:val="20"/>
                <w:szCs w:val="20"/>
              </w:rPr>
              <w:t>90.00%</w:t>
            </w:r>
          </w:p>
        </w:tc>
        <w:tc>
          <w:tcPr>
            <w:tcW w:w="795" w:type="dxa"/>
            <w:tcMar>
              <w:left w:w="108" w:type="dxa"/>
              <w:right w:w="108" w:type="dxa"/>
            </w:tcMar>
            <w:vAlign w:val="center"/>
          </w:tcPr>
          <w:p w14:paraId="4D5B5F33" w14:textId="69665A54" w:rsidR="001E4F8E" w:rsidRPr="00A74972" w:rsidRDefault="001E4F8E" w:rsidP="001E4F8E">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1787</w:t>
            </w:r>
          </w:p>
        </w:tc>
        <w:tc>
          <w:tcPr>
            <w:tcW w:w="795" w:type="dxa"/>
            <w:tcMar>
              <w:left w:w="108" w:type="dxa"/>
              <w:right w:w="108" w:type="dxa"/>
            </w:tcMar>
            <w:vAlign w:val="center"/>
          </w:tcPr>
          <w:p w14:paraId="70246B0A" w14:textId="16A430BE" w:rsidR="001E4F8E" w:rsidRPr="00A74972" w:rsidRDefault="001E4F8E" w:rsidP="001E4F8E">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1827</w:t>
            </w:r>
          </w:p>
        </w:tc>
        <w:tc>
          <w:tcPr>
            <w:tcW w:w="795" w:type="dxa"/>
            <w:tcMar>
              <w:left w:w="108" w:type="dxa"/>
              <w:right w:w="108" w:type="dxa"/>
            </w:tcMar>
            <w:vAlign w:val="center"/>
          </w:tcPr>
          <w:p w14:paraId="108D3B98" w14:textId="33EEB5E7" w:rsidR="001E4F8E" w:rsidRPr="00A74972" w:rsidRDefault="001E4F8E" w:rsidP="001E4F8E">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1867</w:t>
            </w:r>
          </w:p>
        </w:tc>
        <w:tc>
          <w:tcPr>
            <w:tcW w:w="795" w:type="dxa"/>
            <w:tcMar>
              <w:left w:w="108" w:type="dxa"/>
              <w:right w:w="108" w:type="dxa"/>
            </w:tcMar>
            <w:vAlign w:val="center"/>
          </w:tcPr>
          <w:p w14:paraId="7B320855" w14:textId="67C52054" w:rsidR="001E4F8E" w:rsidRPr="00A74972" w:rsidRDefault="001E4F8E" w:rsidP="001E4F8E">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1908</w:t>
            </w:r>
          </w:p>
        </w:tc>
        <w:tc>
          <w:tcPr>
            <w:tcW w:w="795" w:type="dxa"/>
            <w:tcMar>
              <w:left w:w="108" w:type="dxa"/>
              <w:right w:w="108" w:type="dxa"/>
            </w:tcMar>
            <w:vAlign w:val="center"/>
          </w:tcPr>
          <w:p w14:paraId="60100FD8" w14:textId="10762650" w:rsidR="001E4F8E" w:rsidRPr="00A74972" w:rsidRDefault="001E4F8E" w:rsidP="001E4F8E">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1951</w:t>
            </w:r>
          </w:p>
        </w:tc>
        <w:tc>
          <w:tcPr>
            <w:tcW w:w="791" w:type="dxa"/>
            <w:tcMar>
              <w:left w:w="108" w:type="dxa"/>
              <w:right w:w="108" w:type="dxa"/>
            </w:tcMar>
            <w:vAlign w:val="center"/>
          </w:tcPr>
          <w:p w14:paraId="4E14A98E" w14:textId="1FA87ED7" w:rsidR="001E4F8E" w:rsidRPr="00A74972" w:rsidRDefault="001E4F8E" w:rsidP="001E4F8E">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1993</w:t>
            </w:r>
          </w:p>
        </w:tc>
      </w:tr>
      <w:tr w:rsidR="00A74972" w:rsidRPr="00A74972" w14:paraId="54882F8A" w14:textId="77777777" w:rsidTr="000F0C40">
        <w:trPr>
          <w:trHeight w:val="300"/>
        </w:trPr>
        <w:tc>
          <w:tcPr>
            <w:tcW w:w="4010" w:type="dxa"/>
            <w:tcMar>
              <w:left w:w="108" w:type="dxa"/>
              <w:right w:w="108" w:type="dxa"/>
            </w:tcMar>
          </w:tcPr>
          <w:p w14:paraId="7A648D44" w14:textId="443A3552" w:rsidR="00C31977" w:rsidRPr="00EE200F" w:rsidRDefault="00C31977" w:rsidP="00C31977">
            <w:pPr>
              <w:spacing w:before="120" w:after="160" w:line="257" w:lineRule="auto"/>
              <w:ind w:left="-20" w:right="-20"/>
              <w:rPr>
                <w:rFonts w:ascii="Arial Narrow" w:eastAsia="Arial Narrow" w:hAnsi="Arial Narrow" w:cs="Arial Narrow"/>
                <w:sz w:val="20"/>
                <w:szCs w:val="20"/>
                <w:vertAlign w:val="superscript"/>
              </w:rPr>
            </w:pPr>
            <w:r w:rsidRPr="00A74972">
              <w:rPr>
                <w:rFonts w:ascii="Arial Narrow" w:eastAsia="Arial Narrow" w:hAnsi="Arial Narrow" w:cs="Arial Narrow"/>
                <w:sz w:val="20"/>
                <w:szCs w:val="20"/>
              </w:rPr>
              <w:t>Number of patients with G/GOJ adenocarcinomas who are HER2 negative</w:t>
            </w:r>
            <w:r w:rsidR="00EE200F">
              <w:rPr>
                <w:rFonts w:ascii="Arial Narrow" w:eastAsia="Arial Narrow" w:hAnsi="Arial Narrow" w:cs="Arial Narrow"/>
                <w:sz w:val="20"/>
                <w:szCs w:val="20"/>
                <w:vertAlign w:val="superscript"/>
              </w:rPr>
              <w:t>b</w:t>
            </w:r>
          </w:p>
        </w:tc>
        <w:tc>
          <w:tcPr>
            <w:tcW w:w="795" w:type="dxa"/>
            <w:tcMar>
              <w:left w:w="108" w:type="dxa"/>
              <w:right w:w="108" w:type="dxa"/>
            </w:tcMar>
            <w:vAlign w:val="center"/>
          </w:tcPr>
          <w:p w14:paraId="1F414334" w14:textId="7FE2056B" w:rsidR="00C31977" w:rsidRPr="00A74972" w:rsidRDefault="00C31977" w:rsidP="00C31977">
            <w:pPr>
              <w:spacing w:before="120" w:after="160" w:line="257" w:lineRule="auto"/>
              <w:ind w:left="-20" w:right="-20"/>
              <w:jc w:val="center"/>
              <w:rPr>
                <w:rFonts w:ascii="Arial Narrow" w:eastAsia="Arial Narrow" w:hAnsi="Arial Narrow" w:cs="Arial Narrow"/>
                <w:sz w:val="20"/>
                <w:szCs w:val="20"/>
              </w:rPr>
            </w:pPr>
            <w:r w:rsidRPr="00A74972">
              <w:rPr>
                <w:rFonts w:ascii="Arial Narrow" w:eastAsia="Arial Narrow" w:hAnsi="Arial Narrow" w:cs="Arial Narrow"/>
                <w:sz w:val="20"/>
                <w:szCs w:val="20"/>
              </w:rPr>
              <w:t>86.10%</w:t>
            </w:r>
          </w:p>
        </w:tc>
        <w:tc>
          <w:tcPr>
            <w:tcW w:w="795" w:type="dxa"/>
            <w:tcMar>
              <w:left w:w="108" w:type="dxa"/>
              <w:right w:w="108" w:type="dxa"/>
            </w:tcMar>
            <w:vAlign w:val="center"/>
          </w:tcPr>
          <w:p w14:paraId="21DB1C5A" w14:textId="1E16C54A" w:rsidR="00C31977" w:rsidRPr="00A74972" w:rsidRDefault="00C31977" w:rsidP="00C31977">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1539</w:t>
            </w:r>
          </w:p>
        </w:tc>
        <w:tc>
          <w:tcPr>
            <w:tcW w:w="795" w:type="dxa"/>
            <w:tcMar>
              <w:left w:w="108" w:type="dxa"/>
              <w:right w:w="108" w:type="dxa"/>
            </w:tcMar>
            <w:vAlign w:val="center"/>
          </w:tcPr>
          <w:p w14:paraId="05E767B2" w14:textId="6A9B70C9" w:rsidR="00C31977" w:rsidRPr="00A74972" w:rsidRDefault="00C31977" w:rsidP="00C31977">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1574</w:t>
            </w:r>
          </w:p>
        </w:tc>
        <w:tc>
          <w:tcPr>
            <w:tcW w:w="795" w:type="dxa"/>
            <w:tcMar>
              <w:left w:w="108" w:type="dxa"/>
              <w:right w:w="108" w:type="dxa"/>
            </w:tcMar>
            <w:vAlign w:val="center"/>
          </w:tcPr>
          <w:p w14:paraId="5707ECF1" w14:textId="6842C51B" w:rsidR="00C31977" w:rsidRPr="00A74972" w:rsidRDefault="00C31977" w:rsidP="00C31977">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1608</w:t>
            </w:r>
          </w:p>
        </w:tc>
        <w:tc>
          <w:tcPr>
            <w:tcW w:w="795" w:type="dxa"/>
            <w:tcMar>
              <w:left w:w="108" w:type="dxa"/>
              <w:right w:w="108" w:type="dxa"/>
            </w:tcMar>
            <w:vAlign w:val="center"/>
          </w:tcPr>
          <w:p w14:paraId="292467B8" w14:textId="649080D6" w:rsidR="00C31977" w:rsidRPr="00A74972" w:rsidRDefault="00C31977" w:rsidP="00C31977">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1643</w:t>
            </w:r>
          </w:p>
        </w:tc>
        <w:tc>
          <w:tcPr>
            <w:tcW w:w="795" w:type="dxa"/>
            <w:tcMar>
              <w:left w:w="108" w:type="dxa"/>
              <w:right w:w="108" w:type="dxa"/>
            </w:tcMar>
            <w:vAlign w:val="center"/>
          </w:tcPr>
          <w:p w14:paraId="62863FE2" w14:textId="16AB7E64" w:rsidR="00C31977" w:rsidRPr="00A74972" w:rsidRDefault="00C31977" w:rsidP="00C31977">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1680</w:t>
            </w:r>
          </w:p>
        </w:tc>
        <w:tc>
          <w:tcPr>
            <w:tcW w:w="791" w:type="dxa"/>
            <w:tcMar>
              <w:left w:w="108" w:type="dxa"/>
              <w:right w:w="108" w:type="dxa"/>
            </w:tcMar>
            <w:vAlign w:val="center"/>
          </w:tcPr>
          <w:p w14:paraId="2D498F77" w14:textId="4C1C8457" w:rsidR="00C31977" w:rsidRPr="00A74972" w:rsidRDefault="00C31977" w:rsidP="00C31977">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1716</w:t>
            </w:r>
          </w:p>
        </w:tc>
      </w:tr>
      <w:tr w:rsidR="00A74972" w:rsidRPr="00A74972" w14:paraId="57C5B276" w14:textId="77777777" w:rsidTr="000F0C40">
        <w:trPr>
          <w:trHeight w:val="300"/>
        </w:trPr>
        <w:tc>
          <w:tcPr>
            <w:tcW w:w="4010" w:type="dxa"/>
            <w:tcMar>
              <w:left w:w="108" w:type="dxa"/>
              <w:right w:w="108" w:type="dxa"/>
            </w:tcMar>
          </w:tcPr>
          <w:p w14:paraId="69CB2551" w14:textId="1C4810B5" w:rsidR="00FA67D3" w:rsidRPr="004E66CA" w:rsidRDefault="00FA67D3" w:rsidP="00FA67D3">
            <w:pPr>
              <w:spacing w:before="120" w:after="160" w:line="257" w:lineRule="auto"/>
              <w:ind w:left="-20" w:right="-20"/>
              <w:rPr>
                <w:rFonts w:ascii="Arial Narrow" w:eastAsia="Arial Narrow" w:hAnsi="Arial Narrow" w:cs="Arial Narrow"/>
                <w:sz w:val="20"/>
                <w:szCs w:val="20"/>
                <w:vertAlign w:val="superscript"/>
              </w:rPr>
            </w:pPr>
            <w:r w:rsidRPr="00A74972">
              <w:rPr>
                <w:rFonts w:ascii="Arial Narrow" w:eastAsia="Arial Narrow" w:hAnsi="Arial Narrow" w:cs="Arial Narrow"/>
                <w:sz w:val="20"/>
                <w:szCs w:val="20"/>
              </w:rPr>
              <w:t>Number of patients tested for CLDN18.2</w:t>
            </w:r>
            <w:r w:rsidR="00FE5D0A">
              <w:rPr>
                <w:rFonts w:ascii="Arial Narrow" w:eastAsia="Arial Narrow" w:hAnsi="Arial Narrow" w:cs="Arial Narrow"/>
                <w:sz w:val="20"/>
                <w:szCs w:val="20"/>
                <w:vertAlign w:val="superscript"/>
              </w:rPr>
              <w:t>a</w:t>
            </w:r>
          </w:p>
        </w:tc>
        <w:tc>
          <w:tcPr>
            <w:tcW w:w="795" w:type="dxa"/>
            <w:tcMar>
              <w:left w:w="108" w:type="dxa"/>
              <w:right w:w="108" w:type="dxa"/>
            </w:tcMar>
            <w:vAlign w:val="center"/>
          </w:tcPr>
          <w:p w14:paraId="0A3097B5" w14:textId="22B4BD8E" w:rsidR="00FA67D3" w:rsidRPr="00A74972" w:rsidRDefault="00FA67D3" w:rsidP="00FA67D3">
            <w:pPr>
              <w:spacing w:before="120" w:after="160" w:line="257" w:lineRule="auto"/>
              <w:ind w:left="-20" w:right="-20"/>
              <w:jc w:val="center"/>
              <w:rPr>
                <w:rFonts w:ascii="Arial Narrow" w:eastAsia="Arial Narrow" w:hAnsi="Arial Narrow" w:cs="Arial Narrow"/>
                <w:sz w:val="20"/>
                <w:szCs w:val="20"/>
              </w:rPr>
            </w:pPr>
            <w:r w:rsidRPr="00A74972">
              <w:rPr>
                <w:rFonts w:ascii="Arial Narrow" w:eastAsia="Arial Narrow" w:hAnsi="Arial Narrow" w:cs="Arial Narrow"/>
                <w:sz w:val="20"/>
                <w:szCs w:val="20"/>
              </w:rPr>
              <w:t>90.00%</w:t>
            </w:r>
          </w:p>
        </w:tc>
        <w:tc>
          <w:tcPr>
            <w:tcW w:w="795" w:type="dxa"/>
            <w:tcMar>
              <w:left w:w="108" w:type="dxa"/>
              <w:right w:w="108" w:type="dxa"/>
            </w:tcMar>
            <w:vAlign w:val="center"/>
          </w:tcPr>
          <w:p w14:paraId="2650AB0B" w14:textId="7D0DD86A" w:rsidR="00FA67D3" w:rsidRPr="00A74972" w:rsidRDefault="00FA67D3" w:rsidP="00FA67D3">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1386</w:t>
            </w:r>
          </w:p>
        </w:tc>
        <w:tc>
          <w:tcPr>
            <w:tcW w:w="795" w:type="dxa"/>
            <w:tcMar>
              <w:left w:w="108" w:type="dxa"/>
              <w:right w:w="108" w:type="dxa"/>
            </w:tcMar>
            <w:vAlign w:val="center"/>
          </w:tcPr>
          <w:p w14:paraId="1282739A" w14:textId="17346068" w:rsidR="00FA67D3" w:rsidRPr="00A74972" w:rsidRDefault="00FA67D3" w:rsidP="00FA67D3">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1417</w:t>
            </w:r>
          </w:p>
        </w:tc>
        <w:tc>
          <w:tcPr>
            <w:tcW w:w="795" w:type="dxa"/>
            <w:tcMar>
              <w:left w:w="108" w:type="dxa"/>
              <w:right w:w="108" w:type="dxa"/>
            </w:tcMar>
            <w:vAlign w:val="center"/>
          </w:tcPr>
          <w:p w14:paraId="4A1D492D" w14:textId="4F634009" w:rsidR="00FA67D3" w:rsidRPr="00A74972" w:rsidRDefault="00FA67D3" w:rsidP="00FA67D3">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1448</w:t>
            </w:r>
          </w:p>
        </w:tc>
        <w:tc>
          <w:tcPr>
            <w:tcW w:w="795" w:type="dxa"/>
            <w:tcMar>
              <w:left w:w="108" w:type="dxa"/>
              <w:right w:w="108" w:type="dxa"/>
            </w:tcMar>
            <w:vAlign w:val="center"/>
          </w:tcPr>
          <w:p w14:paraId="7F2AC74F" w14:textId="2D9C7356" w:rsidR="00FA67D3" w:rsidRPr="00A74972" w:rsidRDefault="00FA67D3" w:rsidP="00FA67D3">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1479</w:t>
            </w:r>
          </w:p>
        </w:tc>
        <w:tc>
          <w:tcPr>
            <w:tcW w:w="795" w:type="dxa"/>
            <w:tcMar>
              <w:left w:w="108" w:type="dxa"/>
              <w:right w:w="108" w:type="dxa"/>
            </w:tcMar>
            <w:vAlign w:val="center"/>
          </w:tcPr>
          <w:p w14:paraId="24DF902B" w14:textId="66016A74" w:rsidR="00FA67D3" w:rsidRPr="00A74972" w:rsidRDefault="00FA67D3" w:rsidP="00FA67D3">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1512</w:t>
            </w:r>
          </w:p>
        </w:tc>
        <w:tc>
          <w:tcPr>
            <w:tcW w:w="791" w:type="dxa"/>
            <w:tcMar>
              <w:left w:w="108" w:type="dxa"/>
              <w:right w:w="108" w:type="dxa"/>
            </w:tcMar>
            <w:vAlign w:val="center"/>
          </w:tcPr>
          <w:p w14:paraId="5DBB6D3D" w14:textId="5F5DD787" w:rsidR="00FA67D3" w:rsidRPr="00A74972" w:rsidRDefault="00FA67D3" w:rsidP="00FA67D3">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1545</w:t>
            </w:r>
          </w:p>
        </w:tc>
      </w:tr>
      <w:tr w:rsidR="00A74972" w:rsidRPr="00A74972" w14:paraId="24335C4F" w14:textId="77777777" w:rsidTr="000F0C40">
        <w:trPr>
          <w:trHeight w:val="300"/>
        </w:trPr>
        <w:tc>
          <w:tcPr>
            <w:tcW w:w="4010" w:type="dxa"/>
            <w:tcMar>
              <w:left w:w="108" w:type="dxa"/>
              <w:right w:w="108" w:type="dxa"/>
            </w:tcMar>
          </w:tcPr>
          <w:p w14:paraId="605DFCD5" w14:textId="13B5AA0D" w:rsidR="007C0735" w:rsidRPr="00A74972" w:rsidRDefault="007C0735" w:rsidP="007C0735">
            <w:pPr>
              <w:spacing w:before="120" w:after="160" w:line="257" w:lineRule="auto"/>
              <w:ind w:left="-20" w:right="-20"/>
              <w:rPr>
                <w:rFonts w:ascii="Arial Narrow" w:eastAsia="Arial Narrow" w:hAnsi="Arial Narrow" w:cs="Arial Narrow"/>
                <w:sz w:val="20"/>
                <w:szCs w:val="20"/>
              </w:rPr>
            </w:pPr>
            <w:r w:rsidRPr="00A74972">
              <w:rPr>
                <w:rFonts w:ascii="Arial Narrow" w:eastAsia="Arial Narrow" w:hAnsi="Arial Narrow" w:cs="Arial Narrow"/>
                <w:sz w:val="20"/>
                <w:szCs w:val="20"/>
              </w:rPr>
              <w:t>Number of patients CLDN18.2 expression (≥ 75%)</w:t>
            </w:r>
            <w:r w:rsidR="00FE5D0A">
              <w:rPr>
                <w:rFonts w:ascii="Arial Narrow" w:eastAsia="Arial Narrow" w:hAnsi="Arial Narrow" w:cs="Arial Narrow"/>
                <w:sz w:val="20"/>
                <w:szCs w:val="20"/>
                <w:vertAlign w:val="superscript"/>
              </w:rPr>
              <w:t>b</w:t>
            </w:r>
          </w:p>
        </w:tc>
        <w:tc>
          <w:tcPr>
            <w:tcW w:w="795" w:type="dxa"/>
            <w:tcMar>
              <w:left w:w="108" w:type="dxa"/>
              <w:right w:w="108" w:type="dxa"/>
            </w:tcMar>
            <w:vAlign w:val="center"/>
          </w:tcPr>
          <w:p w14:paraId="2BC7FE6A" w14:textId="325AB11A" w:rsidR="007C0735" w:rsidRPr="00A74972" w:rsidRDefault="007C0735" w:rsidP="007C0735">
            <w:pPr>
              <w:spacing w:before="120" w:after="160" w:line="257" w:lineRule="auto"/>
              <w:ind w:left="-20" w:right="-20"/>
              <w:jc w:val="center"/>
              <w:rPr>
                <w:rFonts w:ascii="Arial Narrow" w:eastAsia="Arial Narrow" w:hAnsi="Arial Narrow" w:cs="Arial Narrow"/>
                <w:sz w:val="20"/>
                <w:szCs w:val="20"/>
              </w:rPr>
            </w:pPr>
            <w:r w:rsidRPr="00A74972">
              <w:rPr>
                <w:rFonts w:ascii="Arial Narrow" w:eastAsia="Arial Narrow" w:hAnsi="Arial Narrow" w:cs="Arial Narrow"/>
                <w:sz w:val="20"/>
                <w:szCs w:val="20"/>
              </w:rPr>
              <w:t>38.40%</w:t>
            </w:r>
          </w:p>
        </w:tc>
        <w:tc>
          <w:tcPr>
            <w:tcW w:w="795" w:type="dxa"/>
            <w:tcMar>
              <w:left w:w="108" w:type="dxa"/>
              <w:right w:w="108" w:type="dxa"/>
            </w:tcMar>
            <w:vAlign w:val="center"/>
          </w:tcPr>
          <w:p w14:paraId="5943D077" w14:textId="2E224BC2" w:rsidR="007C0735" w:rsidRPr="00A74972" w:rsidRDefault="007C0735" w:rsidP="007C0735">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533</w:t>
            </w:r>
          </w:p>
        </w:tc>
        <w:tc>
          <w:tcPr>
            <w:tcW w:w="795" w:type="dxa"/>
            <w:tcMar>
              <w:left w:w="108" w:type="dxa"/>
              <w:right w:w="108" w:type="dxa"/>
            </w:tcMar>
            <w:vAlign w:val="center"/>
          </w:tcPr>
          <w:p w14:paraId="2838C8B2" w14:textId="74C112A9" w:rsidR="007C0735" w:rsidRPr="00A74972" w:rsidRDefault="007C0735" w:rsidP="007C0735">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545</w:t>
            </w:r>
          </w:p>
        </w:tc>
        <w:tc>
          <w:tcPr>
            <w:tcW w:w="795" w:type="dxa"/>
            <w:tcMar>
              <w:left w:w="108" w:type="dxa"/>
              <w:right w:w="108" w:type="dxa"/>
            </w:tcMar>
            <w:vAlign w:val="center"/>
          </w:tcPr>
          <w:p w14:paraId="1B159B84" w14:textId="2DF5DEA6" w:rsidR="007C0735" w:rsidRPr="00A74972" w:rsidRDefault="007C0735" w:rsidP="007C0735">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557</w:t>
            </w:r>
          </w:p>
        </w:tc>
        <w:tc>
          <w:tcPr>
            <w:tcW w:w="795" w:type="dxa"/>
            <w:tcMar>
              <w:left w:w="108" w:type="dxa"/>
              <w:right w:w="108" w:type="dxa"/>
            </w:tcMar>
            <w:vAlign w:val="center"/>
          </w:tcPr>
          <w:p w14:paraId="556495E9" w14:textId="4C6B4685" w:rsidR="007C0735" w:rsidRPr="00A74972" w:rsidRDefault="007C0735" w:rsidP="007C0735">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568</w:t>
            </w:r>
          </w:p>
        </w:tc>
        <w:tc>
          <w:tcPr>
            <w:tcW w:w="795" w:type="dxa"/>
            <w:tcMar>
              <w:left w:w="108" w:type="dxa"/>
              <w:right w:w="108" w:type="dxa"/>
            </w:tcMar>
            <w:vAlign w:val="center"/>
          </w:tcPr>
          <w:p w14:paraId="42E034CD" w14:textId="4A7D2958" w:rsidR="007C0735" w:rsidRPr="00A74972" w:rsidRDefault="007C0735" w:rsidP="007C0735">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581</w:t>
            </w:r>
          </w:p>
        </w:tc>
        <w:tc>
          <w:tcPr>
            <w:tcW w:w="791" w:type="dxa"/>
            <w:tcMar>
              <w:left w:w="108" w:type="dxa"/>
              <w:right w:w="108" w:type="dxa"/>
            </w:tcMar>
            <w:vAlign w:val="center"/>
          </w:tcPr>
          <w:p w14:paraId="3E720CE4" w14:textId="3EA7E451" w:rsidR="007C0735" w:rsidRPr="00A74972" w:rsidRDefault="007C0735" w:rsidP="007C0735">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594</w:t>
            </w:r>
          </w:p>
        </w:tc>
      </w:tr>
      <w:tr w:rsidR="00A74972" w:rsidRPr="00A74972" w14:paraId="63A8D620" w14:textId="77777777" w:rsidTr="000F0C40">
        <w:trPr>
          <w:trHeight w:val="300"/>
        </w:trPr>
        <w:tc>
          <w:tcPr>
            <w:tcW w:w="4010" w:type="dxa"/>
            <w:tcMar>
              <w:left w:w="108" w:type="dxa"/>
              <w:right w:w="108" w:type="dxa"/>
            </w:tcMar>
          </w:tcPr>
          <w:p w14:paraId="7665BA78" w14:textId="3B497456" w:rsidR="00B41371" w:rsidRPr="004E66CA" w:rsidRDefault="00B41371" w:rsidP="00B41371">
            <w:pPr>
              <w:spacing w:before="120" w:after="160" w:line="257" w:lineRule="auto"/>
              <w:ind w:left="-20" w:right="-20"/>
              <w:rPr>
                <w:rFonts w:ascii="Arial Narrow" w:eastAsia="Arial Narrow" w:hAnsi="Arial Narrow" w:cs="Arial Narrow"/>
                <w:sz w:val="20"/>
                <w:szCs w:val="20"/>
                <w:vertAlign w:val="superscript"/>
              </w:rPr>
            </w:pPr>
            <w:r w:rsidRPr="00A74972">
              <w:rPr>
                <w:rFonts w:ascii="Arial Narrow" w:eastAsia="Arial Narrow" w:hAnsi="Arial Narrow" w:cs="Arial Narrow"/>
                <w:sz w:val="20"/>
                <w:szCs w:val="20"/>
              </w:rPr>
              <w:t>Number of patients CLDN18.2 expression (≥ 75%)</w:t>
            </w:r>
            <w:r w:rsidR="00FE5D0A">
              <w:rPr>
                <w:rFonts w:ascii="Arial Narrow" w:eastAsia="Arial Narrow" w:hAnsi="Arial Narrow" w:cs="Arial Narrow"/>
                <w:sz w:val="20"/>
                <w:szCs w:val="20"/>
                <w:vertAlign w:val="superscript"/>
              </w:rPr>
              <w:t>b</w:t>
            </w:r>
            <w:r w:rsidRPr="00A74972">
              <w:rPr>
                <w:rFonts w:ascii="Arial Narrow" w:eastAsia="Arial Narrow" w:hAnsi="Arial Narrow" w:cs="Arial Narrow"/>
                <w:sz w:val="20"/>
                <w:szCs w:val="20"/>
              </w:rPr>
              <w:t xml:space="preserve"> using zolbetuximab</w:t>
            </w:r>
            <w:r w:rsidR="00AA1D5B">
              <w:rPr>
                <w:rFonts w:ascii="Arial Narrow" w:eastAsia="Arial Narrow" w:hAnsi="Arial Narrow" w:cs="Arial Narrow"/>
                <w:sz w:val="20"/>
                <w:szCs w:val="20"/>
                <w:vertAlign w:val="superscript"/>
              </w:rPr>
              <w:t>c</w:t>
            </w:r>
          </w:p>
        </w:tc>
        <w:tc>
          <w:tcPr>
            <w:tcW w:w="795" w:type="dxa"/>
            <w:tcMar>
              <w:left w:w="108" w:type="dxa"/>
              <w:right w:w="108" w:type="dxa"/>
            </w:tcMar>
            <w:vAlign w:val="center"/>
          </w:tcPr>
          <w:p w14:paraId="0BBD8D74" w14:textId="4F52F43D" w:rsidR="00B41371" w:rsidRPr="00A74972" w:rsidRDefault="00B41371" w:rsidP="00B41371">
            <w:pPr>
              <w:spacing w:before="120" w:after="160" w:line="257" w:lineRule="auto"/>
              <w:ind w:left="-20" w:right="-20"/>
              <w:jc w:val="center"/>
              <w:rPr>
                <w:rFonts w:ascii="Arial Narrow" w:eastAsia="Arial Narrow" w:hAnsi="Arial Narrow" w:cs="Arial Narrow"/>
                <w:sz w:val="20"/>
                <w:szCs w:val="20"/>
              </w:rPr>
            </w:pPr>
            <w:r w:rsidRPr="00A74972">
              <w:rPr>
                <w:rFonts w:ascii="Arial Narrow" w:eastAsia="Arial Narrow" w:hAnsi="Arial Narrow" w:cs="Arial Narrow"/>
                <w:sz w:val="20"/>
                <w:szCs w:val="20"/>
              </w:rPr>
              <w:t>95.00%</w:t>
            </w:r>
          </w:p>
        </w:tc>
        <w:tc>
          <w:tcPr>
            <w:tcW w:w="795" w:type="dxa"/>
            <w:tcMar>
              <w:left w:w="108" w:type="dxa"/>
              <w:right w:w="108" w:type="dxa"/>
            </w:tcMar>
            <w:vAlign w:val="center"/>
          </w:tcPr>
          <w:p w14:paraId="2DB02857" w14:textId="49EEDEFA" w:rsidR="00B41371" w:rsidRPr="00A74972" w:rsidRDefault="00B41371" w:rsidP="00B41371">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507</w:t>
            </w:r>
          </w:p>
        </w:tc>
        <w:tc>
          <w:tcPr>
            <w:tcW w:w="795" w:type="dxa"/>
            <w:tcMar>
              <w:left w:w="108" w:type="dxa"/>
              <w:right w:w="108" w:type="dxa"/>
            </w:tcMar>
            <w:vAlign w:val="center"/>
          </w:tcPr>
          <w:p w14:paraId="7C708529" w14:textId="6BECF7B5" w:rsidR="00B41371" w:rsidRPr="00A74972" w:rsidRDefault="00B41371" w:rsidP="00B41371">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518</w:t>
            </w:r>
          </w:p>
        </w:tc>
        <w:tc>
          <w:tcPr>
            <w:tcW w:w="795" w:type="dxa"/>
            <w:tcMar>
              <w:left w:w="108" w:type="dxa"/>
              <w:right w:w="108" w:type="dxa"/>
            </w:tcMar>
            <w:vAlign w:val="center"/>
          </w:tcPr>
          <w:p w14:paraId="655EC441" w14:textId="7CE7C141" w:rsidR="00B41371" w:rsidRPr="00A74972" w:rsidRDefault="00B41371" w:rsidP="00B41371">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530</w:t>
            </w:r>
          </w:p>
        </w:tc>
        <w:tc>
          <w:tcPr>
            <w:tcW w:w="795" w:type="dxa"/>
            <w:tcMar>
              <w:left w:w="108" w:type="dxa"/>
              <w:right w:w="108" w:type="dxa"/>
            </w:tcMar>
            <w:vAlign w:val="center"/>
          </w:tcPr>
          <w:p w14:paraId="4E749262" w14:textId="61EDC708" w:rsidR="00B41371" w:rsidRPr="00A74972" w:rsidRDefault="00B41371" w:rsidP="00B41371">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540</w:t>
            </w:r>
          </w:p>
        </w:tc>
        <w:tc>
          <w:tcPr>
            <w:tcW w:w="795" w:type="dxa"/>
            <w:tcMar>
              <w:left w:w="108" w:type="dxa"/>
              <w:right w:w="108" w:type="dxa"/>
            </w:tcMar>
            <w:vAlign w:val="center"/>
          </w:tcPr>
          <w:p w14:paraId="3952D609" w14:textId="79F977D0" w:rsidR="00B41371" w:rsidRPr="00A74972" w:rsidRDefault="00B41371" w:rsidP="00B41371">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552</w:t>
            </w:r>
          </w:p>
        </w:tc>
        <w:tc>
          <w:tcPr>
            <w:tcW w:w="791" w:type="dxa"/>
            <w:tcMar>
              <w:left w:w="108" w:type="dxa"/>
              <w:right w:w="108" w:type="dxa"/>
            </w:tcMar>
            <w:vAlign w:val="center"/>
          </w:tcPr>
          <w:p w14:paraId="47964B1F" w14:textId="727654B4" w:rsidR="00B41371" w:rsidRPr="00A74972" w:rsidRDefault="00B41371" w:rsidP="00B41371">
            <w:pPr>
              <w:spacing w:before="120" w:after="160" w:line="257" w:lineRule="auto"/>
              <w:ind w:left="-20" w:right="-20"/>
              <w:jc w:val="center"/>
              <w:rPr>
                <w:rFonts w:ascii="Arial Narrow" w:eastAsia="Arial Narrow" w:hAnsi="Arial Narrow" w:cs="Arial Narrow"/>
                <w:i/>
                <w:iCs/>
                <w:sz w:val="20"/>
                <w:szCs w:val="20"/>
              </w:rPr>
            </w:pPr>
            <w:r w:rsidRPr="00A74972">
              <w:rPr>
                <w:rFonts w:ascii="Arial Narrow" w:eastAsia="Arial Narrow" w:hAnsi="Arial Narrow" w:cs="Arial Narrow"/>
                <w:i/>
                <w:iCs/>
                <w:sz w:val="20"/>
                <w:szCs w:val="20"/>
              </w:rPr>
              <w:t>565</w:t>
            </w:r>
          </w:p>
        </w:tc>
      </w:tr>
    </w:tbl>
    <w:p w14:paraId="6A86E219" w14:textId="32646342" w:rsidR="402C73F4" w:rsidRPr="00A74972" w:rsidRDefault="00407E81" w:rsidP="008508CF">
      <w:pPr>
        <w:pStyle w:val="Tablenotes"/>
        <w:spacing w:after="0"/>
      </w:pPr>
      <w:r w:rsidRPr="00A74972">
        <w:t xml:space="preserve">Source: </w:t>
      </w:r>
      <w:r w:rsidR="00021854" w:rsidRPr="00A74972">
        <w:t>HPP200118 - VYLOY_Ventana_AU_Utilisation_v0.2</w:t>
      </w:r>
      <w:r w:rsidR="00CF6A2A" w:rsidRPr="00A74972">
        <w:t xml:space="preserve"> </w:t>
      </w:r>
      <w:r w:rsidR="00067F03" w:rsidRPr="00A74972">
        <w:t xml:space="preserve">excel </w:t>
      </w:r>
      <w:r w:rsidR="00370A8E" w:rsidRPr="00A74972">
        <w:t>workbook provided with the application</w:t>
      </w:r>
    </w:p>
    <w:p w14:paraId="2BBFD374" w14:textId="7564E3C6" w:rsidR="00376769" w:rsidRDefault="00FD0B6E" w:rsidP="008508CF">
      <w:pPr>
        <w:pStyle w:val="Tablenotes"/>
        <w:spacing w:after="0"/>
      </w:pPr>
      <w:r w:rsidRPr="00A74972">
        <w:t>G/</w:t>
      </w:r>
      <w:r w:rsidR="00A85C54" w:rsidRPr="00A74972">
        <w:t>GOJ</w:t>
      </w:r>
      <w:r w:rsidRPr="00A74972">
        <w:t xml:space="preserve"> = </w:t>
      </w:r>
      <w:r w:rsidR="002B2E19" w:rsidRPr="00A74972">
        <w:rPr>
          <w:rFonts w:eastAsiaTheme="minorHAnsi"/>
        </w:rPr>
        <w:t>Gastric or gastro</w:t>
      </w:r>
      <w:r w:rsidR="00E26E21" w:rsidRPr="00A74972">
        <w:rPr>
          <w:rFonts w:eastAsiaTheme="minorHAnsi"/>
        </w:rPr>
        <w:t>-o</w:t>
      </w:r>
      <w:r w:rsidR="002B2E19" w:rsidRPr="00A74972">
        <w:rPr>
          <w:rFonts w:eastAsiaTheme="minorHAnsi"/>
        </w:rPr>
        <w:t>esophageal junction cancer</w:t>
      </w:r>
      <w:r w:rsidR="004C758D" w:rsidRPr="00A74972">
        <w:rPr>
          <w:rFonts w:eastAsiaTheme="minorHAnsi"/>
        </w:rPr>
        <w:t xml:space="preserve">, CLDN18.2 = </w:t>
      </w:r>
      <w:r w:rsidR="00A32D96" w:rsidRPr="00A74972">
        <w:t>Claudin 18 splice variant 2</w:t>
      </w:r>
    </w:p>
    <w:p w14:paraId="61394358" w14:textId="3530C3F7" w:rsidR="00FE5D0A" w:rsidRPr="00A74972" w:rsidRDefault="00FE5D0A" w:rsidP="008508CF">
      <w:pPr>
        <w:pStyle w:val="Tablenotes"/>
        <w:spacing w:after="0"/>
      </w:pPr>
      <w:r>
        <w:t xml:space="preserve">a The estimates presented are based on CLDN18.2 testing being performed after HER2 testing (i.e. sequential testing as initially proposed by the applicant). As CLDN18.2 testing is </w:t>
      </w:r>
      <w:r w:rsidR="00A640EA">
        <w:t xml:space="preserve">proposed to be </w:t>
      </w:r>
      <w:r>
        <w:t>performed in parallel with HER2 testing</w:t>
      </w:r>
      <w:r w:rsidR="00A640EA">
        <w:t xml:space="preserve"> in the current proposal</w:t>
      </w:r>
      <w:r>
        <w:t xml:space="preserve">, </w:t>
      </w:r>
      <w:r w:rsidR="0089156E">
        <w:t>the</w:t>
      </w:r>
      <w:r>
        <w:t xml:space="preserve"> number of patients undergoing CLDN18.2 testing will be more than </w:t>
      </w:r>
      <w:r w:rsidR="00A640EA">
        <w:t xml:space="preserve">initially </w:t>
      </w:r>
      <w:r>
        <w:t>estimated.</w:t>
      </w:r>
    </w:p>
    <w:p w14:paraId="02441C75" w14:textId="2288E422" w:rsidR="008508CF" w:rsidRPr="00A74972" w:rsidRDefault="00FE5D0A" w:rsidP="008508CF">
      <w:pPr>
        <w:pStyle w:val="Tablenotes"/>
        <w:spacing w:after="0"/>
      </w:pPr>
      <w:r>
        <w:t xml:space="preserve">b </w:t>
      </w:r>
      <w:r w:rsidR="006E2E88" w:rsidRPr="00A74972">
        <w:t>The CLDN18.2 threshold for a positive result is ≥75% tumour cells showing moderate-to-strong membranous staining using Ventana® CLDN18 (43-14A) RxDx Assay</w:t>
      </w:r>
    </w:p>
    <w:p w14:paraId="3012C07F" w14:textId="0C468D92" w:rsidR="00F34D16" w:rsidRPr="00A74972" w:rsidRDefault="00F34D16" w:rsidP="008508CF">
      <w:pPr>
        <w:pStyle w:val="Tablenotes"/>
        <w:spacing w:after="0"/>
      </w:pPr>
      <w:r>
        <w:t xml:space="preserve">c </w:t>
      </w:r>
      <w:r w:rsidR="00312EAB" w:rsidRPr="002E3CEE">
        <w:t xml:space="preserve">Both PASC and the applicant’s clinical expert agreed this was an unrealistically high uptake rate in the context of a new, non-inferior treatment option. </w:t>
      </w:r>
      <w:r w:rsidR="00923C5B">
        <w:t>I</w:t>
      </w:r>
      <w:r w:rsidR="00312EAB" w:rsidRPr="002E3CEE">
        <w:t>t may be reasonable to anticipate a graduated increase in the uptake rate for each subsequent year zolbetuximab is listed.</w:t>
      </w:r>
    </w:p>
    <w:p w14:paraId="04FB5BB4" w14:textId="617D4F38" w:rsidR="00DB5AB6" w:rsidRDefault="00DB5AB6" w:rsidP="008508CF">
      <w:pPr>
        <w:pStyle w:val="Tablenotes"/>
        <w:spacing w:after="0"/>
        <w:rPr>
          <w:i/>
          <w:iCs/>
        </w:rPr>
      </w:pPr>
      <w:r w:rsidRPr="00A74972">
        <w:rPr>
          <w:i/>
          <w:iCs/>
        </w:rPr>
        <w:t xml:space="preserve">Italics: </w:t>
      </w:r>
      <w:r w:rsidR="005A4E4A" w:rsidRPr="00A74972">
        <w:rPr>
          <w:i/>
          <w:iCs/>
        </w:rPr>
        <w:t xml:space="preserve">The application made a cell referencing error </w:t>
      </w:r>
      <w:r w:rsidR="008338EF" w:rsidRPr="00A74972">
        <w:rPr>
          <w:i/>
          <w:iCs/>
        </w:rPr>
        <w:t xml:space="preserve">while </w:t>
      </w:r>
      <w:r w:rsidR="00BF4BBA" w:rsidRPr="00A74972">
        <w:rPr>
          <w:i/>
          <w:iCs/>
        </w:rPr>
        <w:t>calculating</w:t>
      </w:r>
      <w:r w:rsidR="008338EF" w:rsidRPr="00A74972">
        <w:rPr>
          <w:i/>
          <w:iCs/>
        </w:rPr>
        <w:t xml:space="preserve"> the </w:t>
      </w:r>
      <w:r w:rsidR="00BC22AC" w:rsidRPr="00A74972">
        <w:rPr>
          <w:i/>
          <w:iCs/>
        </w:rPr>
        <w:t>Stage IV</w:t>
      </w:r>
      <w:r w:rsidR="00BF4BBA" w:rsidRPr="00A74972">
        <w:rPr>
          <w:i/>
          <w:iCs/>
        </w:rPr>
        <w:t xml:space="preserve"> patien</w:t>
      </w:r>
      <w:r w:rsidR="008265B6" w:rsidRPr="00A74972">
        <w:rPr>
          <w:i/>
          <w:iCs/>
        </w:rPr>
        <w:t>t numbers</w:t>
      </w:r>
      <w:r w:rsidR="00181F94" w:rsidRPr="00A74972">
        <w:rPr>
          <w:i/>
          <w:iCs/>
        </w:rPr>
        <w:t xml:space="preserve">. </w:t>
      </w:r>
      <w:r w:rsidR="00E537C2" w:rsidRPr="00A74972">
        <w:rPr>
          <w:i/>
          <w:iCs/>
        </w:rPr>
        <w:t xml:space="preserve">This was corrected during the </w:t>
      </w:r>
      <w:r w:rsidR="00A2502F" w:rsidRPr="00A74972">
        <w:rPr>
          <w:i/>
          <w:iCs/>
        </w:rPr>
        <w:t xml:space="preserve">PICO development and </w:t>
      </w:r>
      <w:r w:rsidR="006B1846" w:rsidRPr="00A74972">
        <w:rPr>
          <w:i/>
          <w:iCs/>
        </w:rPr>
        <w:t>n</w:t>
      </w:r>
      <w:r w:rsidR="00181F94" w:rsidRPr="00A74972">
        <w:rPr>
          <w:i/>
          <w:iCs/>
        </w:rPr>
        <w:t xml:space="preserve">umbers in </w:t>
      </w:r>
      <w:r w:rsidR="003E017D" w:rsidRPr="00A74972">
        <w:rPr>
          <w:i/>
          <w:iCs/>
        </w:rPr>
        <w:t>italics r</w:t>
      </w:r>
      <w:r w:rsidR="00CD5F7C" w:rsidRPr="00A74972">
        <w:rPr>
          <w:i/>
          <w:iCs/>
        </w:rPr>
        <w:t>epresents the corrected values.</w:t>
      </w:r>
    </w:p>
    <w:p w14:paraId="7742B97E" w14:textId="77777777" w:rsidR="00873C69" w:rsidRDefault="00873C69" w:rsidP="008508CF">
      <w:pPr>
        <w:pStyle w:val="Tablenotes"/>
        <w:spacing w:after="0"/>
        <w:rPr>
          <w:i/>
          <w:iCs/>
        </w:rPr>
      </w:pPr>
    </w:p>
    <w:p w14:paraId="1C8D18EF" w14:textId="77777777" w:rsidR="00873C69" w:rsidRDefault="00873C69" w:rsidP="008508CF">
      <w:pPr>
        <w:pStyle w:val="Tablenotes"/>
        <w:spacing w:after="0"/>
        <w:rPr>
          <w:i/>
          <w:iCs/>
        </w:rPr>
      </w:pPr>
    </w:p>
    <w:p w14:paraId="6B73E1CB" w14:textId="77777777" w:rsidR="009F7515" w:rsidRDefault="009F7515" w:rsidP="008508CF">
      <w:pPr>
        <w:pStyle w:val="Tablenotes"/>
        <w:spacing w:after="0"/>
        <w:rPr>
          <w:i/>
          <w:iCs/>
        </w:rPr>
      </w:pPr>
    </w:p>
    <w:p w14:paraId="3A5008A8" w14:textId="77777777" w:rsidR="006975A1" w:rsidRPr="00A74972" w:rsidRDefault="006975A1" w:rsidP="008508CF">
      <w:pPr>
        <w:pStyle w:val="Tablenotes"/>
        <w:spacing w:after="0"/>
        <w:rPr>
          <w:i/>
          <w:iCs/>
        </w:rPr>
      </w:pPr>
    </w:p>
    <w:p w14:paraId="7349BC19" w14:textId="28C239DA" w:rsidR="402C73F4" w:rsidRPr="009D5DBB" w:rsidRDefault="402C73F4" w:rsidP="444C3E48">
      <w:pPr>
        <w:spacing w:before="120" w:after="160" w:line="257" w:lineRule="auto"/>
        <w:ind w:left="-20" w:right="-20"/>
        <w:rPr>
          <w:rFonts w:cs="Calibri"/>
          <w:i/>
          <w:iCs/>
          <w:color w:val="0070C0"/>
        </w:rPr>
      </w:pPr>
      <w:r w:rsidRPr="009D5DBB">
        <w:rPr>
          <w:rFonts w:cs="Calibri"/>
          <w:i/>
          <w:iCs/>
          <w:color w:val="0070C0"/>
        </w:rPr>
        <w:lastRenderedPageBreak/>
        <w:t>Prior tests</w:t>
      </w:r>
    </w:p>
    <w:p w14:paraId="169A8DB8" w14:textId="36848E26" w:rsidR="00AE0755" w:rsidRPr="00480CE6" w:rsidRDefault="00AE0755" w:rsidP="00480CE6">
      <w:pPr>
        <w:autoSpaceDE w:val="0"/>
        <w:autoSpaceDN w:val="0"/>
        <w:adjustRightInd w:val="0"/>
        <w:spacing w:line="23" w:lineRule="atLeast"/>
        <w:rPr>
          <w:rStyle w:val="normaltextrun"/>
          <w:i/>
          <w:iCs/>
        </w:rPr>
      </w:pPr>
      <w:r w:rsidRPr="00480CE6">
        <w:rPr>
          <w:rStyle w:val="normaltextrun"/>
          <w:i/>
          <w:iCs/>
        </w:rPr>
        <w:t xml:space="preserve">PASC noted that with the applicant’s revised parallel approach, there are unlikely to be any relevant prior tests in the population, noting some </w:t>
      </w:r>
      <w:r w:rsidR="004C22F2">
        <w:rPr>
          <w:rStyle w:val="normaltextrun"/>
          <w:i/>
          <w:iCs/>
        </w:rPr>
        <w:t>patients</w:t>
      </w:r>
      <w:r w:rsidRPr="00480CE6">
        <w:rPr>
          <w:rStyle w:val="normaltextrun"/>
          <w:i/>
          <w:iCs/>
        </w:rPr>
        <w:t xml:space="preserve"> may have had testing performed at an earlier stage of their disease.</w:t>
      </w:r>
    </w:p>
    <w:p w14:paraId="0E38780D" w14:textId="32A2476A" w:rsidR="007A66C8" w:rsidRPr="009D5DBB" w:rsidRDefault="007A66C8" w:rsidP="00713728">
      <w:pPr>
        <w:pStyle w:val="Heading3"/>
        <w:rPr>
          <w:iCs/>
        </w:rPr>
      </w:pPr>
      <w:r w:rsidRPr="009D5DBB">
        <w:rPr>
          <w:iCs/>
        </w:rPr>
        <w:t>Intervention</w:t>
      </w:r>
    </w:p>
    <w:p w14:paraId="350CFEA9" w14:textId="0C56C2C9" w:rsidR="00B1700B" w:rsidRPr="00A74972" w:rsidRDefault="00677319" w:rsidP="00D42D83">
      <w:pPr>
        <w:pStyle w:val="Instructionaltext"/>
        <w:rPr>
          <w:color w:val="auto"/>
        </w:rPr>
      </w:pPr>
      <w:r w:rsidRPr="00A74972">
        <w:rPr>
          <w:color w:val="auto"/>
        </w:rPr>
        <w:t xml:space="preserve">The application </w:t>
      </w:r>
      <w:r w:rsidR="001F1A75" w:rsidRPr="00A74972">
        <w:rPr>
          <w:color w:val="auto"/>
        </w:rPr>
        <w:t xml:space="preserve">has proposed MBS listing of </w:t>
      </w:r>
      <w:r w:rsidR="001D60EE" w:rsidRPr="00A74972">
        <w:rPr>
          <w:color w:val="auto"/>
        </w:rPr>
        <w:t>Ventana® CLDN18 (43-14A) RxDx Assa</w:t>
      </w:r>
      <w:r w:rsidR="00BE1E87" w:rsidRPr="00A74972">
        <w:rPr>
          <w:color w:val="auto"/>
        </w:rPr>
        <w:t>y</w:t>
      </w:r>
      <w:r w:rsidR="00A65DA0" w:rsidRPr="00A74972">
        <w:rPr>
          <w:color w:val="auto"/>
        </w:rPr>
        <w:t xml:space="preserve">, a semi-quantitative </w:t>
      </w:r>
      <w:r w:rsidR="00BE1E87" w:rsidRPr="00A74972">
        <w:rPr>
          <w:color w:val="auto"/>
        </w:rPr>
        <w:t xml:space="preserve">IHC assay </w:t>
      </w:r>
      <w:r w:rsidR="008C350E" w:rsidRPr="00A74972">
        <w:rPr>
          <w:color w:val="auto"/>
        </w:rPr>
        <w:t>using mouse monoclonal anti-claudin 18</w:t>
      </w:r>
      <w:r w:rsidR="00E7752E" w:rsidRPr="00A74972">
        <w:rPr>
          <w:color w:val="auto"/>
        </w:rPr>
        <w:t xml:space="preserve"> antibody</w:t>
      </w:r>
      <w:r w:rsidR="008C350E" w:rsidRPr="00A74972">
        <w:rPr>
          <w:color w:val="auto"/>
        </w:rPr>
        <w:t>, intended for laboratory use in the assessment of CLDN18</w:t>
      </w:r>
      <w:r w:rsidR="00F01D35" w:rsidRPr="00A74972">
        <w:rPr>
          <w:color w:val="auto"/>
        </w:rPr>
        <w:t>.2</w:t>
      </w:r>
      <w:r w:rsidR="008C350E" w:rsidRPr="00A74972">
        <w:rPr>
          <w:color w:val="auto"/>
        </w:rPr>
        <w:t xml:space="preserve"> protein in </w:t>
      </w:r>
      <w:r w:rsidR="00EA77FC" w:rsidRPr="00A74972">
        <w:rPr>
          <w:color w:val="auto"/>
        </w:rPr>
        <w:t xml:space="preserve">formalin-fixed, paraffin-embedded (FFPE) </w:t>
      </w:r>
      <w:r w:rsidR="00621714" w:rsidRPr="00A74972">
        <w:rPr>
          <w:color w:val="auto"/>
        </w:rPr>
        <w:t>G/</w:t>
      </w:r>
      <w:r w:rsidR="00A85C54" w:rsidRPr="00A74972">
        <w:rPr>
          <w:color w:val="auto"/>
        </w:rPr>
        <w:t>GOJ</w:t>
      </w:r>
      <w:r w:rsidR="00907849" w:rsidRPr="00A74972">
        <w:rPr>
          <w:color w:val="auto"/>
        </w:rPr>
        <w:t xml:space="preserve"> </w:t>
      </w:r>
      <w:r w:rsidR="00B70D1D" w:rsidRPr="00A74972">
        <w:rPr>
          <w:color w:val="auto"/>
        </w:rPr>
        <w:t>cancer</w:t>
      </w:r>
      <w:r w:rsidR="00621714" w:rsidRPr="00A74972">
        <w:rPr>
          <w:color w:val="auto"/>
        </w:rPr>
        <w:t xml:space="preserve"> tissue </w:t>
      </w:r>
      <w:r w:rsidR="00845498" w:rsidRPr="00A74972">
        <w:rPr>
          <w:color w:val="auto"/>
        </w:rPr>
        <w:t>specimens by light microscopy.</w:t>
      </w:r>
      <w:r w:rsidR="004848AC" w:rsidRPr="00A74972">
        <w:rPr>
          <w:color w:val="auto"/>
        </w:rPr>
        <w:t xml:space="preserve"> The </w:t>
      </w:r>
      <w:r w:rsidR="000E483E" w:rsidRPr="00A74972">
        <w:rPr>
          <w:color w:val="auto"/>
        </w:rPr>
        <w:t xml:space="preserve">Ventana® </w:t>
      </w:r>
      <w:r w:rsidR="004848AC" w:rsidRPr="00A74972">
        <w:rPr>
          <w:color w:val="auto"/>
        </w:rPr>
        <w:t>CLDN18</w:t>
      </w:r>
      <w:r w:rsidR="00700DE5" w:rsidRPr="00A74972">
        <w:rPr>
          <w:color w:val="auto"/>
        </w:rPr>
        <w:t>.2</w:t>
      </w:r>
      <w:r w:rsidR="004848AC" w:rsidRPr="00A74972">
        <w:rPr>
          <w:color w:val="auto"/>
        </w:rPr>
        <w:t xml:space="preserve"> </w:t>
      </w:r>
      <w:r w:rsidR="000E483E" w:rsidRPr="00A74972">
        <w:rPr>
          <w:color w:val="auto"/>
        </w:rPr>
        <w:t xml:space="preserve">(43-14A) RxDx Assay </w:t>
      </w:r>
      <w:r w:rsidR="004848AC" w:rsidRPr="00A74972">
        <w:rPr>
          <w:color w:val="auto"/>
        </w:rPr>
        <w:t xml:space="preserve">threshold for a positive result is ≥75% tumour cells </w:t>
      </w:r>
      <w:r w:rsidR="004848AC" w:rsidRPr="00A74972" w:rsidDel="00E26735">
        <w:rPr>
          <w:color w:val="auto"/>
        </w:rPr>
        <w:t xml:space="preserve">(TCs) </w:t>
      </w:r>
      <w:r w:rsidR="004848AC" w:rsidRPr="00A74972">
        <w:rPr>
          <w:color w:val="auto"/>
        </w:rPr>
        <w:t>showing moderate-to-strong membranous staining above background, while &lt;75% TCs showing moderate-to-strong membranous staining is indicative of a negative result.</w:t>
      </w:r>
      <w:r w:rsidR="00845498" w:rsidRPr="00A74972">
        <w:rPr>
          <w:color w:val="auto"/>
        </w:rPr>
        <w:t xml:space="preserve"> </w:t>
      </w:r>
      <w:r w:rsidR="00E26735" w:rsidRPr="00A74972">
        <w:rPr>
          <w:color w:val="auto"/>
        </w:rPr>
        <w:t>A positive result (</w:t>
      </w:r>
      <w:r w:rsidR="00C7143F" w:rsidRPr="00A74972">
        <w:rPr>
          <w:color w:val="auto"/>
        </w:rPr>
        <w:t>CLDN18</w:t>
      </w:r>
      <w:r w:rsidR="00700DE5" w:rsidRPr="00A74972">
        <w:rPr>
          <w:color w:val="auto"/>
        </w:rPr>
        <w:t>.2+</w:t>
      </w:r>
      <w:r w:rsidR="00E26735" w:rsidRPr="00A74972">
        <w:rPr>
          <w:color w:val="auto"/>
        </w:rPr>
        <w:t>)</w:t>
      </w:r>
      <w:r w:rsidR="00C7143F" w:rsidRPr="00A74972">
        <w:rPr>
          <w:color w:val="auto"/>
        </w:rPr>
        <w:t xml:space="preserve"> will </w:t>
      </w:r>
      <w:r w:rsidR="00AF4737" w:rsidRPr="00A74972">
        <w:rPr>
          <w:color w:val="auto"/>
        </w:rPr>
        <w:t xml:space="preserve">aid in </w:t>
      </w:r>
      <w:r w:rsidR="00E26735" w:rsidRPr="00A74972">
        <w:rPr>
          <w:color w:val="auto"/>
        </w:rPr>
        <w:t>determin</w:t>
      </w:r>
      <w:r w:rsidR="00AF4737" w:rsidRPr="00A74972">
        <w:rPr>
          <w:color w:val="auto"/>
        </w:rPr>
        <w:t>ing</w:t>
      </w:r>
      <w:r w:rsidR="00E26735" w:rsidRPr="00A74972">
        <w:rPr>
          <w:color w:val="auto"/>
        </w:rPr>
        <w:t xml:space="preserve"> </w:t>
      </w:r>
      <w:r w:rsidR="00B04D65" w:rsidRPr="00A74972">
        <w:rPr>
          <w:color w:val="auto"/>
        </w:rPr>
        <w:t>the</w:t>
      </w:r>
      <w:r w:rsidR="377DB15B" w:rsidRPr="00A74972">
        <w:rPr>
          <w:color w:val="auto"/>
        </w:rPr>
        <w:t xml:space="preserve"> </w:t>
      </w:r>
      <w:r w:rsidR="00E26735" w:rsidRPr="00A74972">
        <w:rPr>
          <w:color w:val="auto"/>
        </w:rPr>
        <w:t>patient</w:t>
      </w:r>
      <w:r w:rsidR="7844A91F" w:rsidRPr="00A74972">
        <w:rPr>
          <w:color w:val="auto"/>
        </w:rPr>
        <w:t>’</w:t>
      </w:r>
      <w:r w:rsidR="00E26735" w:rsidRPr="00A74972">
        <w:rPr>
          <w:color w:val="auto"/>
        </w:rPr>
        <w:t>s</w:t>
      </w:r>
      <w:r w:rsidR="00D42D83" w:rsidRPr="00A74972" w:rsidDel="00E26735">
        <w:rPr>
          <w:color w:val="auto"/>
        </w:rPr>
        <w:t xml:space="preserve"> </w:t>
      </w:r>
      <w:r w:rsidR="00D42D83" w:rsidRPr="00A74972">
        <w:rPr>
          <w:color w:val="auto"/>
        </w:rPr>
        <w:t>eligib</w:t>
      </w:r>
      <w:r w:rsidR="00E26735" w:rsidRPr="00A74972">
        <w:rPr>
          <w:color w:val="auto"/>
        </w:rPr>
        <w:t xml:space="preserve">ility </w:t>
      </w:r>
      <w:r w:rsidR="00D42D83" w:rsidRPr="00A74972">
        <w:rPr>
          <w:color w:val="auto"/>
        </w:rPr>
        <w:t>for zolbetuximab in combination with fluoropyrimidine- and platinum-containing chemotherapy.</w:t>
      </w:r>
      <w:r w:rsidR="00A03445" w:rsidRPr="00A74972">
        <w:rPr>
          <w:color w:val="auto"/>
        </w:rPr>
        <w:t xml:space="preserve"> </w:t>
      </w:r>
    </w:p>
    <w:p w14:paraId="4819EAE8" w14:textId="632A14B8" w:rsidR="00A03445" w:rsidRPr="00A74972" w:rsidRDefault="00ED2864" w:rsidP="00D42D83">
      <w:pPr>
        <w:pStyle w:val="Instructionaltext"/>
        <w:rPr>
          <w:color w:val="auto"/>
        </w:rPr>
      </w:pPr>
      <w:r w:rsidRPr="00A74972">
        <w:rPr>
          <w:color w:val="auto"/>
        </w:rPr>
        <w:t>In normal gastric epithelial tissue, claudins in tight junctions are inaccessible from either the apical or basal surface, as they perform their role in tightly binding adjacent epithelial cells.</w:t>
      </w:r>
      <w:r w:rsidR="008F4B2E" w:rsidRPr="00A74972">
        <w:rPr>
          <w:color w:val="auto"/>
        </w:rPr>
        <w:t xml:space="preserve"> Malignant transformation in gastric cancer disrupts the tight junctions and normal cell polarity, resulting in aberrant cell surface exposure of CLDN18.2 epitopes</w:t>
      </w:r>
      <w:r w:rsidR="00ED5310" w:rsidRPr="00A74972">
        <w:rPr>
          <w:color w:val="auto"/>
        </w:rPr>
        <w:t>, exposed on the tumour cell surface in G/</w:t>
      </w:r>
      <w:r w:rsidR="00A85C54" w:rsidRPr="00A74972">
        <w:rPr>
          <w:color w:val="auto"/>
        </w:rPr>
        <w:t>GOJ</w:t>
      </w:r>
      <w:r w:rsidR="00ED5310" w:rsidRPr="00A74972">
        <w:rPr>
          <w:color w:val="auto"/>
        </w:rPr>
        <w:t xml:space="preserve"> tumour tissue. These CLDN18.2 epitopes may be targeted by monoclonal antibody therapies, such as </w:t>
      </w:r>
      <w:r w:rsidR="00A65DA0" w:rsidRPr="00A74972">
        <w:rPr>
          <w:color w:val="auto"/>
        </w:rPr>
        <w:t xml:space="preserve">zolbetuximab. </w:t>
      </w:r>
      <w:r w:rsidR="00A13E84" w:rsidRPr="00A74972">
        <w:rPr>
          <w:color w:val="auto"/>
        </w:rPr>
        <w:t xml:space="preserve">The prognostic effect of </w:t>
      </w:r>
      <w:r w:rsidR="001473E6" w:rsidRPr="00A74972">
        <w:rPr>
          <w:color w:val="auto"/>
        </w:rPr>
        <w:t>CLDN18.2</w:t>
      </w:r>
      <w:r w:rsidR="009309F2" w:rsidRPr="00A74972">
        <w:rPr>
          <w:color w:val="auto"/>
        </w:rPr>
        <w:t xml:space="preserve"> expression</w:t>
      </w:r>
      <w:r w:rsidR="00A13E84" w:rsidRPr="00A74972">
        <w:rPr>
          <w:color w:val="auto"/>
        </w:rPr>
        <w:t xml:space="preserve"> may be informative while evaluating the clinical efficacy of zolbetuximab. </w:t>
      </w:r>
      <w:r w:rsidR="00DF2A8A" w:rsidRPr="00A74972">
        <w:rPr>
          <w:color w:val="auto"/>
        </w:rPr>
        <w:t xml:space="preserve">There is some published evidence addressing the prognostic effect of CLDN18.2 expression in patients diagnosed with G/GOJ cancer. According to one study </w:t>
      </w:r>
      <w:r w:rsidR="00DF2A8A" w:rsidRPr="00A74972">
        <w:rPr>
          <w:color w:val="auto"/>
        </w:rPr>
        <w:fldChar w:fldCharType="begin"/>
      </w:r>
      <w:r w:rsidR="00DF2A8A" w:rsidRPr="00A74972">
        <w:rPr>
          <w:color w:val="auto"/>
        </w:rPr>
        <w:instrText xml:space="preserve"> ADDIN EN.CITE &lt;EndNote&gt;&lt;Cite&gt;&lt;Author&gt;Lu&lt;/Author&gt;&lt;Year&gt;2020&lt;/Year&gt;&lt;RecNum&gt;149&lt;/RecNum&gt;&lt;DisplayText&gt;(Lu et al. 2020)&lt;/DisplayText&gt;&lt;record&gt;&lt;rec-number&gt;149&lt;/rec-number&gt;&lt;foreign-keys&gt;&lt;key app="EN" db-id="efx9s5pw4fwez6ed5azp5ddz9xxarv0a9599" timestamp="1710980208" guid="78b0427b-c45c-4505-9100-57d9a1a10e05"&gt;149&lt;/key&gt;&lt;/foreign-keys&gt;&lt;ref-type name="Journal Article"&gt;17&lt;/ref-type&gt;&lt;contributors&gt;&lt;authors&gt;&lt;author&gt;Lu, Yufeng&lt;/author&gt;&lt;author&gt;Wu, Tielong&lt;/author&gt;&lt;author&gt;Sheng, Yingyue&lt;/author&gt;&lt;author&gt;Dai, Yuanyuan&lt;/author&gt;&lt;author&gt;Xia, Beilei&lt;/author&gt;&lt;author&gt;Xue, Yuzheng&lt;/author&gt;&lt;/authors&gt;&lt;/contributors&gt;&lt;titles&gt;&lt;title&gt;Correlation between Claudin-18 expression and clinicopathological features and prognosis in patients with gastric cancer&lt;/title&gt;&lt;secondary-title&gt;Journal of Gastrointestinal Oncology&lt;/secondary-title&gt;&lt;short-title&gt;Correlation between Claudin-18 expression and clinicopathological features and prognosis in patients with gastric cancer&lt;/short-title&gt;&lt;/titles&gt;&lt;periodical&gt;&lt;full-title&gt;Journal of Gastrointestinal Oncology&lt;/full-title&gt;&lt;/periodical&gt;&lt;pages&gt;1253-1260&lt;/pages&gt;&lt;volume&gt;11&lt;/volume&gt;&lt;number&gt;6&lt;/number&gt;&lt;dates&gt;&lt;year&gt;2020&lt;/year&gt;&lt;/dates&gt;&lt;isbn&gt;2219-679X&lt;/isbn&gt;&lt;urls&gt;&lt;related-urls&gt;&lt;url&gt;https://jgo.amegroups.org/article/view/47614&lt;/url&gt;&lt;/related-urls&gt;&lt;/urls&gt;&lt;/record&gt;&lt;/Cite&gt;&lt;/EndNote&gt;</w:instrText>
      </w:r>
      <w:r w:rsidR="00DF2A8A" w:rsidRPr="00A74972">
        <w:rPr>
          <w:color w:val="auto"/>
        </w:rPr>
        <w:fldChar w:fldCharType="separate"/>
      </w:r>
      <w:r w:rsidR="00DF2A8A" w:rsidRPr="00A74972">
        <w:rPr>
          <w:noProof/>
          <w:color w:val="auto"/>
        </w:rPr>
        <w:t>(Lu et al. 2020)</w:t>
      </w:r>
      <w:r w:rsidR="00DF2A8A" w:rsidRPr="00A74972">
        <w:rPr>
          <w:color w:val="auto"/>
        </w:rPr>
        <w:fldChar w:fldCharType="end"/>
      </w:r>
      <w:r w:rsidR="00DF2A8A" w:rsidRPr="00A74972">
        <w:rPr>
          <w:color w:val="auto"/>
        </w:rPr>
        <w:t>, low expression of Claudin-18</w:t>
      </w:r>
      <w:r w:rsidR="00DF2A8A" w:rsidRPr="00A74972">
        <w:rPr>
          <w:rFonts w:ascii="Helvetica" w:hAnsi="Helvetica"/>
          <w:color w:val="auto"/>
          <w:sz w:val="21"/>
          <w:szCs w:val="21"/>
          <w:shd w:val="clear" w:color="auto" w:fill="FFFFFF"/>
        </w:rPr>
        <w:t xml:space="preserve"> </w:t>
      </w:r>
      <w:r w:rsidR="00DF2A8A" w:rsidRPr="00A74972">
        <w:rPr>
          <w:color w:val="auto"/>
        </w:rPr>
        <w:t xml:space="preserve">indicated poor clinical prognosis of GC. Another study </w:t>
      </w:r>
      <w:r w:rsidR="00DF2A8A" w:rsidRPr="00A74972">
        <w:rPr>
          <w:color w:val="auto"/>
        </w:rPr>
        <w:fldChar w:fldCharType="begin"/>
      </w:r>
      <w:r w:rsidR="00DF2A8A" w:rsidRPr="00A74972">
        <w:rPr>
          <w:color w:val="auto"/>
        </w:rPr>
        <w:instrText xml:space="preserve"> ADDIN EN.CITE &lt;EndNote&gt;&lt;Cite&gt;&lt;Author&gt;Kayikcioglu&lt;/Author&gt;&lt;Year&gt;2023&lt;/Year&gt;&lt;RecNum&gt;150&lt;/RecNum&gt;&lt;DisplayText&gt;(Kayikcioglu et al. 2023)&lt;/DisplayText&gt;&lt;record&gt;&lt;rec-number&gt;150&lt;/rec-number&gt;&lt;foreign-keys&gt;&lt;key app="EN" db-id="efx9s5pw4fwez6ed5azp5ddz9xxarv0a9599" timestamp="1710980729" guid="47a02399-d63f-4a1e-97b7-e1a0fc786a51"&gt;150&lt;/key&gt;&lt;/foreign-keys&gt;&lt;ref-type name="Journal Article"&gt;17&lt;/ref-type&gt;&lt;contributors&gt;&lt;authors&gt;&lt;author&gt;Kayikcioglu, E.&lt;/author&gt;&lt;author&gt;Yüceer, R. O.&lt;/author&gt;&lt;author&gt;Cetin, B.&lt;/author&gt;&lt;author&gt;Yüceer, K.&lt;/author&gt;&lt;author&gt;Karahan, N.&lt;/author&gt;&lt;/authors&gt;&lt;/contributors&gt;&lt;auth-address&gt;Department of Medical Oncology, Suleyman Demirel University, Isparta 32260, Turkey. drkayikcioglu@yahoo.com.&amp;#xD;Department of Pathology, Isparta City Hospital, Isparta 32360, Turkey.&amp;#xD;Department of Internal Medicine, Suleyman Demirel University, Faculty of Medicine, Isparta 32360, Turkey.&amp;#xD;Department of Pathology, Suleyman Demirel University, Isparta 32360, Turkey.&lt;/auth-address&gt;&lt;titles&gt;&lt;title&gt;Prognostic value of claudin 18.2 expression in gastric adenocarcinoma&lt;/title&gt;&lt;secondary-title&gt;World J Gastrointest Oncol&lt;/secondary-title&gt;&lt;/titles&gt;&lt;periodical&gt;&lt;full-title&gt;World J Gastrointest Oncol&lt;/full-title&gt;&lt;/periodical&gt;&lt;pages&gt;343-351&lt;/pages&gt;&lt;volume&gt;15&lt;/volume&gt;&lt;number&gt;2&lt;/number&gt;&lt;keywords&gt;&lt;keyword&gt;Claudin 18.2&lt;/keyword&gt;&lt;keyword&gt;Clinicopathological characteristics&lt;/keyword&gt;&lt;keyword&gt;Gastric adenocarcinoma&lt;/keyword&gt;&lt;keyword&gt;Overall survival&lt;/keyword&gt;&lt;/keywords&gt;&lt;dates&gt;&lt;year&gt;2023&lt;/year&gt;&lt;pub-dates&gt;&lt;date&gt;Feb 15&lt;/date&gt;&lt;/pub-dates&gt;&lt;/dates&gt;&lt;isbn&gt;1948-5204 (Print)&lt;/isbn&gt;&lt;accession-num&gt;36908327&lt;/accession-num&gt;&lt;urls&gt;&lt;/urls&gt;&lt;custom1&gt;Conflict-of-interest statement: The authors declare no conflicts of interest.&lt;/custom1&gt;&lt;custom2&gt;PMC9994048&lt;/custom2&gt;&lt;electronic-resource-num&gt;10.4251/wjgo.v15.i2.343&lt;/electronic-resource-num&gt;&lt;remote-database-provider&gt;NLM&lt;/remote-database-provider&gt;&lt;language&gt;eng&lt;/language&gt;&lt;/record&gt;&lt;/Cite&gt;&lt;/EndNote&gt;</w:instrText>
      </w:r>
      <w:r w:rsidR="00DF2A8A" w:rsidRPr="00A74972">
        <w:rPr>
          <w:color w:val="auto"/>
        </w:rPr>
        <w:fldChar w:fldCharType="separate"/>
      </w:r>
      <w:r w:rsidR="00DF2A8A" w:rsidRPr="00A74972">
        <w:rPr>
          <w:noProof/>
          <w:color w:val="auto"/>
        </w:rPr>
        <w:t>(Kayikcioglu et al. 2023)</w:t>
      </w:r>
      <w:r w:rsidR="00DF2A8A" w:rsidRPr="00A74972">
        <w:rPr>
          <w:color w:val="auto"/>
        </w:rPr>
        <w:fldChar w:fldCharType="end"/>
      </w:r>
      <w:r w:rsidR="00DF2A8A" w:rsidRPr="00A74972">
        <w:rPr>
          <w:color w:val="auto"/>
        </w:rPr>
        <w:t xml:space="preserve"> which investigated the prognostic value of CLDN18.2 expression suggested </w:t>
      </w:r>
      <w:r w:rsidR="00DF2A8A" w:rsidRPr="00A74972">
        <w:rPr>
          <w:rFonts w:cs="Times New Roman"/>
          <w:color w:val="auto"/>
        </w:rPr>
        <w:t>CLDN18.2</w:t>
      </w:r>
      <w:r w:rsidR="00DF2A8A" w:rsidRPr="00A74972">
        <w:rPr>
          <w:color w:val="auto"/>
        </w:rPr>
        <w:t xml:space="preserve"> is </w:t>
      </w:r>
      <w:r w:rsidR="00DF2A8A" w:rsidRPr="00A74972">
        <w:rPr>
          <w:rFonts w:cs="Times New Roman"/>
          <w:color w:val="auto"/>
        </w:rPr>
        <w:t xml:space="preserve">not a prognostic marker in patients with gastric adenocarcinoma, although it is predictive. Evidence on the prognostic value of CLDN18.2 expression in patients with G/GOJ cancer may be informative and should be presented by the applicant when submitting the co-dependent technology </w:t>
      </w:r>
      <w:r w:rsidR="00047C04" w:rsidRPr="00A74972">
        <w:rPr>
          <w:rFonts w:cs="Times New Roman"/>
          <w:color w:val="auto"/>
        </w:rPr>
        <w:t xml:space="preserve">application </w:t>
      </w:r>
      <w:r w:rsidR="00DF2A8A" w:rsidRPr="00A74972">
        <w:rPr>
          <w:rFonts w:cs="Times New Roman"/>
          <w:color w:val="auto"/>
        </w:rPr>
        <w:t>to MSAC and PBAC.</w:t>
      </w:r>
    </w:p>
    <w:p w14:paraId="10A77FA4" w14:textId="716EC887" w:rsidR="00A62813" w:rsidRPr="00A74972" w:rsidRDefault="008C6B7E" w:rsidP="00D42D83">
      <w:pPr>
        <w:pStyle w:val="Instructionaltext"/>
        <w:rPr>
          <w:color w:val="auto"/>
        </w:rPr>
      </w:pPr>
      <w:r w:rsidRPr="00A74972">
        <w:rPr>
          <w:color w:val="auto"/>
        </w:rPr>
        <w:t>In the management of metastatic G/</w:t>
      </w:r>
      <w:r w:rsidR="00A85C54" w:rsidRPr="00A74972">
        <w:rPr>
          <w:color w:val="auto"/>
        </w:rPr>
        <w:t>GOJ</w:t>
      </w:r>
      <w:r w:rsidRPr="00A74972">
        <w:rPr>
          <w:color w:val="auto"/>
        </w:rPr>
        <w:t>C, taking biopsy specimens is currently part of standard practice and diagnostic work-up</w:t>
      </w:r>
      <w:r w:rsidR="00761CF7" w:rsidRPr="00A74972">
        <w:rPr>
          <w:color w:val="auto"/>
        </w:rPr>
        <w:t xml:space="preserve"> (MBS Item 30694)</w:t>
      </w:r>
      <w:r w:rsidRPr="00A74972">
        <w:rPr>
          <w:color w:val="auto"/>
        </w:rPr>
        <w:t>. The application proposed that CLDN18.2 expression testing can be carried out on the tissue sample</w:t>
      </w:r>
      <w:r w:rsidR="00881FD2" w:rsidRPr="00A74972">
        <w:rPr>
          <w:color w:val="auto"/>
        </w:rPr>
        <w:t xml:space="preserve"> used to establish</w:t>
      </w:r>
      <w:r w:rsidR="00A62813" w:rsidRPr="00A74972">
        <w:rPr>
          <w:color w:val="auto"/>
        </w:rPr>
        <w:t xml:space="preserve"> the initial</w:t>
      </w:r>
      <w:r w:rsidR="00881FD2" w:rsidRPr="00A74972">
        <w:rPr>
          <w:color w:val="auto"/>
        </w:rPr>
        <w:t xml:space="preserve"> diagnos</w:t>
      </w:r>
      <w:r w:rsidR="00A62813" w:rsidRPr="00A74972">
        <w:rPr>
          <w:color w:val="auto"/>
        </w:rPr>
        <w:t>is</w:t>
      </w:r>
      <w:r w:rsidR="00881FD2" w:rsidRPr="00A74972">
        <w:rPr>
          <w:color w:val="auto"/>
        </w:rPr>
        <w:t xml:space="preserve"> (</w:t>
      </w:r>
      <w:r w:rsidRPr="00A74972">
        <w:rPr>
          <w:color w:val="auto"/>
        </w:rPr>
        <w:t>G/</w:t>
      </w:r>
      <w:r w:rsidR="00A85C54" w:rsidRPr="00A74972">
        <w:rPr>
          <w:color w:val="auto"/>
        </w:rPr>
        <w:t>GOJ</w:t>
      </w:r>
      <w:r w:rsidRPr="00A74972">
        <w:rPr>
          <w:color w:val="auto"/>
        </w:rPr>
        <w:t>C</w:t>
      </w:r>
      <w:r w:rsidR="00881FD2" w:rsidRPr="00A74972">
        <w:rPr>
          <w:color w:val="auto"/>
        </w:rPr>
        <w:t>)</w:t>
      </w:r>
      <w:r w:rsidRPr="00A74972">
        <w:rPr>
          <w:color w:val="auto"/>
        </w:rPr>
        <w:t xml:space="preserve">. </w:t>
      </w:r>
      <w:r w:rsidR="000309A9" w:rsidRPr="00A74972">
        <w:rPr>
          <w:color w:val="auto"/>
        </w:rPr>
        <w:t xml:space="preserve"> </w:t>
      </w:r>
    </w:p>
    <w:p w14:paraId="10BDBF66" w14:textId="40B07B71" w:rsidR="000C02DB" w:rsidRPr="00A74972" w:rsidRDefault="00A167C6" w:rsidP="00D42D83">
      <w:pPr>
        <w:pStyle w:val="Instructionaltext"/>
        <w:rPr>
          <w:color w:val="auto"/>
        </w:rPr>
      </w:pPr>
      <w:r w:rsidRPr="00A74972">
        <w:rPr>
          <w:color w:val="auto"/>
        </w:rPr>
        <w:t xml:space="preserve">During the pre-PASC teleconference, the applicant stated there is </w:t>
      </w:r>
      <w:r w:rsidR="00977257" w:rsidRPr="00A74972">
        <w:rPr>
          <w:color w:val="auto"/>
        </w:rPr>
        <w:t>no evidence as to how long archival tissue can be held and remain viable for analysis of CLDN18.2 status (before fresh tissue is required)</w:t>
      </w:r>
      <w:r w:rsidR="00AE4CF3" w:rsidRPr="00A74972">
        <w:rPr>
          <w:color w:val="auto"/>
        </w:rPr>
        <w:t xml:space="preserve">, </w:t>
      </w:r>
      <w:r w:rsidR="006D1A7E">
        <w:rPr>
          <w:color w:val="auto"/>
        </w:rPr>
        <w:t>but that</w:t>
      </w:r>
      <w:r w:rsidR="00AE4CF3" w:rsidRPr="00A74972">
        <w:rPr>
          <w:color w:val="auto"/>
        </w:rPr>
        <w:t xml:space="preserve"> studies on this topic are underway</w:t>
      </w:r>
      <w:r w:rsidR="00A121D3" w:rsidRPr="00A74972">
        <w:rPr>
          <w:color w:val="auto"/>
        </w:rPr>
        <w:t xml:space="preserve"> and information is forthcoming</w:t>
      </w:r>
      <w:r w:rsidR="00977257" w:rsidRPr="00A74972">
        <w:rPr>
          <w:color w:val="auto"/>
        </w:rPr>
        <w:t>.</w:t>
      </w:r>
      <w:r w:rsidR="00576822" w:rsidRPr="00A74972">
        <w:rPr>
          <w:color w:val="auto"/>
        </w:rPr>
        <w:t xml:space="preserve"> </w:t>
      </w:r>
      <w:r w:rsidR="005C75F9" w:rsidRPr="00A74972">
        <w:rPr>
          <w:color w:val="auto"/>
        </w:rPr>
        <w:t>According to the application, s</w:t>
      </w:r>
      <w:r w:rsidR="00881FD2" w:rsidRPr="00A74972">
        <w:rPr>
          <w:color w:val="auto"/>
        </w:rPr>
        <w:t>amples in the phase III trial</w:t>
      </w:r>
      <w:r w:rsidR="00120758" w:rsidRPr="00A74972">
        <w:rPr>
          <w:color w:val="auto"/>
        </w:rPr>
        <w:t>s (GLOW and SPOTLIGHT)</w:t>
      </w:r>
      <w:r w:rsidR="00881FD2" w:rsidRPr="00A74972">
        <w:rPr>
          <w:color w:val="auto"/>
        </w:rPr>
        <w:t xml:space="preserve"> were primarily archival; however, in some cases fresh tissue was used</w:t>
      </w:r>
      <w:r w:rsidR="006802AF" w:rsidRPr="00A74972">
        <w:rPr>
          <w:color w:val="auto"/>
        </w:rPr>
        <w:t xml:space="preserve">. </w:t>
      </w:r>
      <w:r w:rsidR="00203F37">
        <w:rPr>
          <w:color w:val="auto"/>
        </w:rPr>
        <w:t>I</w:t>
      </w:r>
      <w:r w:rsidR="00B87D60" w:rsidRPr="00A74972">
        <w:rPr>
          <w:color w:val="auto"/>
        </w:rPr>
        <w:t xml:space="preserve">t is unclear whether fresh tissue samples would be required </w:t>
      </w:r>
      <w:r w:rsidR="00B87D60">
        <w:rPr>
          <w:color w:val="auto"/>
        </w:rPr>
        <w:t>f</w:t>
      </w:r>
      <w:r w:rsidR="007F7F66" w:rsidRPr="00A74972">
        <w:rPr>
          <w:color w:val="auto"/>
        </w:rPr>
        <w:t xml:space="preserve">or patients </w:t>
      </w:r>
      <w:r w:rsidR="0066173B" w:rsidRPr="00A74972">
        <w:rPr>
          <w:color w:val="auto"/>
        </w:rPr>
        <w:t xml:space="preserve">with </w:t>
      </w:r>
      <w:r w:rsidR="009D1BDA">
        <w:rPr>
          <w:color w:val="auto"/>
        </w:rPr>
        <w:t xml:space="preserve">previously diagnosed </w:t>
      </w:r>
      <w:r w:rsidR="00683D47" w:rsidRPr="00A74972">
        <w:rPr>
          <w:color w:val="auto"/>
        </w:rPr>
        <w:t>early</w:t>
      </w:r>
      <w:r w:rsidR="006C267E" w:rsidRPr="00A74972">
        <w:rPr>
          <w:color w:val="auto"/>
        </w:rPr>
        <w:t>-stage</w:t>
      </w:r>
      <w:r w:rsidR="00683D47" w:rsidRPr="00A74972">
        <w:rPr>
          <w:color w:val="auto"/>
        </w:rPr>
        <w:t xml:space="preserve"> disease </w:t>
      </w:r>
      <w:r w:rsidR="006C267E" w:rsidRPr="00A74972">
        <w:rPr>
          <w:color w:val="auto"/>
        </w:rPr>
        <w:t>w</w:t>
      </w:r>
      <w:r w:rsidR="008348E6">
        <w:rPr>
          <w:color w:val="auto"/>
        </w:rPr>
        <w:t>ho</w:t>
      </w:r>
      <w:r w:rsidR="006C267E" w:rsidRPr="00A74972">
        <w:rPr>
          <w:color w:val="auto"/>
        </w:rPr>
        <w:t xml:space="preserve"> </w:t>
      </w:r>
      <w:r w:rsidR="008348E6">
        <w:rPr>
          <w:color w:val="auto"/>
        </w:rPr>
        <w:t>have previously undergone</w:t>
      </w:r>
      <w:r w:rsidR="006C267E" w:rsidRPr="00A74972">
        <w:rPr>
          <w:color w:val="auto"/>
        </w:rPr>
        <w:t xml:space="preserve"> </w:t>
      </w:r>
      <w:r w:rsidR="00683D47" w:rsidRPr="00A74972">
        <w:rPr>
          <w:color w:val="auto"/>
        </w:rPr>
        <w:t>biopsy</w:t>
      </w:r>
      <w:r w:rsidR="008348E6">
        <w:rPr>
          <w:color w:val="auto"/>
        </w:rPr>
        <w:t xml:space="preserve">, diagnostic </w:t>
      </w:r>
      <w:r w:rsidR="00683D47" w:rsidRPr="00A74972">
        <w:rPr>
          <w:color w:val="auto"/>
        </w:rPr>
        <w:t>workup</w:t>
      </w:r>
      <w:r w:rsidR="001120DC">
        <w:rPr>
          <w:color w:val="auto"/>
        </w:rPr>
        <w:t xml:space="preserve"> and </w:t>
      </w:r>
      <w:r w:rsidR="00683D47" w:rsidRPr="00A74972">
        <w:rPr>
          <w:color w:val="auto"/>
        </w:rPr>
        <w:t>treatment</w:t>
      </w:r>
      <w:r w:rsidR="00A23E2C" w:rsidRPr="00A74972">
        <w:rPr>
          <w:color w:val="auto"/>
        </w:rPr>
        <w:t xml:space="preserve"> (</w:t>
      </w:r>
      <w:r w:rsidR="40A594F8" w:rsidRPr="491BDCB8">
        <w:rPr>
          <w:color w:val="auto"/>
        </w:rPr>
        <w:t xml:space="preserve">which may </w:t>
      </w:r>
      <w:r w:rsidR="00A23E2C" w:rsidRPr="491BDCB8">
        <w:rPr>
          <w:color w:val="auto"/>
        </w:rPr>
        <w:t>includ</w:t>
      </w:r>
      <w:r w:rsidR="523FC287" w:rsidRPr="491BDCB8">
        <w:rPr>
          <w:color w:val="auto"/>
        </w:rPr>
        <w:t>e</w:t>
      </w:r>
      <w:r w:rsidR="00A23E2C" w:rsidRPr="00A74972">
        <w:rPr>
          <w:color w:val="auto"/>
        </w:rPr>
        <w:t xml:space="preserve"> HER2 testing)</w:t>
      </w:r>
      <w:r w:rsidR="0066173B" w:rsidRPr="00A74972">
        <w:rPr>
          <w:color w:val="auto"/>
        </w:rPr>
        <w:t xml:space="preserve"> </w:t>
      </w:r>
      <w:r w:rsidR="00271D14">
        <w:rPr>
          <w:color w:val="auto"/>
        </w:rPr>
        <w:t>and who</w:t>
      </w:r>
      <w:r w:rsidR="00271D14" w:rsidRPr="00A74972">
        <w:rPr>
          <w:color w:val="auto"/>
        </w:rPr>
        <w:t xml:space="preserve"> </w:t>
      </w:r>
      <w:r w:rsidR="00203F37">
        <w:rPr>
          <w:color w:val="auto"/>
        </w:rPr>
        <w:t xml:space="preserve">have </w:t>
      </w:r>
      <w:r w:rsidR="000644AD" w:rsidRPr="00A74972">
        <w:rPr>
          <w:color w:val="auto"/>
        </w:rPr>
        <w:t>subsequently</w:t>
      </w:r>
      <w:r w:rsidR="00683D47" w:rsidRPr="00A74972">
        <w:rPr>
          <w:color w:val="auto"/>
        </w:rPr>
        <w:t xml:space="preserve"> experienced disease recurrence </w:t>
      </w:r>
      <w:r w:rsidR="00C1519E">
        <w:rPr>
          <w:color w:val="auto"/>
        </w:rPr>
        <w:t xml:space="preserve">which has progressed </w:t>
      </w:r>
      <w:r w:rsidR="0066173B" w:rsidRPr="00A74972">
        <w:rPr>
          <w:color w:val="auto"/>
        </w:rPr>
        <w:t xml:space="preserve">to </w:t>
      </w:r>
      <w:r w:rsidR="00683D47" w:rsidRPr="00A74972">
        <w:rPr>
          <w:color w:val="auto"/>
        </w:rPr>
        <w:t>the advanced/metastatic setting</w:t>
      </w:r>
      <w:r w:rsidR="00096FBA" w:rsidRPr="00A74972">
        <w:rPr>
          <w:color w:val="auto"/>
        </w:rPr>
        <w:t>. D</w:t>
      </w:r>
      <w:r w:rsidR="00197487" w:rsidRPr="00A74972">
        <w:rPr>
          <w:color w:val="auto"/>
        </w:rPr>
        <w:t xml:space="preserve">isease recurrence </w:t>
      </w:r>
      <w:r w:rsidR="00F1437B" w:rsidRPr="00A74972">
        <w:rPr>
          <w:color w:val="auto"/>
        </w:rPr>
        <w:t xml:space="preserve">may be diagnosed through needle </w:t>
      </w:r>
      <w:r w:rsidR="00B40EAF" w:rsidRPr="00A74972">
        <w:rPr>
          <w:color w:val="auto"/>
        </w:rPr>
        <w:t xml:space="preserve">aspiration </w:t>
      </w:r>
      <w:r w:rsidR="007A689F" w:rsidRPr="00A74972">
        <w:rPr>
          <w:color w:val="auto"/>
        </w:rPr>
        <w:t>cytology</w:t>
      </w:r>
      <w:r w:rsidR="007B0B2C" w:rsidRPr="00A74972">
        <w:rPr>
          <w:color w:val="auto"/>
        </w:rPr>
        <w:t xml:space="preserve"> (e.g., lymph node or liver/lung/bone metastases)</w:t>
      </w:r>
      <w:r w:rsidR="00F1437B" w:rsidRPr="00A74972">
        <w:rPr>
          <w:color w:val="auto"/>
        </w:rPr>
        <w:t>, which is not traditionally amenable to IHC testing.</w:t>
      </w:r>
      <w:r w:rsidR="009406D1" w:rsidRPr="00A74972">
        <w:rPr>
          <w:color w:val="auto"/>
        </w:rPr>
        <w:t xml:space="preserve"> There is no known role for CLDN18.2 testing in monitoring a patient’s response to zolbetuximab treatment.</w:t>
      </w:r>
    </w:p>
    <w:p w14:paraId="4F0E78CE" w14:textId="39444C31" w:rsidR="006E0FAC" w:rsidRPr="00A74972" w:rsidRDefault="0F989AE8" w:rsidP="00C643D1">
      <w:pPr>
        <w:pStyle w:val="Instructionaltext"/>
        <w:rPr>
          <w:color w:val="auto"/>
        </w:rPr>
      </w:pPr>
      <w:r w:rsidRPr="00A74972">
        <w:rPr>
          <w:color w:val="auto"/>
        </w:rPr>
        <w:t xml:space="preserve">IHC testing is a well-established technique in all major pathology </w:t>
      </w:r>
      <w:r w:rsidR="71083FA2" w:rsidRPr="00A74972">
        <w:rPr>
          <w:color w:val="auto"/>
        </w:rPr>
        <w:t>lab</w:t>
      </w:r>
      <w:r w:rsidR="3E960A35" w:rsidRPr="00A74972">
        <w:rPr>
          <w:color w:val="auto"/>
        </w:rPr>
        <w:t>oratorie</w:t>
      </w:r>
      <w:r w:rsidR="71083FA2" w:rsidRPr="00A74972">
        <w:rPr>
          <w:color w:val="auto"/>
        </w:rPr>
        <w:t>s and</w:t>
      </w:r>
      <w:r w:rsidR="7114E241" w:rsidRPr="00A74972">
        <w:rPr>
          <w:color w:val="auto"/>
        </w:rPr>
        <w:t xml:space="preserve"> is currently performed on this target population to determine HER2 </w:t>
      </w:r>
      <w:r w:rsidR="00087056">
        <w:rPr>
          <w:color w:val="auto"/>
        </w:rPr>
        <w:t>status</w:t>
      </w:r>
      <w:r w:rsidR="00087056" w:rsidRPr="00A74972">
        <w:rPr>
          <w:color w:val="auto"/>
        </w:rPr>
        <w:t xml:space="preserve"> </w:t>
      </w:r>
      <w:r w:rsidR="36A7AE52" w:rsidRPr="00A74972">
        <w:rPr>
          <w:color w:val="auto"/>
        </w:rPr>
        <w:t>(MBS Item 72848)</w:t>
      </w:r>
      <w:r w:rsidRPr="00A74972">
        <w:rPr>
          <w:color w:val="auto"/>
        </w:rPr>
        <w:t xml:space="preserve">. </w:t>
      </w:r>
      <w:r w:rsidR="19590AAB" w:rsidRPr="00A74972">
        <w:rPr>
          <w:color w:val="auto"/>
        </w:rPr>
        <w:t xml:space="preserve">Therefore, </w:t>
      </w:r>
      <w:r w:rsidR="007A3D33">
        <w:rPr>
          <w:color w:val="auto"/>
        </w:rPr>
        <w:t>these</w:t>
      </w:r>
      <w:r w:rsidR="19590AAB" w:rsidRPr="00A74972">
        <w:rPr>
          <w:color w:val="auto"/>
        </w:rPr>
        <w:t xml:space="preserve"> l</w:t>
      </w:r>
      <w:r w:rsidRPr="00A74972">
        <w:rPr>
          <w:color w:val="auto"/>
        </w:rPr>
        <w:t>aboratories already have the platform infrastructure to perform CLDN18.2 IHC testing. The relevant re</w:t>
      </w:r>
      <w:r w:rsidR="40B11A3D" w:rsidRPr="00A74972">
        <w:rPr>
          <w:color w:val="auto"/>
        </w:rPr>
        <w:t>a</w:t>
      </w:r>
      <w:r w:rsidRPr="00A74972">
        <w:rPr>
          <w:color w:val="auto"/>
        </w:rPr>
        <w:t>gents</w:t>
      </w:r>
      <w:r w:rsidR="1D5B1FEE" w:rsidRPr="00A74972">
        <w:rPr>
          <w:color w:val="auto"/>
        </w:rPr>
        <w:t xml:space="preserve"> (including </w:t>
      </w:r>
      <w:r w:rsidR="1D5B1FEE" w:rsidRPr="00A74972">
        <w:rPr>
          <w:color w:val="auto"/>
        </w:rPr>
        <w:lastRenderedPageBreak/>
        <w:t>the CLDN18.2 antibody)</w:t>
      </w:r>
      <w:r w:rsidRPr="00A74972">
        <w:rPr>
          <w:color w:val="auto"/>
        </w:rPr>
        <w:t xml:space="preserve"> will be available upon listing of </w:t>
      </w:r>
      <w:r w:rsidR="786C5D5A" w:rsidRPr="00A74972">
        <w:rPr>
          <w:color w:val="auto"/>
        </w:rPr>
        <w:t xml:space="preserve">the </w:t>
      </w:r>
      <w:r w:rsidRPr="00A74972">
        <w:rPr>
          <w:color w:val="auto"/>
        </w:rPr>
        <w:t>VENTANA CLDN18 (43-14A) RxDx Assay on the ARTG.</w:t>
      </w:r>
      <w:r w:rsidR="3EF0CB2A" w:rsidRPr="00A74972">
        <w:rPr>
          <w:color w:val="auto"/>
        </w:rPr>
        <w:t xml:space="preserve"> A certified pathologist would be responsible for conducting the testing and reporting of results.</w:t>
      </w:r>
      <w:r w:rsidR="4CA87BC0" w:rsidRPr="00A74972">
        <w:rPr>
          <w:color w:val="auto"/>
        </w:rPr>
        <w:t xml:space="preserve"> </w:t>
      </w:r>
      <w:r w:rsidR="74A8AA13" w:rsidRPr="00A74972">
        <w:rPr>
          <w:color w:val="auto"/>
        </w:rPr>
        <w:t xml:space="preserve">It is proposed that CLDN18.2 IHC testing be carried out in a pathology laboratory </w:t>
      </w:r>
      <w:r w:rsidR="5DF276B5" w:rsidRPr="00A74972">
        <w:rPr>
          <w:color w:val="auto"/>
        </w:rPr>
        <w:t xml:space="preserve">meeting the appropriate </w:t>
      </w:r>
      <w:r w:rsidR="55A82BCC" w:rsidRPr="00A74972">
        <w:rPr>
          <w:color w:val="auto"/>
        </w:rPr>
        <w:t>accreditation</w:t>
      </w:r>
      <w:r w:rsidR="5DF276B5" w:rsidRPr="00A74972">
        <w:rPr>
          <w:color w:val="auto"/>
        </w:rPr>
        <w:t xml:space="preserve"> standards. </w:t>
      </w:r>
    </w:p>
    <w:p w14:paraId="7AAA0950" w14:textId="084B5B16" w:rsidR="0DA851DA" w:rsidRPr="00A74972" w:rsidRDefault="6235E6C3" w:rsidP="05B94198">
      <w:pPr>
        <w:spacing w:after="120"/>
        <w:jc w:val="both"/>
        <w:rPr>
          <w:rFonts w:asciiTheme="minorHAnsi" w:hAnsiTheme="minorHAnsi" w:cstheme="minorBidi"/>
        </w:rPr>
      </w:pPr>
      <w:r w:rsidRPr="00A74972">
        <w:t>The application stated that pathologist training and quality assurance programs would be developed with respect to delivery of diagnostic tests for access to treatments targeting the CLDN18.2 pathway on the PBS. This would address interpretation of the test results for CLDN18.2 positivity specific to the Ventana® CLDN18 (43-14A) RxDx Assay.</w:t>
      </w:r>
      <w:r w:rsidRPr="00A74972">
        <w:rPr>
          <w:rFonts w:asciiTheme="minorHAnsi" w:hAnsiTheme="minorHAnsi" w:cstheme="minorBidi"/>
        </w:rPr>
        <w:t xml:space="preserve"> In addition, </w:t>
      </w:r>
      <w:r w:rsidR="347A6A40" w:rsidRPr="00A74972">
        <w:rPr>
          <w:rFonts w:asciiTheme="minorHAnsi" w:hAnsiTheme="minorHAnsi" w:cstheme="minorBidi"/>
        </w:rPr>
        <w:t>the applicant</w:t>
      </w:r>
      <w:r w:rsidRPr="00A74972">
        <w:rPr>
          <w:rFonts w:asciiTheme="minorHAnsi" w:hAnsiTheme="minorHAnsi" w:cstheme="minorBidi"/>
        </w:rPr>
        <w:t xml:space="preserve"> is planning to facilitate one-day peer-to-peer workshops for Australian pathologists, with training effectiveness </w:t>
      </w:r>
      <w:r w:rsidR="06E78F79" w:rsidRPr="00A74972">
        <w:rPr>
          <w:rFonts w:asciiTheme="minorHAnsi" w:hAnsiTheme="minorHAnsi" w:cstheme="minorBidi"/>
        </w:rPr>
        <w:t xml:space="preserve">assessed </w:t>
      </w:r>
      <w:r w:rsidR="5CF0E1A9" w:rsidRPr="00A74972">
        <w:rPr>
          <w:rFonts w:asciiTheme="minorHAnsi" w:hAnsiTheme="minorHAnsi" w:cstheme="minorBidi"/>
        </w:rPr>
        <w:t xml:space="preserve">for </w:t>
      </w:r>
      <w:r w:rsidRPr="00A74972">
        <w:rPr>
          <w:rFonts w:asciiTheme="minorHAnsi" w:hAnsiTheme="minorHAnsi" w:cstheme="minorBidi"/>
        </w:rPr>
        <w:t xml:space="preserve">those who participate. </w:t>
      </w:r>
      <w:r w:rsidR="00E8168D" w:rsidRPr="00A74972">
        <w:rPr>
          <w:rFonts w:asciiTheme="minorHAnsi" w:hAnsiTheme="minorHAnsi" w:cstheme="minorBidi"/>
        </w:rPr>
        <w:t xml:space="preserve">The applicant claimed that this process would </w:t>
      </w:r>
      <w:r w:rsidRPr="00A74972">
        <w:rPr>
          <w:rFonts w:asciiTheme="minorHAnsi" w:hAnsiTheme="minorHAnsi" w:cstheme="minorBidi"/>
        </w:rPr>
        <w:t>result in pathologists having greater experience in performing the test and applying the scoring methods</w:t>
      </w:r>
      <w:r w:rsidR="4B14684C" w:rsidRPr="00A74972">
        <w:rPr>
          <w:rFonts w:cs="Calibri"/>
        </w:rPr>
        <w:t xml:space="preserve"> in a manner that will help to ensure consistency between laboratories</w:t>
      </w:r>
      <w:r w:rsidRPr="00A74972">
        <w:rPr>
          <w:rFonts w:asciiTheme="minorHAnsi" w:hAnsiTheme="minorHAnsi" w:cstheme="minorBidi"/>
        </w:rPr>
        <w:t>.</w:t>
      </w:r>
    </w:p>
    <w:p w14:paraId="2FF87DAA" w14:textId="1F15DC02" w:rsidR="000C1DD7" w:rsidRPr="00A74972" w:rsidRDefault="008A00F7" w:rsidP="00C643D1">
      <w:pPr>
        <w:pStyle w:val="Instructionaltext"/>
        <w:rPr>
          <w:color w:val="auto"/>
        </w:rPr>
      </w:pPr>
      <w:r w:rsidRPr="00A74972">
        <w:rPr>
          <w:color w:val="auto"/>
        </w:rPr>
        <w:t>In the absence of the proposed test</w:t>
      </w:r>
      <w:r w:rsidR="00B33797" w:rsidRPr="00A74972">
        <w:rPr>
          <w:color w:val="auto"/>
        </w:rPr>
        <w:t xml:space="preserve"> and therapy</w:t>
      </w:r>
      <w:r w:rsidRPr="00A74972">
        <w:rPr>
          <w:color w:val="auto"/>
        </w:rPr>
        <w:t xml:space="preserve">, all patients with locally advanced unresectable or metastatic HER2-negative G/GOJ adenocarcinoma would </w:t>
      </w:r>
      <w:r w:rsidR="00C12D74" w:rsidRPr="00A74972">
        <w:rPr>
          <w:color w:val="auto"/>
        </w:rPr>
        <w:t>be</w:t>
      </w:r>
      <w:r w:rsidRPr="00A74972">
        <w:rPr>
          <w:color w:val="auto"/>
        </w:rPr>
        <w:t xml:space="preserve"> eligible to receive nivolumab in combination with chemotherapy</w:t>
      </w:r>
      <w:r w:rsidR="00386BF7" w:rsidRPr="00A74972">
        <w:rPr>
          <w:color w:val="auto"/>
        </w:rPr>
        <w:t xml:space="preserve"> containing at least a fluoropyrimidine drug plus a platinum drug</w:t>
      </w:r>
      <w:r w:rsidRPr="00A74972">
        <w:rPr>
          <w:color w:val="auto"/>
        </w:rPr>
        <w:t xml:space="preserve">, if not otherwise contraindicated (PBS </w:t>
      </w:r>
      <w:r w:rsidR="00BE5889" w:rsidRPr="00A74972">
        <w:rPr>
          <w:color w:val="auto"/>
        </w:rPr>
        <w:t>code</w:t>
      </w:r>
      <w:r w:rsidRPr="00A74972">
        <w:rPr>
          <w:color w:val="auto"/>
        </w:rPr>
        <w:t xml:space="preserve"> </w:t>
      </w:r>
      <w:r w:rsidR="00BE5889" w:rsidRPr="00A74972">
        <w:rPr>
          <w:color w:val="auto"/>
        </w:rPr>
        <w:t>13121NMP</w:t>
      </w:r>
      <w:r w:rsidRPr="00A74972">
        <w:rPr>
          <w:color w:val="auto"/>
        </w:rPr>
        <w:t xml:space="preserve">).  </w:t>
      </w:r>
    </w:p>
    <w:p w14:paraId="6E83ED53" w14:textId="43C49BF6" w:rsidR="00310A87" w:rsidRPr="00650B5B" w:rsidRDefault="00310A87" w:rsidP="00C643D1">
      <w:pPr>
        <w:pStyle w:val="Instructionaltext"/>
        <w:rPr>
          <w:i/>
          <w:iCs/>
          <w:color w:val="auto"/>
        </w:rPr>
      </w:pPr>
      <w:r w:rsidRPr="00C80DDB">
        <w:rPr>
          <w:rStyle w:val="normaltextrun"/>
          <w:i/>
          <w:iCs/>
          <w:color w:val="auto"/>
        </w:rPr>
        <w:t>PASC noted the application assumed zolbetuximab would have an uptake rate of 95% of eligible patients with tumours found to be CLDN18.2+. Both PASC and the applicant’s clinical expert agreed this was an unrealistically high uptake rate in the context of a new, non-inferior treatment option. PASC considered that it may take time to change the prescribing behaviour of oncologists. Therefore, it is expected only a minority of patients who are CLDN18.2+ will receive zolbetuximab initially, and many CLDN18.2+ patients will receive nivolumab. However, it may be reasonable to anticipate a graduated increase in the uptake rate for each subsequent year zolbetuximab is listed.</w:t>
      </w:r>
    </w:p>
    <w:p w14:paraId="665B0675" w14:textId="5FDFCB88" w:rsidR="007A66C8" w:rsidRPr="009D5DBB" w:rsidRDefault="007A66C8" w:rsidP="00713728">
      <w:pPr>
        <w:pStyle w:val="Heading3"/>
        <w:rPr>
          <w:iCs/>
        </w:rPr>
      </w:pPr>
      <w:r w:rsidRPr="009D5DBB">
        <w:rPr>
          <w:iCs/>
        </w:rPr>
        <w:t>Comparator</w:t>
      </w:r>
      <w:r w:rsidR="007D6B83" w:rsidRPr="009D5DBB">
        <w:rPr>
          <w:iCs/>
        </w:rPr>
        <w:t>(</w:t>
      </w:r>
      <w:r w:rsidR="008F1532" w:rsidRPr="009D5DBB">
        <w:rPr>
          <w:iCs/>
        </w:rPr>
        <w:t>s</w:t>
      </w:r>
      <w:r w:rsidR="007D6B83" w:rsidRPr="009D5DBB">
        <w:rPr>
          <w:iCs/>
        </w:rPr>
        <w:t>)</w:t>
      </w:r>
    </w:p>
    <w:p w14:paraId="43B49D87" w14:textId="0CBE3A8D" w:rsidR="00B90D05" w:rsidRPr="00A74972" w:rsidRDefault="000309A9" w:rsidP="00FD0BD7">
      <w:pPr>
        <w:spacing w:after="120"/>
        <w:rPr>
          <w:rFonts w:asciiTheme="minorHAnsi" w:hAnsiTheme="minorHAnsi" w:cstheme="minorBidi"/>
        </w:rPr>
      </w:pPr>
      <w:r w:rsidRPr="00A74972">
        <w:rPr>
          <w:rFonts w:asciiTheme="minorHAnsi" w:hAnsiTheme="minorHAnsi" w:cstheme="minorBidi"/>
        </w:rPr>
        <w:t>The c</w:t>
      </w:r>
      <w:r w:rsidR="00FB4244" w:rsidRPr="00A74972">
        <w:rPr>
          <w:rFonts w:asciiTheme="minorHAnsi" w:hAnsiTheme="minorHAnsi" w:cstheme="minorBidi"/>
        </w:rPr>
        <w:t>omparator</w:t>
      </w:r>
      <w:r w:rsidRPr="00A74972">
        <w:rPr>
          <w:rFonts w:asciiTheme="minorHAnsi" w:hAnsiTheme="minorHAnsi" w:cstheme="minorBidi"/>
        </w:rPr>
        <w:t xml:space="preserve"> proposed by the </w:t>
      </w:r>
      <w:r w:rsidR="00EF70A5" w:rsidRPr="00A74972">
        <w:rPr>
          <w:rFonts w:asciiTheme="minorHAnsi" w:hAnsiTheme="minorHAnsi" w:cstheme="minorBidi"/>
        </w:rPr>
        <w:t>application</w:t>
      </w:r>
      <w:r w:rsidRPr="00A74972">
        <w:rPr>
          <w:rFonts w:asciiTheme="minorHAnsi" w:hAnsiTheme="minorHAnsi" w:cstheme="minorBidi"/>
        </w:rPr>
        <w:t xml:space="preserve"> is </w:t>
      </w:r>
      <w:r w:rsidR="00FB4244" w:rsidRPr="00A74972">
        <w:rPr>
          <w:rFonts w:asciiTheme="minorHAnsi" w:hAnsiTheme="minorHAnsi" w:cstheme="minorBidi"/>
        </w:rPr>
        <w:t>“</w:t>
      </w:r>
      <w:r w:rsidR="00284874" w:rsidRPr="00A74972">
        <w:rPr>
          <w:rFonts w:asciiTheme="minorHAnsi" w:hAnsiTheme="minorHAnsi" w:cstheme="minorBidi"/>
        </w:rPr>
        <w:t xml:space="preserve">no </w:t>
      </w:r>
      <w:r w:rsidR="00FB4244" w:rsidRPr="00A74972">
        <w:rPr>
          <w:rFonts w:asciiTheme="minorHAnsi" w:hAnsiTheme="minorHAnsi" w:cstheme="minorBidi"/>
        </w:rPr>
        <w:t xml:space="preserve">testing”, as testing for CLDN18.2 is not currently funded, nor available </w:t>
      </w:r>
      <w:r w:rsidR="00233E99" w:rsidRPr="00A74972">
        <w:rPr>
          <w:rFonts w:asciiTheme="minorHAnsi" w:hAnsiTheme="minorHAnsi" w:cstheme="minorBidi"/>
        </w:rPr>
        <w:t>in Australia</w:t>
      </w:r>
      <w:r w:rsidR="00C76D27" w:rsidRPr="00A74972">
        <w:rPr>
          <w:rFonts w:asciiTheme="minorHAnsi" w:hAnsiTheme="minorHAnsi" w:cstheme="minorBidi"/>
        </w:rPr>
        <w:t xml:space="preserve"> (</w:t>
      </w:r>
      <w:r w:rsidR="00352F89" w:rsidRPr="00A74972">
        <w:rPr>
          <w:rFonts w:asciiTheme="minorHAnsi" w:hAnsiTheme="minorHAnsi" w:cstheme="minorBidi"/>
        </w:rPr>
        <w:t>currently under</w:t>
      </w:r>
      <w:r w:rsidR="00C76D27" w:rsidRPr="00A74972">
        <w:rPr>
          <w:rFonts w:asciiTheme="minorHAnsi" w:hAnsiTheme="minorHAnsi" w:cstheme="minorBidi"/>
        </w:rPr>
        <w:t xml:space="preserve"> TGA </w:t>
      </w:r>
      <w:r w:rsidR="00352F89" w:rsidRPr="00A74972">
        <w:rPr>
          <w:rFonts w:asciiTheme="minorHAnsi" w:hAnsiTheme="minorHAnsi" w:cstheme="minorBidi"/>
        </w:rPr>
        <w:t>review</w:t>
      </w:r>
      <w:r w:rsidR="00C76D27" w:rsidRPr="00A74972">
        <w:rPr>
          <w:rFonts w:asciiTheme="minorHAnsi" w:hAnsiTheme="minorHAnsi" w:cstheme="minorBidi"/>
        </w:rPr>
        <w:t>)</w:t>
      </w:r>
      <w:r w:rsidR="00FB4244" w:rsidRPr="00A74972">
        <w:rPr>
          <w:rFonts w:asciiTheme="minorHAnsi" w:hAnsiTheme="minorHAnsi" w:cstheme="minorBidi"/>
        </w:rPr>
        <w:t>.</w:t>
      </w:r>
      <w:r w:rsidR="008A00F7" w:rsidRPr="00A74972">
        <w:rPr>
          <w:rFonts w:asciiTheme="minorHAnsi" w:hAnsiTheme="minorHAnsi" w:cstheme="minorBidi"/>
        </w:rPr>
        <w:t xml:space="preserve"> Patients </w:t>
      </w:r>
      <w:r w:rsidR="00AC7EA3">
        <w:rPr>
          <w:rFonts w:asciiTheme="minorHAnsi" w:hAnsiTheme="minorHAnsi" w:cstheme="minorBidi"/>
        </w:rPr>
        <w:t>with tumours that</w:t>
      </w:r>
      <w:r w:rsidR="00937EAC">
        <w:rPr>
          <w:rFonts w:asciiTheme="minorHAnsi" w:hAnsiTheme="minorHAnsi" w:cstheme="minorBidi"/>
        </w:rPr>
        <w:t xml:space="preserve"> </w:t>
      </w:r>
      <w:r w:rsidR="00EE200F">
        <w:rPr>
          <w:rFonts w:asciiTheme="minorHAnsi" w:hAnsiTheme="minorHAnsi" w:cstheme="minorBidi"/>
        </w:rPr>
        <w:t xml:space="preserve">are </w:t>
      </w:r>
      <w:r w:rsidR="00937EAC">
        <w:rPr>
          <w:rFonts w:asciiTheme="minorHAnsi" w:hAnsiTheme="minorHAnsi" w:cstheme="minorBidi"/>
        </w:rPr>
        <w:t>HER</w:t>
      </w:r>
      <w:r w:rsidR="00E2585D">
        <w:rPr>
          <w:rFonts w:asciiTheme="minorHAnsi" w:hAnsiTheme="minorHAnsi" w:cstheme="minorBidi"/>
        </w:rPr>
        <w:t>2-</w:t>
      </w:r>
      <w:r w:rsidR="0031241A">
        <w:rPr>
          <w:rFonts w:asciiTheme="minorHAnsi" w:hAnsiTheme="minorHAnsi" w:cstheme="minorBidi"/>
        </w:rPr>
        <w:t>negative</w:t>
      </w:r>
      <w:r w:rsidR="00E2585D">
        <w:rPr>
          <w:rFonts w:asciiTheme="minorHAnsi" w:hAnsiTheme="minorHAnsi" w:cstheme="minorBidi"/>
        </w:rPr>
        <w:t xml:space="preserve"> but</w:t>
      </w:r>
      <w:r w:rsidR="008A00F7" w:rsidRPr="00A74972">
        <w:rPr>
          <w:rFonts w:asciiTheme="minorHAnsi" w:hAnsiTheme="minorHAnsi" w:cstheme="minorBidi"/>
        </w:rPr>
        <w:t xml:space="preserve"> are not tested </w:t>
      </w:r>
      <w:r w:rsidR="00E2585D">
        <w:rPr>
          <w:rFonts w:asciiTheme="minorHAnsi" w:hAnsiTheme="minorHAnsi" w:cstheme="minorBidi"/>
        </w:rPr>
        <w:t xml:space="preserve">for CLDN18.2 </w:t>
      </w:r>
      <w:r w:rsidR="008A00F7" w:rsidRPr="00A74972">
        <w:rPr>
          <w:rFonts w:asciiTheme="minorHAnsi" w:hAnsiTheme="minorHAnsi" w:cstheme="minorBidi"/>
        </w:rPr>
        <w:t>will be eligible for n</w:t>
      </w:r>
      <w:r w:rsidR="00DE1DAD" w:rsidRPr="00A74972">
        <w:rPr>
          <w:rFonts w:asciiTheme="minorHAnsi" w:hAnsiTheme="minorHAnsi" w:cstheme="minorBidi"/>
        </w:rPr>
        <w:t>ivolumab in combination with chemotherapy, for example, FOLFOX (oxaliplatin + folinic acid + fluorouracil). There is no recommendation for one specific chemotherapy. The choice of regimen depends on patient characteristics, previous treatment and clinician choice.</w:t>
      </w:r>
      <w:r w:rsidR="009E525D" w:rsidRPr="00A74972">
        <w:rPr>
          <w:rFonts w:asciiTheme="minorHAnsi" w:hAnsiTheme="minorHAnsi" w:cstheme="minorBidi"/>
        </w:rPr>
        <w:t xml:space="preserve"> Nivolumab was </w:t>
      </w:r>
      <w:r w:rsidR="00041FE4" w:rsidRPr="00A74972">
        <w:rPr>
          <w:rFonts w:asciiTheme="minorHAnsi" w:hAnsiTheme="minorHAnsi" w:cstheme="minorBidi"/>
        </w:rPr>
        <w:t>the first immunotherapy to be listed on the PBS for the treatment of the target population</w:t>
      </w:r>
      <w:r w:rsidR="008A00F7" w:rsidRPr="00A74972">
        <w:rPr>
          <w:rFonts w:asciiTheme="minorHAnsi" w:hAnsiTheme="minorHAnsi" w:cstheme="minorBidi"/>
        </w:rPr>
        <w:t>:</w:t>
      </w:r>
      <w:r w:rsidR="00041FE4" w:rsidRPr="00A74972">
        <w:rPr>
          <w:rFonts w:asciiTheme="minorHAnsi" w:hAnsiTheme="minorHAnsi" w:cstheme="minorBidi"/>
        </w:rPr>
        <w:t xml:space="preserve"> recommended by the PBAC in March 2022 and PBS listed 1 October 2022.</w:t>
      </w:r>
      <w:r w:rsidR="00B90D05" w:rsidRPr="00A74972">
        <w:rPr>
          <w:rFonts w:asciiTheme="minorHAnsi" w:hAnsiTheme="minorHAnsi" w:cstheme="minorBidi"/>
        </w:rPr>
        <w:t xml:space="preserve"> </w:t>
      </w:r>
      <w:r w:rsidR="006E798F" w:rsidRPr="00A74972">
        <w:rPr>
          <w:rFonts w:asciiTheme="minorHAnsi" w:hAnsiTheme="minorHAnsi" w:cstheme="minorBidi"/>
        </w:rPr>
        <w:t>It is</w:t>
      </w:r>
      <w:r w:rsidR="00B90D05" w:rsidRPr="00A74972">
        <w:rPr>
          <w:rFonts w:asciiTheme="minorHAnsi" w:hAnsiTheme="minorHAnsi" w:cstheme="minorBidi"/>
        </w:rPr>
        <w:t xml:space="preserve"> note</w:t>
      </w:r>
      <w:r w:rsidR="00D25E81" w:rsidRPr="00A74972">
        <w:rPr>
          <w:rFonts w:asciiTheme="minorHAnsi" w:hAnsiTheme="minorHAnsi" w:cstheme="minorBidi"/>
        </w:rPr>
        <w:t>d</w:t>
      </w:r>
      <w:r w:rsidR="00B90D05" w:rsidRPr="00A74972">
        <w:rPr>
          <w:rFonts w:asciiTheme="minorHAnsi" w:hAnsiTheme="minorHAnsi" w:cstheme="minorBidi"/>
        </w:rPr>
        <w:t xml:space="preserve"> </w:t>
      </w:r>
      <w:r w:rsidR="00127BA2" w:rsidRPr="00A74972">
        <w:rPr>
          <w:rFonts w:asciiTheme="minorHAnsi" w:hAnsiTheme="minorHAnsi" w:cstheme="minorBidi"/>
        </w:rPr>
        <w:t>that</w:t>
      </w:r>
      <w:r w:rsidR="00B90D05" w:rsidRPr="00A74972">
        <w:rPr>
          <w:rFonts w:asciiTheme="minorHAnsi" w:hAnsiTheme="minorHAnsi" w:cstheme="minorBidi"/>
        </w:rPr>
        <w:t xml:space="preserve"> pembrolizumab</w:t>
      </w:r>
      <w:r w:rsidR="00127BA2" w:rsidRPr="00A74972">
        <w:rPr>
          <w:rFonts w:asciiTheme="minorHAnsi" w:hAnsiTheme="minorHAnsi" w:cstheme="minorBidi"/>
        </w:rPr>
        <w:t xml:space="preserve">, </w:t>
      </w:r>
      <w:r w:rsidR="006E798F" w:rsidRPr="00A74972">
        <w:rPr>
          <w:rFonts w:asciiTheme="minorHAnsi" w:hAnsiTheme="minorHAnsi" w:cstheme="minorBidi"/>
        </w:rPr>
        <w:t>an immune checkpoint inhibitor</w:t>
      </w:r>
      <w:r w:rsidR="001D48DC" w:rsidRPr="00A74972">
        <w:rPr>
          <w:rFonts w:asciiTheme="minorHAnsi" w:hAnsiTheme="minorHAnsi" w:cstheme="minorBidi"/>
        </w:rPr>
        <w:t xml:space="preserve"> (ICI)</w:t>
      </w:r>
      <w:r w:rsidR="00127BA2" w:rsidRPr="00A74972">
        <w:rPr>
          <w:rFonts w:asciiTheme="minorHAnsi" w:hAnsiTheme="minorHAnsi" w:cstheme="minorBidi"/>
        </w:rPr>
        <w:t>,</w:t>
      </w:r>
      <w:r w:rsidR="00B90D05" w:rsidRPr="00A74972">
        <w:rPr>
          <w:rFonts w:asciiTheme="minorHAnsi" w:hAnsiTheme="minorHAnsi" w:cstheme="minorBidi"/>
        </w:rPr>
        <w:t xml:space="preserve"> was recommended by the PBAC at the May 2022 intra-cycle meeting</w:t>
      </w:r>
      <w:r w:rsidR="000D1F02" w:rsidRPr="00A74972">
        <w:rPr>
          <w:rFonts w:asciiTheme="minorHAnsi" w:hAnsiTheme="minorHAnsi" w:cstheme="minorBidi"/>
        </w:rPr>
        <w:t xml:space="preserve"> (pembrolizumab</w:t>
      </w:r>
      <w:r w:rsidR="009400ED" w:rsidRPr="00A74972">
        <w:rPr>
          <w:rFonts w:asciiTheme="minorHAnsi" w:hAnsiTheme="minorHAnsi" w:cstheme="minorBidi"/>
        </w:rPr>
        <w:t xml:space="preserve"> </w:t>
      </w:r>
      <w:r w:rsidR="713C659A" w:rsidRPr="00A74972">
        <w:rPr>
          <w:rFonts w:asciiTheme="minorHAnsi" w:hAnsiTheme="minorHAnsi" w:cstheme="minorBidi"/>
        </w:rPr>
        <w:t>PSD</w:t>
      </w:r>
      <w:r w:rsidR="000D1F02" w:rsidRPr="00A74972">
        <w:rPr>
          <w:rFonts w:asciiTheme="minorHAnsi" w:hAnsiTheme="minorHAnsi" w:cstheme="minorBidi"/>
        </w:rPr>
        <w:t>, November 2021 PBAC Meeting with March 2022 and May 2022 Addendums)</w:t>
      </w:r>
      <w:r w:rsidR="00B90D05" w:rsidRPr="00A74972">
        <w:rPr>
          <w:rFonts w:asciiTheme="minorHAnsi" w:hAnsiTheme="minorHAnsi" w:cstheme="minorBidi"/>
        </w:rPr>
        <w:t xml:space="preserve">, however </w:t>
      </w:r>
      <w:r w:rsidR="00A6103A" w:rsidRPr="00A74972">
        <w:rPr>
          <w:rFonts w:asciiTheme="minorHAnsi" w:hAnsiTheme="minorHAnsi" w:cstheme="minorBidi"/>
        </w:rPr>
        <w:t>is not currently listed for this indication on the PBS website.</w:t>
      </w:r>
    </w:p>
    <w:p w14:paraId="7916285D" w14:textId="3EAEEB2A" w:rsidR="000C1DD7" w:rsidRDefault="00A1615B" w:rsidP="004F35B6">
      <w:pPr>
        <w:spacing w:after="120"/>
        <w:rPr>
          <w:rFonts w:cs="Calibri"/>
        </w:rPr>
      </w:pPr>
      <w:r w:rsidRPr="5A467ED4">
        <w:rPr>
          <w:rFonts w:asciiTheme="minorHAnsi" w:hAnsiTheme="minorHAnsi" w:cstheme="minorBidi"/>
        </w:rPr>
        <w:t xml:space="preserve">The subgroup of the population </w:t>
      </w:r>
      <w:r w:rsidR="003F3209" w:rsidRPr="5A467ED4">
        <w:rPr>
          <w:rFonts w:asciiTheme="minorHAnsi" w:hAnsiTheme="minorHAnsi" w:cstheme="minorBidi"/>
        </w:rPr>
        <w:t xml:space="preserve">who have relapsed following early-stage disease </w:t>
      </w:r>
      <w:r w:rsidR="003D3385" w:rsidRPr="5A467ED4">
        <w:rPr>
          <w:rFonts w:asciiTheme="minorHAnsi" w:hAnsiTheme="minorHAnsi" w:cstheme="minorBidi"/>
        </w:rPr>
        <w:t xml:space="preserve">treatment with </w:t>
      </w:r>
      <w:r w:rsidR="003F3209" w:rsidRPr="5A467ED4">
        <w:rPr>
          <w:rFonts w:asciiTheme="minorHAnsi" w:hAnsiTheme="minorHAnsi" w:cstheme="minorBidi"/>
        </w:rPr>
        <w:t>nivolumab</w:t>
      </w:r>
      <w:r w:rsidR="003D6EB1" w:rsidRPr="5A467ED4">
        <w:rPr>
          <w:rFonts w:asciiTheme="minorHAnsi" w:hAnsiTheme="minorHAnsi" w:cstheme="minorBidi"/>
        </w:rPr>
        <w:t xml:space="preserve">, </w:t>
      </w:r>
      <w:r w:rsidR="008D3D44" w:rsidRPr="5A467ED4">
        <w:rPr>
          <w:rFonts w:asciiTheme="minorHAnsi" w:hAnsiTheme="minorHAnsi" w:cstheme="minorBidi"/>
        </w:rPr>
        <w:t xml:space="preserve">would </w:t>
      </w:r>
      <w:r w:rsidR="003F3209" w:rsidRPr="5A467ED4">
        <w:rPr>
          <w:rFonts w:asciiTheme="minorHAnsi" w:hAnsiTheme="minorHAnsi" w:cstheme="minorBidi"/>
        </w:rPr>
        <w:t xml:space="preserve">be ineligible for nivolumab in the locally advanced unresectable/metastatic disease setting. In these patients, </w:t>
      </w:r>
      <w:r w:rsidR="00E669AC" w:rsidRPr="5A467ED4">
        <w:rPr>
          <w:rFonts w:asciiTheme="minorHAnsi" w:hAnsiTheme="minorHAnsi" w:cstheme="minorBidi"/>
        </w:rPr>
        <w:t xml:space="preserve">the test comparator is no testing while the most appropriate drug comparator </w:t>
      </w:r>
      <w:r w:rsidR="003573F2">
        <w:rPr>
          <w:rFonts w:asciiTheme="minorHAnsi" w:hAnsiTheme="minorHAnsi" w:cstheme="minorBidi"/>
        </w:rPr>
        <w:t xml:space="preserve">(to </w:t>
      </w:r>
      <w:r w:rsidR="00E669AC" w:rsidRPr="5A467ED4">
        <w:rPr>
          <w:rFonts w:asciiTheme="minorHAnsi" w:hAnsiTheme="minorHAnsi" w:cstheme="minorBidi"/>
        </w:rPr>
        <w:t xml:space="preserve">be </w:t>
      </w:r>
      <w:r w:rsidR="003573F2">
        <w:rPr>
          <w:rFonts w:asciiTheme="minorHAnsi" w:hAnsiTheme="minorHAnsi" w:cstheme="minorBidi"/>
        </w:rPr>
        <w:t>confirmed by PBAC) appeared to</w:t>
      </w:r>
      <w:r w:rsidR="003573F2" w:rsidRPr="5A467ED4">
        <w:rPr>
          <w:rFonts w:asciiTheme="minorHAnsi" w:hAnsiTheme="minorHAnsi" w:cstheme="minorBidi"/>
        </w:rPr>
        <w:t xml:space="preserve"> </w:t>
      </w:r>
      <w:r w:rsidR="00E669AC" w:rsidRPr="5A467ED4">
        <w:rPr>
          <w:rFonts w:asciiTheme="minorHAnsi" w:hAnsiTheme="minorHAnsi" w:cstheme="minorBidi"/>
        </w:rPr>
        <w:t xml:space="preserve">be </w:t>
      </w:r>
      <w:r w:rsidR="00A7772F" w:rsidRPr="5A467ED4">
        <w:rPr>
          <w:rFonts w:asciiTheme="minorHAnsi" w:hAnsiTheme="minorHAnsi" w:cstheme="minorBidi"/>
        </w:rPr>
        <w:t xml:space="preserve">chemotherapy </w:t>
      </w:r>
      <w:r w:rsidR="00EE368C" w:rsidRPr="5A467ED4">
        <w:rPr>
          <w:rFonts w:asciiTheme="minorHAnsi" w:hAnsiTheme="minorHAnsi" w:cstheme="minorBidi"/>
        </w:rPr>
        <w:t>alone</w:t>
      </w:r>
      <w:r w:rsidR="00A7772F" w:rsidRPr="5A467ED4">
        <w:rPr>
          <w:rFonts w:asciiTheme="minorHAnsi" w:hAnsiTheme="minorHAnsi" w:cstheme="minorBidi"/>
        </w:rPr>
        <w:t>.</w:t>
      </w:r>
      <w:r w:rsidR="00141194" w:rsidRPr="5A467ED4">
        <w:rPr>
          <w:rFonts w:cs="Calibri"/>
        </w:rPr>
        <w:t xml:space="preserve"> For this subgroup of patients, zolbetuximab + chemotherapy may represent a superior treatment option compared to chemotherapy alone, based on the efficacy data of the key trials (GLOW and SPOTLIGHT).</w:t>
      </w:r>
      <w:r w:rsidR="00E669AC" w:rsidRPr="5A467ED4">
        <w:rPr>
          <w:rFonts w:cs="Calibri"/>
        </w:rPr>
        <w:t xml:space="preserve"> </w:t>
      </w:r>
    </w:p>
    <w:p w14:paraId="4DC27828" w14:textId="77777777" w:rsidR="000C1DD7" w:rsidRDefault="000C1DD7" w:rsidP="004F35B6">
      <w:pPr>
        <w:spacing w:after="120"/>
        <w:rPr>
          <w:rFonts w:cs="Calibri"/>
        </w:rPr>
      </w:pPr>
    </w:p>
    <w:p w14:paraId="0B780D0E" w14:textId="1EDCC294" w:rsidR="0020675D" w:rsidRPr="0020675D" w:rsidRDefault="0020675D" w:rsidP="0020675D">
      <w:pPr>
        <w:autoSpaceDE w:val="0"/>
        <w:autoSpaceDN w:val="0"/>
        <w:adjustRightInd w:val="0"/>
        <w:spacing w:line="23" w:lineRule="atLeast"/>
        <w:rPr>
          <w:rFonts w:asciiTheme="minorHAnsi" w:hAnsiTheme="minorHAnsi" w:cstheme="minorBidi"/>
          <w:i/>
          <w:iCs/>
        </w:rPr>
      </w:pPr>
      <w:r w:rsidRPr="0020675D">
        <w:rPr>
          <w:i/>
          <w:iCs/>
          <w:color w:val="313131"/>
        </w:rPr>
        <w:lastRenderedPageBreak/>
        <w:t>PASC and the applicant’s</w:t>
      </w:r>
      <w:r w:rsidR="009739DA">
        <w:rPr>
          <w:i/>
          <w:iCs/>
          <w:color w:val="313131"/>
        </w:rPr>
        <w:t xml:space="preserve"> clinical expert</w:t>
      </w:r>
      <w:r w:rsidRPr="0020675D">
        <w:rPr>
          <w:i/>
          <w:iCs/>
          <w:color w:val="313131"/>
        </w:rPr>
        <w:t xml:space="preserve"> agreed that in addition to biomarker status and clinician/patient preference, a number of factors may determine whether a patient may receive nivolumab</w:t>
      </w:r>
      <w:r w:rsidR="00196AD9">
        <w:rPr>
          <w:i/>
          <w:iCs/>
          <w:color w:val="313131"/>
        </w:rPr>
        <w:t xml:space="preserve">, </w:t>
      </w:r>
      <w:r w:rsidRPr="0020675D">
        <w:rPr>
          <w:i/>
          <w:iCs/>
          <w:color w:val="313131"/>
        </w:rPr>
        <w:t>zolbetuximab</w:t>
      </w:r>
      <w:r w:rsidR="00196AD9">
        <w:rPr>
          <w:i/>
          <w:iCs/>
          <w:color w:val="313131"/>
        </w:rPr>
        <w:t xml:space="preserve"> or chemotherapy alone</w:t>
      </w:r>
      <w:r w:rsidRPr="0020675D">
        <w:rPr>
          <w:i/>
          <w:iCs/>
          <w:color w:val="313131"/>
        </w:rPr>
        <w:t>.</w:t>
      </w:r>
    </w:p>
    <w:p w14:paraId="6CD7FCC8" w14:textId="61EBAC6C" w:rsidR="0020675D" w:rsidRPr="0020675D" w:rsidRDefault="0020675D" w:rsidP="0020675D">
      <w:pPr>
        <w:spacing w:after="120"/>
        <w:rPr>
          <w:rFonts w:asciiTheme="minorHAnsi" w:hAnsiTheme="minorHAnsi" w:cstheme="minorBidi"/>
          <w:i/>
          <w:iCs/>
        </w:rPr>
      </w:pPr>
      <w:r w:rsidRPr="0020675D">
        <w:rPr>
          <w:i/>
          <w:iCs/>
          <w:color w:val="313131"/>
        </w:rPr>
        <w:t xml:space="preserve">PASC and the applicant’s clinical expert agreed that eligible patients </w:t>
      </w:r>
      <w:r w:rsidRPr="0020675D">
        <w:rPr>
          <w:rFonts w:asciiTheme="minorHAnsi" w:hAnsiTheme="minorHAnsi" w:cstheme="minorBidi"/>
          <w:i/>
          <w:iCs/>
        </w:rPr>
        <w:t xml:space="preserve">who have relapsed following early-stage disease treatment with nivolumab would likely be treated with zolbetuximab + chemotherapy, as the PBS restriction precludes repeated PD-1/PD-L1 inhibitor therapy for this disease. In addition, eligible patients who have contraindications for nivolumab, such as pre-existing autoimmune disease, </w:t>
      </w:r>
      <w:r w:rsidR="006414BC">
        <w:rPr>
          <w:rFonts w:asciiTheme="minorHAnsi" w:hAnsiTheme="minorHAnsi" w:cstheme="minorBidi"/>
          <w:i/>
          <w:iCs/>
        </w:rPr>
        <w:t xml:space="preserve">may </w:t>
      </w:r>
      <w:r w:rsidRPr="0020675D">
        <w:rPr>
          <w:rFonts w:asciiTheme="minorHAnsi" w:hAnsiTheme="minorHAnsi" w:cstheme="minorBidi"/>
          <w:i/>
          <w:iCs/>
        </w:rPr>
        <w:t xml:space="preserve">be </w:t>
      </w:r>
      <w:r w:rsidRPr="0020675D">
        <w:rPr>
          <w:i/>
          <w:iCs/>
          <w:color w:val="313131"/>
        </w:rPr>
        <w:t>treated with zolbetuximab + chemotherapy. It would be reasonable to assume a high uptake rate of zolbetuximab in these patient subgroups, given the apparent superior efficacy of zolbetuximab + chemotherapy compared to placebo + chemotherapy demonstrated in the key trials SPOTLIGHT and GLOW</w:t>
      </w:r>
      <w:r w:rsidR="003940C7">
        <w:rPr>
          <w:i/>
          <w:iCs/>
          <w:color w:val="313131"/>
        </w:rPr>
        <w:t>, however these remain individualised decisions</w:t>
      </w:r>
      <w:r w:rsidRPr="0020675D">
        <w:rPr>
          <w:i/>
          <w:iCs/>
          <w:color w:val="313131"/>
        </w:rPr>
        <w:t>. PASC noted careful consideration of the treatment comparator for these subgroups of the target population would be required, but that confirming the appropriate comparator for the medicine is a matter for PBAC.</w:t>
      </w:r>
    </w:p>
    <w:p w14:paraId="3BC68763" w14:textId="77777777" w:rsidR="00CE1B13" w:rsidRPr="009D5DBB" w:rsidRDefault="00CE1B13" w:rsidP="00713728">
      <w:pPr>
        <w:pStyle w:val="Heading3"/>
        <w:rPr>
          <w:iCs/>
        </w:rPr>
      </w:pPr>
      <w:r w:rsidRPr="009D5DBB">
        <w:rPr>
          <w:iCs/>
        </w:rPr>
        <w:t>Clinical utility standard (for codependent investigative technologies only)</w:t>
      </w:r>
    </w:p>
    <w:p w14:paraId="625977E7" w14:textId="5961876D" w:rsidR="005B12A5" w:rsidRPr="00A74972" w:rsidRDefault="005B12A5" w:rsidP="00A0509F">
      <w:r w:rsidRPr="00A74972">
        <w:rPr>
          <w:rFonts w:asciiTheme="minorHAnsi" w:hAnsiTheme="minorHAnsi" w:cstheme="minorHAnsi"/>
        </w:rPr>
        <w:t xml:space="preserve">The key trials presented by the submission (SPOTLIGHT and GLOW) utilised the </w:t>
      </w:r>
      <w:r w:rsidRPr="00A74972">
        <w:t>Ventana® CLDN18 (43-14A) RxDx Assay. The CLDN18.2 threshold for a positive result was ≥75% TCs showing moderate-to-strong membranous staining above background, while &lt;75% TCs showing moderate-to-strong membranous staining was indicative of a negative result. The application stated that the VENTANA CLDN18 (43-14A) RxDx Assay has demonstrated strong analytical validity and consistent performance across a series of analytical verification assessments, however evidence supporting this claim was not supplied. The application did not consider sensitivity and specificity (analytical validity), or test-retest reliability.</w:t>
      </w:r>
    </w:p>
    <w:p w14:paraId="7948CFB1" w14:textId="18B90B12" w:rsidR="00DB1C0B" w:rsidRPr="00A74972" w:rsidRDefault="005B12A5" w:rsidP="005B12A5">
      <w:r w:rsidRPr="00A74972">
        <w:t>The application acknowledged that there are differences between CLDN18.2 antibody assays for immune cell staining, and it is important that the antibody / test being used to assess CLDN18.2 status is aligned to the drug being considered. The application stated that the VENTANA CLDN18 (43-14A) RxDx Assay and CLDN18.2 expression ≥75% cut point should be used to determine eligibility for zolbetuximab.</w:t>
      </w:r>
      <w:r w:rsidR="00BB0697" w:rsidRPr="00A74972">
        <w:t xml:space="preserve"> </w:t>
      </w:r>
      <w:r w:rsidR="00E669AC">
        <w:t xml:space="preserve">However, the applicant proposed MBS item descriptor, informed by the applicant’s advisory board, </w:t>
      </w:r>
      <w:r w:rsidR="002F7CB5" w:rsidRPr="00A74972">
        <w:t>did</w:t>
      </w:r>
      <w:r w:rsidR="0082501C" w:rsidRPr="00A74972">
        <w:t xml:space="preserve"> not specif</w:t>
      </w:r>
      <w:r w:rsidR="002F7CB5" w:rsidRPr="00A74972">
        <w:t>y</w:t>
      </w:r>
      <w:r w:rsidR="0082501C" w:rsidRPr="00A74972">
        <w:t xml:space="preserve"> </w:t>
      </w:r>
      <w:r w:rsidR="004F5AAE" w:rsidRPr="00A74972">
        <w:t xml:space="preserve">the test </w:t>
      </w:r>
      <w:r w:rsidR="00DD02C0" w:rsidRPr="00A74972">
        <w:t xml:space="preserve">platform </w:t>
      </w:r>
      <w:r w:rsidR="004F5AAE" w:rsidRPr="00A74972">
        <w:t>or threshold criteria for CLDN18.2 positivity.</w:t>
      </w:r>
      <w:r w:rsidR="0082501C" w:rsidRPr="00A74972">
        <w:t xml:space="preserve"> </w:t>
      </w:r>
    </w:p>
    <w:p w14:paraId="76BADB19" w14:textId="7382C403" w:rsidR="00280991" w:rsidRPr="00A74972" w:rsidRDefault="00280991" w:rsidP="00A0509F">
      <w:pPr>
        <w:spacing w:after="120"/>
        <w:rPr>
          <w:rFonts w:asciiTheme="minorHAnsi" w:hAnsiTheme="minorHAnsi" w:cstheme="minorBidi"/>
        </w:rPr>
      </w:pPr>
      <w:r w:rsidRPr="00A74972">
        <w:rPr>
          <w:rFonts w:asciiTheme="minorHAnsi" w:hAnsiTheme="minorHAnsi" w:cstheme="minorBidi"/>
        </w:rPr>
        <w:t xml:space="preserve">There are a range of available IHC tests for CLDN18.2 antibodies. </w:t>
      </w:r>
      <w:r w:rsidR="00C9714A" w:rsidRPr="00A74972">
        <w:rPr>
          <w:rFonts w:asciiTheme="minorHAnsi" w:hAnsiTheme="minorHAnsi" w:cstheme="minorBidi"/>
        </w:rPr>
        <w:t>The applicant referenced a</w:t>
      </w:r>
      <w:r w:rsidRPr="00A74972">
        <w:rPr>
          <w:rFonts w:asciiTheme="minorHAnsi" w:hAnsiTheme="minorHAnsi" w:cstheme="minorBidi"/>
        </w:rPr>
        <w:t xml:space="preserve"> global ring study </w:t>
      </w:r>
      <w:r w:rsidRPr="00A74972">
        <w:rPr>
          <w:rFonts w:asciiTheme="minorHAnsi" w:hAnsiTheme="minorHAnsi" w:cstheme="minorBidi"/>
        </w:rPr>
        <w:fldChar w:fldCharType="begin">
          <w:fldData xml:space="preserve">PEVuZE5vdGU+PENpdGU+PEF1dGhvcj5KYXNhbmk8L0F1dGhvcj48WWVhcj4yMDI0PC9ZZWFyPjxS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</w:fldData>
        </w:fldChar>
      </w:r>
      <w:r w:rsidR="00985CC2" w:rsidRPr="00A74972">
        <w:rPr>
          <w:rFonts w:asciiTheme="minorHAnsi" w:hAnsiTheme="minorHAnsi" w:cstheme="minorBidi"/>
        </w:rPr>
        <w:instrText xml:space="preserve"> ADDIN EN.CITE </w:instrText>
      </w:r>
      <w:r w:rsidR="00985CC2" w:rsidRPr="00A74972">
        <w:rPr>
          <w:rFonts w:asciiTheme="minorHAnsi" w:hAnsiTheme="minorHAnsi" w:cstheme="minorBidi"/>
        </w:rPr>
        <w:fldChar w:fldCharType="begin">
          <w:fldData xml:space="preserve">PEVuZE5vdGU+PENpdGU+PEF1dGhvcj5KYXNhbmk8L0F1dGhvcj48WWVhcj4yMDI0PC9ZZWFyPjxS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</w:fldData>
        </w:fldChar>
      </w:r>
      <w:r w:rsidR="00985CC2" w:rsidRPr="00A74972">
        <w:rPr>
          <w:rFonts w:asciiTheme="minorHAnsi" w:hAnsiTheme="minorHAnsi" w:cstheme="minorBidi"/>
        </w:rPr>
        <w:instrText xml:space="preserve"> ADDIN EN.CITE.DATA </w:instrText>
      </w:r>
      <w:r w:rsidR="00985CC2" w:rsidRPr="00A74972">
        <w:rPr>
          <w:rFonts w:asciiTheme="minorHAnsi" w:hAnsiTheme="minorHAnsi" w:cstheme="minorBidi"/>
        </w:rPr>
      </w:r>
      <w:r w:rsidR="00985CC2" w:rsidRPr="00A74972">
        <w:rPr>
          <w:rFonts w:asciiTheme="minorHAnsi" w:hAnsiTheme="minorHAnsi" w:cstheme="minorBidi"/>
        </w:rPr>
        <w:fldChar w:fldCharType="end"/>
      </w:r>
      <w:r w:rsidRPr="00A74972">
        <w:rPr>
          <w:rFonts w:asciiTheme="minorHAnsi" w:hAnsiTheme="minorHAnsi" w:cstheme="minorBidi"/>
        </w:rPr>
      </w:r>
      <w:r w:rsidRPr="00A74972">
        <w:rPr>
          <w:rFonts w:asciiTheme="minorHAnsi" w:hAnsiTheme="minorHAnsi" w:cstheme="minorBidi"/>
        </w:rPr>
        <w:fldChar w:fldCharType="separate"/>
      </w:r>
      <w:r w:rsidRPr="00A74972">
        <w:rPr>
          <w:rFonts w:asciiTheme="minorHAnsi" w:hAnsiTheme="minorHAnsi" w:cstheme="minorBidi"/>
          <w:noProof/>
        </w:rPr>
        <w:t>(Jasani et al. 2024)</w:t>
      </w:r>
      <w:r w:rsidRPr="00A74972">
        <w:rPr>
          <w:rFonts w:asciiTheme="minorHAnsi" w:hAnsiTheme="minorHAnsi" w:cstheme="minorBidi"/>
        </w:rPr>
        <w:fldChar w:fldCharType="end"/>
      </w:r>
      <w:r w:rsidRPr="00A74972">
        <w:rPr>
          <w:rFonts w:asciiTheme="minorHAnsi" w:hAnsiTheme="minorHAnsi" w:cstheme="minorBidi"/>
        </w:rPr>
        <w:t xml:space="preserve"> </w:t>
      </w:r>
      <w:r w:rsidR="00FC2223" w:rsidRPr="00A74972">
        <w:rPr>
          <w:rFonts w:asciiTheme="minorHAnsi" w:hAnsiTheme="minorHAnsi" w:cstheme="minorBidi"/>
        </w:rPr>
        <w:t xml:space="preserve">which </w:t>
      </w:r>
      <w:r w:rsidRPr="00A74972">
        <w:rPr>
          <w:rFonts w:asciiTheme="minorHAnsi" w:hAnsiTheme="minorHAnsi" w:cstheme="minorBidi"/>
        </w:rPr>
        <w:t xml:space="preserve">compared three CLDN18 IHC antibodies (Ventana, Novus and LSBio) processed on </w:t>
      </w:r>
      <w:r w:rsidR="00384836" w:rsidRPr="00A74972">
        <w:rPr>
          <w:rFonts w:asciiTheme="minorHAnsi" w:hAnsiTheme="minorHAnsi" w:cstheme="minorBidi"/>
        </w:rPr>
        <w:t>three</w:t>
      </w:r>
      <w:r w:rsidRPr="00A74972">
        <w:rPr>
          <w:rFonts w:asciiTheme="minorHAnsi" w:hAnsiTheme="minorHAnsi" w:cstheme="minorBidi"/>
        </w:rPr>
        <w:t xml:space="preserve"> different platforms (Ventana BenchMark, Dako Autostainer Link 48, and Leica Bond). The Ventana </w:t>
      </w:r>
      <w:r w:rsidR="00707B21" w:rsidRPr="00A74972">
        <w:rPr>
          <w:rFonts w:asciiTheme="minorHAnsi" w:hAnsiTheme="minorHAnsi" w:cstheme="minorBidi"/>
        </w:rPr>
        <w:t xml:space="preserve">antibody (only processed on the Ventana platform) </w:t>
      </w:r>
      <w:r w:rsidRPr="00A74972">
        <w:rPr>
          <w:rFonts w:asciiTheme="minorHAnsi" w:hAnsiTheme="minorHAnsi" w:cstheme="minorBidi"/>
        </w:rPr>
        <w:t xml:space="preserve">and LSBio antibodies processed on the Dako and Leica platforms demonstrated good-to-excellent levels of concordance measured by </w:t>
      </w:r>
      <w:r w:rsidR="00DD4A6E" w:rsidRPr="00A74972">
        <w:rPr>
          <w:rFonts w:asciiTheme="minorHAnsi" w:hAnsiTheme="minorHAnsi" w:cstheme="minorBidi"/>
        </w:rPr>
        <w:t xml:space="preserve">the </w:t>
      </w:r>
      <w:r w:rsidRPr="00A74972">
        <w:rPr>
          <w:rFonts w:asciiTheme="minorHAnsi" w:hAnsiTheme="minorHAnsi" w:cstheme="minorBidi"/>
        </w:rPr>
        <w:t xml:space="preserve">Cohen’s </w:t>
      </w:r>
      <w:r w:rsidR="00DD4A6E" w:rsidRPr="00A74972">
        <w:rPr>
          <w:rFonts w:asciiTheme="minorHAnsi" w:hAnsiTheme="minorHAnsi" w:cstheme="minorBidi"/>
        </w:rPr>
        <w:t>K</w:t>
      </w:r>
      <w:r w:rsidRPr="00A74972">
        <w:rPr>
          <w:rFonts w:asciiTheme="minorHAnsi" w:hAnsiTheme="minorHAnsi" w:cstheme="minorBidi"/>
        </w:rPr>
        <w:t xml:space="preserve">appa coefficient. However, the Novus antibody showed a high level of variability compared to the reference Ventana method, and failed to meet the </w:t>
      </w:r>
      <w:r w:rsidR="00FB0D04" w:rsidRPr="00A74972">
        <w:rPr>
          <w:rFonts w:asciiTheme="minorHAnsi" w:hAnsiTheme="minorHAnsi" w:cstheme="minorBidi"/>
        </w:rPr>
        <w:t xml:space="preserve">study defined </w:t>
      </w:r>
      <w:r w:rsidRPr="00A74972">
        <w:rPr>
          <w:rFonts w:asciiTheme="minorHAnsi" w:hAnsiTheme="minorHAnsi" w:cstheme="minorBidi"/>
        </w:rPr>
        <w:t xml:space="preserve">threshold for accuracy and sensitivity when used on either the Ventana, Dako or Leica platform (Cohen’s Kappa coefficient of 0.50, 0.52 and 0.61 respectively); these comparisons are shown in </w:t>
      </w:r>
      <w:r w:rsidRPr="00A74972">
        <w:rPr>
          <w:rFonts w:asciiTheme="minorHAnsi" w:hAnsiTheme="minorHAnsi" w:cstheme="minorBidi"/>
        </w:rPr>
        <w:fldChar w:fldCharType="begin"/>
      </w:r>
      <w:r w:rsidRPr="00A74972">
        <w:rPr>
          <w:rFonts w:asciiTheme="minorHAnsi" w:hAnsiTheme="minorHAnsi" w:cstheme="minorBidi"/>
        </w:rPr>
        <w:instrText xml:space="preserve"> REF _Ref160829833 \h </w:instrText>
      </w:r>
      <w:r w:rsidR="00575C4F" w:rsidRPr="00A74972">
        <w:rPr>
          <w:rFonts w:asciiTheme="minorHAnsi" w:hAnsiTheme="minorHAnsi" w:cstheme="minorHAnsi"/>
        </w:rPr>
        <w:instrText xml:space="preserve"> \* MERGEFORMAT </w:instrText>
      </w:r>
      <w:r w:rsidRPr="00A74972">
        <w:rPr>
          <w:rFonts w:asciiTheme="minorHAnsi" w:hAnsiTheme="minorHAnsi" w:cstheme="minorBidi"/>
        </w:rPr>
      </w:r>
      <w:r w:rsidRPr="00A74972">
        <w:rPr>
          <w:rFonts w:asciiTheme="minorHAnsi" w:hAnsiTheme="minorHAnsi" w:cstheme="minorBidi"/>
        </w:rPr>
        <w:fldChar w:fldCharType="separate"/>
      </w:r>
      <w:r w:rsidR="004B0848" w:rsidRPr="00A74972">
        <w:t xml:space="preserve">Table </w:t>
      </w:r>
      <w:r w:rsidR="004B0848">
        <w:rPr>
          <w:noProof/>
        </w:rPr>
        <w:t>3</w:t>
      </w:r>
      <w:r w:rsidRPr="00A74972">
        <w:rPr>
          <w:rFonts w:asciiTheme="minorHAnsi" w:hAnsiTheme="minorHAnsi" w:cstheme="minorBidi"/>
        </w:rPr>
        <w:fldChar w:fldCharType="end"/>
      </w:r>
      <w:r w:rsidRPr="00A74972">
        <w:rPr>
          <w:rFonts w:asciiTheme="minorHAnsi" w:hAnsiTheme="minorHAnsi" w:cstheme="minorBidi"/>
        </w:rPr>
        <w:t xml:space="preserve"> below. Additional diagnostic CLDN18.2 IHC kits outside of this ring study are available, for example as sold by MEDx </w:t>
      </w:r>
      <w:r w:rsidRPr="00A74972">
        <w:rPr>
          <w:rFonts w:asciiTheme="minorHAnsi" w:hAnsiTheme="minorHAnsi" w:cstheme="minorBidi"/>
        </w:rPr>
        <w:fldChar w:fldCharType="begin"/>
      </w:r>
      <w:r w:rsidR="00985CC2" w:rsidRPr="00A74972">
        <w:rPr>
          <w:rFonts w:asciiTheme="minorHAnsi" w:hAnsiTheme="minorHAnsi" w:cstheme="minorBidi"/>
        </w:rPr>
        <w:instrText xml:space="preserve"> ADDIN EN.CITE &lt;EndNote&gt;&lt;Cite&gt;&lt;Author&gt;MEDx&lt;/Author&gt;&lt;Year&gt;2024&lt;/Year&gt;&lt;RecNum&gt;133&lt;/RecNum&gt;&lt;DisplayText&gt;(MEDx 2024)&lt;/DisplayText&gt;&lt;record&gt;&lt;rec-number&gt;133&lt;/rec-number&gt;&lt;foreign-keys&gt;&lt;key app="EN" db-id="efx9s5pw4fwez6ed5azp5ddz9xxarv0a9599" timestamp="1710102436" guid="081d5163-1bd8-4fbb-a90f-2e3991b91d90"&gt;133&lt;/key&gt;&lt;/foreign-keys&gt;&lt;ref-type name="Web Page"&gt;12&lt;/ref-type&gt;&lt;contributors&gt;&lt;authors&gt;&lt;author&gt;MEDx, Translational Medicine: Companion Diagnostics for Precision Medicine&lt;/author&gt;&lt;/authors&gt;&lt;/contributors&gt;&lt;titles&gt;&lt;title&gt;Claudin 18.2 IHC Kit&lt;/title&gt;&lt;/titles&gt;&lt;dates&gt;&lt;year&gt;2024&lt;/year&gt;&lt;/dates&gt;&lt;publisher&gt;MEDx Translational Medicine Co., Ltd.&lt;/publisher&gt;&lt;urls&gt;&lt;related-urls&gt;&lt;url&gt;https://www.medxtmc.net/IHC_Based_Assays/Claudin_18_2_IHC_Kit.shtml&lt;/url&gt;&lt;/related-urls&gt;&lt;/urls&gt;&lt;/record&gt;&lt;/Cite&gt;&lt;/EndNote&gt;</w:instrText>
      </w:r>
      <w:r w:rsidRPr="00A74972">
        <w:rPr>
          <w:rFonts w:asciiTheme="minorHAnsi" w:hAnsiTheme="minorHAnsi" w:cstheme="minorBidi"/>
        </w:rPr>
        <w:fldChar w:fldCharType="separate"/>
      </w:r>
      <w:r w:rsidRPr="00A74972">
        <w:rPr>
          <w:rFonts w:asciiTheme="minorHAnsi" w:hAnsiTheme="minorHAnsi" w:cstheme="minorBidi"/>
          <w:noProof/>
        </w:rPr>
        <w:t>(MEDx 2024)</w:t>
      </w:r>
      <w:r w:rsidRPr="00A74972">
        <w:rPr>
          <w:rFonts w:asciiTheme="minorHAnsi" w:hAnsiTheme="minorHAnsi" w:cstheme="minorBidi"/>
        </w:rPr>
        <w:fldChar w:fldCharType="end"/>
      </w:r>
      <w:r w:rsidRPr="00A74972">
        <w:rPr>
          <w:rFonts w:asciiTheme="minorHAnsi" w:hAnsiTheme="minorHAnsi" w:cstheme="minorBidi"/>
        </w:rPr>
        <w:t xml:space="preserve">. </w:t>
      </w:r>
    </w:p>
    <w:p w14:paraId="79744597" w14:textId="7AA695AE" w:rsidR="00280991" w:rsidRPr="00A74972" w:rsidRDefault="00280991" w:rsidP="00280991">
      <w:pPr>
        <w:pStyle w:val="TableHeading"/>
      </w:pPr>
      <w:bookmarkStart w:id="4" w:name="_Ref160829833"/>
      <w:r w:rsidRPr="00A74972">
        <w:lastRenderedPageBreak/>
        <w:t xml:space="preserve">Table </w:t>
      </w:r>
      <w:r>
        <w:fldChar w:fldCharType="begin"/>
      </w:r>
      <w:r>
        <w:instrText>SEQ Table \* ARABIC</w:instrText>
      </w:r>
      <w:r>
        <w:fldChar w:fldCharType="separate"/>
      </w:r>
      <w:r w:rsidR="004B0848">
        <w:rPr>
          <w:noProof/>
        </w:rPr>
        <w:t>3</w:t>
      </w:r>
      <w:r>
        <w:fldChar w:fldCharType="end"/>
      </w:r>
      <w:bookmarkEnd w:id="4"/>
      <w:r w:rsidRPr="00A74972">
        <w:t xml:space="preserve"> Comparison of global laboratory antibody and platform combinations performance with the reference Ventana method</w:t>
      </w:r>
    </w:p>
    <w:p w14:paraId="6D83CDD1" w14:textId="0A53175E" w:rsidR="00280991" w:rsidRDefault="00280991" w:rsidP="69E1C243">
      <w:pPr>
        <w:spacing w:after="120"/>
        <w:jc w:val="both"/>
      </w:pPr>
      <w:r w:rsidRPr="00A74972">
        <w:rPr>
          <w:noProof/>
        </w:rPr>
        <w:drawing>
          <wp:inline distT="0" distB="0" distL="0" distR="0" wp14:anchorId="747BBD57" wp14:editId="11E55C46">
            <wp:extent cx="6083933" cy="869315"/>
            <wp:effectExtent l="0" t="0" r="0" b="6985"/>
            <wp:docPr id="1355508885" name="Picture 1355508885" descr="Table 4 Comparison of global laboratory antibody and platform combinations performance with the reference Ventana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508885" name="Picture 1355508885" descr="Table 4 Comparison of global laboratory antibody and platform combinations performance with the reference Ventana method"/>
                    <pic:cNvPicPr/>
                  </pic:nvPicPr>
                  <pic:blipFill>
                    <a:blip r:embed="rId8">
                      <a:extLst>
                        <a:ext uri="{28A0092B-C50C-407E-A947-70E740481C1C}">
                          <a14:useLocalDpi xmlns:a14="http://schemas.microsoft.com/office/drawing/2010/main" val="0"/>
                        </a:ext>
                      </a:extLst>
                    </a:blip>
                    <a:stretch>
                      <a:fillRect/>
                    </a:stretch>
                  </pic:blipFill>
                  <pic:spPr>
                    <a:xfrm>
                      <a:off x="0" y="0"/>
                      <a:ext cx="6083933" cy="869315"/>
                    </a:xfrm>
                    <a:prstGeom prst="rect">
                      <a:avLst/>
                    </a:prstGeom>
                  </pic:spPr>
                </pic:pic>
              </a:graphicData>
            </a:graphic>
          </wp:inline>
        </w:drawing>
      </w:r>
      <w:r w:rsidRPr="00A74972">
        <w:rPr>
          <w:rStyle w:val="TablenotesChar"/>
          <w:rFonts w:eastAsia="Calibri"/>
        </w:rPr>
        <w:t xml:space="preserve">Source: Table 3, p 8 </w:t>
      </w:r>
      <w:r w:rsidRPr="00A74972">
        <w:fldChar w:fldCharType="begin">
          <w:fldData xml:space="preserve">PEVuZE5vdGU+PENpdGU+PEF1dGhvcj5KYXNhbmk8L0F1dGhvcj48WWVhcj4yMDI0PC9ZZWFyPjxS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</w:fldData>
        </w:fldChar>
      </w:r>
      <w:r w:rsidR="00985CC2" w:rsidRPr="00A74972">
        <w:instrText xml:space="preserve"> ADDIN EN.CITE </w:instrText>
      </w:r>
      <w:r w:rsidR="00985CC2" w:rsidRPr="00A74972">
        <w:fldChar w:fldCharType="begin">
          <w:fldData xml:space="preserve">PEVuZE5vdGU+PENpdGU+PEF1dGhvcj5KYXNhbmk8L0F1dGhvcj48WWVhcj4yMDI0PC9ZZWFyPjxS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</w:fldData>
        </w:fldChar>
      </w:r>
      <w:r w:rsidR="00985CC2" w:rsidRPr="00A74972">
        <w:instrText xml:space="preserve"> ADDIN EN.CITE.DATA </w:instrText>
      </w:r>
      <w:r w:rsidR="00985CC2" w:rsidRPr="00A74972">
        <w:fldChar w:fldCharType="end"/>
      </w:r>
      <w:r w:rsidRPr="00A74972">
        <w:fldChar w:fldCharType="separate"/>
      </w:r>
      <w:r w:rsidRPr="00A74972">
        <w:rPr>
          <w:rStyle w:val="TablenotesChar"/>
          <w:rFonts w:eastAsia="Calibri"/>
          <w:noProof/>
        </w:rPr>
        <w:t>(Jasani et al. 2024)</w:t>
      </w:r>
      <w:r w:rsidRPr="00A74972">
        <w:fldChar w:fldCharType="end"/>
      </w:r>
    </w:p>
    <w:p w14:paraId="7BD4A5D3" w14:textId="4D098522" w:rsidR="00F7645E" w:rsidRPr="00F7645E" w:rsidRDefault="00F7645E" w:rsidP="69E1C243">
      <w:pPr>
        <w:spacing w:after="120"/>
        <w:jc w:val="both"/>
        <w:rPr>
          <w:i/>
          <w:iCs/>
        </w:rPr>
      </w:pPr>
      <w:r w:rsidRPr="00F7645E">
        <w:rPr>
          <w:rFonts w:asciiTheme="minorHAnsi" w:hAnsiTheme="minorHAnsi" w:cstheme="minorBidi"/>
          <w:i/>
          <w:iCs/>
        </w:rPr>
        <w:t xml:space="preserve">PASC confirmed that the Ventana® CLDN18 (43-14A) RxDx Assay </w:t>
      </w:r>
      <w:r w:rsidRPr="00F7645E">
        <w:rPr>
          <w:rFonts w:asciiTheme="minorHAnsi" w:hAnsiTheme="minorHAnsi" w:cstheme="minorBidi"/>
          <w:i/>
          <w:iCs/>
          <w:szCs w:val="20"/>
        </w:rPr>
        <w:t>used in the key trials</w:t>
      </w:r>
      <w:r w:rsidRPr="00F7645E">
        <w:rPr>
          <w:rFonts w:asciiTheme="minorHAnsi" w:hAnsiTheme="minorHAnsi" w:cstheme="minorBidi"/>
          <w:i/>
          <w:iCs/>
          <w:sz w:val="20"/>
          <w:szCs w:val="20"/>
        </w:rPr>
        <w:t xml:space="preserve"> </w:t>
      </w:r>
      <w:r w:rsidRPr="00F7645E">
        <w:rPr>
          <w:rFonts w:asciiTheme="minorHAnsi" w:hAnsiTheme="minorHAnsi" w:cstheme="minorBidi"/>
          <w:i/>
          <w:iCs/>
        </w:rPr>
        <w:t>represented the clinical utility standard. PASC and the applicant agreed that this is the most common IHC platform used in Australia noting that there are other relevant IHC platforms and CLDN18.2 antibodies available. The current application is agnostic to IHC platform and CLDN18.2 antibody.</w:t>
      </w:r>
      <w:r w:rsidR="00004DA9">
        <w:rPr>
          <w:rFonts w:asciiTheme="minorHAnsi" w:hAnsiTheme="minorHAnsi" w:cstheme="minorBidi"/>
          <w:i/>
          <w:iCs/>
        </w:rPr>
        <w:t xml:space="preserve"> </w:t>
      </w:r>
      <w:r w:rsidR="00C75F75">
        <w:rPr>
          <w:rFonts w:asciiTheme="minorHAnsi" w:hAnsiTheme="minorHAnsi" w:cstheme="minorBidi"/>
          <w:i/>
          <w:iCs/>
        </w:rPr>
        <w:t>T</w:t>
      </w:r>
      <w:r w:rsidR="00004DA9">
        <w:rPr>
          <w:rFonts w:asciiTheme="minorHAnsi" w:hAnsiTheme="minorHAnsi" w:cstheme="minorBidi"/>
          <w:i/>
          <w:iCs/>
        </w:rPr>
        <w:t>he Department advised that the assessment report should include a comparison of the analytical performance between the clinical utility standard and other IHC platform and CLDN18.2 antibody combinations</w:t>
      </w:r>
      <w:r w:rsidR="00C75F75">
        <w:rPr>
          <w:rFonts w:asciiTheme="minorHAnsi" w:hAnsiTheme="minorHAnsi" w:cstheme="minorBidi"/>
          <w:i/>
          <w:iCs/>
        </w:rPr>
        <w:t>, as per MSAC guidelines</w:t>
      </w:r>
      <w:r w:rsidR="003D0240">
        <w:rPr>
          <w:rFonts w:asciiTheme="minorHAnsi" w:hAnsiTheme="minorHAnsi" w:cstheme="minorBidi"/>
          <w:i/>
          <w:iCs/>
        </w:rPr>
        <w:t xml:space="preserve"> (Technical guideline 2.4)</w:t>
      </w:r>
      <w:r w:rsidR="00004DA9">
        <w:rPr>
          <w:rFonts w:asciiTheme="minorHAnsi" w:hAnsiTheme="minorHAnsi" w:cstheme="minorBidi"/>
          <w:i/>
          <w:iCs/>
        </w:rPr>
        <w:t>.</w:t>
      </w:r>
    </w:p>
    <w:p w14:paraId="29C1EA87" w14:textId="4BA496F2" w:rsidR="007A66C8" w:rsidRPr="009D5DBB" w:rsidRDefault="007A66C8" w:rsidP="00713728">
      <w:pPr>
        <w:pStyle w:val="Heading3"/>
        <w:rPr>
          <w:iCs/>
        </w:rPr>
      </w:pPr>
      <w:r w:rsidRPr="009D5DBB">
        <w:rPr>
          <w:iCs/>
        </w:rPr>
        <w:t xml:space="preserve">Outcomes </w:t>
      </w:r>
    </w:p>
    <w:p w14:paraId="6E2EA054" w14:textId="350B9DAF" w:rsidR="7C32489B" w:rsidRPr="009D5DBB" w:rsidRDefault="7C32489B" w:rsidP="444C3E48">
      <w:pPr>
        <w:spacing w:before="120" w:line="257" w:lineRule="auto"/>
        <w:ind w:left="-20" w:right="-20"/>
        <w:rPr>
          <w:rFonts w:cs="Calibri"/>
          <w:b/>
          <w:i/>
          <w:iCs/>
          <w:color w:val="0070C0"/>
        </w:rPr>
      </w:pPr>
      <w:r w:rsidRPr="009D5DBB">
        <w:rPr>
          <w:rFonts w:cs="Calibri"/>
          <w:b/>
          <w:i/>
          <w:iCs/>
          <w:color w:val="0070C0"/>
        </w:rPr>
        <w:t>Test-related outcomes</w:t>
      </w:r>
    </w:p>
    <w:p w14:paraId="643F5A76" w14:textId="04C8BA32" w:rsidR="7C32489B" w:rsidRPr="00A74972" w:rsidRDefault="7C32489B" w:rsidP="00DB134E">
      <w:pPr>
        <w:ind w:left="-20" w:right="-20"/>
      </w:pPr>
      <w:r w:rsidRPr="00A74972">
        <w:rPr>
          <w:rFonts w:cs="Calibri"/>
        </w:rPr>
        <w:t>Safety</w:t>
      </w:r>
      <w:r w:rsidR="009A38CB" w:rsidRPr="00A74972">
        <w:rPr>
          <w:rFonts w:cs="Calibri"/>
        </w:rPr>
        <w:t xml:space="preserve"> outcomes</w:t>
      </w:r>
      <w:r w:rsidRPr="00A74972">
        <w:rPr>
          <w:rFonts w:cs="Calibri"/>
        </w:rPr>
        <w:t xml:space="preserve">: </w:t>
      </w:r>
      <w:r w:rsidR="00F275D5" w:rsidRPr="00A74972">
        <w:rPr>
          <w:rFonts w:cs="Calibri"/>
        </w:rPr>
        <w:t>a</w:t>
      </w:r>
      <w:r w:rsidRPr="00A74972">
        <w:rPr>
          <w:rFonts w:cs="Calibri"/>
        </w:rPr>
        <w:t xml:space="preserve">dverse events associated with </w:t>
      </w:r>
      <w:r w:rsidR="00874616">
        <w:rPr>
          <w:rFonts w:cs="Calibri"/>
        </w:rPr>
        <w:t>biopsy/</w:t>
      </w:r>
      <w:r w:rsidRPr="00A74972">
        <w:rPr>
          <w:rFonts w:cs="Calibri"/>
        </w:rPr>
        <w:t>re-biopsy for patients with inadequate tissue for tumour testing.</w:t>
      </w:r>
    </w:p>
    <w:p w14:paraId="2CD01062" w14:textId="303A00DE" w:rsidR="00DE4FF4" w:rsidRPr="00A74972" w:rsidRDefault="000343DC" w:rsidP="0FCDB3BF">
      <w:pPr>
        <w:ind w:right="-20"/>
      </w:pPr>
      <w:r w:rsidRPr="00A74972" w:rsidDel="00DE4FF4">
        <w:t xml:space="preserve">Diagnostic </w:t>
      </w:r>
      <w:r w:rsidRPr="00A74972">
        <w:t>performance</w:t>
      </w:r>
      <w:r w:rsidRPr="00A74972" w:rsidDel="009A38CB">
        <w:t>:</w:t>
      </w:r>
      <w:r w:rsidRPr="00A74972">
        <w:t xml:space="preserve"> </w:t>
      </w:r>
    </w:p>
    <w:p w14:paraId="5C823D14" w14:textId="53E860FC" w:rsidR="008C799D" w:rsidRPr="00A74972" w:rsidRDefault="0048259F" w:rsidP="00E227DB">
      <w:pPr>
        <w:pStyle w:val="ListParagraph"/>
        <w:numPr>
          <w:ilvl w:val="0"/>
          <w:numId w:val="6"/>
        </w:numPr>
        <w:ind w:right="-20"/>
      </w:pPr>
      <w:r w:rsidRPr="00A74972">
        <w:t>s</w:t>
      </w:r>
      <w:r w:rsidR="00EA152E" w:rsidRPr="00A74972">
        <w:t>ensiti</w:t>
      </w:r>
      <w:r w:rsidR="008C799D" w:rsidRPr="00A74972">
        <w:t>vity and specificity</w:t>
      </w:r>
    </w:p>
    <w:p w14:paraId="09AEA287" w14:textId="6E9D62B0" w:rsidR="009A38CB" w:rsidRPr="00A74972" w:rsidRDefault="00E162A7" w:rsidP="00E227DB">
      <w:pPr>
        <w:pStyle w:val="ListParagraph"/>
        <w:numPr>
          <w:ilvl w:val="0"/>
          <w:numId w:val="6"/>
        </w:numPr>
        <w:ind w:right="-20"/>
      </w:pPr>
      <w:r w:rsidRPr="00A74972">
        <w:t>t</w:t>
      </w:r>
      <w:r w:rsidR="009A38CB" w:rsidRPr="00A74972">
        <w:t>est failure rate</w:t>
      </w:r>
    </w:p>
    <w:p w14:paraId="43B798F5" w14:textId="173E8655" w:rsidR="009A38CB" w:rsidRPr="00A74972" w:rsidRDefault="00E162A7" w:rsidP="00E227DB">
      <w:pPr>
        <w:pStyle w:val="ListParagraph"/>
        <w:numPr>
          <w:ilvl w:val="0"/>
          <w:numId w:val="6"/>
        </w:numPr>
        <w:ind w:right="-20"/>
      </w:pPr>
      <w:r w:rsidRPr="00A74972">
        <w:t>e</w:t>
      </w:r>
      <w:r w:rsidR="009A38CB" w:rsidRPr="00A74972">
        <w:t>vidence of stability of proteins in archival tissue</w:t>
      </w:r>
    </w:p>
    <w:p w14:paraId="4319CC86" w14:textId="427FBB48" w:rsidR="007114C3" w:rsidRPr="00A74972" w:rsidRDefault="007114C3" w:rsidP="00E227DB">
      <w:pPr>
        <w:pStyle w:val="ListParagraph"/>
        <w:numPr>
          <w:ilvl w:val="0"/>
          <w:numId w:val="6"/>
        </w:numPr>
        <w:ind w:right="-20"/>
      </w:pPr>
      <w:r w:rsidRPr="00A74972">
        <w:rPr>
          <w:rFonts w:asciiTheme="minorHAnsi" w:eastAsiaTheme="minorEastAsia" w:hAnsiTheme="minorHAnsi" w:cstheme="minorBidi"/>
        </w:rPr>
        <w:t>Heterogeneity within tissue samples</w:t>
      </w:r>
    </w:p>
    <w:p w14:paraId="64DB1BAB" w14:textId="754FDDB4" w:rsidR="009A38CB" w:rsidRPr="00A74972" w:rsidRDefault="00E162A7" w:rsidP="00E227DB">
      <w:pPr>
        <w:pStyle w:val="ListParagraph"/>
        <w:numPr>
          <w:ilvl w:val="0"/>
          <w:numId w:val="6"/>
        </w:numPr>
        <w:ind w:right="-20"/>
      </w:pPr>
      <w:r w:rsidRPr="00A74972">
        <w:t>e</w:t>
      </w:r>
      <w:r w:rsidR="009A38CB" w:rsidRPr="00A74972">
        <w:t>vidence of stability in CLDN18.2 status over time</w:t>
      </w:r>
    </w:p>
    <w:p w14:paraId="5D70B692" w14:textId="39230F8E" w:rsidR="009A38CB" w:rsidRPr="00A74972" w:rsidRDefault="000343DC" w:rsidP="00E227DB">
      <w:pPr>
        <w:pStyle w:val="ListParagraph"/>
        <w:numPr>
          <w:ilvl w:val="0"/>
          <w:numId w:val="6"/>
        </w:numPr>
        <w:ind w:right="-20"/>
      </w:pPr>
      <w:r w:rsidRPr="00A74972">
        <w:t>assessment of extent of and implications of discordances between Australian IHC testing and clinical utility standard</w:t>
      </w:r>
    </w:p>
    <w:p w14:paraId="2AEE1363" w14:textId="0DDE330B" w:rsidR="00581FC3" w:rsidRPr="00A74972" w:rsidRDefault="667C3128" w:rsidP="00E227DB">
      <w:pPr>
        <w:pStyle w:val="ListParagraph"/>
        <w:numPr>
          <w:ilvl w:val="0"/>
          <w:numId w:val="6"/>
        </w:numPr>
        <w:ind w:right="-20"/>
      </w:pPr>
      <w:r w:rsidRPr="00A74972">
        <w:rPr>
          <w:rFonts w:asciiTheme="minorHAnsi" w:eastAsiaTheme="minorEastAsia" w:hAnsiTheme="minorHAnsi" w:cstheme="minorBidi"/>
        </w:rPr>
        <w:t>test-retest reliability</w:t>
      </w:r>
      <w:r w:rsidR="00561678" w:rsidRPr="00A74972">
        <w:rPr>
          <w:rFonts w:asciiTheme="minorHAnsi" w:eastAsiaTheme="minorEastAsia" w:hAnsiTheme="minorHAnsi" w:cstheme="minorBidi"/>
        </w:rPr>
        <w:t>.</w:t>
      </w:r>
    </w:p>
    <w:p w14:paraId="74F04889" w14:textId="2C18E47B" w:rsidR="009A38CB" w:rsidRPr="00A74972" w:rsidRDefault="000F1053" w:rsidP="0FCDB3BF">
      <w:pPr>
        <w:ind w:right="-20"/>
      </w:pPr>
      <w:r w:rsidRPr="00A74972">
        <w:t xml:space="preserve">Clinical validity: </w:t>
      </w:r>
      <w:r w:rsidR="00F275D5" w:rsidRPr="00A74972">
        <w:t>p</w:t>
      </w:r>
      <w:r w:rsidRPr="00A74972">
        <w:t>ositive and negative predictive values, positive and negative likelihood ratios.</w:t>
      </w:r>
    </w:p>
    <w:p w14:paraId="1C525858" w14:textId="767CD902" w:rsidR="7C32489B" w:rsidRPr="00A74972" w:rsidRDefault="7C32489B" w:rsidP="0FCDB3BF">
      <w:pPr>
        <w:ind w:right="-20"/>
        <w:rPr>
          <w:rFonts w:cs="Calibri"/>
        </w:rPr>
      </w:pPr>
      <w:r w:rsidRPr="00A74972">
        <w:rPr>
          <w:rFonts w:cs="Calibri"/>
        </w:rPr>
        <w:t xml:space="preserve">Clinical utility of the test: </w:t>
      </w:r>
      <w:r w:rsidR="00CE68BF" w:rsidRPr="00A74972">
        <w:rPr>
          <w:rFonts w:cs="Calibri"/>
        </w:rPr>
        <w:t>d</w:t>
      </w:r>
      <w:r w:rsidRPr="00A74972">
        <w:rPr>
          <w:rFonts w:cs="Calibri"/>
        </w:rPr>
        <w:t>etermine whether testing for CLDN18.2 predicts variation in the treatment effect of zolbetuximab in terms of health outcomes for patients.</w:t>
      </w:r>
    </w:p>
    <w:p w14:paraId="3CDCE4F1" w14:textId="0F91522B" w:rsidR="7C32489B" w:rsidRPr="009D5DBB" w:rsidRDefault="7C32489B" w:rsidP="444C3E48">
      <w:pPr>
        <w:ind w:left="-20" w:right="-20"/>
        <w:rPr>
          <w:b/>
          <w:i/>
          <w:iCs/>
          <w:color w:val="0070C0"/>
        </w:rPr>
      </w:pPr>
      <w:r w:rsidRPr="009D5DBB">
        <w:rPr>
          <w:rFonts w:cs="Calibri"/>
          <w:b/>
          <w:i/>
          <w:iCs/>
          <w:color w:val="0070C0"/>
        </w:rPr>
        <w:t xml:space="preserve">Drug-related outcomes </w:t>
      </w:r>
    </w:p>
    <w:p w14:paraId="3C18FA6F" w14:textId="779F5BA8" w:rsidR="7C32489B" w:rsidRPr="00A74972" w:rsidRDefault="7C32489B" w:rsidP="00054071">
      <w:pPr>
        <w:ind w:left="-20" w:right="-20"/>
      </w:pPr>
      <w:r w:rsidRPr="00A74972">
        <w:rPr>
          <w:rFonts w:cs="Calibri"/>
        </w:rPr>
        <w:t xml:space="preserve">Safety outcomes: </w:t>
      </w:r>
      <w:r w:rsidR="00CE68BF" w:rsidRPr="00A74972">
        <w:rPr>
          <w:rFonts w:cs="Calibri"/>
        </w:rPr>
        <w:t>s</w:t>
      </w:r>
      <w:r w:rsidRPr="00A74972">
        <w:rPr>
          <w:rFonts w:cs="Calibri"/>
        </w:rPr>
        <w:t xml:space="preserve">afety and tolerability of treatment with zolbetuximab </w:t>
      </w:r>
      <w:r w:rsidR="00C45E9B">
        <w:rPr>
          <w:rFonts w:cs="Calibri"/>
        </w:rPr>
        <w:t>compared to alternative treatments</w:t>
      </w:r>
      <w:r w:rsidR="00643D79">
        <w:rPr>
          <w:rFonts w:cs="Calibri"/>
        </w:rPr>
        <w:t xml:space="preserve"> </w:t>
      </w:r>
      <w:r w:rsidR="00A57F9C">
        <w:rPr>
          <w:rFonts w:cs="Calibri"/>
        </w:rPr>
        <w:t xml:space="preserve">assessed by </w:t>
      </w:r>
      <w:r w:rsidRPr="00A74972">
        <w:rPr>
          <w:rFonts w:cs="Calibri"/>
        </w:rPr>
        <w:t xml:space="preserve">adverse events, physical examination, laboratory findings and vital signs. </w:t>
      </w:r>
    </w:p>
    <w:p w14:paraId="04BF38E6" w14:textId="6ED73203" w:rsidR="7C32489B" w:rsidRPr="00A74972" w:rsidRDefault="7C32489B" w:rsidP="444C3E48">
      <w:pPr>
        <w:ind w:left="-20" w:right="-20"/>
      </w:pPr>
      <w:r w:rsidRPr="00A74972">
        <w:rPr>
          <w:rFonts w:cs="Calibri"/>
        </w:rPr>
        <w:t xml:space="preserve">Clinical effectiveness outcomes: </w:t>
      </w:r>
    </w:p>
    <w:p w14:paraId="3D9AC3CA" w14:textId="5944A636" w:rsidR="7C32489B" w:rsidRPr="00A74972" w:rsidRDefault="00CE68BF" w:rsidP="00E227DB">
      <w:pPr>
        <w:pStyle w:val="ListParagraph"/>
        <w:numPr>
          <w:ilvl w:val="0"/>
          <w:numId w:val="2"/>
        </w:numPr>
      </w:pPr>
      <w:r w:rsidRPr="00A74972">
        <w:t>o</w:t>
      </w:r>
      <w:r w:rsidR="7C32489B" w:rsidRPr="00A74972">
        <w:t xml:space="preserve">bjective response rate </w:t>
      </w:r>
      <w:r w:rsidR="00471E68" w:rsidRPr="00A74972">
        <w:t>(ORR)</w:t>
      </w:r>
    </w:p>
    <w:p w14:paraId="3F58EE8C" w14:textId="2E874203" w:rsidR="7C32489B" w:rsidRPr="00A74972" w:rsidRDefault="00CE68BF" w:rsidP="00E227DB">
      <w:pPr>
        <w:pStyle w:val="ListParagraph"/>
        <w:numPr>
          <w:ilvl w:val="0"/>
          <w:numId w:val="2"/>
        </w:numPr>
      </w:pPr>
      <w:r w:rsidRPr="00A74972">
        <w:t>o</w:t>
      </w:r>
      <w:r w:rsidR="7C32489B" w:rsidRPr="00A74972">
        <w:t xml:space="preserve">verall survival </w:t>
      </w:r>
      <w:r w:rsidR="00471E68" w:rsidRPr="00A74972">
        <w:t>(OS)</w:t>
      </w:r>
    </w:p>
    <w:p w14:paraId="6125E217" w14:textId="4A4FC183" w:rsidR="7C32489B" w:rsidRPr="00A74972" w:rsidRDefault="00CE68BF" w:rsidP="00E227DB">
      <w:pPr>
        <w:pStyle w:val="ListParagraph"/>
        <w:numPr>
          <w:ilvl w:val="0"/>
          <w:numId w:val="2"/>
        </w:numPr>
      </w:pPr>
      <w:r w:rsidRPr="00A74972">
        <w:t>p</w:t>
      </w:r>
      <w:r w:rsidR="7C32489B" w:rsidRPr="00A74972">
        <w:t>rogression-free survival</w:t>
      </w:r>
      <w:r w:rsidR="00471E68" w:rsidRPr="00A74972">
        <w:t xml:space="preserve"> (PFS)</w:t>
      </w:r>
      <w:r w:rsidR="7C32489B" w:rsidRPr="00A74972">
        <w:t xml:space="preserve"> </w:t>
      </w:r>
    </w:p>
    <w:p w14:paraId="7D2EE5CB" w14:textId="3B0F07DE" w:rsidR="7C32489B" w:rsidRPr="00A74972" w:rsidRDefault="00CE68BF" w:rsidP="00E227DB">
      <w:pPr>
        <w:pStyle w:val="ListParagraph"/>
        <w:numPr>
          <w:ilvl w:val="0"/>
          <w:numId w:val="2"/>
        </w:numPr>
      </w:pPr>
      <w:r w:rsidRPr="00A74972">
        <w:lastRenderedPageBreak/>
        <w:t>p</w:t>
      </w:r>
      <w:r w:rsidR="7C32489B" w:rsidRPr="00A74972">
        <w:t xml:space="preserve">artial response </w:t>
      </w:r>
      <w:r w:rsidR="00471E68" w:rsidRPr="00A74972">
        <w:t>(PR)</w:t>
      </w:r>
    </w:p>
    <w:p w14:paraId="6858E394" w14:textId="1E775C7F" w:rsidR="7C32489B" w:rsidRPr="00A74972" w:rsidRDefault="00CE68BF" w:rsidP="00E227DB">
      <w:pPr>
        <w:pStyle w:val="ListParagraph"/>
        <w:numPr>
          <w:ilvl w:val="0"/>
          <w:numId w:val="2"/>
        </w:numPr>
      </w:pPr>
      <w:r w:rsidRPr="00A74972">
        <w:t>c</w:t>
      </w:r>
      <w:r w:rsidR="7C32489B" w:rsidRPr="00A74972">
        <w:t xml:space="preserve">omplete response </w:t>
      </w:r>
      <w:r w:rsidR="00471E68" w:rsidRPr="00A74972">
        <w:t>(</w:t>
      </w:r>
      <w:r w:rsidR="00B277DE" w:rsidRPr="00A74972">
        <w:t>CR)</w:t>
      </w:r>
    </w:p>
    <w:p w14:paraId="6CEAC6AF" w14:textId="7C0B684F" w:rsidR="7C32489B" w:rsidRPr="00A74972" w:rsidRDefault="00CE68BF" w:rsidP="00E227DB">
      <w:pPr>
        <w:pStyle w:val="ListParagraph"/>
        <w:numPr>
          <w:ilvl w:val="0"/>
          <w:numId w:val="2"/>
        </w:numPr>
      </w:pPr>
      <w:r w:rsidRPr="00A74972">
        <w:t>h</w:t>
      </w:r>
      <w:r w:rsidR="7C32489B" w:rsidRPr="00A74972">
        <w:t xml:space="preserve">ealth-related quality of life </w:t>
      </w:r>
      <w:r w:rsidR="00B277DE" w:rsidRPr="00A74972">
        <w:t>(HRQoL)</w:t>
      </w:r>
      <w:r w:rsidRPr="00A74972">
        <w:t>.</w:t>
      </w:r>
    </w:p>
    <w:p w14:paraId="7C3D7512" w14:textId="50254248" w:rsidR="7C32489B" w:rsidRPr="00A74972" w:rsidRDefault="7C32489B" w:rsidP="444C3E48">
      <w:pPr>
        <w:ind w:left="-20" w:right="-20"/>
      </w:pPr>
      <w:r w:rsidRPr="00A74972">
        <w:rPr>
          <w:rFonts w:cs="Calibri"/>
        </w:rPr>
        <w:t>Healthcare system</w:t>
      </w:r>
      <w:r w:rsidR="009A38CB" w:rsidRPr="00A74972">
        <w:rPr>
          <w:rFonts w:cs="Calibri"/>
        </w:rPr>
        <w:t xml:space="preserve"> outcomes</w:t>
      </w:r>
      <w:r w:rsidRPr="00A74972">
        <w:rPr>
          <w:rFonts w:cs="Calibri"/>
        </w:rPr>
        <w:t xml:space="preserve">: </w:t>
      </w:r>
    </w:p>
    <w:p w14:paraId="224D49CE" w14:textId="45543649" w:rsidR="7C32489B" w:rsidRPr="00A74972" w:rsidRDefault="00CE68BF" w:rsidP="00E227DB">
      <w:pPr>
        <w:pStyle w:val="ListParagraph"/>
        <w:numPr>
          <w:ilvl w:val="0"/>
          <w:numId w:val="2"/>
        </w:numPr>
      </w:pPr>
      <w:r w:rsidRPr="00A74972">
        <w:t>c</w:t>
      </w:r>
      <w:r w:rsidR="7C32489B" w:rsidRPr="00A74972">
        <w:t xml:space="preserve">ost of testing per patient with associated re-biopsies </w:t>
      </w:r>
      <w:r w:rsidR="005E1FE5" w:rsidRPr="00A74972">
        <w:t>(</w:t>
      </w:r>
      <w:r w:rsidR="00760A1D" w:rsidRPr="00A74972">
        <w:t>e.g.: early-stage</w:t>
      </w:r>
      <w:r w:rsidR="004A6F28" w:rsidRPr="00A74972">
        <w:t xml:space="preserve"> disease </w:t>
      </w:r>
      <w:r w:rsidR="006059F0" w:rsidRPr="00A74972">
        <w:t>that has relapse</w:t>
      </w:r>
      <w:r w:rsidR="00760A1D" w:rsidRPr="00A74972">
        <w:t>d</w:t>
      </w:r>
      <w:r w:rsidR="008F6F14">
        <w:t xml:space="preserve">, </w:t>
      </w:r>
      <w:r w:rsidR="008F6F14" w:rsidRPr="00A74972">
        <w:t>test failure, inadequate sampling</w:t>
      </w:r>
      <w:r w:rsidR="006059F0" w:rsidRPr="00A74972">
        <w:t>)</w:t>
      </w:r>
    </w:p>
    <w:p w14:paraId="2C0C0606" w14:textId="7AD47224" w:rsidR="7C32489B" w:rsidRPr="00A74972" w:rsidRDefault="00CE68BF" w:rsidP="00E227DB">
      <w:pPr>
        <w:pStyle w:val="ListParagraph"/>
        <w:numPr>
          <w:ilvl w:val="0"/>
          <w:numId w:val="2"/>
        </w:numPr>
      </w:pPr>
      <w:r w:rsidRPr="00A74972">
        <w:t>c</w:t>
      </w:r>
      <w:r w:rsidR="7C32489B" w:rsidRPr="00A74972">
        <w:t>ost of treatment and cost of treating adverse events</w:t>
      </w:r>
    </w:p>
    <w:p w14:paraId="2D7F1D0C" w14:textId="032E915E" w:rsidR="00551D2E" w:rsidRPr="009F7515" w:rsidRDefault="00CE68BF" w:rsidP="009F7515">
      <w:pPr>
        <w:pStyle w:val="ListParagraph"/>
        <w:numPr>
          <w:ilvl w:val="0"/>
          <w:numId w:val="2"/>
        </w:numPr>
      </w:pPr>
      <w:r w:rsidRPr="00A74972">
        <w:t>f</w:t>
      </w:r>
      <w:r w:rsidR="7C32489B" w:rsidRPr="00A74972">
        <w:t>inancial implications</w:t>
      </w:r>
      <w:r w:rsidR="005F668D" w:rsidRPr="00A74972">
        <w:t>: number of patients tested; number of patients treated.</w:t>
      </w:r>
    </w:p>
    <w:p w14:paraId="42161176" w14:textId="00947B70" w:rsidR="00551D2E" w:rsidRPr="00A01396" w:rsidRDefault="00551D2E" w:rsidP="00551D2E">
      <w:pPr>
        <w:autoSpaceDE w:val="0"/>
        <w:autoSpaceDN w:val="0"/>
        <w:adjustRightInd w:val="0"/>
        <w:spacing w:line="23" w:lineRule="atLeast"/>
        <w:rPr>
          <w:rFonts w:asciiTheme="minorHAnsi" w:hAnsiTheme="minorHAnsi" w:cstheme="minorBidi"/>
          <w:i/>
          <w:iCs/>
          <w:highlight w:val="yellow"/>
        </w:rPr>
      </w:pPr>
      <w:r w:rsidRPr="00A01396">
        <w:rPr>
          <w:rFonts w:asciiTheme="minorHAnsi" w:hAnsiTheme="minorHAnsi" w:cstheme="minorBidi"/>
          <w:i/>
          <w:iCs/>
        </w:rPr>
        <w:t>PASC confirmed that the outcomes listed in the PICO were appropriate.</w:t>
      </w:r>
    </w:p>
    <w:p w14:paraId="56F59D8D" w14:textId="521771DF" w:rsidR="2ACD8204" w:rsidRPr="009F7515" w:rsidRDefault="000F3B61" w:rsidP="2ACD8204">
      <w:pPr>
        <w:spacing w:line="23" w:lineRule="atLeast"/>
        <w:rPr>
          <w:rFonts w:asciiTheme="minorHAnsi" w:hAnsiTheme="minorHAnsi" w:cstheme="minorBidi"/>
          <w:i/>
        </w:rPr>
      </w:pPr>
      <w:r w:rsidRPr="2ACD8204">
        <w:rPr>
          <w:rFonts w:asciiTheme="minorHAnsi" w:hAnsiTheme="minorHAnsi" w:cstheme="minorBidi"/>
        </w:rPr>
        <w:t>In their response to the pre-PASC PICO, the applicant considered it is unnecessary to measure re-biopsy rates and test turn-around time, considering the revised proposal for parallel IHC HER2 and CLDN18.2 testing. The applicant supported the argument by stating that most patients will have recent tissue samples available or very recent archival material, noting that archival tissue can be used for patients with disease relapse</w:t>
      </w:r>
      <w:r w:rsidR="6267C1F8" w:rsidRPr="2ACD8204">
        <w:rPr>
          <w:rFonts w:asciiTheme="minorHAnsi" w:hAnsiTheme="minorHAnsi" w:cstheme="minorBidi"/>
        </w:rPr>
        <w:t>.</w:t>
      </w:r>
      <w:r w:rsidR="00281865">
        <w:rPr>
          <w:rFonts w:asciiTheme="minorHAnsi" w:hAnsiTheme="minorHAnsi" w:cstheme="minorBidi"/>
        </w:rPr>
        <w:t xml:space="preserve"> </w:t>
      </w:r>
      <w:r w:rsidR="00287960" w:rsidRPr="00551D2E">
        <w:rPr>
          <w:rFonts w:asciiTheme="minorHAnsi" w:hAnsiTheme="minorHAnsi" w:cstheme="minorBidi"/>
          <w:i/>
        </w:rPr>
        <w:t>Post-</w:t>
      </w:r>
      <w:r w:rsidR="00281865" w:rsidRPr="00551D2E">
        <w:rPr>
          <w:rFonts w:asciiTheme="minorHAnsi" w:hAnsiTheme="minorHAnsi" w:cstheme="minorBidi"/>
          <w:i/>
        </w:rPr>
        <w:t>PASC</w:t>
      </w:r>
      <w:r w:rsidR="00287960">
        <w:rPr>
          <w:rFonts w:asciiTheme="minorHAnsi" w:hAnsiTheme="minorHAnsi" w:cstheme="minorBidi"/>
          <w:i/>
          <w:iCs/>
        </w:rPr>
        <w:t xml:space="preserve"> advice confirmed</w:t>
      </w:r>
      <w:r w:rsidR="00281865" w:rsidRPr="00551D2E">
        <w:rPr>
          <w:rFonts w:asciiTheme="minorHAnsi" w:hAnsiTheme="minorHAnsi" w:cstheme="minorBidi"/>
          <w:i/>
        </w:rPr>
        <w:t xml:space="preserve"> </w:t>
      </w:r>
      <w:r w:rsidR="00281865">
        <w:rPr>
          <w:rFonts w:asciiTheme="minorHAnsi" w:hAnsiTheme="minorHAnsi" w:cstheme="minorBidi"/>
          <w:i/>
        </w:rPr>
        <w:t xml:space="preserve">that </w:t>
      </w:r>
      <w:r w:rsidR="0037782E">
        <w:rPr>
          <w:rFonts w:asciiTheme="minorHAnsi" w:hAnsiTheme="minorHAnsi" w:cstheme="minorBidi"/>
          <w:i/>
          <w:iCs/>
        </w:rPr>
        <w:t xml:space="preserve">it is not necessary to measure </w:t>
      </w:r>
      <w:r w:rsidR="00281865">
        <w:rPr>
          <w:rFonts w:asciiTheme="minorHAnsi" w:hAnsiTheme="minorHAnsi" w:cstheme="minorBidi"/>
          <w:i/>
        </w:rPr>
        <w:t>re-biopsy rates and test turnaround times</w:t>
      </w:r>
      <w:r w:rsidR="00551D2E">
        <w:rPr>
          <w:rFonts w:asciiTheme="minorHAnsi" w:hAnsiTheme="minorHAnsi" w:cstheme="minorBidi"/>
          <w:i/>
          <w:iCs/>
        </w:rPr>
        <w:t xml:space="preserve"> given that these measures are likely going to be very small</w:t>
      </w:r>
      <w:r w:rsidR="00C71363">
        <w:rPr>
          <w:rFonts w:asciiTheme="minorHAnsi" w:hAnsiTheme="minorHAnsi" w:cstheme="minorBidi"/>
          <w:i/>
          <w:iCs/>
        </w:rPr>
        <w:t xml:space="preserve"> and</w:t>
      </w:r>
      <w:r w:rsidR="00A61A35">
        <w:rPr>
          <w:rFonts w:asciiTheme="minorHAnsi" w:hAnsiTheme="minorHAnsi" w:cstheme="minorBidi"/>
          <w:i/>
          <w:iCs/>
        </w:rPr>
        <w:t xml:space="preserve"> </w:t>
      </w:r>
      <w:r w:rsidR="00D8579E">
        <w:rPr>
          <w:rFonts w:asciiTheme="minorHAnsi" w:hAnsiTheme="minorHAnsi" w:cstheme="minorBidi"/>
          <w:i/>
          <w:iCs/>
        </w:rPr>
        <w:t>therefore of</w:t>
      </w:r>
      <w:r w:rsidR="00C71363">
        <w:rPr>
          <w:rFonts w:asciiTheme="minorHAnsi" w:hAnsiTheme="minorHAnsi" w:cstheme="minorBidi"/>
          <w:i/>
          <w:iCs/>
        </w:rPr>
        <w:t xml:space="preserve"> limited significance</w:t>
      </w:r>
      <w:r w:rsidR="0037782E">
        <w:rPr>
          <w:rFonts w:asciiTheme="minorHAnsi" w:hAnsiTheme="minorHAnsi" w:cstheme="minorBidi"/>
          <w:i/>
          <w:iCs/>
        </w:rPr>
        <w:t>.</w:t>
      </w:r>
    </w:p>
    <w:p w14:paraId="31188D90" w14:textId="294290D7" w:rsidR="001546E2" w:rsidRPr="00A01396" w:rsidRDefault="001546E2" w:rsidP="001546E2">
      <w:pPr>
        <w:rPr>
          <w:rStyle w:val="normaltextrun"/>
          <w:rFonts w:eastAsiaTheme="minorEastAsia" w:cs="Calibri"/>
          <w:i/>
          <w:iCs/>
          <w:color w:val="000000" w:themeColor="text1"/>
        </w:rPr>
      </w:pPr>
      <w:r w:rsidRPr="00A01396">
        <w:rPr>
          <w:rStyle w:val="normaltextrun"/>
          <w:rFonts w:cs="Calibri"/>
          <w:i/>
          <w:iCs/>
          <w:color w:val="000000" w:themeColor="text1"/>
        </w:rPr>
        <w:t xml:space="preserve">The applicant and PASC discussed the assessment questions included in the PICO summary box. In their pre-PASC response, the applicant considered the three questions listed below to be unnecessary. PASC considered the second question on prognostic value may be unnecessary, while retaining the first and third assessment questions. PASC also noted </w:t>
      </w:r>
      <w:r w:rsidR="0099797B" w:rsidRPr="0099797B">
        <w:rPr>
          <w:rStyle w:val="normaltextrun"/>
          <w:rFonts w:cs="Calibri"/>
          <w:i/>
          <w:iCs/>
          <w:color w:val="000000" w:themeColor="text1"/>
        </w:rPr>
        <w:t>the</w:t>
      </w:r>
      <w:r w:rsidRPr="00A01396">
        <w:rPr>
          <w:rStyle w:val="normaltextrun"/>
          <w:rFonts w:cs="Calibri"/>
          <w:i/>
          <w:iCs/>
          <w:color w:val="000000" w:themeColor="text1"/>
        </w:rPr>
        <w:t xml:space="preserve"> </w:t>
      </w:r>
      <w:r w:rsidR="00536B12" w:rsidRPr="00631A7C">
        <w:rPr>
          <w:rStyle w:val="normaltextrun"/>
          <w:rFonts w:cs="Calibri"/>
          <w:i/>
          <w:color w:val="000000" w:themeColor="text1"/>
        </w:rPr>
        <w:t>applicant’s decision on whether to present information in the assessment report to address the</w:t>
      </w:r>
      <w:r>
        <w:rPr>
          <w:rStyle w:val="normaltextrun"/>
          <w:rFonts w:cs="Calibri"/>
          <w:color w:val="000000" w:themeColor="text1"/>
        </w:rPr>
        <w:t xml:space="preserve"> </w:t>
      </w:r>
      <w:r w:rsidRPr="00A01396">
        <w:rPr>
          <w:rStyle w:val="normaltextrun"/>
          <w:rFonts w:cs="Calibri"/>
          <w:i/>
          <w:iCs/>
          <w:color w:val="000000" w:themeColor="text1"/>
        </w:rPr>
        <w:t xml:space="preserve">question on prognostic value should </w:t>
      </w:r>
      <w:r w:rsidR="00536B12">
        <w:rPr>
          <w:rStyle w:val="normaltextrun"/>
          <w:rFonts w:cs="Calibri"/>
          <w:i/>
          <w:iCs/>
          <w:color w:val="000000" w:themeColor="text1"/>
        </w:rPr>
        <w:t xml:space="preserve">be informed by </w:t>
      </w:r>
      <w:r w:rsidRPr="00A01396">
        <w:rPr>
          <w:rStyle w:val="normaltextrun"/>
          <w:rFonts w:cs="Calibri"/>
          <w:i/>
          <w:iCs/>
          <w:color w:val="000000" w:themeColor="text1"/>
        </w:rPr>
        <w:t xml:space="preserve">the requirements outlined in the PBAC and MSAC guidelines </w:t>
      </w:r>
      <w:r w:rsidR="00BE7A69">
        <w:rPr>
          <w:rStyle w:val="normaltextrun"/>
          <w:rFonts w:cs="Calibri"/>
          <w:i/>
          <w:iCs/>
          <w:color w:val="000000" w:themeColor="text1"/>
        </w:rPr>
        <w:t>o</w:t>
      </w:r>
      <w:r w:rsidRPr="00A01396">
        <w:rPr>
          <w:rStyle w:val="normaltextrun"/>
          <w:rFonts w:cs="Calibri"/>
          <w:i/>
          <w:iCs/>
          <w:color w:val="000000" w:themeColor="text1"/>
        </w:rPr>
        <w:t xml:space="preserve">n developing an assessment report for codependent technologies. </w:t>
      </w:r>
    </w:p>
    <w:p w14:paraId="15FBA98E" w14:textId="77777777" w:rsidR="001546E2" w:rsidRPr="00A01396" w:rsidRDefault="001546E2" w:rsidP="001546E2">
      <w:pPr>
        <w:pStyle w:val="paragraph"/>
        <w:numPr>
          <w:ilvl w:val="0"/>
          <w:numId w:val="14"/>
        </w:numPr>
        <w:autoSpaceDE w:val="0"/>
        <w:autoSpaceDN w:val="0"/>
        <w:adjustRightInd w:val="0"/>
        <w:spacing w:before="0" w:beforeAutospacing="0" w:after="0" w:afterAutospacing="0" w:line="23" w:lineRule="atLeast"/>
        <w:rPr>
          <w:i/>
          <w:iCs/>
          <w:sz w:val="22"/>
          <w:szCs w:val="22"/>
        </w:rPr>
      </w:pPr>
      <w:r w:rsidRPr="00A01396">
        <w:rPr>
          <w:rStyle w:val="normaltextrun"/>
          <w:rFonts w:ascii="Calibri" w:hAnsi="Calibri" w:cs="Calibri"/>
          <w:i/>
          <w:iCs/>
          <w:sz w:val="22"/>
          <w:szCs w:val="22"/>
        </w:rPr>
        <w:t>Does testing for CLDN18.2 predict a treatment effect modification with zolbetuximab? </w:t>
      </w:r>
    </w:p>
    <w:p w14:paraId="72A467B4" w14:textId="77777777" w:rsidR="001546E2" w:rsidRPr="00A01396" w:rsidRDefault="001546E2" w:rsidP="001546E2">
      <w:pPr>
        <w:pStyle w:val="paragraph"/>
        <w:numPr>
          <w:ilvl w:val="0"/>
          <w:numId w:val="14"/>
        </w:numPr>
        <w:autoSpaceDE w:val="0"/>
        <w:autoSpaceDN w:val="0"/>
        <w:adjustRightInd w:val="0"/>
        <w:spacing w:before="0" w:beforeAutospacing="0" w:after="0" w:afterAutospacing="0" w:line="23" w:lineRule="atLeast"/>
        <w:rPr>
          <w:rFonts w:ascii="Calibri" w:hAnsi="Calibri" w:cs="Calibri"/>
          <w:i/>
          <w:iCs/>
          <w:sz w:val="22"/>
          <w:szCs w:val="22"/>
        </w:rPr>
      </w:pPr>
      <w:r w:rsidRPr="00A01396">
        <w:rPr>
          <w:rStyle w:val="normaltextrun"/>
          <w:rFonts w:ascii="Calibri" w:hAnsi="Calibri" w:cs="Calibri"/>
          <w:i/>
          <w:iCs/>
          <w:sz w:val="22"/>
          <w:szCs w:val="22"/>
        </w:rPr>
        <w:t>Is there prognostic value in CLDN18.2 expression in G/GOJ adenocarcinoma, and how may this be considered while evaluating the clinical efficacy of zolbetuximab? </w:t>
      </w:r>
    </w:p>
    <w:p w14:paraId="26668B71" w14:textId="18A2A11F" w:rsidR="000C1DD7" w:rsidRPr="009F7515" w:rsidRDefault="001546E2" w:rsidP="009F7515">
      <w:pPr>
        <w:pStyle w:val="ListParagraph"/>
        <w:numPr>
          <w:ilvl w:val="0"/>
          <w:numId w:val="14"/>
        </w:numPr>
        <w:autoSpaceDE w:val="0"/>
        <w:autoSpaceDN w:val="0"/>
        <w:adjustRightInd w:val="0"/>
        <w:spacing w:line="23" w:lineRule="atLeast"/>
        <w:rPr>
          <w:rFonts w:asciiTheme="minorHAnsi" w:hAnsiTheme="minorHAnsi" w:cstheme="minorBidi"/>
          <w:i/>
          <w:iCs/>
        </w:rPr>
      </w:pPr>
      <w:r w:rsidRPr="00A01396">
        <w:rPr>
          <w:rStyle w:val="normaltextrun"/>
          <w:rFonts w:cs="Calibri"/>
          <w:i/>
          <w:iCs/>
        </w:rPr>
        <w:t>What are the potential costs and cost offsets associated with disease management arising from the listing of CLDN18.2 testing? </w:t>
      </w:r>
    </w:p>
    <w:p w14:paraId="6D1DEEF0" w14:textId="3BBA8396" w:rsidR="7C32489B" w:rsidRPr="00A74972" w:rsidRDefault="7C32489B" w:rsidP="009E2B5B">
      <w:pPr>
        <w:pStyle w:val="Heading2"/>
        <w:ind w:right="-20"/>
        <w:rPr>
          <w:color w:val="auto"/>
        </w:rPr>
      </w:pPr>
      <w:r w:rsidRPr="00A74972">
        <w:rPr>
          <w:rFonts w:eastAsia="Franklin Gothic Medium" w:cs="Franklin Gothic Medium"/>
          <w:color w:val="auto"/>
        </w:rPr>
        <w:t>Assessment framework (for investigative technologies)</w:t>
      </w:r>
    </w:p>
    <w:p w14:paraId="60CBF7DD" w14:textId="227FE9DA" w:rsidR="7C32489B" w:rsidRPr="00A74972" w:rsidRDefault="7C32489B" w:rsidP="444C3E48">
      <w:pPr>
        <w:ind w:left="-20" w:right="-20"/>
      </w:pPr>
      <w:r w:rsidRPr="00A74972">
        <w:rPr>
          <w:rFonts w:cs="Calibri"/>
        </w:rPr>
        <w:t>A linked evidence approach is the most appropriate as there is unlikely to be direct evidence of the impact of claudin testing on health outcomes. An assessment framework linking claudin testing to relevant health outcomes is presented in Figure 1.</w:t>
      </w:r>
    </w:p>
    <w:p w14:paraId="01390AF5" w14:textId="109FC10F" w:rsidR="7C32489B" w:rsidRPr="00A74972" w:rsidRDefault="7C32489B" w:rsidP="444C3E48">
      <w:pPr>
        <w:ind w:left="-20" w:right="-20"/>
      </w:pPr>
      <w:r w:rsidRPr="00A74972">
        <w:rPr>
          <w:rFonts w:cs="Calibri"/>
        </w:rPr>
        <w:t>Questions relevant to this assessment framework are as follows:</w:t>
      </w:r>
    </w:p>
    <w:p w14:paraId="22DC6B2D" w14:textId="51C37AE2" w:rsidR="7C32489B" w:rsidRPr="00A74972" w:rsidRDefault="7C32489B" w:rsidP="00E227DB">
      <w:pPr>
        <w:pStyle w:val="ListParagraph"/>
        <w:numPr>
          <w:ilvl w:val="0"/>
          <w:numId w:val="1"/>
        </w:numPr>
      </w:pPr>
      <w:r w:rsidRPr="00A74972">
        <w:t xml:space="preserve">Does the use of claudin testing in place of no testing result in the claimed </w:t>
      </w:r>
      <w:r w:rsidR="25C19978" w:rsidRPr="00A74972">
        <w:t>noninferior</w:t>
      </w:r>
      <w:r w:rsidRPr="00A74972">
        <w:t xml:space="preserve"> health outcomes?</w:t>
      </w:r>
    </w:p>
    <w:p w14:paraId="0A4F4D7F" w14:textId="20C64937" w:rsidR="7C32489B" w:rsidRPr="00A74972" w:rsidRDefault="7C32489B" w:rsidP="00E227DB">
      <w:pPr>
        <w:pStyle w:val="ListParagraph"/>
        <w:numPr>
          <w:ilvl w:val="0"/>
          <w:numId w:val="1"/>
        </w:numPr>
      </w:pPr>
      <w:r w:rsidRPr="00A74972">
        <w:t xml:space="preserve">What is the accuracy of the proposed testing? What are the implications of discordances </w:t>
      </w:r>
      <w:r w:rsidR="63930351" w:rsidRPr="00A74972">
        <w:t>occurring</w:t>
      </w:r>
      <w:r w:rsidR="00A45137" w:rsidRPr="00A74972">
        <w:t xml:space="preserve"> </w:t>
      </w:r>
      <w:r w:rsidRPr="00A74972">
        <w:t>between the proposed testing procedure and the clinical utility standard?</w:t>
      </w:r>
    </w:p>
    <w:p w14:paraId="2203DA0B" w14:textId="7CAC3CDF" w:rsidR="7C32489B" w:rsidRPr="00A74972" w:rsidRDefault="7C32489B" w:rsidP="00E227DB">
      <w:pPr>
        <w:pStyle w:val="ListParagraph"/>
        <w:numPr>
          <w:ilvl w:val="0"/>
          <w:numId w:val="1"/>
        </w:numPr>
      </w:pPr>
      <w:r w:rsidRPr="00A74972">
        <w:t>Does the availability of new information (claudin status) from claudin testing lead to a change in management of the patient?</w:t>
      </w:r>
    </w:p>
    <w:p w14:paraId="028B2193" w14:textId="75B3028E" w:rsidR="7C32489B" w:rsidRPr="00A74972" w:rsidRDefault="7C32489B" w:rsidP="00E227DB">
      <w:pPr>
        <w:pStyle w:val="ListParagraph"/>
        <w:numPr>
          <w:ilvl w:val="0"/>
          <w:numId w:val="1"/>
        </w:numPr>
      </w:pPr>
      <w:r w:rsidRPr="00A74972">
        <w:lastRenderedPageBreak/>
        <w:t xml:space="preserve">Do the differences in the management derived from claudin testing result in the claimed </w:t>
      </w:r>
      <w:r w:rsidR="6E731E45" w:rsidRPr="00A74972">
        <w:t>noninferior</w:t>
      </w:r>
      <w:r w:rsidRPr="00A74972">
        <w:t xml:space="preserve"> health outcomes (OS, </w:t>
      </w:r>
      <w:r w:rsidR="006C3161" w:rsidRPr="00A74972">
        <w:t>HR</w:t>
      </w:r>
      <w:r w:rsidRPr="00A74972">
        <w:t>QoL)?</w:t>
      </w:r>
    </w:p>
    <w:p w14:paraId="6AA15179" w14:textId="31699F61" w:rsidR="202D77ED" w:rsidRPr="00A74972" w:rsidRDefault="202D77ED" w:rsidP="00E227DB">
      <w:pPr>
        <w:pStyle w:val="ListParagraph"/>
        <w:numPr>
          <w:ilvl w:val="0"/>
          <w:numId w:val="1"/>
        </w:numPr>
      </w:pPr>
      <w:r w:rsidRPr="00A74972">
        <w:t xml:space="preserve">Do the differences in the management derived from the proposed test, relative to the comparator (e.g. differences in treatment/intervention), result in the claimed </w:t>
      </w:r>
      <w:r w:rsidR="0C451445" w:rsidRPr="00A74972">
        <w:t>intermediate (PFS, CR, ORR)</w:t>
      </w:r>
      <w:r w:rsidRPr="00A74972">
        <w:t xml:space="preserve"> outcomes?</w:t>
      </w:r>
    </w:p>
    <w:p w14:paraId="68CC7705" w14:textId="23B36802" w:rsidR="7C32489B" w:rsidRPr="00A74972" w:rsidRDefault="7C32489B" w:rsidP="00E227DB">
      <w:pPr>
        <w:pStyle w:val="ListParagraph"/>
        <w:numPr>
          <w:ilvl w:val="0"/>
          <w:numId w:val="1"/>
        </w:numPr>
      </w:pPr>
      <w:r w:rsidRPr="00A74972">
        <w:t xml:space="preserve">Is the observed change in intermediate </w:t>
      </w:r>
      <w:r w:rsidR="5766981C" w:rsidRPr="00A74972">
        <w:t>outcomes (</w:t>
      </w:r>
      <w:r w:rsidR="653BA535" w:rsidRPr="00A74972">
        <w:t xml:space="preserve">PFS, </w:t>
      </w:r>
      <w:r w:rsidR="695A0703" w:rsidRPr="00A74972">
        <w:t>CR</w:t>
      </w:r>
      <w:r w:rsidRPr="00A74972">
        <w:t xml:space="preserve">, ORR) associated with a concomitant change in the claimed health outcomes (OS, </w:t>
      </w:r>
      <w:r w:rsidR="006C3161" w:rsidRPr="00A74972">
        <w:t>HR</w:t>
      </w:r>
      <w:r w:rsidRPr="00A74972">
        <w:t>QoL), and how strong is the association?</w:t>
      </w:r>
    </w:p>
    <w:p w14:paraId="07296E70" w14:textId="05DBD49C" w:rsidR="7C32489B" w:rsidRPr="00A74972" w:rsidRDefault="7C32489B" w:rsidP="00E227DB">
      <w:pPr>
        <w:pStyle w:val="ListParagraph"/>
        <w:numPr>
          <w:ilvl w:val="0"/>
          <w:numId w:val="1"/>
        </w:numPr>
      </w:pPr>
      <w:r w:rsidRPr="00A74972">
        <w:t>What are the adverse events associated with claudin testing compared to a no testing strategy?</w:t>
      </w:r>
    </w:p>
    <w:p w14:paraId="1147BCBA" w14:textId="02C04F5D" w:rsidR="0FCDB3BF" w:rsidRPr="00A74972" w:rsidRDefault="5766981C" w:rsidP="00E227DB">
      <w:pPr>
        <w:pStyle w:val="ListParagraph"/>
        <w:numPr>
          <w:ilvl w:val="0"/>
          <w:numId w:val="1"/>
        </w:numPr>
      </w:pPr>
      <w:r w:rsidRPr="00A74972">
        <w:t xml:space="preserve">What are the adverse events associated with treatment with zolbetuximab and </w:t>
      </w:r>
      <w:r w:rsidR="00F85864">
        <w:t>other alternative treatments</w:t>
      </w:r>
      <w:r w:rsidRPr="00A74972">
        <w:t>?</w:t>
      </w:r>
    </w:p>
    <w:p w14:paraId="4F429039" w14:textId="26E10929" w:rsidR="00CB57E0" w:rsidRDefault="00CB57E0" w:rsidP="00C37EC8">
      <w:pPr>
        <w:spacing w:before="360" w:after="120"/>
        <w:ind w:right="-20"/>
        <w:rPr>
          <w:rFonts w:ascii="Arial Narrow" w:eastAsia="Arial Narrow" w:hAnsi="Arial Narrow" w:cs="Arial Narrow"/>
          <w:b/>
          <w:bCs/>
          <w:sz w:val="20"/>
          <w:szCs w:val="20"/>
          <w:lang w:val="en-GB"/>
        </w:rPr>
      </w:pPr>
    </w:p>
    <w:p w14:paraId="13F49E44" w14:textId="5B35EAE0" w:rsidR="00C37EC8" w:rsidRDefault="00C37EC8" w:rsidP="444C3E48">
      <w:pPr>
        <w:spacing w:before="360" w:after="120"/>
        <w:ind w:left="709" w:right="-20" w:hanging="709"/>
        <w:rPr>
          <w:rFonts w:ascii="Arial Narrow" w:eastAsia="Arial Narrow" w:hAnsi="Arial Narrow" w:cs="Arial Narrow"/>
          <w:b/>
          <w:bCs/>
          <w:sz w:val="20"/>
          <w:szCs w:val="20"/>
          <w:lang w:val="en-GB"/>
        </w:rPr>
      </w:pPr>
      <w:r>
        <w:rPr>
          <w:rFonts w:ascii="Arial Narrow" w:eastAsia="Arial Narrow" w:hAnsi="Arial Narrow" w:cs="Arial Narrow"/>
          <w:b/>
          <w:bCs/>
          <w:noProof/>
          <w:sz w:val="20"/>
          <w:szCs w:val="20"/>
          <w:lang w:val="en-GB"/>
        </w:rPr>
        <w:drawing>
          <wp:inline distT="0" distB="0" distL="0" distR="0" wp14:anchorId="7CF4C758" wp14:editId="0B701622">
            <wp:extent cx="6063091" cy="1783684"/>
            <wp:effectExtent l="0" t="0" r="0" b="7620"/>
            <wp:docPr id="609882941" name="Picture 609882941" descr="Figure 1 Generic assessment framework showing the links from the test population to health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882941" name="Picture 609882941" descr="Figure 1 Generic assessment framework showing the links from the test population to health outcom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996" cy="1800425"/>
                    </a:xfrm>
                    <a:prstGeom prst="rect">
                      <a:avLst/>
                    </a:prstGeom>
                    <a:noFill/>
                  </pic:spPr>
                </pic:pic>
              </a:graphicData>
            </a:graphic>
          </wp:inline>
        </w:drawing>
      </w:r>
    </w:p>
    <w:p w14:paraId="40D4DB80" w14:textId="52BD9D26" w:rsidR="7C32489B" w:rsidRPr="00A74972" w:rsidRDefault="7C32489B" w:rsidP="444C3E48">
      <w:pPr>
        <w:spacing w:before="360" w:after="120"/>
        <w:ind w:left="709" w:right="-20" w:hanging="709"/>
      </w:pPr>
      <w:r w:rsidRPr="00A74972">
        <w:rPr>
          <w:rFonts w:ascii="Arial Narrow" w:eastAsia="Arial Narrow" w:hAnsi="Arial Narrow" w:cs="Arial Narrow"/>
          <w:b/>
          <w:bCs/>
          <w:sz w:val="20"/>
          <w:szCs w:val="20"/>
          <w:lang w:val="en-GB"/>
        </w:rPr>
        <w:t>Figure 1</w:t>
      </w:r>
      <w:r w:rsidRPr="00A74972">
        <w:tab/>
      </w:r>
      <w:r w:rsidRPr="00A74972">
        <w:rPr>
          <w:rFonts w:ascii="Arial Narrow" w:eastAsia="Arial Narrow" w:hAnsi="Arial Narrow" w:cs="Arial Narrow"/>
          <w:b/>
          <w:bCs/>
          <w:sz w:val="20"/>
          <w:szCs w:val="20"/>
          <w:lang w:val="en-GB"/>
        </w:rPr>
        <w:t>Generic assessment framework showing the links from the test population to health outcomes</w:t>
      </w:r>
    </w:p>
    <w:p w14:paraId="3FB90150" w14:textId="69AD5C7E" w:rsidR="766A4EE2" w:rsidRPr="00A74972" w:rsidRDefault="766A4EE2" w:rsidP="00D646F0">
      <w:pPr>
        <w:pStyle w:val="Tablenotes"/>
        <w:rPr>
          <w:rFonts w:cs="Calibri"/>
          <w:szCs w:val="18"/>
        </w:rPr>
      </w:pPr>
      <w:r w:rsidRPr="00A74972">
        <w:t>CR = complete response; G/G</w:t>
      </w:r>
      <w:r w:rsidR="596D2242" w:rsidRPr="00A74972">
        <w:rPr>
          <w:rFonts w:cs="Calibri"/>
          <w:szCs w:val="18"/>
        </w:rPr>
        <w:t>O</w:t>
      </w:r>
      <w:r w:rsidRPr="00A74972">
        <w:rPr>
          <w:rFonts w:cs="Calibri"/>
          <w:szCs w:val="18"/>
        </w:rPr>
        <w:t>J</w:t>
      </w:r>
      <w:r w:rsidR="202D9F8F" w:rsidRPr="00A74972">
        <w:rPr>
          <w:rFonts w:cs="Calibri"/>
          <w:szCs w:val="18"/>
        </w:rPr>
        <w:t xml:space="preserve"> = gastric/gastro-oesophageal junction;</w:t>
      </w:r>
      <w:r w:rsidR="008506BD" w:rsidRPr="00A74972">
        <w:rPr>
          <w:rFonts w:cs="Calibri"/>
          <w:szCs w:val="18"/>
        </w:rPr>
        <w:t xml:space="preserve"> HER2 = </w:t>
      </w:r>
      <w:r w:rsidR="00B72D74" w:rsidRPr="00A74972">
        <w:rPr>
          <w:rFonts w:cs="Calibri"/>
          <w:szCs w:val="18"/>
        </w:rPr>
        <w:t xml:space="preserve">human epidermal growth factor receptor 2; </w:t>
      </w:r>
      <w:r w:rsidR="202D9F8F" w:rsidRPr="00A74972">
        <w:rPr>
          <w:rFonts w:cs="Calibri"/>
          <w:szCs w:val="18"/>
        </w:rPr>
        <w:t>HRQoL = health-related quality of life;</w:t>
      </w:r>
      <w:r w:rsidR="7D46DE4E" w:rsidRPr="00A74972">
        <w:rPr>
          <w:rFonts w:cs="Calibri"/>
          <w:szCs w:val="18"/>
        </w:rPr>
        <w:t xml:space="preserve"> ORR = overall response rate; OS = overall survival; PFS = progression-free survival</w:t>
      </w:r>
      <w:r w:rsidR="00F61B0A" w:rsidRPr="00A74972">
        <w:rPr>
          <w:rFonts w:cs="Calibri"/>
          <w:szCs w:val="18"/>
        </w:rPr>
        <w:t>.</w:t>
      </w:r>
    </w:p>
    <w:p w14:paraId="70B5782C" w14:textId="33A27563" w:rsidR="40E235B2" w:rsidRDefault="40E235B2" w:rsidP="00D646F0">
      <w:pPr>
        <w:pStyle w:val="Tablenotes"/>
        <w:rPr>
          <w:rFonts w:cs="Calibri"/>
          <w:szCs w:val="18"/>
        </w:rPr>
      </w:pPr>
      <w:r w:rsidRPr="00A74972">
        <w:t>Figure notes: 1: direct from test to health outcomes evidence; 2: test ac</w:t>
      </w:r>
      <w:r w:rsidRPr="00A74972">
        <w:rPr>
          <w:rFonts w:cs="Calibri"/>
          <w:szCs w:val="18"/>
        </w:rPr>
        <w:t>curacy; 3: change in diagnosis/treatment/management; 4: influence of the change in management on health outcomes; 5: influence of the change in management on intermediate outcomes; 6: association of intermediate health outcomes to final health outcomes; 7: adverse events due to testing; 8: adverse events due to treatment</w:t>
      </w:r>
      <w:r w:rsidR="00413AE8" w:rsidRPr="00A74972">
        <w:rPr>
          <w:rFonts w:cs="Calibri"/>
          <w:szCs w:val="18"/>
        </w:rPr>
        <w:t>.</w:t>
      </w:r>
    </w:p>
    <w:p w14:paraId="5FA68A86" w14:textId="77777777" w:rsidR="000C1DD7" w:rsidRDefault="000C1DD7" w:rsidP="00D646F0">
      <w:pPr>
        <w:pStyle w:val="Tablenotes"/>
        <w:rPr>
          <w:rFonts w:cs="Calibri"/>
          <w:szCs w:val="18"/>
        </w:rPr>
      </w:pPr>
    </w:p>
    <w:p w14:paraId="43592E33" w14:textId="49846B0E" w:rsidR="00A57056" w:rsidRPr="009F7515" w:rsidRDefault="00A57056" w:rsidP="00D646F0">
      <w:pPr>
        <w:pStyle w:val="Tablenotes"/>
        <w:rPr>
          <w:rFonts w:cs="Calibri"/>
          <w:i/>
          <w:iCs/>
          <w:szCs w:val="18"/>
        </w:rPr>
      </w:pPr>
      <w:r w:rsidRPr="00A57056">
        <w:rPr>
          <w:rFonts w:asciiTheme="minorHAnsi" w:hAnsiTheme="minorHAnsi" w:cstheme="minorBidi"/>
          <w:i/>
          <w:iCs/>
          <w:sz w:val="22"/>
        </w:rPr>
        <w:t>PASC confirmed that the assessme</w:t>
      </w:r>
      <w:r w:rsidRPr="00631A7C">
        <w:rPr>
          <w:rFonts w:asciiTheme="minorHAnsi" w:hAnsiTheme="minorHAnsi" w:cstheme="minorBidi"/>
          <w:i/>
          <w:sz w:val="22"/>
          <w:szCs w:val="24"/>
        </w:rPr>
        <w:t>nt</w:t>
      </w:r>
      <w:r w:rsidRPr="00A57056">
        <w:rPr>
          <w:rFonts w:asciiTheme="minorHAnsi" w:hAnsiTheme="minorHAnsi" w:cstheme="minorBidi"/>
          <w:i/>
          <w:iCs/>
          <w:sz w:val="22"/>
        </w:rPr>
        <w:t xml:space="preserve"> framework was appropriately described in the PICO.</w:t>
      </w:r>
    </w:p>
    <w:p w14:paraId="6069F0B5" w14:textId="77777777" w:rsidR="00D73332" w:rsidRPr="00A74972" w:rsidRDefault="00D73332" w:rsidP="00713728">
      <w:pPr>
        <w:pStyle w:val="Heading2"/>
        <w:rPr>
          <w:b/>
          <w:color w:val="auto"/>
        </w:rPr>
      </w:pPr>
      <w:r w:rsidRPr="00A74972">
        <w:rPr>
          <w:color w:val="auto"/>
        </w:rPr>
        <w:t>Clinical management algorithms</w:t>
      </w:r>
    </w:p>
    <w:p w14:paraId="49F2A422" w14:textId="4E6403E6" w:rsidR="00185D03" w:rsidRPr="00631A7C" w:rsidRDefault="004E00F8" w:rsidP="00F94B95">
      <w:pPr>
        <w:spacing w:after="120"/>
        <w:rPr>
          <w:rFonts w:asciiTheme="minorHAnsi" w:hAnsiTheme="minorHAnsi" w:cstheme="minorBidi"/>
        </w:rPr>
      </w:pPr>
      <w:r w:rsidRPr="00A74972">
        <w:rPr>
          <w:rFonts w:asciiTheme="minorHAnsi" w:hAnsiTheme="minorHAnsi" w:cstheme="minorBidi"/>
        </w:rPr>
        <w:t xml:space="preserve">The application </w:t>
      </w:r>
      <w:r w:rsidR="00E77543">
        <w:rPr>
          <w:rFonts w:asciiTheme="minorHAnsi" w:hAnsiTheme="minorHAnsi" w:cstheme="minorBidi"/>
        </w:rPr>
        <w:t xml:space="preserve">initially </w:t>
      </w:r>
      <w:r w:rsidRPr="00A74972">
        <w:rPr>
          <w:rFonts w:asciiTheme="minorHAnsi" w:hAnsiTheme="minorHAnsi" w:cstheme="minorBidi"/>
        </w:rPr>
        <w:t>proposed all</w:t>
      </w:r>
      <w:r w:rsidR="007114C3" w:rsidRPr="00A74972">
        <w:rPr>
          <w:rFonts w:asciiTheme="minorHAnsi" w:hAnsiTheme="minorHAnsi" w:cstheme="minorBidi"/>
        </w:rPr>
        <w:t xml:space="preserve"> patients with tumours which are</w:t>
      </w:r>
      <w:r w:rsidRPr="00A74972">
        <w:rPr>
          <w:rFonts w:asciiTheme="minorHAnsi" w:hAnsiTheme="minorHAnsi" w:cstheme="minorBidi"/>
        </w:rPr>
        <w:t xml:space="preserve"> HER2</w:t>
      </w:r>
      <w:r w:rsidR="007F4200" w:rsidRPr="00A74972">
        <w:t>-</w:t>
      </w:r>
      <w:r w:rsidR="00707D2C" w:rsidRPr="00A74972">
        <w:t>negative</w:t>
      </w:r>
      <w:r w:rsidR="007F4200" w:rsidRPr="00A74972">
        <w:t xml:space="preserve"> would have a CLDN18.2 test performed; </w:t>
      </w:r>
      <w:r w:rsidR="009F6C1A" w:rsidRPr="00A74972">
        <w:t>based on the result of this test, patients may receive platinum plus fluoropyrimidine-containing chemotherapy (PF chemo)</w:t>
      </w:r>
      <w:r w:rsidR="00A96F5A" w:rsidRPr="00A74972">
        <w:t xml:space="preserve"> </w:t>
      </w:r>
      <w:r w:rsidR="00A96F5A" w:rsidRPr="00A74972">
        <w:rPr>
          <w:rFonts w:cs="Calibri"/>
        </w:rPr>
        <w:t>±</w:t>
      </w:r>
      <w:r w:rsidR="00A96F5A" w:rsidRPr="00A74972">
        <w:t xml:space="preserve"> nivolumab OR </w:t>
      </w:r>
      <w:r w:rsidR="005A1E56" w:rsidRPr="00A74972">
        <w:rPr>
          <w:rFonts w:cs="Calibri"/>
        </w:rPr>
        <w:t>±</w:t>
      </w:r>
      <w:r w:rsidR="00A96F5A" w:rsidRPr="00A74972">
        <w:t xml:space="preserve"> zolbetuximab. </w:t>
      </w:r>
      <w:r w:rsidR="00E27E88" w:rsidRPr="00631A7C">
        <w:t>In its pre-PASC response, t</w:t>
      </w:r>
      <w:r w:rsidR="00661E1E" w:rsidRPr="00631A7C">
        <w:rPr>
          <w:rFonts w:asciiTheme="minorHAnsi" w:hAnsiTheme="minorHAnsi" w:cstheme="minorBidi"/>
        </w:rPr>
        <w:t xml:space="preserve">he applicant subsequently proposed a revised treatment </w:t>
      </w:r>
      <w:r w:rsidR="00F94B95" w:rsidRPr="00631A7C">
        <w:rPr>
          <w:rFonts w:asciiTheme="minorHAnsi" w:hAnsiTheme="minorHAnsi" w:cstheme="minorBidi"/>
        </w:rPr>
        <w:t>algorithm</w:t>
      </w:r>
      <w:r w:rsidR="00D50106" w:rsidRPr="00631A7C">
        <w:rPr>
          <w:rFonts w:asciiTheme="minorHAnsi" w:hAnsiTheme="minorHAnsi" w:cstheme="minorBidi"/>
        </w:rPr>
        <w:t xml:space="preserve"> </w:t>
      </w:r>
      <w:r w:rsidR="001522EF" w:rsidRPr="00631A7C">
        <w:rPr>
          <w:rFonts w:asciiTheme="minorHAnsi" w:hAnsiTheme="minorHAnsi" w:cstheme="minorBidi"/>
        </w:rPr>
        <w:t>proposing</w:t>
      </w:r>
      <w:r w:rsidR="00944339" w:rsidRPr="00631A7C">
        <w:rPr>
          <w:rFonts w:asciiTheme="minorHAnsi" w:hAnsiTheme="minorHAnsi" w:cstheme="minorBidi"/>
        </w:rPr>
        <w:t xml:space="preserve"> </w:t>
      </w:r>
      <w:r w:rsidR="001E5C95">
        <w:rPr>
          <w:rFonts w:asciiTheme="minorHAnsi" w:hAnsiTheme="minorHAnsi" w:cstheme="minorBidi"/>
        </w:rPr>
        <w:t>that</w:t>
      </w:r>
      <w:r w:rsidR="00D50106" w:rsidRPr="00631A7C">
        <w:rPr>
          <w:rFonts w:asciiTheme="minorHAnsi" w:hAnsiTheme="minorHAnsi" w:cstheme="minorBidi"/>
        </w:rPr>
        <w:t xml:space="preserve"> HER2 and CLDN18.2 testing </w:t>
      </w:r>
      <w:r w:rsidR="001E5C95">
        <w:rPr>
          <w:rFonts w:asciiTheme="minorHAnsi" w:hAnsiTheme="minorHAnsi" w:cstheme="minorBidi"/>
        </w:rPr>
        <w:t>occur in parallel</w:t>
      </w:r>
      <w:r w:rsidR="00AC7EA3">
        <w:rPr>
          <w:rFonts w:asciiTheme="minorHAnsi" w:hAnsiTheme="minorHAnsi" w:cstheme="minorBidi"/>
        </w:rPr>
        <w:t xml:space="preserve"> </w:t>
      </w:r>
      <w:r w:rsidR="00E27E88" w:rsidRPr="00631A7C">
        <w:rPr>
          <w:rFonts w:asciiTheme="minorHAnsi" w:hAnsiTheme="minorHAnsi" w:cstheme="minorBidi"/>
        </w:rPr>
        <w:t>(</w:t>
      </w:r>
      <w:r w:rsidR="00E27E88" w:rsidRPr="00631A7C">
        <w:rPr>
          <w:rFonts w:asciiTheme="minorHAnsi" w:hAnsiTheme="minorHAnsi" w:cstheme="minorBidi"/>
        </w:rPr>
        <w:fldChar w:fldCharType="begin"/>
      </w:r>
      <w:r w:rsidR="00E27E88" w:rsidRPr="00631A7C">
        <w:rPr>
          <w:rFonts w:asciiTheme="minorHAnsi" w:hAnsiTheme="minorHAnsi" w:cstheme="minorBidi"/>
        </w:rPr>
        <w:instrText xml:space="preserve"> REF _Ref166361100 \h  \* MERGEFORMAT </w:instrText>
      </w:r>
      <w:r w:rsidR="00E27E88" w:rsidRPr="00631A7C">
        <w:rPr>
          <w:rFonts w:asciiTheme="minorHAnsi" w:hAnsiTheme="minorHAnsi" w:cstheme="minorBidi"/>
        </w:rPr>
      </w:r>
      <w:r w:rsidR="00E27E88" w:rsidRPr="00631A7C">
        <w:rPr>
          <w:rFonts w:asciiTheme="minorHAnsi" w:hAnsiTheme="minorHAnsi" w:cstheme="minorBidi"/>
        </w:rPr>
        <w:fldChar w:fldCharType="separate"/>
      </w:r>
      <w:r w:rsidR="00E27E88" w:rsidRPr="00631A7C">
        <w:t xml:space="preserve">Figure </w:t>
      </w:r>
      <w:r w:rsidR="00E27E88" w:rsidRPr="00631A7C">
        <w:rPr>
          <w:noProof/>
        </w:rPr>
        <w:t>3</w:t>
      </w:r>
      <w:r w:rsidR="00E27E88" w:rsidRPr="00631A7C">
        <w:rPr>
          <w:rFonts w:asciiTheme="minorHAnsi" w:hAnsiTheme="minorHAnsi" w:cstheme="minorBidi"/>
        </w:rPr>
        <w:fldChar w:fldCharType="end"/>
      </w:r>
      <w:r w:rsidR="00E27E88" w:rsidRPr="00631A7C">
        <w:rPr>
          <w:rFonts w:asciiTheme="minorHAnsi" w:hAnsiTheme="minorHAnsi" w:cstheme="minorBidi"/>
        </w:rPr>
        <w:t xml:space="preserve"> below)</w:t>
      </w:r>
      <w:r w:rsidR="00185D03" w:rsidRPr="00631A7C">
        <w:rPr>
          <w:rFonts w:asciiTheme="minorHAnsi" w:hAnsiTheme="minorHAnsi" w:cstheme="minorBidi"/>
        </w:rPr>
        <w:t>.</w:t>
      </w:r>
      <w:r w:rsidR="00F94B95" w:rsidRPr="00631A7C">
        <w:rPr>
          <w:rFonts w:asciiTheme="minorHAnsi" w:hAnsiTheme="minorHAnsi" w:cstheme="minorBidi"/>
        </w:rPr>
        <w:t xml:space="preserve"> </w:t>
      </w:r>
    </w:p>
    <w:p w14:paraId="20A0A042" w14:textId="46AF424D" w:rsidR="00E27E88" w:rsidRDefault="00661E1E" w:rsidP="00F94B95">
      <w:pPr>
        <w:spacing w:after="120"/>
        <w:rPr>
          <w:rFonts w:asciiTheme="minorHAnsi" w:hAnsiTheme="minorHAnsi" w:cstheme="minorBidi"/>
          <w:i/>
          <w:iCs/>
        </w:rPr>
      </w:pPr>
      <w:r w:rsidRPr="004E66CA">
        <w:rPr>
          <w:rFonts w:asciiTheme="minorHAnsi" w:hAnsiTheme="minorHAnsi" w:cstheme="minorBidi"/>
          <w:i/>
          <w:iCs/>
        </w:rPr>
        <w:t xml:space="preserve">PASC accepted the updated clinical algorithm proposed by the applicant. PASC also </w:t>
      </w:r>
      <w:r w:rsidR="004D6974">
        <w:rPr>
          <w:rFonts w:asciiTheme="minorHAnsi" w:hAnsiTheme="minorHAnsi" w:cstheme="minorBidi"/>
          <w:i/>
          <w:iCs/>
        </w:rPr>
        <w:t>co</w:t>
      </w:r>
      <w:r w:rsidR="00C4151C">
        <w:rPr>
          <w:rFonts w:asciiTheme="minorHAnsi" w:hAnsiTheme="minorHAnsi" w:cstheme="minorBidi"/>
          <w:i/>
          <w:iCs/>
        </w:rPr>
        <w:t>n</w:t>
      </w:r>
      <w:r w:rsidR="004D6974">
        <w:rPr>
          <w:rFonts w:asciiTheme="minorHAnsi" w:hAnsiTheme="minorHAnsi" w:cstheme="minorBidi"/>
          <w:i/>
          <w:iCs/>
        </w:rPr>
        <w:t>sidered</w:t>
      </w:r>
      <w:r w:rsidRPr="004E66CA">
        <w:rPr>
          <w:rFonts w:asciiTheme="minorHAnsi" w:hAnsiTheme="minorHAnsi" w:cstheme="minorBidi"/>
          <w:i/>
          <w:iCs/>
        </w:rPr>
        <w:t xml:space="preserve"> nivolumab would be replaced by zolbetuximab, not displaced to later lines. If patients had tumours which are HER2-</w:t>
      </w:r>
      <w:r w:rsidR="00436D94">
        <w:rPr>
          <w:rFonts w:asciiTheme="minorHAnsi" w:hAnsiTheme="minorHAnsi" w:cstheme="minorBidi"/>
          <w:i/>
          <w:iCs/>
        </w:rPr>
        <w:t>negative</w:t>
      </w:r>
      <w:r w:rsidRPr="004E66CA">
        <w:rPr>
          <w:rFonts w:asciiTheme="minorHAnsi" w:hAnsiTheme="minorHAnsi" w:cstheme="minorBidi"/>
          <w:i/>
          <w:iCs/>
        </w:rPr>
        <w:t xml:space="preserve"> and CLDN</w:t>
      </w:r>
      <w:r w:rsidR="000F6FD8">
        <w:rPr>
          <w:rFonts w:asciiTheme="minorHAnsi" w:hAnsiTheme="minorHAnsi" w:cstheme="minorBidi"/>
          <w:i/>
          <w:iCs/>
        </w:rPr>
        <w:t>18.2</w:t>
      </w:r>
      <w:r w:rsidRPr="004E66CA">
        <w:rPr>
          <w:rFonts w:asciiTheme="minorHAnsi" w:hAnsiTheme="minorHAnsi" w:cstheme="minorBidi"/>
          <w:i/>
          <w:iCs/>
        </w:rPr>
        <w:t xml:space="preserve">+, there is a choice between </w:t>
      </w:r>
      <w:r w:rsidR="00F21054">
        <w:rPr>
          <w:rFonts w:asciiTheme="minorHAnsi" w:hAnsiTheme="minorHAnsi" w:cstheme="minorBidi"/>
          <w:i/>
          <w:iCs/>
        </w:rPr>
        <w:t>treatment options</w:t>
      </w:r>
      <w:r w:rsidRPr="004E66CA">
        <w:rPr>
          <w:rFonts w:asciiTheme="minorHAnsi" w:hAnsiTheme="minorHAnsi" w:cstheme="minorBidi"/>
          <w:i/>
          <w:iCs/>
        </w:rPr>
        <w:t xml:space="preserve"> </w:t>
      </w:r>
      <w:r w:rsidR="00E753EF">
        <w:rPr>
          <w:rFonts w:asciiTheme="minorHAnsi" w:hAnsiTheme="minorHAnsi" w:cstheme="minorBidi"/>
          <w:i/>
          <w:iCs/>
        </w:rPr>
        <w:t xml:space="preserve">(which may include </w:t>
      </w:r>
      <w:r w:rsidRPr="004E66CA">
        <w:rPr>
          <w:rFonts w:asciiTheme="minorHAnsi" w:hAnsiTheme="minorHAnsi" w:cstheme="minorBidi"/>
          <w:i/>
          <w:iCs/>
        </w:rPr>
        <w:t xml:space="preserve">nivolumab </w:t>
      </w:r>
      <w:r w:rsidR="007B1975">
        <w:rPr>
          <w:rFonts w:asciiTheme="minorHAnsi" w:hAnsiTheme="minorHAnsi" w:cstheme="minorBidi"/>
          <w:i/>
          <w:iCs/>
        </w:rPr>
        <w:t>or</w:t>
      </w:r>
      <w:r w:rsidR="007B1975" w:rsidRPr="004E66CA">
        <w:rPr>
          <w:rFonts w:asciiTheme="minorHAnsi" w:hAnsiTheme="minorHAnsi" w:cstheme="minorBidi"/>
          <w:i/>
          <w:iCs/>
        </w:rPr>
        <w:t xml:space="preserve"> </w:t>
      </w:r>
      <w:r w:rsidRPr="004E66CA">
        <w:rPr>
          <w:rFonts w:asciiTheme="minorHAnsi" w:hAnsiTheme="minorHAnsi" w:cstheme="minorBidi"/>
          <w:i/>
          <w:iCs/>
        </w:rPr>
        <w:t>zolbetuximab</w:t>
      </w:r>
      <w:r w:rsidR="007B1975">
        <w:rPr>
          <w:rFonts w:asciiTheme="minorHAnsi" w:hAnsiTheme="minorHAnsi" w:cstheme="minorBidi"/>
          <w:i/>
          <w:iCs/>
        </w:rPr>
        <w:t xml:space="preserve"> in combination with chemotherapy, or chemotherapy alone)</w:t>
      </w:r>
      <w:r w:rsidRPr="004E66CA">
        <w:rPr>
          <w:rFonts w:asciiTheme="minorHAnsi" w:hAnsiTheme="minorHAnsi" w:cstheme="minorBidi"/>
          <w:i/>
          <w:iCs/>
        </w:rPr>
        <w:t xml:space="preserve">; a range of factors may </w:t>
      </w:r>
      <w:r w:rsidRPr="004E66CA">
        <w:rPr>
          <w:rFonts w:asciiTheme="minorHAnsi" w:hAnsiTheme="minorHAnsi" w:cstheme="minorBidi"/>
          <w:i/>
          <w:iCs/>
        </w:rPr>
        <w:lastRenderedPageBreak/>
        <w:t>influence this decision, including clinician prescribing preferences and patient factors (such as relative or absolute contraindications for either nivolumab or zolbetuximab).</w:t>
      </w:r>
    </w:p>
    <w:p w14:paraId="620F0A0B" w14:textId="0B7CD552" w:rsidR="00E27E88" w:rsidRPr="00A74972" w:rsidRDefault="00661E1E" w:rsidP="00E27E88">
      <w:pPr>
        <w:pStyle w:val="Caption"/>
      </w:pPr>
      <w:r w:rsidRPr="004E66CA">
        <w:rPr>
          <w:rFonts w:asciiTheme="minorHAnsi" w:hAnsiTheme="minorHAnsi" w:cstheme="minorBidi"/>
          <w:i/>
          <w:iCs/>
          <w:sz w:val="22"/>
        </w:rPr>
        <w:t xml:space="preserve"> </w:t>
      </w:r>
      <w:bookmarkStart w:id="5" w:name="_Ref166361100"/>
      <w:r w:rsidR="00E27E88" w:rsidRPr="00A74972">
        <w:t xml:space="preserve">Figure </w:t>
      </w:r>
      <w:r w:rsidR="00E27E88" w:rsidRPr="00A74972">
        <w:fldChar w:fldCharType="begin"/>
      </w:r>
      <w:r w:rsidR="00E27E88" w:rsidRPr="00A74972">
        <w:instrText xml:space="preserve"> SEQ Figure \* ARABIC </w:instrText>
      </w:r>
      <w:r w:rsidR="00E27E88" w:rsidRPr="00A74972">
        <w:fldChar w:fldCharType="separate"/>
      </w:r>
      <w:r w:rsidR="00E27E88" w:rsidRPr="00A74972">
        <w:rPr>
          <w:noProof/>
        </w:rPr>
        <w:t>3</w:t>
      </w:r>
      <w:r w:rsidR="00E27E88" w:rsidRPr="00A74972">
        <w:fldChar w:fldCharType="end"/>
      </w:r>
      <w:bookmarkEnd w:id="5"/>
      <w:r w:rsidR="00E27E88" w:rsidRPr="00A74972">
        <w:t xml:space="preserve"> </w:t>
      </w:r>
      <w:r w:rsidR="00E27E88">
        <w:t>Applicant’s</w:t>
      </w:r>
      <w:r w:rsidR="00E27E88" w:rsidRPr="00A74972">
        <w:t xml:space="preserve"> </w:t>
      </w:r>
      <w:r w:rsidR="00E27E88">
        <w:t>revised</w:t>
      </w:r>
      <w:r w:rsidR="00E27E88" w:rsidRPr="00A74972">
        <w:t xml:space="preserve"> future treatment algorithm</w:t>
      </w:r>
    </w:p>
    <w:p w14:paraId="4F3D6934" w14:textId="28925D18" w:rsidR="00661E1E" w:rsidRPr="00C066FD" w:rsidRDefault="009D149D" w:rsidP="004E66CA">
      <w:pPr>
        <w:spacing w:after="120"/>
        <w:rPr>
          <w:rFonts w:asciiTheme="minorHAnsi" w:hAnsiTheme="minorHAnsi" w:cstheme="minorBidi"/>
        </w:rPr>
      </w:pPr>
      <w:r>
        <w:rPr>
          <w:noProof/>
        </w:rPr>
        <w:drawing>
          <wp:inline distT="0" distB="0" distL="0" distR="0" wp14:anchorId="626B42AF" wp14:editId="6B455EFF">
            <wp:extent cx="6083935" cy="3228340"/>
            <wp:effectExtent l="0" t="0" r="0" b="0"/>
            <wp:docPr id="1647497711" name="Picture 1647497711" descr="Figure 3 Applicant’s revised future treat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497711" name="Picture 1647497711" descr="Figure 3 Applicant’s revised future treatment algorithm"/>
                    <pic:cNvPicPr/>
                  </pic:nvPicPr>
                  <pic:blipFill>
                    <a:blip r:embed="rId10"/>
                    <a:stretch>
                      <a:fillRect/>
                    </a:stretch>
                  </pic:blipFill>
                  <pic:spPr>
                    <a:xfrm>
                      <a:off x="0" y="0"/>
                      <a:ext cx="6083935" cy="3228340"/>
                    </a:xfrm>
                    <a:prstGeom prst="rect">
                      <a:avLst/>
                    </a:prstGeom>
                  </pic:spPr>
                </pic:pic>
              </a:graphicData>
            </a:graphic>
          </wp:inline>
        </w:drawing>
      </w:r>
      <w:r w:rsidR="00E27E88">
        <w:rPr>
          <w:rFonts w:cs="Calibri"/>
          <w:color w:val="000000"/>
          <w:shd w:val="clear" w:color="auto" w:fill="FFFFFF"/>
        </w:rPr>
        <w:br/>
      </w:r>
      <w:r w:rsidR="00C066FD" w:rsidRPr="009F432F">
        <w:rPr>
          <w:rFonts w:ascii="Arial Narrow" w:hAnsi="Arial Narrow" w:cstheme="minorBidi"/>
          <w:sz w:val="18"/>
          <w:szCs w:val="18"/>
        </w:rPr>
        <w:t>Source: Provided by the applicant. Figure updated with minor editorial corrections.</w:t>
      </w:r>
    </w:p>
    <w:p w14:paraId="3C1AE6BB" w14:textId="6DA64A4F" w:rsidR="002062F6" w:rsidRPr="00A74972" w:rsidRDefault="002062F6" w:rsidP="002062F6">
      <w:r w:rsidRPr="00A74972">
        <w:t>Assuming the clinical claim of noninferior clinical efficacy of nivolumab and zolbetuximab is accepted</w:t>
      </w:r>
      <w:r w:rsidR="009E126B" w:rsidRPr="00A74972">
        <w:t xml:space="preserve"> by clinicians</w:t>
      </w:r>
      <w:r w:rsidRPr="00A74972">
        <w:t xml:space="preserve">, a decision node to determine which patients may be </w:t>
      </w:r>
      <w:r w:rsidR="00D8579E" w:rsidRPr="00A74972">
        <w:t>best suited</w:t>
      </w:r>
      <w:r w:rsidRPr="00A74972">
        <w:t xml:space="preserve"> to receive zolbetuximab instead of nivolumab </w:t>
      </w:r>
      <w:r w:rsidR="006A0CA4" w:rsidRPr="00A74972">
        <w:t>forms a crucial step in the treatment algorithm.</w:t>
      </w:r>
      <w:r w:rsidR="00F240B0" w:rsidRPr="00A74972">
        <w:t xml:space="preserve"> Therapeutic decision-making is complex</w:t>
      </w:r>
      <w:r w:rsidR="00D32F73" w:rsidRPr="00A74972">
        <w:t xml:space="preserve">, </w:t>
      </w:r>
      <w:r w:rsidR="00A12152" w:rsidRPr="00A74972">
        <w:t xml:space="preserve">as clinicians tailor treatments </w:t>
      </w:r>
      <w:r w:rsidR="009A0F72" w:rsidRPr="00A74972">
        <w:t>for</w:t>
      </w:r>
      <w:r w:rsidR="00D32F73" w:rsidRPr="00A74972">
        <w:t xml:space="preserve"> </w:t>
      </w:r>
      <w:r w:rsidR="00960B8B" w:rsidRPr="00A74972">
        <w:t xml:space="preserve">each </w:t>
      </w:r>
      <w:r w:rsidR="00D32F73" w:rsidRPr="00A74972">
        <w:t xml:space="preserve">patient </w:t>
      </w:r>
      <w:r w:rsidR="00C778CE" w:rsidRPr="00A74972">
        <w:fldChar w:fldCharType="begin">
          <w:fldData xml:space="preserve">PEVuZE5vdGU+PENpdGU+PEF1dGhvcj5QYXZsYWtpczwvQXV0aG9yPjxZZWFyPjIwMjI8L1llYXI+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</w:fldData>
        </w:fldChar>
      </w:r>
      <w:r w:rsidR="00985CC2" w:rsidRPr="00A74972">
        <w:instrText xml:space="preserve"> ADDIN EN.CITE </w:instrText>
      </w:r>
      <w:r w:rsidR="00985CC2" w:rsidRPr="00A74972">
        <w:fldChar w:fldCharType="begin">
          <w:fldData xml:space="preserve">PEVuZE5vdGU+PENpdGU+PEF1dGhvcj5QYXZsYWtpczwvQXV0aG9yPjxZZWFyPjIwMjI8L1llYXI+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</w:fldData>
        </w:fldChar>
      </w:r>
      <w:r w:rsidR="00985CC2" w:rsidRPr="00A74972">
        <w:instrText xml:space="preserve"> ADDIN EN.CITE.DATA </w:instrText>
      </w:r>
      <w:r w:rsidR="00985CC2" w:rsidRPr="00A74972">
        <w:fldChar w:fldCharType="end"/>
      </w:r>
      <w:r w:rsidR="00C778CE" w:rsidRPr="00A74972">
        <w:fldChar w:fldCharType="separate"/>
      </w:r>
      <w:r w:rsidR="00C778CE" w:rsidRPr="00A74972">
        <w:rPr>
          <w:noProof/>
        </w:rPr>
        <w:t>(Pavlakis et al. 2022)</w:t>
      </w:r>
      <w:r w:rsidR="00C778CE" w:rsidRPr="00A74972">
        <w:fldChar w:fldCharType="end"/>
      </w:r>
      <w:r w:rsidR="00F240B0" w:rsidRPr="00A74972">
        <w:t>;</w:t>
      </w:r>
      <w:r w:rsidR="002C1CDB" w:rsidRPr="00A74972">
        <w:t xml:space="preserve"> c</w:t>
      </w:r>
      <w:r w:rsidRPr="00A74972">
        <w:t>linician preference, and a range of patient factors may be considered to determine which patients may receive nivolumab versus zolbetuximab, including:</w:t>
      </w:r>
    </w:p>
    <w:p w14:paraId="7C9EDA10" w14:textId="30AA2BA7" w:rsidR="00AC595C" w:rsidRPr="00A74972" w:rsidRDefault="00DA7F3F" w:rsidP="00E227DB">
      <w:pPr>
        <w:pStyle w:val="ListParagraph"/>
        <w:numPr>
          <w:ilvl w:val="0"/>
          <w:numId w:val="8"/>
        </w:numPr>
      </w:pPr>
      <w:r w:rsidRPr="00A74972">
        <w:t>p</w:t>
      </w:r>
      <w:r w:rsidR="002062F6" w:rsidRPr="00A74972">
        <w:t>atient characteristics, comorbidities, and concomitant medications</w:t>
      </w:r>
    </w:p>
    <w:p w14:paraId="5FB7E52D" w14:textId="022A3F2A" w:rsidR="006A0CA4" w:rsidRDefault="00DA7F3F" w:rsidP="00E227DB">
      <w:pPr>
        <w:pStyle w:val="ListParagraph"/>
        <w:numPr>
          <w:ilvl w:val="0"/>
          <w:numId w:val="8"/>
        </w:numPr>
      </w:pPr>
      <w:r w:rsidRPr="00A74972">
        <w:t>p</w:t>
      </w:r>
      <w:r w:rsidR="002062F6" w:rsidRPr="00A74972">
        <w:t>rior therapies</w:t>
      </w:r>
    </w:p>
    <w:p w14:paraId="36A0338E" w14:textId="55799CF4" w:rsidR="008D5751" w:rsidRPr="00A74972" w:rsidDel="00BC5F0D" w:rsidRDefault="008D5751" w:rsidP="00631A7C">
      <w:pPr>
        <w:pStyle w:val="ListParagraph"/>
        <w:numPr>
          <w:ilvl w:val="0"/>
          <w:numId w:val="17"/>
        </w:numPr>
      </w:pPr>
      <w:r>
        <w:t xml:space="preserve">For </w:t>
      </w:r>
      <w:r w:rsidR="00545587">
        <w:t>example</w:t>
      </w:r>
      <w:r>
        <w:t>, the</w:t>
      </w:r>
      <w:r w:rsidRPr="00A74972" w:rsidDel="00BC5F0D">
        <w:t xml:space="preserve"> subgroup of patients who were diagnosed with early-stage disease, received nivolumab as adjuvant treatment for Stage II or III disease (PBS Authority code 13240W), and have subsequently relapsed </w:t>
      </w:r>
      <w:r>
        <w:t>would be ineligible for nivolumab in the locally advanced unresectable/metastatic disease setting</w:t>
      </w:r>
      <w:r w:rsidRPr="00A74972" w:rsidDel="00BC5F0D">
        <w:t xml:space="preserve">. It would be reasonable to expect all of these patients who are able to receive zolbetuximab in the unresectable/metastatic HER2-negative, CLDN18.2+ setting would do so, given the superior efficacy of zolbetuximab + PF chemotherapy compared to placebo + PF chemotherapy, as shown in the key trials SPOTLIGHT and GLOW. These patients represent an important consideration for the applicant’s cost-minimising approach, as they may be prescribed zolbetuximab. </w:t>
      </w:r>
    </w:p>
    <w:p w14:paraId="271E0499" w14:textId="25835138" w:rsidR="00D62AF8" w:rsidRPr="00A74972" w:rsidRDefault="00DA7F3F" w:rsidP="00E227DB">
      <w:pPr>
        <w:pStyle w:val="ListParagraph"/>
        <w:numPr>
          <w:ilvl w:val="0"/>
          <w:numId w:val="8"/>
        </w:numPr>
      </w:pPr>
      <w:r w:rsidRPr="00A74972">
        <w:t>t</w:t>
      </w:r>
      <w:r w:rsidR="00D62AF8" w:rsidRPr="00A74972">
        <w:t>he comparative safety profiles of zolbetuximab and nivolumab</w:t>
      </w:r>
    </w:p>
    <w:p w14:paraId="436B154B" w14:textId="273D1652" w:rsidR="000C1DD7" w:rsidRPr="009F7515" w:rsidRDefault="00762975" w:rsidP="0030087F">
      <w:pPr>
        <w:pStyle w:val="ListParagraph"/>
        <w:numPr>
          <w:ilvl w:val="0"/>
          <w:numId w:val="8"/>
        </w:numPr>
        <w:rPr>
          <w:rFonts w:ascii="Arial Narrow" w:hAnsi="Arial Narrow" w:cs="Arial"/>
          <w:snapToGrid w:val="0"/>
          <w:sz w:val="18"/>
          <w:szCs w:val="20"/>
        </w:rPr>
      </w:pPr>
      <w:r>
        <w:t>p</w:t>
      </w:r>
      <w:r w:rsidR="004D0269" w:rsidRPr="00A74972">
        <w:t>rogrammed death</w:t>
      </w:r>
      <w:r w:rsidR="00D76484" w:rsidRPr="00A74972">
        <w:t>/</w:t>
      </w:r>
      <w:r w:rsidR="004D0269" w:rsidRPr="00A74972">
        <w:t>ligand</w:t>
      </w:r>
      <w:r w:rsidR="00D76484" w:rsidRPr="00A74972">
        <w:t>-</w:t>
      </w:r>
      <w:r w:rsidR="004D0269" w:rsidRPr="00A74972">
        <w:t>1 (</w:t>
      </w:r>
      <w:r w:rsidR="002062F6" w:rsidRPr="00A74972">
        <w:t>PD-L1</w:t>
      </w:r>
      <w:r w:rsidR="004D0269" w:rsidRPr="00A74972">
        <w:t>)</w:t>
      </w:r>
      <w:r w:rsidR="002062F6" w:rsidRPr="00A74972">
        <w:t xml:space="preserve"> combined positive score (CPS);</w:t>
      </w:r>
      <w:r w:rsidR="00CB79D6" w:rsidRPr="00A74972">
        <w:t xml:space="preserve"> it is well established that clinical effectiveness (</w:t>
      </w:r>
      <w:r w:rsidR="00AC595C" w:rsidRPr="00A74972">
        <w:t>e.g</w:t>
      </w:r>
      <w:r w:rsidR="00CB79D6" w:rsidRPr="00A74972">
        <w:t>. overall survival)</w:t>
      </w:r>
      <w:r w:rsidR="00835CA1" w:rsidRPr="00A74972">
        <w:t xml:space="preserve"> of immune </w:t>
      </w:r>
      <w:r w:rsidR="00C53BC2" w:rsidRPr="00A74972">
        <w:t>checkpoint</w:t>
      </w:r>
      <w:r w:rsidR="00835CA1" w:rsidRPr="00A74972">
        <w:t xml:space="preserve"> inhibitor therapy</w:t>
      </w:r>
      <w:r w:rsidR="00CB79D6" w:rsidRPr="00A74972">
        <w:t xml:space="preserve"> is positively correlated with CPS</w:t>
      </w:r>
      <w:r w:rsidR="00F63934" w:rsidRPr="00A74972">
        <w:t xml:space="preserve"> </w:t>
      </w:r>
      <w:r w:rsidR="00C778CE" w:rsidRPr="00A74972">
        <w:fldChar w:fldCharType="begin">
          <w:fldData xml:space="preserve">PEVuZE5vdGU+PENpdGU+PEF1dGhvcj5TY2hvZW1pZy1NYXJraWVma2E8L0F1dGhvcj48WWVhcj4y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</w:fldData>
        </w:fldChar>
      </w:r>
      <w:r w:rsidR="00985CC2" w:rsidRPr="00A74972">
        <w:instrText xml:space="preserve"> ADDIN EN.CITE </w:instrText>
      </w:r>
      <w:r w:rsidR="00985CC2" w:rsidRPr="00A74972">
        <w:fldChar w:fldCharType="begin">
          <w:fldData xml:space="preserve">PEVuZE5vdGU+PENpdGU+PEF1dGhvcj5TY2hvZW1pZy1NYXJraWVma2E8L0F1dGhvcj48WWVhcj4y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</w:fldData>
        </w:fldChar>
      </w:r>
      <w:r w:rsidR="00985CC2" w:rsidRPr="00A74972">
        <w:instrText xml:space="preserve"> ADDIN EN.CITE.DATA </w:instrText>
      </w:r>
      <w:r w:rsidR="00985CC2" w:rsidRPr="00A74972">
        <w:fldChar w:fldCharType="end"/>
      </w:r>
      <w:r w:rsidR="00C778CE" w:rsidRPr="00A74972">
        <w:fldChar w:fldCharType="separate"/>
      </w:r>
      <w:r w:rsidR="00C778CE" w:rsidRPr="00A74972">
        <w:rPr>
          <w:noProof/>
        </w:rPr>
        <w:t>(Schoemig-Markiefka et al. 2021)</w:t>
      </w:r>
      <w:r w:rsidR="00C778CE" w:rsidRPr="00A74972">
        <w:fldChar w:fldCharType="end"/>
      </w:r>
      <w:r w:rsidR="00835CA1" w:rsidRPr="00A74972">
        <w:t xml:space="preserve">. </w:t>
      </w:r>
      <w:r w:rsidR="00F63934" w:rsidRPr="00A74972">
        <w:t>For</w:t>
      </w:r>
      <w:r w:rsidR="00E313DE" w:rsidRPr="00A74972">
        <w:t xml:space="preserve"> nivolumab</w:t>
      </w:r>
      <w:r w:rsidR="00F63934" w:rsidRPr="00A74972">
        <w:t xml:space="preserve">, </w:t>
      </w:r>
      <w:r w:rsidR="000978FD" w:rsidRPr="00A74972">
        <w:t>the key</w:t>
      </w:r>
      <w:r w:rsidR="000B6D2B" w:rsidRPr="00A74972">
        <w:t xml:space="preserve"> trial (CheckMate </w:t>
      </w:r>
      <w:r w:rsidR="000B6D2B" w:rsidRPr="00A74972">
        <w:lastRenderedPageBreak/>
        <w:t xml:space="preserve">649) </w:t>
      </w:r>
      <w:r w:rsidR="00F03E1E" w:rsidRPr="00A74972">
        <w:t>demonstrated</w:t>
      </w:r>
      <w:r w:rsidR="000B6D2B" w:rsidRPr="00A74972">
        <w:t xml:space="preserve"> that CPS &lt;5 was a</w:t>
      </w:r>
      <w:r w:rsidR="00C53BC2" w:rsidRPr="00A74972">
        <w:t xml:space="preserve"> statistically significant</w:t>
      </w:r>
      <w:r w:rsidR="000B6D2B" w:rsidRPr="00A74972">
        <w:t xml:space="preserve"> treatment effect modifier, suggesting patients whose tumours had a CPS &lt;5 may have a different response to nivolumab compared to patients whose CPS was ≥5</w:t>
      </w:r>
      <w:r w:rsidR="00BF1D59" w:rsidRPr="00A74972">
        <w:t xml:space="preserve"> (nivolumab Public Summary Document, PBAC Meeting November 2021 with March 2022 Addendum)</w:t>
      </w:r>
      <w:r w:rsidR="000B6D2B" w:rsidRPr="00A74972">
        <w:t>.</w:t>
      </w:r>
      <w:r w:rsidR="004F595F" w:rsidRPr="00A74972">
        <w:t xml:space="preserve"> Currently, nivolumab</w:t>
      </w:r>
      <w:r w:rsidR="00140DD7" w:rsidRPr="00A74972">
        <w:t>’s PBS listing is agnostic to PD-L</w:t>
      </w:r>
      <w:r w:rsidR="0012317D" w:rsidRPr="00A74972">
        <w:t xml:space="preserve">1, and </w:t>
      </w:r>
      <w:r w:rsidR="00140DD7" w:rsidRPr="00A74972">
        <w:t>as it is the only available add-on therapy to chemotherapy</w:t>
      </w:r>
      <w:r w:rsidR="0070310D" w:rsidRPr="00A74972">
        <w:t xml:space="preserve"> in this patient population</w:t>
      </w:r>
      <w:r w:rsidR="00140DD7" w:rsidRPr="00A74972">
        <w:t>, PD-L1 testing is unnecessary. However, c</w:t>
      </w:r>
      <w:r w:rsidR="002062F6" w:rsidRPr="00A74972">
        <w:t xml:space="preserve">linicians </w:t>
      </w:r>
      <w:r w:rsidR="00E1630B">
        <w:t xml:space="preserve">may consider PD-L1 </w:t>
      </w:r>
      <w:r w:rsidR="002062F6" w:rsidRPr="00A74972">
        <w:t xml:space="preserve">CPS </w:t>
      </w:r>
      <w:r w:rsidR="00E1630B">
        <w:t>score</w:t>
      </w:r>
      <w:r w:rsidR="002062F6" w:rsidRPr="00A74972">
        <w:t xml:space="preserve"> when making treatment decisions with their patients</w:t>
      </w:r>
      <w:r w:rsidR="00140DD7" w:rsidRPr="00A74972">
        <w:t xml:space="preserve"> </w:t>
      </w:r>
      <w:r w:rsidR="00596120" w:rsidRPr="00A74972">
        <w:t xml:space="preserve">if the future treatment landscape presents an option to treat with either an </w:t>
      </w:r>
      <w:r w:rsidR="002062F6" w:rsidRPr="00A74972">
        <w:t>immune checkpoint inhibi</w:t>
      </w:r>
      <w:r w:rsidR="00596120" w:rsidRPr="00A74972">
        <w:t xml:space="preserve">tor </w:t>
      </w:r>
      <w:r w:rsidR="00C53BC2" w:rsidRPr="00A74972">
        <w:t xml:space="preserve">or </w:t>
      </w:r>
      <w:r w:rsidR="002062F6" w:rsidRPr="00A74972">
        <w:t>zolbetuximab</w:t>
      </w:r>
      <w:r w:rsidR="00591A11" w:rsidRPr="00A74972">
        <w:t>.</w:t>
      </w:r>
      <w:r w:rsidR="003B0397">
        <w:t xml:space="preserve"> </w:t>
      </w:r>
      <w:r w:rsidR="008D4D04">
        <w:t xml:space="preserve">PD-L1 IHC testing is not MBS listed for </w:t>
      </w:r>
      <w:r w:rsidR="001720B0">
        <w:t>the proposed population</w:t>
      </w:r>
      <w:r w:rsidR="00D2180A">
        <w:t>.</w:t>
      </w:r>
      <w:r w:rsidR="00B60E57">
        <w:t xml:space="preserve"> MSAC has previously </w:t>
      </w:r>
      <w:r w:rsidR="002F2C77">
        <w:t xml:space="preserve">queried the </w:t>
      </w:r>
      <w:r w:rsidR="00145198">
        <w:t>analytical performance</w:t>
      </w:r>
      <w:r w:rsidR="002F2C77">
        <w:t xml:space="preserve"> and predicti</w:t>
      </w:r>
      <w:r w:rsidR="00805A96">
        <w:t xml:space="preserve">ve value of </w:t>
      </w:r>
      <w:r w:rsidR="00D2180A">
        <w:t xml:space="preserve">PD-L1 </w:t>
      </w:r>
      <w:r w:rsidR="00807168">
        <w:t xml:space="preserve">IHC testing </w:t>
      </w:r>
      <w:r w:rsidR="00A57A30">
        <w:t xml:space="preserve">to identify patients who may benefit from </w:t>
      </w:r>
      <w:r w:rsidR="00A57A30" w:rsidRPr="00A57A30">
        <w:t>PD-L1 checkpoint inhibitor</w:t>
      </w:r>
      <w:r w:rsidR="00A57A30">
        <w:t>s</w:t>
      </w:r>
      <w:r w:rsidR="007908DF">
        <w:t xml:space="preserve"> </w:t>
      </w:r>
      <w:r w:rsidR="00BE6CCA">
        <w:fldChar w:fldCharType="begin"/>
      </w:r>
      <w:r w:rsidR="00921944">
        <w:instrText xml:space="preserve"> ADDIN EN.CITE &lt;EndNote&gt;&lt;Cite&gt;&lt;Author&gt;MSAC&lt;/Author&gt;&lt;Year&gt;2022&lt;/Year&gt;&lt;RecNum&gt;2053&lt;/RecNum&gt;&lt;DisplayText&gt;(MSAC 2022)&lt;/DisplayText&gt;&lt;record&gt;&lt;rec-number&gt;2053&lt;/rec-number&gt;&lt;foreign-keys&gt;&lt;key app="EN" db-id="efx9s5pw4fwez6ed5azp5ddz9xxarv0a9599" timestamp="1716424850" guid="528a9b99-7540-4589-a0bd-cf5f0ab1213b"&gt;2053&lt;/key&gt;&lt;/foreign-keys&gt;&lt;ref-type name="Report"&gt;27&lt;/ref-type&gt;&lt;contributors&gt;&lt;authors&gt;&lt;author&gt;MSAC, Medical Services Advisory Committee&lt;/author&gt;&lt;/authors&gt;&lt;/contributors&gt;&lt;titles&gt;&lt;title&gt;MSAC Position Statement on programmed death-ligand 1 (PD-L1) immunohistochemistry testing to determine eligibility for treatment with PD-(L)1 checkpoint inhibitors.&lt;/title&gt;&lt;/titles&gt;&lt;dates&gt;&lt;year&gt;2022&lt;/year&gt;&lt;/dates&gt;&lt;pub-location&gt;Canberra&lt;/pub-location&gt;&lt;publisher&gt;Department of Health and Aged Care&lt;/publisher&gt;&lt;urls&gt;&lt;related-urls&gt;&lt;url&gt;http://www.msac.gov.au/internet/msac/publishing.nsf/Content/09DFCADF3138D2B2CA2586E0007D539C/$File/MSAC%20Position%20Statement%20-%20PD-L1%20testing%20-%20Ratified%20-26Sept%20-%20clean.pdf#:~:text=MSAC%20has%20undertaken%20a%20short%20review%20%28as%20summarised,for%20treatment%20involving%20PD-L1%20or%20PD-1%20checkpoint%20inhibitors.&lt;/url&gt;&lt;/related-urls&gt;&lt;/urls&gt;&lt;/record&gt;&lt;/Cite&gt;&lt;/EndNote&gt;</w:instrText>
      </w:r>
      <w:r w:rsidR="00BE6CCA">
        <w:fldChar w:fldCharType="separate"/>
      </w:r>
      <w:r w:rsidR="00BE6CCA">
        <w:rPr>
          <w:noProof/>
        </w:rPr>
        <w:t>(MSAC 2022)</w:t>
      </w:r>
      <w:r w:rsidR="00BE6CCA">
        <w:fldChar w:fldCharType="end"/>
      </w:r>
      <w:r w:rsidR="00BE6CCA">
        <w:t>.</w:t>
      </w:r>
    </w:p>
    <w:p w14:paraId="2BDE22B9" w14:textId="182479D5" w:rsidR="00D73332" w:rsidRPr="00A74972" w:rsidRDefault="00D73332" w:rsidP="00713728">
      <w:pPr>
        <w:pStyle w:val="Heading2"/>
        <w:rPr>
          <w:b/>
          <w:color w:val="auto"/>
        </w:rPr>
      </w:pPr>
      <w:r w:rsidRPr="00A74972">
        <w:rPr>
          <w:color w:val="auto"/>
        </w:rPr>
        <w:t>Proposed economic evaluation</w:t>
      </w:r>
    </w:p>
    <w:p w14:paraId="08E8E739" w14:textId="77777777" w:rsidR="007B731B" w:rsidRPr="00A74972" w:rsidRDefault="00F05E56" w:rsidP="00F05E56">
      <w:r w:rsidRPr="00A74972">
        <w:t>The applica</w:t>
      </w:r>
      <w:r w:rsidR="001150E2" w:rsidRPr="00A74972">
        <w:t>nt’s proposed clinical claim i</w:t>
      </w:r>
      <w:r w:rsidR="00C62CC5" w:rsidRPr="00A74972">
        <w:t>s</w:t>
      </w:r>
      <w:r w:rsidR="001150E2" w:rsidRPr="00A74972">
        <w:t xml:space="preserve"> for </w:t>
      </w:r>
      <w:r w:rsidR="51011A9F" w:rsidRPr="00A74972">
        <w:t>noninferior</w:t>
      </w:r>
      <w:r w:rsidR="12D82870" w:rsidRPr="00A74972">
        <w:t>ity</w:t>
      </w:r>
      <w:r w:rsidR="00C62CC5" w:rsidRPr="00A74972">
        <w:t xml:space="preserve"> considering the entire pathway, not </w:t>
      </w:r>
      <w:r w:rsidR="0060642C" w:rsidRPr="00A74972">
        <w:t xml:space="preserve">only </w:t>
      </w:r>
      <w:r w:rsidR="00C62CC5" w:rsidRPr="00A74972">
        <w:t>the test component</w:t>
      </w:r>
      <w:r w:rsidR="17156B7D" w:rsidRPr="00A74972">
        <w:t>.</w:t>
      </w:r>
      <w:r w:rsidR="00C62CC5" w:rsidRPr="00A74972">
        <w:t xml:space="preserve"> The application claimed the proposed intervention (CLDN18.2 test plus zolbetuximab) is </w:t>
      </w:r>
      <w:r w:rsidR="5C974B37" w:rsidRPr="00A74972">
        <w:t>noninferior</w:t>
      </w:r>
      <w:r w:rsidR="00C62CC5" w:rsidRPr="00A74972">
        <w:t xml:space="preserve"> compared </w:t>
      </w:r>
      <w:r w:rsidR="00E509E8" w:rsidRPr="00A74972">
        <w:t xml:space="preserve">to </w:t>
      </w:r>
      <w:r w:rsidR="00C62CC5" w:rsidRPr="00A74972">
        <w:t xml:space="preserve">no testing plus nivolumab. The exact clinical claim proposed </w:t>
      </w:r>
      <w:r w:rsidR="2C9B5E59" w:rsidRPr="00A74972">
        <w:t>in</w:t>
      </w:r>
      <w:r w:rsidRPr="00A74972" w:rsidDel="00C62CC5">
        <w:t xml:space="preserve"> the </w:t>
      </w:r>
      <w:r w:rsidR="2C9B5E59" w:rsidRPr="00A74972">
        <w:t xml:space="preserve">application </w:t>
      </w:r>
      <w:r w:rsidR="17156B7D" w:rsidRPr="00A74972">
        <w:t>is</w:t>
      </w:r>
      <w:r w:rsidRPr="00A74972" w:rsidDel="00C62CC5">
        <w:t xml:space="preserve">: </w:t>
      </w:r>
      <w:r w:rsidR="00C62CC5" w:rsidRPr="00A74972">
        <w:t>“</w:t>
      </w:r>
      <w:r w:rsidRPr="00A74972">
        <w:t xml:space="preserve">Ventana® CLDN18 (43-14A) RxDx Assay plus treatment: zolbetuximab is that it is </w:t>
      </w:r>
      <w:r w:rsidR="5C974B37" w:rsidRPr="00A74972">
        <w:t>noninferior</w:t>
      </w:r>
      <w:r w:rsidRPr="00A74972">
        <w:t xml:space="preserve"> to comparator: no testing of CLDN18.2 plus nivolumab.” </w:t>
      </w:r>
    </w:p>
    <w:p w14:paraId="1CCA5711" w14:textId="0284A64D" w:rsidR="00F05E56" w:rsidRPr="00A74972" w:rsidRDefault="00F05E56" w:rsidP="00F05E56">
      <w:r w:rsidRPr="00A74972">
        <w:t xml:space="preserve">There is no direct evidence </w:t>
      </w:r>
      <w:r w:rsidR="17156B7D" w:rsidRPr="00A74972">
        <w:t>comparing</w:t>
      </w:r>
      <w:r w:rsidRPr="00A74972">
        <w:t xml:space="preserve"> nivolumab versus zolbetuximab</w:t>
      </w:r>
      <w:r w:rsidR="00F8539B" w:rsidRPr="00A74972">
        <w:t>.</w:t>
      </w:r>
      <w:r w:rsidR="00A968C9" w:rsidRPr="00A74972">
        <w:t xml:space="preserve"> </w:t>
      </w:r>
      <w:r w:rsidR="005F53FB" w:rsidRPr="00A74972">
        <w:t>In addition, t</w:t>
      </w:r>
      <w:r w:rsidR="00C62CC5" w:rsidRPr="00A74972">
        <w:t>here is no evidence for nivolumab in</w:t>
      </w:r>
      <w:r w:rsidR="00BA09ED" w:rsidRPr="00A74972">
        <w:t xml:space="preserve"> patients with tumours found to be</w:t>
      </w:r>
      <w:r w:rsidR="00C62CC5" w:rsidRPr="00A74972">
        <w:t xml:space="preserve"> CLDN18.2+</w:t>
      </w:r>
      <w:r w:rsidRPr="00A74972">
        <w:t>.</w:t>
      </w:r>
      <w:r w:rsidR="008D07D8" w:rsidRPr="00A74972">
        <w:t xml:space="preserve"> </w:t>
      </w:r>
      <w:r w:rsidR="005D569F" w:rsidRPr="00A74972">
        <w:t xml:space="preserve">During the pre-PASC teleconference, the applicant stated that the need for an indirect comparison is being considered noting that exchangeability issues may arise given the differences in patient populations, which include patients with tumours found to be CLDN18.2+ versus all patients without distinction in CLDN18.2 status. </w:t>
      </w:r>
      <w:r w:rsidR="008D07D8" w:rsidRPr="00A74972">
        <w:t xml:space="preserve">In the absence of </w:t>
      </w:r>
      <w:r w:rsidR="009F7470" w:rsidRPr="00A74972">
        <w:t>direct evidence,</w:t>
      </w:r>
      <w:r w:rsidR="005C1FFB" w:rsidRPr="00A74972">
        <w:t xml:space="preserve"> </w:t>
      </w:r>
      <w:r w:rsidR="00870B89" w:rsidRPr="00A74972">
        <w:t xml:space="preserve">the applicant may consider </w:t>
      </w:r>
      <w:r w:rsidR="00CD2C7F" w:rsidRPr="00A74972">
        <w:t>examin</w:t>
      </w:r>
      <w:r w:rsidR="0093535D" w:rsidRPr="00A74972">
        <w:t>ing</w:t>
      </w:r>
      <w:r w:rsidR="00870B89" w:rsidRPr="00A74972">
        <w:t xml:space="preserve"> </w:t>
      </w:r>
      <w:r w:rsidR="005C1FFB" w:rsidRPr="00A74972">
        <w:t>the prognostic value of CLDN</w:t>
      </w:r>
      <w:r w:rsidR="00190748" w:rsidRPr="00A74972">
        <w:t>18.2</w:t>
      </w:r>
      <w:r w:rsidR="005C1FFB" w:rsidRPr="00A74972">
        <w:t xml:space="preserve"> </w:t>
      </w:r>
      <w:r w:rsidR="005C41AD" w:rsidRPr="00A74972">
        <w:t>expression</w:t>
      </w:r>
      <w:r w:rsidR="005C1FFB" w:rsidRPr="00A74972">
        <w:t xml:space="preserve"> </w:t>
      </w:r>
      <w:r w:rsidR="000D612C" w:rsidRPr="00A74972">
        <w:t xml:space="preserve">and </w:t>
      </w:r>
      <w:r w:rsidR="00551769" w:rsidRPr="00A74972">
        <w:t xml:space="preserve">biological </w:t>
      </w:r>
      <w:r w:rsidR="009938E4" w:rsidRPr="00A74972">
        <w:t xml:space="preserve">plausibility to explain the </w:t>
      </w:r>
      <w:r w:rsidR="001B4435" w:rsidRPr="00A74972">
        <w:t xml:space="preserve">difference in effectiveness </w:t>
      </w:r>
      <w:r w:rsidR="005F2A67" w:rsidRPr="00A74972">
        <w:t>o</w:t>
      </w:r>
      <w:r w:rsidR="001B4435" w:rsidRPr="00A74972">
        <w:t>f nivolumab</w:t>
      </w:r>
      <w:r w:rsidR="00AC57F6" w:rsidRPr="00A74972">
        <w:t xml:space="preserve"> </w:t>
      </w:r>
      <w:r w:rsidR="00972083" w:rsidRPr="00A74972">
        <w:t>between</w:t>
      </w:r>
      <w:r w:rsidR="00AC57F6" w:rsidRPr="00A74972">
        <w:t xml:space="preserve"> </w:t>
      </w:r>
      <w:r w:rsidR="0002007F" w:rsidRPr="00A74972">
        <w:t xml:space="preserve">patients with tumours found to be </w:t>
      </w:r>
      <w:r w:rsidR="00486049" w:rsidRPr="00A74972">
        <w:t xml:space="preserve">CLND18.2+ </w:t>
      </w:r>
      <w:r w:rsidR="0002007F" w:rsidRPr="00A74972">
        <w:t>and patients with tumours found to be</w:t>
      </w:r>
      <w:r w:rsidR="00486049" w:rsidRPr="00A74972">
        <w:t xml:space="preserve"> CLDN18.2-</w:t>
      </w:r>
      <w:r w:rsidR="005C1FFB" w:rsidRPr="00A74972">
        <w:t>.</w:t>
      </w:r>
      <w:r w:rsidR="009E1B0F" w:rsidRPr="00A74972">
        <w:t xml:space="preserve"> </w:t>
      </w:r>
      <w:r w:rsidR="0032250A">
        <w:t>In their pre-PASC response, the applicant noted th</w:t>
      </w:r>
      <w:r w:rsidR="00BD3076">
        <w:t xml:space="preserve">ere is no prognostic value </w:t>
      </w:r>
      <w:r w:rsidR="006B7A2D">
        <w:t xml:space="preserve">of </w:t>
      </w:r>
      <w:r w:rsidR="006B7A2D" w:rsidRPr="00A74972">
        <w:t>CLDN18.2 expression</w:t>
      </w:r>
      <w:r w:rsidR="006B7A2D">
        <w:t xml:space="preserve"> </w:t>
      </w:r>
      <w:r w:rsidR="006B7A2D">
        <w:rPr>
          <w:rStyle w:val="normaltextrun"/>
          <w:rFonts w:cs="Calibri"/>
          <w:color w:val="000000"/>
          <w:bdr w:val="none" w:sz="0" w:space="0" w:color="auto" w:frame="1"/>
        </w:rPr>
        <w:t>in G/GOJ adenocarcinoma</w:t>
      </w:r>
      <w:r w:rsidR="00FF7343">
        <w:rPr>
          <w:rStyle w:val="normaltextrun"/>
          <w:rFonts w:cs="Calibri"/>
          <w:color w:val="000000"/>
          <w:bdr w:val="none" w:sz="0" w:space="0" w:color="auto" w:frame="1"/>
        </w:rPr>
        <w:t xml:space="preserve">. </w:t>
      </w:r>
      <w:r w:rsidR="00895BE9">
        <w:rPr>
          <w:rStyle w:val="normaltextrun"/>
          <w:rFonts w:cs="Calibri"/>
          <w:color w:val="000000"/>
          <w:bdr w:val="none" w:sz="0" w:space="0" w:color="auto" w:frame="1"/>
        </w:rPr>
        <w:t xml:space="preserve">However, </w:t>
      </w:r>
      <w:r w:rsidR="00895BE9">
        <w:t>e</w:t>
      </w:r>
      <w:r w:rsidR="00895BE9" w:rsidRPr="00A74972">
        <w:t>vidence on the prognostic value of CLDN18.2 expression in patients with G/GOJ cancer</w:t>
      </w:r>
      <w:r w:rsidR="00895BE9">
        <w:t xml:space="preserve"> is uncertain</w:t>
      </w:r>
      <w:r w:rsidR="00086511">
        <w:t xml:space="preserve"> </w:t>
      </w:r>
      <w:r w:rsidR="00086511" w:rsidRPr="00A74972">
        <w:fldChar w:fldCharType="begin"/>
      </w:r>
      <w:r w:rsidR="004B0848">
        <w:instrText xml:space="preserve"> ADDIN EN.CITE &lt;EndNote&gt;&lt;Cite&gt;&lt;Author&gt;Lu&lt;/Author&gt;&lt;Year&gt;2020&lt;/Year&gt;&lt;RecNum&gt;149&lt;/RecNum&gt;&lt;DisplayText&gt;(Lu et al. 2020)&lt;/DisplayText&gt;&lt;record&gt;&lt;rec-number&gt;149&lt;/rec-number&gt;&lt;foreign-keys&gt;&lt;key app="EN" db-id="efx9s5pw4fwez6ed5azp5ddz9xxarv0a9599" timestamp="1710980208" guid="78b0427b-c45c-4505-9100-57d9a1a10e05"&gt;149&lt;/key&gt;&lt;/foreign-keys&gt;&lt;ref-type name="Journal Article"&gt;17&lt;/ref-type&gt;&lt;contributors&gt;&lt;authors&gt;&lt;author&gt;Lu, Yufeng&lt;/author&gt;&lt;author&gt;Wu, Tielong&lt;/author&gt;&lt;author&gt;Sheng, Yingyue&lt;/author&gt;&lt;author&gt;Dai, Yuanyuan&lt;/author&gt;&lt;author&gt;Xia, Beilei&lt;/author&gt;&lt;author&gt;Xue, Yuzheng&lt;/author&gt;&lt;/authors&gt;&lt;/contributors&gt;&lt;titles&gt;&lt;title&gt;Correlation between Claudin-18 expression and clinicopathological features and prognosis in patients with gastric cancer&lt;/title&gt;&lt;secondary-title&gt;Journal of Gastrointestinal Oncology&lt;/secondary-title&gt;&lt;short-title&gt;Correlation between Claudin-18 expression and clinicopathological features and prognosis in patients with gastric cancer&lt;/short-title&gt;&lt;/titles&gt;&lt;periodical&gt;&lt;full-title&gt;Journal of Gastrointestinal Oncology&lt;/full-title&gt;&lt;/periodical&gt;&lt;pages&gt;1253-1260&lt;/pages&gt;&lt;volume&gt;11&lt;/volume&gt;&lt;number&gt;6&lt;/number&gt;&lt;dates&gt;&lt;year&gt;2020&lt;/year&gt;&lt;/dates&gt;&lt;isbn&gt;2219-679X&lt;/isbn&gt;&lt;urls&gt;&lt;related-urls&gt;&lt;url&gt;https://jgo.amegroups.org/article/view/47614&lt;/url&gt;&lt;/related-urls&gt;&lt;/urls&gt;&lt;/record&gt;&lt;/Cite&gt;&lt;/EndNote&gt;</w:instrText>
      </w:r>
      <w:r w:rsidR="00086511" w:rsidRPr="00A74972">
        <w:fldChar w:fldCharType="separate"/>
      </w:r>
      <w:r w:rsidR="004B0848">
        <w:rPr>
          <w:noProof/>
        </w:rPr>
        <w:t>(Lu et al. 2020)</w:t>
      </w:r>
      <w:r w:rsidR="00086511" w:rsidRPr="00A74972">
        <w:fldChar w:fldCharType="end"/>
      </w:r>
      <w:r w:rsidR="00E67A3D">
        <w:t xml:space="preserve"> </w:t>
      </w:r>
      <w:r w:rsidR="00257AC0">
        <w:t xml:space="preserve">and </w:t>
      </w:r>
      <w:r w:rsidR="00502EFB">
        <w:t xml:space="preserve">it would be informative to </w:t>
      </w:r>
      <w:r w:rsidR="00972591">
        <w:t>consider</w:t>
      </w:r>
      <w:r w:rsidR="00794985">
        <w:t xml:space="preserve"> this in the</w:t>
      </w:r>
      <w:r w:rsidR="00AD5B74">
        <w:t xml:space="preserve"> </w:t>
      </w:r>
      <w:r w:rsidR="00AD5B74" w:rsidRPr="00A74972">
        <w:t>co-dependent technology application to PBAC</w:t>
      </w:r>
      <w:r w:rsidR="00AD5B74">
        <w:t xml:space="preserve"> and MSAC</w:t>
      </w:r>
      <w:r w:rsidR="00043DC9">
        <w:t xml:space="preserve">. </w:t>
      </w:r>
    </w:p>
    <w:p w14:paraId="197AFB66" w14:textId="35EC8574" w:rsidR="00F05E56" w:rsidRPr="00A74972" w:rsidRDefault="003A466D" w:rsidP="0FCDB3BF">
      <w:pPr>
        <w:pStyle w:val="Instructionaltext"/>
        <w:rPr>
          <w:color w:val="auto"/>
        </w:rPr>
      </w:pPr>
      <w:r w:rsidRPr="00A74972">
        <w:rPr>
          <w:rStyle w:val="normaltextrun"/>
          <w:rFonts w:cs="Calibri"/>
          <w:color w:val="auto"/>
        </w:rPr>
        <w:t>Based on the applicant</w:t>
      </w:r>
      <w:r w:rsidR="00C37395">
        <w:rPr>
          <w:rStyle w:val="normaltextrun"/>
          <w:rFonts w:cs="Calibri"/>
          <w:color w:val="auto"/>
        </w:rPr>
        <w:t>’</w:t>
      </w:r>
      <w:r w:rsidRPr="00A74972">
        <w:rPr>
          <w:rStyle w:val="normaltextrun"/>
          <w:rFonts w:cs="Calibri"/>
          <w:color w:val="auto"/>
        </w:rPr>
        <w:t xml:space="preserve">s clinical claim of </w:t>
      </w:r>
      <w:r w:rsidR="3FCD27FD" w:rsidRPr="00A74972">
        <w:rPr>
          <w:rStyle w:val="normaltextrun"/>
          <w:rFonts w:cs="Calibri"/>
          <w:color w:val="auto"/>
        </w:rPr>
        <w:t>noninferior</w:t>
      </w:r>
      <w:r w:rsidR="03CD574A" w:rsidRPr="00A74972">
        <w:rPr>
          <w:rStyle w:val="normaltextrun"/>
          <w:rFonts w:cs="Calibri"/>
          <w:color w:val="auto"/>
        </w:rPr>
        <w:t>ity</w:t>
      </w:r>
      <w:r w:rsidRPr="00A74972">
        <w:rPr>
          <w:rStyle w:val="normaltextrun"/>
          <w:rFonts w:cs="Calibri"/>
          <w:color w:val="auto"/>
        </w:rPr>
        <w:t>, a cost-minimisation analysis (CMA) would be appropriate</w:t>
      </w:r>
      <w:r w:rsidRPr="00A74972">
        <w:rPr>
          <w:rStyle w:val="normaltextrun"/>
          <w:rFonts w:cs="Calibri"/>
          <w:color w:val="auto"/>
          <w:shd w:val="clear" w:color="auto" w:fill="FFFFFF"/>
        </w:rPr>
        <w:t xml:space="preserve">. If the clinical claim during the assessment is found to differ from that proposed, </w:t>
      </w:r>
      <w:r w:rsidR="00F05E56" w:rsidRPr="00A74972">
        <w:rPr>
          <w:rStyle w:val="normaltextrun"/>
          <w:rFonts w:cs="Calibri"/>
          <w:color w:val="auto"/>
          <w:shd w:val="clear" w:color="auto" w:fill="FFFFFF"/>
        </w:rPr>
        <w:fldChar w:fldCharType="begin"/>
      </w:r>
      <w:r w:rsidR="00F05E56" w:rsidRPr="00A74972">
        <w:rPr>
          <w:rStyle w:val="normaltextrun"/>
          <w:rFonts w:cs="Calibri"/>
          <w:color w:val="auto"/>
          <w:shd w:val="clear" w:color="auto" w:fill="FFFFFF"/>
        </w:rPr>
        <w:instrText xml:space="preserve"> REF _Ref54260209 \h  \* MERGEFORMAT </w:instrText>
      </w:r>
      <w:r w:rsidR="00F05E56" w:rsidRPr="00A74972">
        <w:rPr>
          <w:rStyle w:val="normaltextrun"/>
          <w:rFonts w:cs="Calibri"/>
          <w:color w:val="auto"/>
          <w:shd w:val="clear" w:color="auto" w:fill="FFFFFF"/>
        </w:rPr>
      </w:r>
      <w:r w:rsidR="00F05E56" w:rsidRPr="00A74972">
        <w:rPr>
          <w:rStyle w:val="normaltextrun"/>
          <w:rFonts w:cs="Calibri"/>
          <w:color w:val="auto"/>
          <w:shd w:val="clear" w:color="auto" w:fill="FFFFFF"/>
        </w:rPr>
        <w:fldChar w:fldCharType="separate"/>
      </w:r>
      <w:r w:rsidR="00E8283D" w:rsidRPr="00631A7C">
        <w:rPr>
          <w:rStyle w:val="normaltextrun"/>
          <w:rFonts w:cs="Calibri"/>
          <w:color w:val="auto"/>
          <w:shd w:val="clear" w:color="auto" w:fill="FFFFFF"/>
        </w:rPr>
        <w:t>Table 4</w:t>
      </w:r>
      <w:r w:rsidR="00F05E56" w:rsidRPr="00A74972">
        <w:rPr>
          <w:rStyle w:val="normaltextrun"/>
          <w:rFonts w:cs="Calibri"/>
          <w:color w:val="auto"/>
          <w:shd w:val="clear" w:color="auto" w:fill="FFFFFF"/>
        </w:rPr>
        <w:fldChar w:fldCharType="end"/>
      </w:r>
      <w:r w:rsidR="00F05E56" w:rsidRPr="00A74972">
        <w:rPr>
          <w:rStyle w:val="normaltextrun"/>
          <w:rFonts w:cs="Calibri"/>
          <w:color w:val="auto"/>
          <w:shd w:val="clear" w:color="auto" w:fill="FFFFFF"/>
        </w:rPr>
        <w:t xml:space="preserve"> provides a guide for determining which type of economic evaluation is appropriate.</w:t>
      </w:r>
    </w:p>
    <w:p w14:paraId="1E0B31D4" w14:textId="4DC896CC" w:rsidR="00F05E56" w:rsidRPr="00A74972" w:rsidRDefault="00F05E56" w:rsidP="00F05E56">
      <w:pPr>
        <w:pStyle w:val="Caption"/>
      </w:pPr>
      <w:bookmarkStart w:id="6" w:name="_Ref54260209"/>
      <w:bookmarkStart w:id="7" w:name="_Toc423450289"/>
      <w:r w:rsidRPr="00A74972">
        <w:lastRenderedPageBreak/>
        <w:t>Table </w:t>
      </w:r>
      <w:r w:rsidRPr="00A74972">
        <w:fldChar w:fldCharType="begin"/>
      </w:r>
      <w:r w:rsidRPr="00A74972">
        <w:instrText xml:space="preserve"> SEQ Table \* ARABIC </w:instrText>
      </w:r>
      <w:r w:rsidRPr="00A74972">
        <w:fldChar w:fldCharType="separate"/>
      </w:r>
      <w:r w:rsidR="004B0848">
        <w:rPr>
          <w:noProof/>
        </w:rPr>
        <w:t>4</w:t>
      </w:r>
      <w:r w:rsidRPr="00A74972">
        <w:fldChar w:fldCharType="end"/>
      </w:r>
      <w:bookmarkEnd w:id="6"/>
      <w:r w:rsidRPr="00A74972">
        <w:tab/>
        <w:t>Classification of comparative effectiveness and safety of the proposed intervention, compared with its main comparator, and guide to the suitable type of economic evaluation</w:t>
      </w:r>
      <w:bookmarkEnd w:id="7"/>
    </w:p>
    <w:tbl>
      <w:tblPr>
        <w:tblW w:w="4872" w:type="pct"/>
        <w:tblInd w:w="11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A74972" w:rsidRPr="00A74972" w14:paraId="0EC2B560" w14:textId="77777777" w:rsidTr="005143E2">
        <w:trPr>
          <w:cantSplit/>
          <w:tblHeader/>
        </w:trPr>
        <w:tc>
          <w:tcPr>
            <w:tcW w:w="2012" w:type="dxa"/>
            <w:vMerge w:val="restart"/>
            <w:tcBorders>
              <w:top w:val="single" w:sz="4" w:space="0" w:color="auto"/>
              <w:left w:val="single" w:sz="4" w:space="0" w:color="auto"/>
              <w:right w:val="single" w:sz="4" w:space="0" w:color="auto"/>
            </w:tcBorders>
          </w:tcPr>
          <w:p w14:paraId="2E834737" w14:textId="77777777" w:rsidR="00F05E56" w:rsidRPr="00A74972" w:rsidRDefault="00F05E56" w:rsidP="005143E2">
            <w:pPr>
              <w:pStyle w:val="TableHeading"/>
            </w:pPr>
            <w:bookmarkStart w:id="8" w:name="Title_Table2" w:colFirst="0" w:colLast="0"/>
            <w:r w:rsidRPr="00A74972">
              <w:t>Comparative safety-</w:t>
            </w:r>
          </w:p>
        </w:tc>
        <w:tc>
          <w:tcPr>
            <w:tcW w:w="1905" w:type="dxa"/>
            <w:tcBorders>
              <w:top w:val="single" w:sz="4" w:space="0" w:color="auto"/>
              <w:left w:val="single" w:sz="4" w:space="0" w:color="auto"/>
              <w:bottom w:val="single" w:sz="4" w:space="0" w:color="auto"/>
              <w:right w:val="nil"/>
            </w:tcBorders>
          </w:tcPr>
          <w:p w14:paraId="7D4FE178" w14:textId="77777777" w:rsidR="00F05E56" w:rsidRPr="00A74972" w:rsidRDefault="00F05E56" w:rsidP="005143E2">
            <w:pPr>
              <w:pStyle w:val="TableHeading"/>
              <w:jc w:val="center"/>
            </w:pPr>
          </w:p>
        </w:tc>
        <w:tc>
          <w:tcPr>
            <w:tcW w:w="2227" w:type="dxa"/>
            <w:tcBorders>
              <w:top w:val="single" w:sz="4" w:space="0" w:color="auto"/>
              <w:left w:val="nil"/>
              <w:bottom w:val="single" w:sz="4" w:space="0" w:color="auto"/>
            </w:tcBorders>
          </w:tcPr>
          <w:p w14:paraId="7C89A649" w14:textId="77777777" w:rsidR="00F05E56" w:rsidRPr="00A74972" w:rsidRDefault="00F05E56" w:rsidP="005143E2">
            <w:pPr>
              <w:pStyle w:val="TableHeading"/>
              <w:ind w:left="-75" w:right="-127"/>
              <w:jc w:val="center"/>
            </w:pPr>
            <w:r w:rsidRPr="00A74972">
              <w:t>Comparative effectiveness</w:t>
            </w:r>
          </w:p>
        </w:tc>
        <w:tc>
          <w:tcPr>
            <w:tcW w:w="1748" w:type="dxa"/>
            <w:tcBorders>
              <w:top w:val="single" w:sz="4" w:space="0" w:color="auto"/>
              <w:left w:val="nil"/>
              <w:bottom w:val="single" w:sz="4" w:space="0" w:color="auto"/>
            </w:tcBorders>
          </w:tcPr>
          <w:p w14:paraId="47BD3BB9" w14:textId="77777777" w:rsidR="00F05E56" w:rsidRPr="00A74972" w:rsidRDefault="00F05E56" w:rsidP="005143E2">
            <w:pPr>
              <w:pStyle w:val="TableHeading"/>
              <w:jc w:val="center"/>
            </w:pPr>
          </w:p>
        </w:tc>
        <w:tc>
          <w:tcPr>
            <w:tcW w:w="1434" w:type="dxa"/>
            <w:tcBorders>
              <w:top w:val="single" w:sz="4" w:space="0" w:color="auto"/>
              <w:left w:val="nil"/>
              <w:bottom w:val="single" w:sz="4" w:space="0" w:color="auto"/>
              <w:right w:val="single" w:sz="4" w:space="0" w:color="auto"/>
            </w:tcBorders>
          </w:tcPr>
          <w:p w14:paraId="41A91621" w14:textId="77777777" w:rsidR="00F05E56" w:rsidRPr="00A74972" w:rsidRDefault="00F05E56" w:rsidP="005143E2">
            <w:pPr>
              <w:pStyle w:val="TableHeading"/>
              <w:jc w:val="center"/>
            </w:pPr>
          </w:p>
        </w:tc>
      </w:tr>
      <w:bookmarkEnd w:id="8"/>
      <w:tr w:rsidR="00A74972" w:rsidRPr="00A74972" w14:paraId="6AD813DB" w14:textId="77777777" w:rsidTr="005143E2">
        <w:trPr>
          <w:cantSplit/>
          <w:tblHeader/>
        </w:trPr>
        <w:tc>
          <w:tcPr>
            <w:tcW w:w="2012" w:type="dxa"/>
            <w:vMerge/>
            <w:tcBorders>
              <w:left w:val="single" w:sz="4" w:space="0" w:color="auto"/>
              <w:bottom w:val="single" w:sz="4" w:space="0" w:color="auto"/>
              <w:right w:val="single" w:sz="4" w:space="0" w:color="auto"/>
            </w:tcBorders>
          </w:tcPr>
          <w:p w14:paraId="5EB4DEFE" w14:textId="77777777" w:rsidR="00F05E56" w:rsidRPr="00A74972" w:rsidRDefault="00F05E56" w:rsidP="005143E2">
            <w:pPr>
              <w:pStyle w:val="TableHeading"/>
            </w:pPr>
          </w:p>
        </w:tc>
        <w:tc>
          <w:tcPr>
            <w:tcW w:w="1905" w:type="dxa"/>
            <w:tcBorders>
              <w:left w:val="single" w:sz="4" w:space="0" w:color="auto"/>
              <w:bottom w:val="single" w:sz="4" w:space="0" w:color="auto"/>
              <w:right w:val="single" w:sz="4" w:space="0" w:color="auto"/>
            </w:tcBorders>
          </w:tcPr>
          <w:p w14:paraId="5BDB9C2D" w14:textId="77777777" w:rsidR="00F05E56" w:rsidRPr="00A74972" w:rsidRDefault="00F05E56" w:rsidP="005143E2">
            <w:pPr>
              <w:pStyle w:val="TableHeading"/>
              <w:jc w:val="center"/>
            </w:pPr>
            <w:r w:rsidRPr="00A74972">
              <w:t>Inferior</w:t>
            </w:r>
          </w:p>
        </w:tc>
        <w:tc>
          <w:tcPr>
            <w:tcW w:w="2227" w:type="dxa"/>
            <w:tcBorders>
              <w:top w:val="single" w:sz="4" w:space="0" w:color="auto"/>
              <w:left w:val="single" w:sz="4" w:space="0" w:color="auto"/>
              <w:bottom w:val="single" w:sz="4" w:space="0" w:color="auto"/>
              <w:right w:val="single" w:sz="4" w:space="0" w:color="auto"/>
            </w:tcBorders>
          </w:tcPr>
          <w:p w14:paraId="13034563" w14:textId="77777777" w:rsidR="00F05E56" w:rsidRPr="00A74972" w:rsidRDefault="00F05E56" w:rsidP="005143E2">
            <w:pPr>
              <w:pStyle w:val="TableHeading"/>
              <w:jc w:val="center"/>
            </w:pPr>
            <w:r w:rsidRPr="00A74972">
              <w:t>Uncertain</w:t>
            </w:r>
            <w:r w:rsidRPr="00A74972">
              <w:rPr>
                <w:vertAlign w:val="superscript"/>
              </w:rPr>
              <w:t>a</w:t>
            </w:r>
          </w:p>
        </w:tc>
        <w:tc>
          <w:tcPr>
            <w:tcW w:w="1748" w:type="dxa"/>
            <w:tcBorders>
              <w:top w:val="single" w:sz="4" w:space="0" w:color="auto"/>
              <w:left w:val="single" w:sz="4" w:space="0" w:color="auto"/>
              <w:bottom w:val="single" w:sz="4" w:space="0" w:color="auto"/>
              <w:right w:val="single" w:sz="4" w:space="0" w:color="auto"/>
            </w:tcBorders>
          </w:tcPr>
          <w:p w14:paraId="7F89B509" w14:textId="77777777" w:rsidR="00F05E56" w:rsidRPr="00A74972" w:rsidRDefault="00F05E56" w:rsidP="005143E2">
            <w:pPr>
              <w:pStyle w:val="TableHeading"/>
              <w:jc w:val="center"/>
            </w:pPr>
            <w:r w:rsidRPr="00A74972">
              <w:t>Noninferior</w:t>
            </w:r>
            <w:r w:rsidRPr="00A74972">
              <w:rPr>
                <w:vertAlign w:val="superscript"/>
              </w:rPr>
              <w:t>b</w:t>
            </w:r>
          </w:p>
        </w:tc>
        <w:tc>
          <w:tcPr>
            <w:tcW w:w="1434" w:type="dxa"/>
            <w:tcBorders>
              <w:top w:val="single" w:sz="4" w:space="0" w:color="auto"/>
              <w:left w:val="single" w:sz="4" w:space="0" w:color="auto"/>
              <w:bottom w:val="single" w:sz="4" w:space="0" w:color="auto"/>
              <w:right w:val="single" w:sz="4" w:space="0" w:color="auto"/>
            </w:tcBorders>
          </w:tcPr>
          <w:p w14:paraId="60F324CF" w14:textId="77777777" w:rsidR="00F05E56" w:rsidRPr="00A74972" w:rsidRDefault="00F05E56" w:rsidP="005143E2">
            <w:pPr>
              <w:pStyle w:val="TableHeading"/>
              <w:jc w:val="center"/>
            </w:pPr>
            <w:r w:rsidRPr="00A74972">
              <w:t>Superior</w:t>
            </w:r>
          </w:p>
        </w:tc>
      </w:tr>
      <w:tr w:rsidR="00A74972" w:rsidRPr="00A74972" w14:paraId="6560F826" w14:textId="77777777" w:rsidTr="005143E2">
        <w:tc>
          <w:tcPr>
            <w:tcW w:w="2012" w:type="dxa"/>
            <w:tcBorders>
              <w:top w:val="single" w:sz="4" w:space="0" w:color="auto"/>
              <w:left w:val="single" w:sz="4" w:space="0" w:color="auto"/>
              <w:bottom w:val="single" w:sz="4" w:space="0" w:color="auto"/>
              <w:right w:val="single" w:sz="4" w:space="0" w:color="auto"/>
            </w:tcBorders>
            <w:vAlign w:val="center"/>
          </w:tcPr>
          <w:p w14:paraId="7E7E9FA8" w14:textId="77777777" w:rsidR="00F05E56" w:rsidRPr="00A74972" w:rsidRDefault="00F05E56" w:rsidP="005143E2">
            <w:pPr>
              <w:pStyle w:val="Tabletext"/>
              <w:keepNext/>
            </w:pPr>
            <w:r w:rsidRPr="00A74972">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5ABFEDD6" w14:textId="77777777" w:rsidR="00F05E56" w:rsidRPr="00A74972" w:rsidRDefault="00F05E56" w:rsidP="005143E2">
            <w:pPr>
              <w:pStyle w:val="Tabletext"/>
              <w:keepNext/>
            </w:pPr>
            <w:r w:rsidRPr="00A74972">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101403AF" w14:textId="77777777" w:rsidR="00F05E56" w:rsidRPr="00A74972" w:rsidRDefault="00F05E56" w:rsidP="005143E2">
            <w:pPr>
              <w:pStyle w:val="Tabletext"/>
              <w:keepNext/>
            </w:pPr>
            <w:r w:rsidRPr="00A74972">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6ADE1B5A" w14:textId="77777777" w:rsidR="00F05E56" w:rsidRPr="00A74972" w:rsidRDefault="00F05E56" w:rsidP="005143E2">
            <w:pPr>
              <w:pStyle w:val="Tabletext"/>
              <w:keepNext/>
            </w:pPr>
            <w:r w:rsidRPr="00A74972">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65CC302C" w14:textId="77777777" w:rsidR="00F05E56" w:rsidRPr="00A74972" w:rsidRDefault="00F05E56" w:rsidP="005143E2">
            <w:pPr>
              <w:pStyle w:val="Tabletext"/>
              <w:keepNext/>
            </w:pPr>
            <w:r w:rsidRPr="00A74972">
              <w:t>? Likely CUA</w:t>
            </w:r>
          </w:p>
        </w:tc>
      </w:tr>
      <w:tr w:rsidR="00A74972" w:rsidRPr="00A74972" w14:paraId="631807A9" w14:textId="77777777" w:rsidTr="005143E2">
        <w:tc>
          <w:tcPr>
            <w:tcW w:w="2012" w:type="dxa"/>
            <w:tcBorders>
              <w:top w:val="single" w:sz="4" w:space="0" w:color="auto"/>
              <w:left w:val="single" w:sz="4" w:space="0" w:color="auto"/>
              <w:bottom w:val="single" w:sz="4" w:space="0" w:color="auto"/>
              <w:right w:val="single" w:sz="4" w:space="0" w:color="auto"/>
            </w:tcBorders>
            <w:vAlign w:val="center"/>
          </w:tcPr>
          <w:p w14:paraId="541CC6C9" w14:textId="77777777" w:rsidR="00F05E56" w:rsidRPr="00A74972" w:rsidRDefault="00F05E56" w:rsidP="005143E2">
            <w:pPr>
              <w:pStyle w:val="Tabletext"/>
              <w:keepNext/>
            </w:pPr>
            <w:r w:rsidRPr="00A74972">
              <w:t>Uncertain</w:t>
            </w:r>
            <w:r w:rsidRPr="00A74972">
              <w:rPr>
                <w:vertAlign w:val="superscript"/>
              </w:rPr>
              <w:t>a</w:t>
            </w:r>
          </w:p>
        </w:tc>
        <w:tc>
          <w:tcPr>
            <w:tcW w:w="1905" w:type="dxa"/>
            <w:tcBorders>
              <w:top w:val="single" w:sz="4" w:space="0" w:color="auto"/>
              <w:left w:val="single" w:sz="4" w:space="0" w:color="auto"/>
              <w:bottom w:val="single" w:sz="4" w:space="0" w:color="auto"/>
              <w:right w:val="single" w:sz="4" w:space="0" w:color="auto"/>
            </w:tcBorders>
            <w:vAlign w:val="center"/>
          </w:tcPr>
          <w:p w14:paraId="6F02E5F5" w14:textId="77777777" w:rsidR="00F05E56" w:rsidRPr="00A74972" w:rsidRDefault="00F05E56" w:rsidP="005143E2">
            <w:pPr>
              <w:pStyle w:val="Tabletext"/>
              <w:keepNext/>
            </w:pPr>
            <w:r w:rsidRPr="00A74972">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D3CD925" w14:textId="77777777" w:rsidR="00F05E56" w:rsidRPr="00A74972" w:rsidRDefault="00F05E56" w:rsidP="005143E2">
            <w:pPr>
              <w:pStyle w:val="Tabletext"/>
              <w:keepNext/>
            </w:pPr>
            <w:r w:rsidRPr="00A74972">
              <w:t>?</w:t>
            </w:r>
          </w:p>
        </w:tc>
        <w:tc>
          <w:tcPr>
            <w:tcW w:w="1748" w:type="dxa"/>
            <w:tcBorders>
              <w:top w:val="single" w:sz="4" w:space="0" w:color="auto"/>
              <w:left w:val="single" w:sz="4" w:space="0" w:color="auto"/>
              <w:bottom w:val="single" w:sz="4" w:space="0" w:color="auto"/>
              <w:right w:val="single" w:sz="4" w:space="0" w:color="auto"/>
            </w:tcBorders>
            <w:vAlign w:val="center"/>
          </w:tcPr>
          <w:p w14:paraId="02634513" w14:textId="77777777" w:rsidR="00F05E56" w:rsidRPr="00A74972" w:rsidRDefault="00F05E56" w:rsidP="005143E2">
            <w:pPr>
              <w:pStyle w:val="Tabletext"/>
              <w:keepNext/>
            </w:pPr>
            <w:r w:rsidRPr="00A74972">
              <w:t>?</w:t>
            </w:r>
          </w:p>
        </w:tc>
        <w:tc>
          <w:tcPr>
            <w:tcW w:w="1434" w:type="dxa"/>
            <w:tcBorders>
              <w:top w:val="single" w:sz="4" w:space="0" w:color="auto"/>
              <w:left w:val="single" w:sz="4" w:space="0" w:color="auto"/>
              <w:bottom w:val="single" w:sz="4" w:space="0" w:color="auto"/>
              <w:right w:val="single" w:sz="4" w:space="0" w:color="auto"/>
            </w:tcBorders>
            <w:vAlign w:val="center"/>
          </w:tcPr>
          <w:p w14:paraId="355D9B35" w14:textId="77777777" w:rsidR="00F05E56" w:rsidRPr="00A74972" w:rsidRDefault="00F05E56" w:rsidP="005143E2">
            <w:pPr>
              <w:pStyle w:val="Tabletext"/>
              <w:keepNext/>
            </w:pPr>
            <w:r w:rsidRPr="00A74972">
              <w:t>? Likely CEA/CUA</w:t>
            </w:r>
          </w:p>
        </w:tc>
      </w:tr>
      <w:tr w:rsidR="00A74972" w:rsidRPr="00A74972" w14:paraId="298AAADF" w14:textId="77777777" w:rsidTr="005143E2">
        <w:tc>
          <w:tcPr>
            <w:tcW w:w="2012" w:type="dxa"/>
            <w:tcBorders>
              <w:top w:val="single" w:sz="4" w:space="0" w:color="auto"/>
              <w:left w:val="single" w:sz="4" w:space="0" w:color="auto"/>
              <w:bottom w:val="single" w:sz="4" w:space="0" w:color="auto"/>
              <w:right w:val="single" w:sz="4" w:space="0" w:color="auto"/>
            </w:tcBorders>
            <w:vAlign w:val="center"/>
          </w:tcPr>
          <w:p w14:paraId="2BEAD336" w14:textId="77777777" w:rsidR="00F05E56" w:rsidRPr="00A74972" w:rsidRDefault="00F05E56" w:rsidP="005143E2">
            <w:pPr>
              <w:pStyle w:val="Tabletext"/>
              <w:keepNext/>
            </w:pPr>
            <w:r w:rsidRPr="00A74972">
              <w:t>Noninferior</w:t>
            </w:r>
            <w:r w:rsidRPr="00A74972">
              <w:rPr>
                <w:vertAlign w:val="superscript"/>
              </w:rPr>
              <w:t>b</w:t>
            </w:r>
          </w:p>
        </w:tc>
        <w:tc>
          <w:tcPr>
            <w:tcW w:w="1905" w:type="dxa"/>
            <w:tcBorders>
              <w:top w:val="single" w:sz="4" w:space="0" w:color="auto"/>
              <w:left w:val="single" w:sz="4" w:space="0" w:color="auto"/>
              <w:bottom w:val="single" w:sz="4" w:space="0" w:color="auto"/>
              <w:right w:val="single" w:sz="4" w:space="0" w:color="auto"/>
            </w:tcBorders>
            <w:vAlign w:val="center"/>
          </w:tcPr>
          <w:p w14:paraId="6AB578E9" w14:textId="77777777" w:rsidR="00F05E56" w:rsidRPr="00A74972" w:rsidRDefault="00F05E56" w:rsidP="005143E2">
            <w:pPr>
              <w:pStyle w:val="Tabletext"/>
              <w:keepNext/>
            </w:pPr>
            <w:r w:rsidRPr="00A74972">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EEC689F" w14:textId="77777777" w:rsidR="00F05E56" w:rsidRPr="00A74972" w:rsidRDefault="00F05E56" w:rsidP="005143E2">
            <w:pPr>
              <w:pStyle w:val="Tabletext"/>
              <w:keepNext/>
            </w:pPr>
            <w:r w:rsidRPr="00A74972">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5E767DC4" w14:textId="77777777" w:rsidR="00F05E56" w:rsidRPr="00A74972" w:rsidRDefault="00F05E56" w:rsidP="005143E2">
            <w:pPr>
              <w:pStyle w:val="Tabletext"/>
              <w:keepNext/>
            </w:pPr>
            <w:r w:rsidRPr="00A74972">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02C3B886" w14:textId="77777777" w:rsidR="00F05E56" w:rsidRPr="00A74972" w:rsidRDefault="00F05E56" w:rsidP="005143E2">
            <w:pPr>
              <w:pStyle w:val="Tabletext"/>
              <w:keepNext/>
            </w:pPr>
            <w:r w:rsidRPr="00A74972">
              <w:t>CEA/CUA</w:t>
            </w:r>
          </w:p>
        </w:tc>
      </w:tr>
      <w:tr w:rsidR="00A74972" w:rsidRPr="00A74972" w14:paraId="24BEC886" w14:textId="77777777" w:rsidTr="005143E2">
        <w:tc>
          <w:tcPr>
            <w:tcW w:w="2012" w:type="dxa"/>
            <w:tcBorders>
              <w:top w:val="single" w:sz="4" w:space="0" w:color="auto"/>
              <w:left w:val="single" w:sz="4" w:space="0" w:color="auto"/>
              <w:bottom w:val="single" w:sz="4" w:space="0" w:color="auto"/>
              <w:right w:val="single" w:sz="4" w:space="0" w:color="auto"/>
            </w:tcBorders>
            <w:vAlign w:val="center"/>
          </w:tcPr>
          <w:p w14:paraId="47C9FDB6" w14:textId="77777777" w:rsidR="00F05E56" w:rsidRPr="00A74972" w:rsidRDefault="00F05E56" w:rsidP="005143E2">
            <w:pPr>
              <w:pStyle w:val="Tabletext"/>
              <w:keepNext/>
            </w:pPr>
            <w:r w:rsidRPr="00A74972">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B1711A6" w14:textId="77777777" w:rsidR="00F05E56" w:rsidRPr="00A74972" w:rsidRDefault="00F05E56" w:rsidP="005143E2">
            <w:pPr>
              <w:pStyle w:val="Tabletext"/>
              <w:keepNext/>
            </w:pPr>
            <w:r w:rsidRPr="00A74972">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F0CE1AD" w14:textId="77777777" w:rsidR="00F05E56" w:rsidRPr="00A74972" w:rsidRDefault="00F05E56" w:rsidP="005143E2">
            <w:pPr>
              <w:pStyle w:val="Tabletext"/>
              <w:keepNext/>
            </w:pPr>
            <w:r w:rsidRPr="00A74972">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C3A718E" w14:textId="77777777" w:rsidR="00F05E56" w:rsidRPr="00A74972" w:rsidRDefault="00F05E56" w:rsidP="005143E2">
            <w:pPr>
              <w:pStyle w:val="Tabletext"/>
              <w:keepNext/>
            </w:pPr>
            <w:r w:rsidRPr="00A74972">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092327E9" w14:textId="77777777" w:rsidR="00F05E56" w:rsidRPr="00A74972" w:rsidRDefault="00F05E56" w:rsidP="005143E2">
            <w:pPr>
              <w:pStyle w:val="Tabletext"/>
              <w:keepNext/>
            </w:pPr>
            <w:r w:rsidRPr="00A74972">
              <w:t>CEA/CUA</w:t>
            </w:r>
          </w:p>
        </w:tc>
      </w:tr>
    </w:tbl>
    <w:p w14:paraId="461F7CF8" w14:textId="77777777" w:rsidR="00F05E56" w:rsidRPr="00A74972" w:rsidRDefault="00F05E56" w:rsidP="00F05E56">
      <w:pPr>
        <w:pStyle w:val="Tablenotes"/>
        <w:keepNext/>
        <w:spacing w:before="120"/>
        <w:rPr>
          <w:szCs w:val="18"/>
        </w:rPr>
      </w:pPr>
      <w:r w:rsidRPr="00A74972">
        <w:rPr>
          <w:szCs w:val="18"/>
        </w:rPr>
        <w:t>CEA=cost-effectiveness analysis; CMA=cost-minimisation analysis; CUA=cost-utility analysis</w:t>
      </w:r>
    </w:p>
    <w:p w14:paraId="410A0A17" w14:textId="77777777" w:rsidR="00F05E56" w:rsidRPr="00A74972" w:rsidRDefault="00F05E56" w:rsidP="00F05E56">
      <w:pPr>
        <w:pStyle w:val="Tablenotes"/>
        <w:keepNext/>
        <w:rPr>
          <w:b/>
          <w:szCs w:val="18"/>
        </w:rPr>
      </w:pPr>
      <w:r w:rsidRPr="00A74972">
        <w:rPr>
          <w:szCs w:val="18"/>
        </w:rPr>
        <w:t xml:space="preserve">? = reflect uncertainties and any identified health trade-offs in the economic evaluation, as a minimum in a cost-consequences analysis </w:t>
      </w:r>
    </w:p>
    <w:p w14:paraId="3931DF96" w14:textId="77777777" w:rsidR="00F05E56" w:rsidRPr="00A74972" w:rsidRDefault="00F05E56" w:rsidP="00F05E56">
      <w:pPr>
        <w:pStyle w:val="Tablenotes"/>
        <w:keepNext/>
        <w:rPr>
          <w:b/>
          <w:szCs w:val="18"/>
        </w:rPr>
      </w:pPr>
      <w:r w:rsidRPr="00A74972">
        <w:rPr>
          <w:szCs w:val="18"/>
          <w:vertAlign w:val="superscript"/>
        </w:rPr>
        <w:t>a</w:t>
      </w:r>
      <w:r w:rsidRPr="00A74972">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55493945" w14:textId="250577B7" w:rsidR="009E2B5B" w:rsidRDefault="00F05E56" w:rsidP="00F05E56">
      <w:pPr>
        <w:pStyle w:val="Tablenotes"/>
        <w:rPr>
          <w:szCs w:val="18"/>
        </w:rPr>
      </w:pPr>
      <w:r w:rsidRPr="00A74972">
        <w:rPr>
          <w:szCs w:val="18"/>
          <w:vertAlign w:val="superscript"/>
        </w:rPr>
        <w:t>b</w:t>
      </w:r>
      <w:r w:rsidRPr="00A74972">
        <w:rPr>
          <w:szCs w:val="18"/>
        </w:rPr>
        <w:t> An adequate assessment of ‘noninferiority’ is the preferred basis for demonstrating equivalence</w:t>
      </w:r>
    </w:p>
    <w:p w14:paraId="1A458FB4" w14:textId="77777777" w:rsidR="009E1509" w:rsidRDefault="009E1509" w:rsidP="00F05E56">
      <w:pPr>
        <w:pStyle w:val="Tablenotes"/>
        <w:rPr>
          <w:szCs w:val="18"/>
        </w:rPr>
      </w:pPr>
    </w:p>
    <w:p w14:paraId="687E1D1F" w14:textId="0287C021" w:rsidR="009E1509" w:rsidRPr="009E1509" w:rsidRDefault="009E1509" w:rsidP="008971A0">
      <w:pPr>
        <w:autoSpaceDE w:val="0"/>
        <w:autoSpaceDN w:val="0"/>
        <w:adjustRightInd w:val="0"/>
        <w:rPr>
          <w:rFonts w:asciiTheme="minorHAnsi" w:hAnsiTheme="minorHAnsi" w:cstheme="minorBidi"/>
          <w:i/>
          <w:iCs/>
        </w:rPr>
      </w:pPr>
      <w:r w:rsidRPr="009E1509">
        <w:rPr>
          <w:rFonts w:asciiTheme="minorHAnsi" w:hAnsiTheme="minorHAnsi" w:cstheme="minorBidi"/>
          <w:i/>
          <w:iCs/>
        </w:rPr>
        <w:t xml:space="preserve">PASC confirmed that a cost-minimisation analysis would be an acceptable approach based on the applicant's clinical claim of non-inferiority. As the uptake rate of zolbetuximab in patients whose tumours were CLDN18.2+ may be initially low, it is important to consider redundancy of CLDN18.2 testing (i.e. intention is to use a treatment other than zolbetuximab irrespective of test outcome) in the economic analysis and costing. </w:t>
      </w:r>
    </w:p>
    <w:p w14:paraId="1E8AFE5F" w14:textId="4930215A" w:rsidR="009E1509" w:rsidRDefault="009E1509" w:rsidP="008971A0">
      <w:pPr>
        <w:pStyle w:val="Tablenotes"/>
        <w:spacing w:line="276" w:lineRule="auto"/>
        <w:rPr>
          <w:rFonts w:asciiTheme="minorHAnsi" w:hAnsiTheme="minorHAnsi" w:cstheme="minorBidi"/>
          <w:i/>
          <w:iCs/>
          <w:sz w:val="22"/>
        </w:rPr>
      </w:pPr>
      <w:r w:rsidRPr="009E1509">
        <w:rPr>
          <w:rFonts w:asciiTheme="minorHAnsi" w:hAnsiTheme="minorHAnsi" w:cstheme="minorBidi"/>
          <w:i/>
          <w:iCs/>
          <w:sz w:val="22"/>
        </w:rPr>
        <w:t>PASC considered that the clinical claim should more accurately be CLDN18.2 test plus zolbetuximab (in combination with chemotherapy) is noninferior compared to no testing plus nivolumab (in combination with chemotherapy).</w:t>
      </w:r>
    </w:p>
    <w:p w14:paraId="4C8ED374" w14:textId="54C09D25" w:rsidR="00F05E56" w:rsidRPr="00A74972" w:rsidRDefault="00F05E56" w:rsidP="00F05E56">
      <w:pPr>
        <w:pStyle w:val="Heading2"/>
        <w:rPr>
          <w:color w:val="auto"/>
        </w:rPr>
      </w:pPr>
      <w:r w:rsidRPr="00A74972">
        <w:rPr>
          <w:color w:val="auto"/>
        </w:rPr>
        <w:t>Proposal for public funding</w:t>
      </w:r>
    </w:p>
    <w:p w14:paraId="303BA70F" w14:textId="668262A2" w:rsidR="00F05E56" w:rsidRPr="00A74972" w:rsidRDefault="00F05E56" w:rsidP="00F05E56">
      <w:r w:rsidRPr="00A74972">
        <w:t xml:space="preserve">Currently there is no existing MBS item for CLDN18.2 testing. The applicant proposed a new MBS item for the </w:t>
      </w:r>
      <w:r w:rsidR="44321B9C">
        <w:t>CLDN18.2 assay</w:t>
      </w:r>
      <w:r>
        <w:t>.</w:t>
      </w:r>
      <w:r w:rsidRPr="00A74972">
        <w:t xml:space="preserve"> The proposed item descriptor in the application</w:t>
      </w:r>
      <w:r w:rsidR="00606001" w:rsidRPr="00A74972">
        <w:t xml:space="preserve"> is presented in </w:t>
      </w:r>
      <w:r w:rsidR="008C1D18" w:rsidRPr="00A74972">
        <w:fldChar w:fldCharType="begin"/>
      </w:r>
      <w:r w:rsidR="008C1D18" w:rsidRPr="00A74972">
        <w:instrText xml:space="preserve"> REF _Ref161906161 \h </w:instrText>
      </w:r>
      <w:r w:rsidR="008C1D18" w:rsidRPr="00A74972">
        <w:fldChar w:fldCharType="separate"/>
      </w:r>
      <w:r w:rsidR="000E3330" w:rsidRPr="00A74972">
        <w:t xml:space="preserve">Table </w:t>
      </w:r>
      <w:r w:rsidR="000E3330">
        <w:rPr>
          <w:noProof/>
        </w:rPr>
        <w:t>5</w:t>
      </w:r>
      <w:r w:rsidR="008C1D18" w:rsidRPr="00A74972">
        <w:fldChar w:fldCharType="end"/>
      </w:r>
      <w:r w:rsidR="00606001" w:rsidRPr="00A74972">
        <w:t>.</w:t>
      </w:r>
      <w:r w:rsidRPr="00A74972">
        <w:t xml:space="preserve"> During the PICO </w:t>
      </w:r>
      <w:r w:rsidR="00E87FDD">
        <w:t>development</w:t>
      </w:r>
      <w:r w:rsidRPr="00A74972">
        <w:t xml:space="preserve"> process the applicant</w:t>
      </w:r>
      <w:r w:rsidR="00E669AC">
        <w:t xml:space="preserve"> provided several </w:t>
      </w:r>
      <w:r w:rsidR="20856BD4">
        <w:t xml:space="preserve">different </w:t>
      </w:r>
      <w:r w:rsidR="00E669AC">
        <w:t xml:space="preserve">MBS item descriptors. </w:t>
      </w:r>
      <w:r w:rsidR="00E669AC" w:rsidRPr="00A74972">
        <w:t xml:space="preserve">The latest item descriptors provided by the applicant </w:t>
      </w:r>
      <w:r w:rsidR="000F3FC5">
        <w:t>in their pre-PASC response</w:t>
      </w:r>
      <w:r w:rsidR="00E87FDD">
        <w:t xml:space="preserve"> </w:t>
      </w:r>
      <w:r w:rsidR="000F3FC5">
        <w:t xml:space="preserve">are </w:t>
      </w:r>
      <w:r w:rsidR="00E87FDD">
        <w:t xml:space="preserve">presented in </w:t>
      </w:r>
      <w:r w:rsidR="00E5507B">
        <w:fldChar w:fldCharType="begin"/>
      </w:r>
      <w:r w:rsidR="00E5507B">
        <w:instrText xml:space="preserve"> REF _Ref161906500 \h </w:instrText>
      </w:r>
      <w:r w:rsidR="00E5507B">
        <w:fldChar w:fldCharType="separate"/>
      </w:r>
      <w:r w:rsidR="00E5507B" w:rsidRPr="00A74972">
        <w:t xml:space="preserve">Table </w:t>
      </w:r>
      <w:r w:rsidR="00E5507B">
        <w:rPr>
          <w:noProof/>
        </w:rPr>
        <w:t>6</w:t>
      </w:r>
      <w:r w:rsidR="00E5507B">
        <w:fldChar w:fldCharType="end"/>
      </w:r>
      <w:r w:rsidR="00E87FDD" w:rsidRPr="00A74972">
        <w:t xml:space="preserve"> and </w:t>
      </w:r>
      <w:r w:rsidR="00E5507B">
        <w:fldChar w:fldCharType="begin"/>
      </w:r>
      <w:r w:rsidR="00E5507B">
        <w:instrText xml:space="preserve"> REF _Ref161906509 \h </w:instrText>
      </w:r>
      <w:r w:rsidR="00E5507B">
        <w:fldChar w:fldCharType="separate"/>
      </w:r>
      <w:r w:rsidR="00E5507B" w:rsidRPr="00A74972">
        <w:t xml:space="preserve">Table </w:t>
      </w:r>
      <w:r w:rsidR="00E5507B">
        <w:rPr>
          <w:noProof/>
        </w:rPr>
        <w:t>7</w:t>
      </w:r>
      <w:r w:rsidR="00E5507B">
        <w:fldChar w:fldCharType="end"/>
      </w:r>
      <w:r w:rsidR="00E669AC" w:rsidRPr="00A74972">
        <w:t>.</w:t>
      </w:r>
    </w:p>
    <w:p w14:paraId="1021A23A" w14:textId="13E8F20F" w:rsidR="00D07D5F" w:rsidRPr="00A74972" w:rsidRDefault="00E669AC" w:rsidP="00D07D5F">
      <w:r>
        <w:t>None of the</w:t>
      </w:r>
      <w:r w:rsidRPr="00A74972">
        <w:t xml:space="preserve"> </w:t>
      </w:r>
      <w:r w:rsidR="00D07D5F" w:rsidRPr="00A74972">
        <w:t xml:space="preserve">proposed MBS item descriptors specify which antibody and testing platform(s) can be used. In addition, the alternative MBS item descriptors </w:t>
      </w:r>
      <w:r w:rsidR="0CD9F405">
        <w:t xml:space="preserve">suggested </w:t>
      </w:r>
      <w:r w:rsidR="00D07D5F" w:rsidRPr="00A74972">
        <w:t>by the applicant</w:t>
      </w:r>
      <w:r>
        <w:t xml:space="preserve"> (</w:t>
      </w:r>
      <w:r>
        <w:fldChar w:fldCharType="begin"/>
      </w:r>
      <w:r>
        <w:instrText xml:space="preserve"> REF _Ref161906500 \h </w:instrText>
      </w:r>
      <w:r>
        <w:fldChar w:fldCharType="separate"/>
      </w:r>
      <w:r w:rsidR="00E5507B" w:rsidRPr="00A74972">
        <w:t xml:space="preserve">Table </w:t>
      </w:r>
      <w:r w:rsidR="00E5507B">
        <w:rPr>
          <w:noProof/>
        </w:rPr>
        <w:t>6</w:t>
      </w:r>
      <w:r>
        <w:fldChar w:fldCharType="end"/>
      </w:r>
      <w:r>
        <w:t xml:space="preserve">, </w:t>
      </w:r>
      <w:r>
        <w:fldChar w:fldCharType="begin"/>
      </w:r>
      <w:r>
        <w:instrText xml:space="preserve"> REF _Ref161906509 \h </w:instrText>
      </w:r>
      <w:r>
        <w:fldChar w:fldCharType="separate"/>
      </w:r>
      <w:r w:rsidR="00E5507B" w:rsidRPr="00A74972">
        <w:t xml:space="preserve">Table </w:t>
      </w:r>
      <w:r w:rsidR="00E5507B">
        <w:rPr>
          <w:noProof/>
        </w:rPr>
        <w:t>7</w:t>
      </w:r>
      <w:r>
        <w:fldChar w:fldCharType="end"/>
      </w:r>
      <w:r>
        <w:t>)</w:t>
      </w:r>
      <w:r w:rsidR="00D07D5F" w:rsidRPr="00A74972">
        <w:t xml:space="preserve"> do not specify threshold values to define CLDN18.2 positivity; this may lead to inconsistent thresholds in Australian practice (discussed in ‘Intervention’ above). This also suggests that the testing is not restricted to the use of the Ventana® platform.</w:t>
      </w:r>
    </w:p>
    <w:p w14:paraId="666071FA" w14:textId="77777777" w:rsidR="00165292" w:rsidRDefault="00165292">
      <w:pPr>
        <w:spacing w:after="160" w:line="259" w:lineRule="auto"/>
      </w:pPr>
      <w:r>
        <w:br w:type="page"/>
      </w:r>
    </w:p>
    <w:p w14:paraId="7B5CE4A0" w14:textId="64889246" w:rsidR="008E0BEE" w:rsidRPr="00A74972" w:rsidRDefault="00870533" w:rsidP="00D646F0">
      <w:r w:rsidRPr="00A74972">
        <w:lastRenderedPageBreak/>
        <w:t>The following issues</w:t>
      </w:r>
      <w:r w:rsidR="00D7623A" w:rsidRPr="00A74972">
        <w:t xml:space="preserve"> were i</w:t>
      </w:r>
      <w:r w:rsidR="0039726C" w:rsidRPr="00A74972">
        <w:t xml:space="preserve">dentified </w:t>
      </w:r>
      <w:r w:rsidR="00111075" w:rsidRPr="00A74972">
        <w:t>with the</w:t>
      </w:r>
      <w:r w:rsidR="008219D9" w:rsidRPr="00A74972">
        <w:t xml:space="preserve"> </w:t>
      </w:r>
      <w:r w:rsidR="00BD62E3">
        <w:t>latest</w:t>
      </w:r>
      <w:r w:rsidR="00BD62E3" w:rsidRPr="00A74972">
        <w:t xml:space="preserve"> </w:t>
      </w:r>
      <w:r w:rsidR="008219D9" w:rsidRPr="00A74972">
        <w:t>item</w:t>
      </w:r>
      <w:r w:rsidR="00F2200D" w:rsidRPr="00A74972">
        <w:t xml:space="preserve"> </w:t>
      </w:r>
      <w:r w:rsidR="007E1654" w:rsidRPr="00A74972">
        <w:t>descriptors</w:t>
      </w:r>
      <w:r w:rsidR="00BD62E3">
        <w:t xml:space="preserve"> (</w:t>
      </w:r>
      <w:r w:rsidR="00BD62E3">
        <w:fldChar w:fldCharType="begin"/>
      </w:r>
      <w:r w:rsidR="00BD62E3">
        <w:instrText xml:space="preserve"> REF _Ref161906500 \h </w:instrText>
      </w:r>
      <w:r w:rsidR="00BD62E3">
        <w:fldChar w:fldCharType="separate"/>
      </w:r>
      <w:r w:rsidR="00786475" w:rsidRPr="00A74972">
        <w:t xml:space="preserve">Table </w:t>
      </w:r>
      <w:r w:rsidR="00786475">
        <w:rPr>
          <w:noProof/>
        </w:rPr>
        <w:t>6</w:t>
      </w:r>
      <w:r w:rsidR="00BD62E3">
        <w:fldChar w:fldCharType="end"/>
      </w:r>
      <w:r w:rsidR="00BD62E3">
        <w:t xml:space="preserve"> and </w:t>
      </w:r>
      <w:r w:rsidR="00BD62E3">
        <w:fldChar w:fldCharType="begin"/>
      </w:r>
      <w:r w:rsidR="00BD62E3">
        <w:instrText xml:space="preserve"> REF _Ref161906509 \h </w:instrText>
      </w:r>
      <w:r w:rsidR="00BD62E3">
        <w:fldChar w:fldCharType="separate"/>
      </w:r>
      <w:r w:rsidR="00786475" w:rsidRPr="00A74972">
        <w:t xml:space="preserve">Table </w:t>
      </w:r>
      <w:r w:rsidR="00786475">
        <w:rPr>
          <w:noProof/>
        </w:rPr>
        <w:t>7</w:t>
      </w:r>
      <w:r w:rsidR="00BD62E3">
        <w:fldChar w:fldCharType="end"/>
      </w:r>
      <w:r w:rsidR="00BD62E3">
        <w:t>)</w:t>
      </w:r>
      <w:r w:rsidR="007E1654" w:rsidRPr="00A74972">
        <w:t>:</w:t>
      </w:r>
    </w:p>
    <w:p w14:paraId="78DE0EC0" w14:textId="6D90B927" w:rsidR="008E0BEE" w:rsidRPr="00A74972" w:rsidRDefault="00D86019" w:rsidP="00E227DB">
      <w:pPr>
        <w:pStyle w:val="ListParagraph"/>
        <w:numPr>
          <w:ilvl w:val="0"/>
          <w:numId w:val="11"/>
        </w:numPr>
      </w:pPr>
      <w:r w:rsidRPr="00A74972">
        <w:t>While Option 1</w:t>
      </w:r>
      <w:r w:rsidR="00BD62E3">
        <w:t xml:space="preserve"> (</w:t>
      </w:r>
      <w:r w:rsidR="00BD62E3">
        <w:fldChar w:fldCharType="begin"/>
      </w:r>
      <w:r w:rsidR="00BD62E3">
        <w:instrText xml:space="preserve"> REF _Ref161906500 \h </w:instrText>
      </w:r>
      <w:r w:rsidR="00BD62E3">
        <w:fldChar w:fldCharType="separate"/>
      </w:r>
      <w:r w:rsidR="000E3330" w:rsidRPr="00A74972">
        <w:t xml:space="preserve">Table </w:t>
      </w:r>
      <w:r w:rsidR="000E3330">
        <w:rPr>
          <w:noProof/>
        </w:rPr>
        <w:t>6</w:t>
      </w:r>
      <w:r w:rsidR="00BD62E3">
        <w:fldChar w:fldCharType="end"/>
      </w:r>
      <w:r w:rsidR="00BD62E3">
        <w:t>)</w:t>
      </w:r>
      <w:r w:rsidRPr="00A74972">
        <w:t xml:space="preserve"> </w:t>
      </w:r>
      <w:r w:rsidR="000649E6" w:rsidRPr="00A74972">
        <w:t xml:space="preserve">outlined the purpose of testing </w:t>
      </w:r>
      <w:r w:rsidR="005B33D0" w:rsidRPr="00A74972">
        <w:t>as</w:t>
      </w:r>
      <w:r w:rsidR="000649E6" w:rsidRPr="00A74972">
        <w:t xml:space="preserve"> access to </w:t>
      </w:r>
      <w:r w:rsidR="00AA0062" w:rsidRPr="00A74972">
        <w:t>zolbetuximab under PBS, the Option 2</w:t>
      </w:r>
      <w:r w:rsidR="00BD62E3">
        <w:t xml:space="preserve"> (</w:t>
      </w:r>
      <w:r w:rsidR="00BD62E3">
        <w:fldChar w:fldCharType="begin"/>
      </w:r>
      <w:r w:rsidR="00BD62E3">
        <w:instrText xml:space="preserve"> REF _Ref161906509 \h </w:instrText>
      </w:r>
      <w:r w:rsidR="00BD62E3">
        <w:fldChar w:fldCharType="separate"/>
      </w:r>
      <w:r w:rsidR="001D5CC2" w:rsidRPr="00A74972">
        <w:t xml:space="preserve">Table </w:t>
      </w:r>
      <w:r w:rsidR="001D5CC2">
        <w:rPr>
          <w:noProof/>
        </w:rPr>
        <w:t>7</w:t>
      </w:r>
      <w:r w:rsidR="00BD62E3">
        <w:fldChar w:fldCharType="end"/>
      </w:r>
      <w:r w:rsidR="00BD62E3">
        <w:t>)</w:t>
      </w:r>
      <w:r w:rsidR="00AA0062" w:rsidRPr="00A74972">
        <w:t xml:space="preserve"> </w:t>
      </w:r>
      <w:r w:rsidR="00A13F52" w:rsidRPr="00A74972">
        <w:t xml:space="preserve">outlined </w:t>
      </w:r>
      <w:r w:rsidR="007E12F2" w:rsidRPr="00A74972">
        <w:t xml:space="preserve">a </w:t>
      </w:r>
      <w:r w:rsidR="0033465B" w:rsidRPr="00A74972">
        <w:t xml:space="preserve">more generic purpose </w:t>
      </w:r>
      <w:r w:rsidR="0044772E">
        <w:t>(</w:t>
      </w:r>
      <w:r w:rsidR="009D4434" w:rsidRPr="00A74972">
        <w:t xml:space="preserve">i.e. access </w:t>
      </w:r>
      <w:r w:rsidR="00393B80" w:rsidRPr="00A74972">
        <w:t xml:space="preserve">to </w:t>
      </w:r>
      <w:r w:rsidR="002147E1" w:rsidRPr="00A74972">
        <w:t>treatment</w:t>
      </w:r>
      <w:r w:rsidR="008944B6" w:rsidRPr="00A74972">
        <w:t>s under PBS</w:t>
      </w:r>
      <w:r w:rsidR="0044772E">
        <w:t>) and</w:t>
      </w:r>
      <w:r w:rsidR="009360D5" w:rsidRPr="00A74972">
        <w:t xml:space="preserve"> remov</w:t>
      </w:r>
      <w:r w:rsidR="0044772E">
        <w:t>ed</w:t>
      </w:r>
      <w:r w:rsidR="009360D5" w:rsidRPr="00A74972">
        <w:t xml:space="preserve"> the reference to zolbetuximab</w:t>
      </w:r>
      <w:r w:rsidR="00792734" w:rsidRPr="00A74972">
        <w:t xml:space="preserve">. </w:t>
      </w:r>
    </w:p>
    <w:p w14:paraId="18E6E870" w14:textId="7779EDC7" w:rsidR="00D86019" w:rsidRPr="00A74972" w:rsidRDefault="00AC0281" w:rsidP="00E227DB">
      <w:pPr>
        <w:pStyle w:val="ListParagraph"/>
        <w:numPr>
          <w:ilvl w:val="0"/>
          <w:numId w:val="11"/>
        </w:numPr>
      </w:pPr>
      <w:r w:rsidRPr="00A74972">
        <w:t xml:space="preserve">The two options </w:t>
      </w:r>
      <w:r w:rsidR="002E3BAD" w:rsidRPr="00A74972">
        <w:t>removed the word ‘gastric’ f</w:t>
      </w:r>
      <w:r w:rsidR="008A6F65" w:rsidRPr="00A74972">
        <w:t>rom</w:t>
      </w:r>
      <w:r w:rsidR="002E3BAD" w:rsidRPr="00A74972">
        <w:t xml:space="preserve"> the item descriptors and narrowed down the testing</w:t>
      </w:r>
      <w:r w:rsidR="00E632C6" w:rsidRPr="00A74972">
        <w:t xml:space="preserve"> </w:t>
      </w:r>
      <w:r w:rsidR="002E3BAD" w:rsidRPr="00A74972">
        <w:t>population</w:t>
      </w:r>
      <w:r w:rsidR="00E632C6" w:rsidRPr="00A74972">
        <w:t xml:space="preserve"> to </w:t>
      </w:r>
      <w:r w:rsidR="00247A40" w:rsidRPr="00A74972">
        <w:t>only</w:t>
      </w:r>
      <w:r w:rsidR="00435578" w:rsidRPr="00A74972">
        <w:t xml:space="preserve"> </w:t>
      </w:r>
      <w:r w:rsidR="00C448CC" w:rsidRPr="00A74972">
        <w:t xml:space="preserve">those </w:t>
      </w:r>
      <w:r w:rsidR="0045426F" w:rsidRPr="00A74972">
        <w:t>patients</w:t>
      </w:r>
      <w:r w:rsidR="005F05D3" w:rsidRPr="00A74972">
        <w:t xml:space="preserve"> diagnosed with </w:t>
      </w:r>
      <w:r w:rsidR="00B0469E" w:rsidRPr="00A74972">
        <w:t xml:space="preserve">locally advanced unresectable or metastatic </w:t>
      </w:r>
      <w:r w:rsidR="00435578" w:rsidRPr="00A74972">
        <w:t>GOJ adenocarcinoma.</w:t>
      </w:r>
    </w:p>
    <w:p w14:paraId="2299B7DA" w14:textId="0A2F8994" w:rsidR="007E393E" w:rsidRPr="00A74972" w:rsidRDefault="00C72D3D" w:rsidP="00E227DB">
      <w:pPr>
        <w:pStyle w:val="ListParagraph"/>
        <w:numPr>
          <w:ilvl w:val="0"/>
          <w:numId w:val="11"/>
        </w:numPr>
      </w:pPr>
      <w:r w:rsidRPr="00A74972">
        <w:t xml:space="preserve">Both the options removed the word ‘HER2 negative’ from the </w:t>
      </w:r>
      <w:r w:rsidR="00EE65CB" w:rsidRPr="00A74972">
        <w:t xml:space="preserve">item </w:t>
      </w:r>
      <w:r w:rsidRPr="00A74972">
        <w:t xml:space="preserve">descriptors. </w:t>
      </w:r>
      <w:r w:rsidR="00CD2E5A" w:rsidRPr="00A74972">
        <w:t xml:space="preserve">This suggests CLDN18.2 testing </w:t>
      </w:r>
      <w:r w:rsidR="00281208" w:rsidRPr="00A74972">
        <w:t>will be</w:t>
      </w:r>
      <w:r w:rsidR="00CD2E5A" w:rsidRPr="00A74972">
        <w:t xml:space="preserve"> done </w:t>
      </w:r>
      <w:r w:rsidR="00645EBF" w:rsidRPr="00A74972">
        <w:t xml:space="preserve">in all patients with locally advanced unresectable or metastatic </w:t>
      </w:r>
      <w:r w:rsidR="00BD62E3">
        <w:t>GOJ</w:t>
      </w:r>
      <w:r w:rsidR="00645EBF" w:rsidRPr="00A74972">
        <w:t xml:space="preserve"> adenocarcinoma </w:t>
      </w:r>
      <w:r w:rsidR="00A45C32" w:rsidRPr="00A74972">
        <w:t>irrespective of HER2 status.</w:t>
      </w:r>
      <w:r w:rsidR="00F53148" w:rsidRPr="00A74972">
        <w:t xml:space="preserve"> </w:t>
      </w:r>
      <w:r w:rsidR="00281208" w:rsidRPr="00A74972">
        <w:t>It a</w:t>
      </w:r>
      <w:r w:rsidR="00F53148" w:rsidRPr="00A74972">
        <w:t xml:space="preserve">lso suggests </w:t>
      </w:r>
      <w:r w:rsidR="00281208" w:rsidRPr="00A74972">
        <w:t xml:space="preserve">that </w:t>
      </w:r>
      <w:r w:rsidR="00F53148" w:rsidRPr="00A74972">
        <w:t>CLDN18.2 testing is done in paralle</w:t>
      </w:r>
      <w:r w:rsidR="005B2438" w:rsidRPr="00A74972">
        <w:t>l to HER2 testing</w:t>
      </w:r>
      <w:r w:rsidR="00210DEA" w:rsidRPr="00A74972">
        <w:t xml:space="preserve"> instead of </w:t>
      </w:r>
      <w:r w:rsidR="00FE5EDA" w:rsidRPr="00A74972">
        <w:t xml:space="preserve">being </w:t>
      </w:r>
      <w:r w:rsidR="00210DEA" w:rsidRPr="00A74972">
        <w:t xml:space="preserve">sequential </w:t>
      </w:r>
      <w:r w:rsidR="00363698" w:rsidRPr="00A74972">
        <w:t>testing</w:t>
      </w:r>
      <w:r w:rsidR="00210DEA" w:rsidRPr="00A74972">
        <w:t xml:space="preserve"> (i.e., </w:t>
      </w:r>
      <w:r w:rsidR="00363698" w:rsidRPr="00A74972">
        <w:t xml:space="preserve">HER2 testing followed by CLDN18.2 </w:t>
      </w:r>
      <w:r w:rsidR="00FE5EDA" w:rsidRPr="00A74972">
        <w:t>testing</w:t>
      </w:r>
      <w:r w:rsidR="00363698" w:rsidRPr="00A74972">
        <w:t>)</w:t>
      </w:r>
      <w:r w:rsidR="005B2438" w:rsidRPr="00A74972">
        <w:t xml:space="preserve">. </w:t>
      </w:r>
      <w:r w:rsidR="005E1443" w:rsidRPr="00A74972">
        <w:t xml:space="preserve">Considering </w:t>
      </w:r>
      <w:r w:rsidR="006E0FA0" w:rsidRPr="00A74972">
        <w:t xml:space="preserve">patients with </w:t>
      </w:r>
      <w:r w:rsidR="00706570" w:rsidRPr="00A74972">
        <w:t>GC are also tested, t</w:t>
      </w:r>
      <w:r w:rsidR="005B2438" w:rsidRPr="00A74972">
        <w:t>h</w:t>
      </w:r>
      <w:r w:rsidR="00360293" w:rsidRPr="00A74972">
        <w:t xml:space="preserve">is </w:t>
      </w:r>
      <w:r w:rsidR="007E3EE6" w:rsidRPr="00A74972">
        <w:t xml:space="preserve">will increase the need </w:t>
      </w:r>
      <w:r w:rsidR="00980829" w:rsidRPr="00A74972">
        <w:t xml:space="preserve">for testing which </w:t>
      </w:r>
      <w:r w:rsidR="00390A01" w:rsidRPr="00A74972">
        <w:t>will impact the applicant’s cost-minimisation approach.</w:t>
      </w:r>
    </w:p>
    <w:p w14:paraId="4EE647F9" w14:textId="575A468F" w:rsidR="00EA0ED8" w:rsidRPr="00A74972" w:rsidRDefault="00706570" w:rsidP="00E227DB">
      <w:pPr>
        <w:pStyle w:val="ListParagraph"/>
        <w:numPr>
          <w:ilvl w:val="0"/>
          <w:numId w:val="7"/>
        </w:numPr>
      </w:pPr>
      <w:r w:rsidRPr="00A74972">
        <w:t xml:space="preserve">Both the options changed the </w:t>
      </w:r>
      <w:r w:rsidR="00A31EA6" w:rsidRPr="00A74972">
        <w:t xml:space="preserve">wording from </w:t>
      </w:r>
      <w:r w:rsidR="002D23A5" w:rsidRPr="00A74972">
        <w:t>‘</w:t>
      </w:r>
      <w:r w:rsidR="00A31EA6" w:rsidRPr="00A74972">
        <w:t>tumour tissue</w:t>
      </w:r>
      <w:r w:rsidR="002D23A5" w:rsidRPr="00A74972">
        <w:t>’</w:t>
      </w:r>
      <w:r w:rsidR="00A31EA6" w:rsidRPr="00A74972">
        <w:t xml:space="preserve"> to </w:t>
      </w:r>
      <w:r w:rsidR="002D23A5" w:rsidRPr="00A74972">
        <w:t xml:space="preserve">‘biopsy material’. </w:t>
      </w:r>
      <w:r w:rsidR="008115F6" w:rsidRPr="00A74972">
        <w:t>The rational</w:t>
      </w:r>
      <w:r w:rsidR="00D47EB4" w:rsidRPr="00A74972">
        <w:t>e behind this change is unclear</w:t>
      </w:r>
      <w:r w:rsidR="00D2207E" w:rsidRPr="00A74972">
        <w:t>.</w:t>
      </w:r>
      <w:r w:rsidR="00EA0ED8" w:rsidRPr="00A74972">
        <w:t xml:space="preserve"> </w:t>
      </w:r>
    </w:p>
    <w:p w14:paraId="1F65DC9F" w14:textId="378C45D3" w:rsidR="00902998" w:rsidRPr="00A74972" w:rsidRDefault="000907EC" w:rsidP="00E227DB">
      <w:pPr>
        <w:pStyle w:val="ListParagraph"/>
        <w:numPr>
          <w:ilvl w:val="0"/>
          <w:numId w:val="7"/>
        </w:numPr>
      </w:pPr>
      <w:r w:rsidRPr="00A74972">
        <w:t>Both option</w:t>
      </w:r>
      <w:r w:rsidR="00D2428E" w:rsidRPr="00A74972">
        <w:t>s</w:t>
      </w:r>
      <w:r w:rsidRPr="00A74972">
        <w:t xml:space="preserve"> refer to </w:t>
      </w:r>
      <w:r w:rsidR="001F60D7" w:rsidRPr="00A74972">
        <w:t xml:space="preserve">CLDN18 expression </w:t>
      </w:r>
      <w:r w:rsidR="00D2428E" w:rsidRPr="00A74972">
        <w:t xml:space="preserve">rather than </w:t>
      </w:r>
      <w:r w:rsidR="00EA0ED8" w:rsidRPr="00A74972">
        <w:t xml:space="preserve">‘positive’ </w:t>
      </w:r>
      <w:r w:rsidR="003168A3">
        <w:t>and/or a threshold to define positivity</w:t>
      </w:r>
      <w:r w:rsidR="00EA0ED8" w:rsidRPr="00A74972">
        <w:t>.</w:t>
      </w:r>
      <w:r w:rsidR="003168A3" w:rsidRPr="003168A3">
        <w:rPr>
          <w:rFonts w:asciiTheme="minorHAnsi" w:hAnsiTheme="minorHAnsi" w:cstheme="minorBidi"/>
          <w:i/>
          <w:iCs/>
        </w:rPr>
        <w:t xml:space="preserve"> </w:t>
      </w:r>
    </w:p>
    <w:p w14:paraId="65B94C7A" w14:textId="3B63F5DC" w:rsidR="00F05E56" w:rsidRPr="00A74972" w:rsidRDefault="005C3B5F" w:rsidP="00F05E56">
      <w:r>
        <w:t xml:space="preserve">The </w:t>
      </w:r>
      <w:r w:rsidR="003168A3">
        <w:t xml:space="preserve">latest </w:t>
      </w:r>
      <w:r>
        <w:t>item descriptors provided by the applicant (</w:t>
      </w:r>
      <w:r w:rsidR="00F31E96">
        <w:fldChar w:fldCharType="begin"/>
      </w:r>
      <w:r w:rsidR="00F31E96">
        <w:instrText xml:space="preserve"> REF _Ref161906500 \h </w:instrText>
      </w:r>
      <w:r w:rsidR="00F31E96">
        <w:fldChar w:fldCharType="separate"/>
      </w:r>
      <w:r w:rsidR="00F31E96" w:rsidRPr="00A74972">
        <w:t xml:space="preserve">Table </w:t>
      </w:r>
      <w:r w:rsidR="00F31E96">
        <w:rPr>
          <w:noProof/>
        </w:rPr>
        <w:t>6</w:t>
      </w:r>
      <w:r w:rsidR="00F31E96">
        <w:fldChar w:fldCharType="end"/>
      </w:r>
      <w:r>
        <w:t xml:space="preserve"> and </w:t>
      </w:r>
      <w:r w:rsidR="00F31E96">
        <w:fldChar w:fldCharType="begin"/>
      </w:r>
      <w:r w:rsidR="00F31E96">
        <w:instrText xml:space="preserve"> REF _Ref161906509 \h </w:instrText>
      </w:r>
      <w:r w:rsidR="00F31E96">
        <w:fldChar w:fldCharType="separate"/>
      </w:r>
      <w:r w:rsidR="00F31E96" w:rsidRPr="00A74972">
        <w:t xml:space="preserve">Table </w:t>
      </w:r>
      <w:r w:rsidR="00F31E96">
        <w:rPr>
          <w:noProof/>
        </w:rPr>
        <w:t>7</w:t>
      </w:r>
      <w:r w:rsidR="00F31E96">
        <w:fldChar w:fldCharType="end"/>
      </w:r>
      <w:r>
        <w:t xml:space="preserve"> )</w:t>
      </w:r>
      <w:r w:rsidR="0076782B">
        <w:t xml:space="preserve"> </w:t>
      </w:r>
      <w:r>
        <w:t>proposed to remove the ‘Applicable only once per lifetime’ and ‘The service is requested by an oncologist’ from the item descriptors.</w:t>
      </w:r>
      <w:r w:rsidR="002D7249">
        <w:t xml:space="preserve"> </w:t>
      </w:r>
      <w:r w:rsidR="00F05E56" w:rsidRPr="00A74972">
        <w:t>A certified pathologist would be responsible for conducting the testing and reporting of results. It is proposed that CLDN18.2 testing be eligible to be carried out in any pathology laboratory holding the appropriate accreditation to claim pathology services through the MBS.</w:t>
      </w:r>
    </w:p>
    <w:p w14:paraId="10B7CEB9" w14:textId="04DBCC9F" w:rsidR="00F05E56" w:rsidRPr="00A74972" w:rsidRDefault="00F05E56" w:rsidP="00F05E56">
      <w:pPr>
        <w:rPr>
          <w:rFonts w:cs="Calibri"/>
        </w:rPr>
      </w:pPr>
      <w:r w:rsidRPr="00A74972">
        <w:t xml:space="preserve">The proposed fee for the test was </w:t>
      </w:r>
      <w:r w:rsidR="003B0141">
        <w:t xml:space="preserve">estimated </w:t>
      </w:r>
      <w:r w:rsidR="001D3D29">
        <w:t xml:space="preserve">to be </w:t>
      </w:r>
      <w:r w:rsidRPr="00A74972">
        <w:t>$550.00</w:t>
      </w:r>
      <w:r w:rsidR="00A15E17">
        <w:t xml:space="preserve"> by the applicant</w:t>
      </w:r>
      <w:r>
        <w:t>.</w:t>
      </w:r>
      <w:r w:rsidRPr="00A74972">
        <w:t xml:space="preserve"> During the pre-PASC teleconference, the applicant acknowledged that the price was high</w:t>
      </w:r>
      <w:r w:rsidR="00C27DAC" w:rsidRPr="00A74972">
        <w:t xml:space="preserve">, </w:t>
      </w:r>
      <w:r w:rsidR="004B37DE" w:rsidRPr="00A74972">
        <w:t xml:space="preserve">and </w:t>
      </w:r>
      <w:r w:rsidR="00C27DAC" w:rsidRPr="00A74972">
        <w:t>may need further consideration</w:t>
      </w:r>
      <w:r w:rsidRPr="00A74972">
        <w:t xml:space="preserve">. </w:t>
      </w:r>
      <w:r w:rsidR="00FB22AD" w:rsidRPr="00A74972">
        <w:t xml:space="preserve">The applicant indicated that the price would not be as low as $74.50 (current IHC fee, MBS Item 72848) but not as high as $550 (the current proposed fee). </w:t>
      </w:r>
      <w:r w:rsidRPr="00A74972">
        <w:t xml:space="preserve">The applicant is still working on determining the price and </w:t>
      </w:r>
      <w:r w:rsidR="0060642C" w:rsidRPr="00A74972">
        <w:t xml:space="preserve">is conducting a </w:t>
      </w:r>
      <w:r w:rsidRPr="00A74972">
        <w:t xml:space="preserve">bottom-up desk-based analysis to determine the price. </w:t>
      </w:r>
      <w:r w:rsidR="0060642C" w:rsidRPr="00A74972">
        <w:t xml:space="preserve">During the pre-PASC teleconference, it was clarified that the process for running the CLDN18.2 test is </w:t>
      </w:r>
      <w:bookmarkStart w:id="9" w:name="_Int_FWhPmmXF"/>
      <w:r w:rsidR="0060642C" w:rsidRPr="00A74972">
        <w:t>similar to</w:t>
      </w:r>
      <w:bookmarkEnd w:id="9"/>
      <w:r w:rsidR="0060642C" w:rsidRPr="00A74972">
        <w:t xml:space="preserve"> the HER2 and PD-L1 IHC testing - it requires a two-part scoring algorithm, with manual review of slides (that are stained) and application of an agreed algorithm. </w:t>
      </w:r>
      <w:r w:rsidR="04922281">
        <w:t>As an additional reference</w:t>
      </w:r>
      <w:r w:rsidR="04922281" w:rsidRPr="0FEC53EF">
        <w:rPr>
          <w:rFonts w:cs="Calibri"/>
        </w:rPr>
        <w:t xml:space="preserve">, the fee for </w:t>
      </w:r>
      <w:r w:rsidR="00482D1A">
        <w:rPr>
          <w:rFonts w:cs="Calibri"/>
        </w:rPr>
        <w:t xml:space="preserve">generic </w:t>
      </w:r>
      <w:r w:rsidR="04922281" w:rsidRPr="0FEC53EF">
        <w:rPr>
          <w:rFonts w:cs="Calibri"/>
        </w:rPr>
        <w:t>IHC testing (MBS item 72846) is $59.60</w:t>
      </w:r>
    </w:p>
    <w:p w14:paraId="77FB04C0" w14:textId="74801230" w:rsidR="00952035" w:rsidRPr="00A74972" w:rsidRDefault="00952035" w:rsidP="00D646F0">
      <w:pPr>
        <w:pStyle w:val="Caption"/>
        <w:ind w:left="0" w:firstLine="0"/>
      </w:pPr>
      <w:bookmarkStart w:id="10" w:name="_Ref161906161"/>
      <w:r w:rsidRPr="00A74972">
        <w:lastRenderedPageBreak/>
        <w:t xml:space="preserve">Table </w:t>
      </w:r>
      <w:r w:rsidRPr="00A74972">
        <w:rPr>
          <w:b w:val="0"/>
        </w:rPr>
        <w:fldChar w:fldCharType="begin"/>
      </w:r>
      <w:r w:rsidRPr="00A74972">
        <w:instrText xml:space="preserve"> SEQ Table \* ARABIC </w:instrText>
      </w:r>
      <w:r w:rsidRPr="00A74972">
        <w:rPr>
          <w:b w:val="0"/>
        </w:rPr>
        <w:fldChar w:fldCharType="separate"/>
      </w:r>
      <w:r w:rsidR="004B0848">
        <w:rPr>
          <w:noProof/>
        </w:rPr>
        <w:t>5</w:t>
      </w:r>
      <w:r w:rsidRPr="00A74972">
        <w:rPr>
          <w:b w:val="0"/>
        </w:rPr>
        <w:fldChar w:fldCharType="end"/>
      </w:r>
      <w:bookmarkEnd w:id="10"/>
      <w:r w:rsidRPr="00A74972">
        <w:t>:</w:t>
      </w:r>
      <w:r w:rsidR="007D6EEE" w:rsidRPr="00A74972">
        <w:t xml:space="preserve"> </w:t>
      </w:r>
      <w:r w:rsidR="00AA6163" w:rsidRPr="00A74972">
        <w:t xml:space="preserve">Item descriptor </w:t>
      </w:r>
      <w:r w:rsidR="00531D3B">
        <w:t xml:space="preserve">initially </w:t>
      </w:r>
      <w:r w:rsidR="00AA6163" w:rsidRPr="00A74972">
        <w:t xml:space="preserve">proposed </w:t>
      </w:r>
      <w:r w:rsidR="00531D3B">
        <w:t>by the applicant</w:t>
      </w:r>
      <w:r w:rsidR="003A0B83">
        <w:t xml:space="preserve"> </w:t>
      </w:r>
      <w:r w:rsidR="00AA6163" w:rsidRPr="00A74972">
        <w:t>in the</w:t>
      </w:r>
      <w:r w:rsidR="003A0B83">
        <w:t>ir</w:t>
      </w:r>
      <w:r w:rsidR="00AA6163" w:rsidRPr="00A74972">
        <w:t xml:space="preserve"> application</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A74972" w:rsidRPr="00A74972" w14:paraId="522E6A42" w14:textId="77777777" w:rsidTr="00952035">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612B38C9" w14:textId="6CB8B6DA" w:rsidR="00450D86" w:rsidRPr="00A74972" w:rsidRDefault="00450D86" w:rsidP="00952035">
            <w:pPr>
              <w:spacing w:before="40" w:after="40" w:line="240" w:lineRule="auto"/>
              <w:rPr>
                <w:rFonts w:ascii="Arial Narrow" w:hAnsi="Arial Narrow"/>
                <w:sz w:val="20"/>
                <w:szCs w:val="20"/>
              </w:rPr>
            </w:pPr>
            <w:r w:rsidRPr="00A74972">
              <w:rPr>
                <w:rFonts w:ascii="Arial Narrow" w:hAnsi="Arial Narrow"/>
                <w:sz w:val="20"/>
                <w:szCs w:val="20"/>
              </w:rPr>
              <w:t xml:space="preserve">Category </w:t>
            </w:r>
            <w:r w:rsidRPr="00A74972">
              <w:rPr>
                <w:szCs w:val="20"/>
              </w:rPr>
              <w:t>6</w:t>
            </w:r>
            <w:r w:rsidRPr="00A74972">
              <w:t xml:space="preserve"> – PATHOLOGY SERVICES</w:t>
            </w:r>
          </w:p>
        </w:tc>
      </w:tr>
      <w:tr w:rsidR="00A74972" w:rsidRPr="00A74972" w14:paraId="2690FA1D" w14:textId="77777777" w:rsidTr="00952035">
        <w:trPr>
          <w:cantSplit/>
          <w:tblHeader/>
        </w:trPr>
        <w:tc>
          <w:tcPr>
            <w:tcW w:w="9242" w:type="dxa"/>
            <w:tcBorders>
              <w:top w:val="single" w:sz="4" w:space="0" w:color="auto"/>
              <w:left w:val="single" w:sz="4" w:space="0" w:color="auto"/>
              <w:bottom w:val="single" w:sz="4" w:space="0" w:color="auto"/>
              <w:right w:val="single" w:sz="4" w:space="0" w:color="auto"/>
            </w:tcBorders>
          </w:tcPr>
          <w:p w14:paraId="59AF4DC0" w14:textId="0EDAC73D" w:rsidR="00450D86" w:rsidRPr="00A74972" w:rsidRDefault="00450D86" w:rsidP="00952035">
            <w:pPr>
              <w:spacing w:before="120" w:after="120" w:line="240" w:lineRule="auto"/>
              <w:rPr>
                <w:rFonts w:ascii="Arial Narrow" w:hAnsi="Arial Narrow"/>
                <w:sz w:val="20"/>
                <w:szCs w:val="20"/>
              </w:rPr>
            </w:pPr>
            <w:r w:rsidRPr="00A74972">
              <w:rPr>
                <w:rFonts w:ascii="Arial Narrow" w:hAnsi="Arial Narrow"/>
                <w:sz w:val="20"/>
                <w:szCs w:val="20"/>
              </w:rPr>
              <w:t>MBS item *XXXX</w:t>
            </w:r>
          </w:p>
          <w:p w14:paraId="3808A4C0" w14:textId="4A0AF762" w:rsidR="00BF47E0" w:rsidRPr="00A74972" w:rsidRDefault="00BF47E0" w:rsidP="00952035">
            <w:pPr>
              <w:spacing w:before="120" w:after="120" w:line="240" w:lineRule="auto"/>
              <w:rPr>
                <w:rFonts w:ascii="Arial Narrow" w:hAnsi="Arial Narrow"/>
                <w:sz w:val="20"/>
                <w:szCs w:val="20"/>
              </w:rPr>
            </w:pPr>
            <w:r w:rsidRPr="00A74972">
              <w:rPr>
                <w:rFonts w:ascii="Arial Narrow" w:hAnsi="Arial Narrow"/>
                <w:sz w:val="20"/>
                <w:szCs w:val="20"/>
              </w:rPr>
              <w:t>Immunohistochemical examination of tumour tissue from a patient diagnosed with locally advanced unresectable or metastatic human epidermal growth factor receptor 2 negative gastric or gastro-oesophageal junction adenocarcinoma to determine the requirements relating to CLDN18.2 expression (tumour cells ≥75%) for access to zolbetuximab under the Pharmaceutical Benefits Scheme (PBS) are fulfilled.</w:t>
            </w:r>
          </w:p>
          <w:p w14:paraId="73A2E4A2" w14:textId="0E5FF53E" w:rsidR="00450D86" w:rsidRPr="00A74972" w:rsidRDefault="00450D86" w:rsidP="00952035">
            <w:pPr>
              <w:spacing w:before="120" w:after="120" w:line="240" w:lineRule="auto"/>
              <w:rPr>
                <w:rFonts w:ascii="Arial Narrow" w:hAnsi="Arial Narrow"/>
                <w:sz w:val="20"/>
                <w:szCs w:val="20"/>
              </w:rPr>
            </w:pPr>
            <w:r w:rsidRPr="00A74972">
              <w:rPr>
                <w:rFonts w:ascii="Arial Narrow" w:hAnsi="Arial Narrow"/>
                <w:sz w:val="20"/>
                <w:szCs w:val="20"/>
              </w:rPr>
              <w:t>The service is requested by an oncologist.</w:t>
            </w:r>
          </w:p>
          <w:p w14:paraId="4B2A0865" w14:textId="245D9900" w:rsidR="00450D86" w:rsidRPr="00A74972" w:rsidRDefault="00450D86" w:rsidP="00952035">
            <w:pPr>
              <w:spacing w:before="120" w:after="120" w:line="240" w:lineRule="auto"/>
              <w:rPr>
                <w:rFonts w:ascii="Arial Narrow" w:hAnsi="Arial Narrow"/>
                <w:sz w:val="20"/>
                <w:szCs w:val="20"/>
              </w:rPr>
            </w:pPr>
            <w:r w:rsidRPr="00A74972">
              <w:rPr>
                <w:rFonts w:ascii="Arial Narrow" w:hAnsi="Arial Narrow"/>
                <w:sz w:val="20"/>
                <w:szCs w:val="20"/>
              </w:rPr>
              <w:t xml:space="preserve">Applicable only once per lifetime. </w:t>
            </w:r>
          </w:p>
        </w:tc>
      </w:tr>
      <w:tr w:rsidR="00A74972" w:rsidRPr="00A74972" w14:paraId="4EFF842A" w14:textId="77777777" w:rsidTr="00952035">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22D7E1D6" w14:textId="532B904C" w:rsidR="00450D86" w:rsidRPr="00A74972" w:rsidRDefault="00450D86" w:rsidP="00952035">
            <w:pPr>
              <w:spacing w:before="40" w:after="40" w:line="240" w:lineRule="auto"/>
              <w:rPr>
                <w:rFonts w:ascii="Arial Narrow" w:hAnsi="Arial Narrow"/>
                <w:sz w:val="20"/>
                <w:szCs w:val="20"/>
              </w:rPr>
            </w:pPr>
            <w:r w:rsidRPr="00A74972">
              <w:rPr>
                <w:rFonts w:ascii="Arial Narrow" w:hAnsi="Arial Narrow"/>
                <w:sz w:val="20"/>
                <w:szCs w:val="20"/>
              </w:rPr>
              <w:t>Fee: $550.00</w:t>
            </w:r>
          </w:p>
        </w:tc>
      </w:tr>
    </w:tbl>
    <w:p w14:paraId="31F21615" w14:textId="74338C06" w:rsidR="00450D86" w:rsidRPr="00A74972" w:rsidRDefault="009865B7" w:rsidP="00D646F0">
      <w:pPr>
        <w:pStyle w:val="Tablenotes"/>
        <w:spacing w:after="0"/>
      </w:pPr>
      <w:r w:rsidRPr="00A74972">
        <w:t xml:space="preserve">Source: </w:t>
      </w:r>
      <w:r w:rsidR="00FF2635" w:rsidRPr="00A74972">
        <w:t>HPP200118 - CLDN18.2 PICO Set Document_v2.2</w:t>
      </w:r>
      <w:r w:rsidR="00606EC8" w:rsidRPr="00A74972">
        <w:t>.doc</w:t>
      </w:r>
      <w:r w:rsidR="006344D5" w:rsidRPr="00A74972">
        <w:t>x received as part of the application</w:t>
      </w:r>
      <w:r w:rsidR="000A3741" w:rsidRPr="00A74972">
        <w:t>.</w:t>
      </w:r>
    </w:p>
    <w:p w14:paraId="4E767111" w14:textId="01D4D8B8" w:rsidR="0023633D" w:rsidRPr="00A74972" w:rsidRDefault="00952035" w:rsidP="00D646F0">
      <w:pPr>
        <w:pStyle w:val="Caption"/>
        <w:ind w:left="0" w:firstLine="0"/>
      </w:pPr>
      <w:bookmarkStart w:id="11" w:name="_Ref161906500"/>
      <w:r w:rsidRPr="00A74972">
        <w:t xml:space="preserve">Table </w:t>
      </w:r>
      <w:r w:rsidRPr="00A74972">
        <w:fldChar w:fldCharType="begin"/>
      </w:r>
      <w:r w:rsidRPr="00A74972">
        <w:instrText xml:space="preserve"> SEQ Table \* ARABIC </w:instrText>
      </w:r>
      <w:r w:rsidRPr="00A74972">
        <w:fldChar w:fldCharType="separate"/>
      </w:r>
      <w:r w:rsidR="00310004">
        <w:rPr>
          <w:noProof/>
        </w:rPr>
        <w:t>6</w:t>
      </w:r>
      <w:r w:rsidRPr="00A74972">
        <w:fldChar w:fldCharType="end"/>
      </w:r>
      <w:bookmarkEnd w:id="11"/>
      <w:r w:rsidR="00DF23CF" w:rsidRPr="00A74972">
        <w:t xml:space="preserve">: </w:t>
      </w:r>
      <w:r w:rsidR="00453BF8">
        <w:t>I</w:t>
      </w:r>
      <w:r w:rsidR="00DF23CF" w:rsidRPr="00A74972">
        <w:t xml:space="preserve">tem descriptor </w:t>
      </w:r>
      <w:r w:rsidR="00174AD5" w:rsidRPr="00A74972">
        <w:t xml:space="preserve">proposed by the applicant </w:t>
      </w:r>
      <w:r w:rsidR="000F3FC5">
        <w:t>in their pre-PASC response</w:t>
      </w:r>
      <w:r w:rsidR="00174AD5" w:rsidRPr="00A74972">
        <w:t xml:space="preserve"> – Option 1</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A74972" w:rsidRPr="00A74972" w14:paraId="28AA3D8C" w14:textId="77777777" w:rsidTr="00952035">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759D253B" w14:textId="77777777" w:rsidR="0023633D" w:rsidRPr="00A74972" w:rsidRDefault="0023633D" w:rsidP="00952035">
            <w:pPr>
              <w:spacing w:before="40" w:after="40" w:line="240" w:lineRule="auto"/>
              <w:rPr>
                <w:rFonts w:ascii="Arial Narrow" w:hAnsi="Arial Narrow"/>
                <w:sz w:val="20"/>
                <w:szCs w:val="20"/>
              </w:rPr>
            </w:pPr>
            <w:r w:rsidRPr="00A74972">
              <w:rPr>
                <w:rFonts w:ascii="Arial Narrow" w:hAnsi="Arial Narrow"/>
                <w:sz w:val="20"/>
                <w:szCs w:val="20"/>
              </w:rPr>
              <w:t xml:space="preserve">Category </w:t>
            </w:r>
            <w:r w:rsidRPr="00A74972">
              <w:rPr>
                <w:szCs w:val="20"/>
              </w:rPr>
              <w:t>6</w:t>
            </w:r>
            <w:r w:rsidRPr="00A74972">
              <w:t xml:space="preserve"> – PATHOLOGY SERVICES</w:t>
            </w:r>
          </w:p>
        </w:tc>
      </w:tr>
      <w:tr w:rsidR="00A74972" w:rsidRPr="00A74972" w14:paraId="7DA5111F" w14:textId="77777777" w:rsidTr="00952035">
        <w:trPr>
          <w:cantSplit/>
          <w:tblHeader/>
        </w:trPr>
        <w:tc>
          <w:tcPr>
            <w:tcW w:w="9242" w:type="dxa"/>
            <w:tcBorders>
              <w:top w:val="single" w:sz="4" w:space="0" w:color="auto"/>
              <w:left w:val="single" w:sz="4" w:space="0" w:color="auto"/>
              <w:bottom w:val="single" w:sz="4" w:space="0" w:color="auto"/>
              <w:right w:val="single" w:sz="4" w:space="0" w:color="auto"/>
            </w:tcBorders>
          </w:tcPr>
          <w:p w14:paraId="2607FA1B" w14:textId="77777777" w:rsidR="0023633D" w:rsidRPr="00A74972" w:rsidRDefault="0023633D" w:rsidP="00952035">
            <w:pPr>
              <w:spacing w:before="120" w:after="120" w:line="240" w:lineRule="auto"/>
              <w:rPr>
                <w:rFonts w:ascii="Arial Narrow" w:hAnsi="Arial Narrow"/>
                <w:sz w:val="20"/>
                <w:szCs w:val="20"/>
              </w:rPr>
            </w:pPr>
            <w:r w:rsidRPr="00A74972">
              <w:rPr>
                <w:rFonts w:ascii="Arial Narrow" w:hAnsi="Arial Narrow"/>
                <w:sz w:val="20"/>
                <w:szCs w:val="20"/>
              </w:rPr>
              <w:t>MBS item *XXXX</w:t>
            </w:r>
          </w:p>
          <w:p w14:paraId="32C2FE5D" w14:textId="0D28D6E9" w:rsidR="0023633D" w:rsidRPr="00A74972" w:rsidRDefault="007A6AF7" w:rsidP="00952035">
            <w:pPr>
              <w:spacing w:before="120" w:after="120" w:line="240" w:lineRule="auto"/>
              <w:rPr>
                <w:rFonts w:ascii="Arial Narrow" w:hAnsi="Arial Narrow"/>
                <w:sz w:val="20"/>
                <w:szCs w:val="20"/>
              </w:rPr>
            </w:pPr>
            <w:r w:rsidRPr="00A74972">
              <w:rPr>
                <w:rFonts w:ascii="Arial Narrow" w:hAnsi="Arial Narrow"/>
                <w:sz w:val="20"/>
                <w:szCs w:val="20"/>
              </w:rPr>
              <w:t>Immunohistochemical examination of biopsy material from a patient with locally advanced unresectable or</w:t>
            </w:r>
            <w:r w:rsidR="009D6B9C" w:rsidRPr="00A74972">
              <w:rPr>
                <w:rFonts w:ascii="Arial Narrow" w:hAnsi="Arial Narrow"/>
                <w:sz w:val="20"/>
                <w:szCs w:val="20"/>
              </w:rPr>
              <w:t xml:space="preserve"> </w:t>
            </w:r>
            <w:r w:rsidRPr="00A74972">
              <w:rPr>
                <w:rFonts w:ascii="Arial Narrow" w:hAnsi="Arial Narrow"/>
                <w:sz w:val="20"/>
                <w:szCs w:val="20"/>
              </w:rPr>
              <w:t>metastatic gastro-oesophageal junction adenocarcinoma to determine the requirements relating to CLDN18</w:t>
            </w:r>
            <w:r w:rsidR="009D6B9C" w:rsidRPr="00A74972">
              <w:rPr>
                <w:rFonts w:ascii="Arial Narrow" w:hAnsi="Arial Narrow"/>
                <w:sz w:val="20"/>
                <w:szCs w:val="20"/>
              </w:rPr>
              <w:t xml:space="preserve"> </w:t>
            </w:r>
            <w:r w:rsidRPr="00A74972">
              <w:rPr>
                <w:rFonts w:ascii="Arial Narrow" w:hAnsi="Arial Narrow"/>
                <w:sz w:val="20"/>
                <w:szCs w:val="20"/>
              </w:rPr>
              <w:t>expression for access to zolbetuximab under the Pharmaceutical Benefits Scheme (PBS) are fulfilled.</w:t>
            </w:r>
          </w:p>
        </w:tc>
      </w:tr>
      <w:tr w:rsidR="00A74972" w:rsidRPr="00A74972" w14:paraId="3ED73776" w14:textId="77777777" w:rsidTr="00952035">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408EBC36" w14:textId="36A847AD" w:rsidR="0023633D" w:rsidRPr="00A74972" w:rsidRDefault="0023633D" w:rsidP="00952035">
            <w:pPr>
              <w:spacing w:before="40" w:after="40" w:line="240" w:lineRule="auto"/>
              <w:rPr>
                <w:rFonts w:ascii="Arial Narrow" w:hAnsi="Arial Narrow"/>
                <w:sz w:val="20"/>
                <w:szCs w:val="20"/>
              </w:rPr>
            </w:pPr>
            <w:r w:rsidRPr="00A74972">
              <w:rPr>
                <w:rFonts w:ascii="Arial Narrow" w:hAnsi="Arial Narrow"/>
                <w:sz w:val="20"/>
                <w:szCs w:val="20"/>
              </w:rPr>
              <w:t>Fee: $</w:t>
            </w:r>
            <w:r w:rsidR="00C85CDD" w:rsidRPr="00A74972">
              <w:rPr>
                <w:rFonts w:ascii="Arial Narrow" w:hAnsi="Arial Narrow"/>
                <w:sz w:val="20"/>
                <w:szCs w:val="20"/>
              </w:rPr>
              <w:t>TBD</w:t>
            </w:r>
          </w:p>
        </w:tc>
      </w:tr>
    </w:tbl>
    <w:p w14:paraId="06420F2C" w14:textId="325406E4" w:rsidR="000A3741" w:rsidRPr="00A74972" w:rsidRDefault="000A3741" w:rsidP="000A3741">
      <w:pPr>
        <w:pStyle w:val="Tablenotes"/>
        <w:spacing w:after="0"/>
      </w:pPr>
      <w:r w:rsidRPr="00A74972">
        <w:t xml:space="preserve">Source: </w:t>
      </w:r>
      <w:r w:rsidR="000F3FC5">
        <w:t>Applicant pre-PASC response</w:t>
      </w:r>
      <w:r w:rsidR="003168A3">
        <w:t>.</w:t>
      </w:r>
    </w:p>
    <w:p w14:paraId="7AD6FDAB" w14:textId="4C5863AB" w:rsidR="0023633D" w:rsidRPr="00A74972" w:rsidRDefault="00952035" w:rsidP="00D646F0">
      <w:pPr>
        <w:pStyle w:val="Caption"/>
        <w:ind w:left="0" w:firstLine="0"/>
      </w:pPr>
      <w:bookmarkStart w:id="12" w:name="_Ref161906509"/>
      <w:r w:rsidRPr="00A74972">
        <w:t xml:space="preserve">Table </w:t>
      </w:r>
      <w:r w:rsidRPr="00A74972">
        <w:fldChar w:fldCharType="begin"/>
      </w:r>
      <w:r w:rsidRPr="00A74972">
        <w:instrText xml:space="preserve"> SEQ Table \* ARABIC </w:instrText>
      </w:r>
      <w:r w:rsidRPr="00A74972">
        <w:fldChar w:fldCharType="separate"/>
      </w:r>
      <w:r w:rsidR="00310004">
        <w:rPr>
          <w:noProof/>
        </w:rPr>
        <w:t>7</w:t>
      </w:r>
      <w:r w:rsidRPr="00A74972">
        <w:fldChar w:fldCharType="end"/>
      </w:r>
      <w:bookmarkEnd w:id="12"/>
      <w:r w:rsidR="00174AD5" w:rsidRPr="00A74972">
        <w:t xml:space="preserve">: </w:t>
      </w:r>
      <w:r w:rsidR="00453BF8">
        <w:t>I</w:t>
      </w:r>
      <w:r w:rsidR="00174AD5" w:rsidRPr="00A74972">
        <w:t xml:space="preserve">tem descriptor proposed by the applicant </w:t>
      </w:r>
      <w:r w:rsidR="000F3FC5">
        <w:t>in their pre-PASC response</w:t>
      </w:r>
      <w:r w:rsidR="00174AD5" w:rsidRPr="00A74972">
        <w:t xml:space="preserve"> – Option 2</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A74972" w:rsidRPr="00A74972" w14:paraId="641D99DF" w14:textId="77777777" w:rsidTr="00952035">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7F4DBB76" w14:textId="77777777" w:rsidR="0023633D" w:rsidRPr="00A74972" w:rsidRDefault="0023633D" w:rsidP="00952035">
            <w:pPr>
              <w:spacing w:before="40" w:after="40" w:line="240" w:lineRule="auto"/>
              <w:rPr>
                <w:rFonts w:ascii="Arial Narrow" w:hAnsi="Arial Narrow"/>
                <w:sz w:val="20"/>
                <w:szCs w:val="20"/>
              </w:rPr>
            </w:pPr>
            <w:r w:rsidRPr="00A74972">
              <w:rPr>
                <w:rFonts w:ascii="Arial Narrow" w:hAnsi="Arial Narrow"/>
                <w:sz w:val="20"/>
                <w:szCs w:val="20"/>
              </w:rPr>
              <w:t xml:space="preserve">Category </w:t>
            </w:r>
            <w:r w:rsidRPr="00A74972">
              <w:rPr>
                <w:szCs w:val="20"/>
              </w:rPr>
              <w:t>6</w:t>
            </w:r>
            <w:r w:rsidRPr="00A74972">
              <w:t xml:space="preserve"> – PATHOLOGY SERVICES</w:t>
            </w:r>
          </w:p>
        </w:tc>
      </w:tr>
      <w:tr w:rsidR="00A74972" w:rsidRPr="00A74972" w14:paraId="7F5D9825" w14:textId="77777777" w:rsidTr="00952035">
        <w:trPr>
          <w:cantSplit/>
          <w:tblHeader/>
        </w:trPr>
        <w:tc>
          <w:tcPr>
            <w:tcW w:w="9242" w:type="dxa"/>
            <w:tcBorders>
              <w:top w:val="single" w:sz="4" w:space="0" w:color="auto"/>
              <w:left w:val="single" w:sz="4" w:space="0" w:color="auto"/>
              <w:bottom w:val="single" w:sz="4" w:space="0" w:color="auto"/>
              <w:right w:val="single" w:sz="4" w:space="0" w:color="auto"/>
            </w:tcBorders>
          </w:tcPr>
          <w:p w14:paraId="5EA4F187" w14:textId="77777777" w:rsidR="0023633D" w:rsidRPr="00A74972" w:rsidRDefault="0023633D" w:rsidP="00952035">
            <w:pPr>
              <w:spacing w:before="120" w:after="120" w:line="240" w:lineRule="auto"/>
              <w:rPr>
                <w:rFonts w:ascii="Arial Narrow" w:hAnsi="Arial Narrow"/>
                <w:sz w:val="20"/>
                <w:szCs w:val="20"/>
              </w:rPr>
            </w:pPr>
            <w:r w:rsidRPr="00A74972">
              <w:rPr>
                <w:rFonts w:ascii="Arial Narrow" w:hAnsi="Arial Narrow"/>
                <w:sz w:val="20"/>
                <w:szCs w:val="20"/>
              </w:rPr>
              <w:t>MBS item *XXXX</w:t>
            </w:r>
          </w:p>
          <w:p w14:paraId="5278CD02" w14:textId="67E291CA" w:rsidR="0023633D" w:rsidRPr="00A74972" w:rsidRDefault="00C85CDD" w:rsidP="00952035">
            <w:pPr>
              <w:spacing w:before="120" w:after="120" w:line="240" w:lineRule="auto"/>
              <w:rPr>
                <w:rFonts w:ascii="Arial Narrow" w:hAnsi="Arial Narrow"/>
                <w:sz w:val="20"/>
                <w:szCs w:val="20"/>
              </w:rPr>
            </w:pPr>
            <w:r w:rsidRPr="00A74972">
              <w:rPr>
                <w:rFonts w:ascii="Arial Narrow" w:hAnsi="Arial Narrow"/>
                <w:sz w:val="20"/>
                <w:szCs w:val="20"/>
              </w:rPr>
              <w:t>Immunohistochemical examination of biopsy material from a patient with locally advanced unresectable or</w:t>
            </w:r>
            <w:r w:rsidR="009D6B9C" w:rsidRPr="00A74972">
              <w:rPr>
                <w:rFonts w:ascii="Arial Narrow" w:hAnsi="Arial Narrow"/>
                <w:sz w:val="20"/>
                <w:szCs w:val="20"/>
              </w:rPr>
              <w:t xml:space="preserve"> </w:t>
            </w:r>
            <w:r w:rsidRPr="00A74972">
              <w:rPr>
                <w:rFonts w:ascii="Arial Narrow" w:hAnsi="Arial Narrow"/>
                <w:sz w:val="20"/>
                <w:szCs w:val="20"/>
              </w:rPr>
              <w:t>metastatic gastro-oesophageal junction adenocarcinoma to determine the requirements relating to CLDN18</w:t>
            </w:r>
            <w:r w:rsidR="009D6B9C" w:rsidRPr="00A74972">
              <w:rPr>
                <w:rFonts w:ascii="Arial Narrow" w:hAnsi="Arial Narrow"/>
                <w:sz w:val="20"/>
                <w:szCs w:val="20"/>
              </w:rPr>
              <w:t xml:space="preserve"> </w:t>
            </w:r>
            <w:r w:rsidRPr="00A74972">
              <w:rPr>
                <w:rFonts w:ascii="Arial Narrow" w:hAnsi="Arial Narrow"/>
                <w:sz w:val="20"/>
                <w:szCs w:val="20"/>
              </w:rPr>
              <w:t>expression for access to treatments under the Pharmaceutical Benefits Scheme (PBS) are fulfilled.</w:t>
            </w:r>
          </w:p>
        </w:tc>
      </w:tr>
      <w:tr w:rsidR="00A74972" w:rsidRPr="00A74972" w14:paraId="3218EF9F" w14:textId="77777777" w:rsidTr="00952035">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44A2BC27" w14:textId="52C3DD7A" w:rsidR="0023633D" w:rsidRPr="00A74972" w:rsidRDefault="0023633D" w:rsidP="00952035">
            <w:pPr>
              <w:spacing w:before="40" w:after="40" w:line="240" w:lineRule="auto"/>
              <w:rPr>
                <w:rFonts w:ascii="Arial Narrow" w:hAnsi="Arial Narrow"/>
                <w:sz w:val="20"/>
                <w:szCs w:val="20"/>
              </w:rPr>
            </w:pPr>
            <w:r w:rsidRPr="00A74972">
              <w:rPr>
                <w:rFonts w:ascii="Arial Narrow" w:hAnsi="Arial Narrow"/>
                <w:sz w:val="20"/>
                <w:szCs w:val="20"/>
              </w:rPr>
              <w:t>Fee: $</w:t>
            </w:r>
            <w:r w:rsidR="00C85CDD" w:rsidRPr="00A74972">
              <w:rPr>
                <w:rFonts w:ascii="Arial Narrow" w:hAnsi="Arial Narrow"/>
                <w:sz w:val="20"/>
                <w:szCs w:val="20"/>
              </w:rPr>
              <w:t>TBD</w:t>
            </w:r>
          </w:p>
        </w:tc>
      </w:tr>
    </w:tbl>
    <w:p w14:paraId="4416DC2C" w14:textId="425BC1BD" w:rsidR="00B51D07" w:rsidRPr="00A74972" w:rsidRDefault="00DE4CEE" w:rsidP="000F3FC5">
      <w:pPr>
        <w:pStyle w:val="Tablenotes"/>
        <w:spacing w:after="0"/>
      </w:pPr>
      <w:r w:rsidRPr="00A74972">
        <w:t xml:space="preserve">Source: </w:t>
      </w:r>
      <w:r w:rsidR="000F3FC5">
        <w:t>Applicant pre-PASC response</w:t>
      </w:r>
      <w:r w:rsidR="003168A3">
        <w:t>.</w:t>
      </w:r>
    </w:p>
    <w:p w14:paraId="1DE72026" w14:textId="77777777" w:rsidR="00B51D07" w:rsidRDefault="00B51D07" w:rsidP="00421C23">
      <w:pPr>
        <w:pStyle w:val="Tablenotes"/>
        <w:spacing w:after="0"/>
      </w:pPr>
    </w:p>
    <w:p w14:paraId="11C2959D" w14:textId="77777777" w:rsidR="00A709F7" w:rsidRDefault="00A709F7" w:rsidP="00421C23">
      <w:pPr>
        <w:pStyle w:val="Tablenotes"/>
        <w:spacing w:after="0"/>
      </w:pPr>
    </w:p>
    <w:p w14:paraId="6CDD2165" w14:textId="55243890" w:rsidR="00A709F7" w:rsidRPr="0098358F" w:rsidRDefault="00A709F7" w:rsidP="008971A0">
      <w:pPr>
        <w:autoSpaceDE w:val="0"/>
        <w:autoSpaceDN w:val="0"/>
        <w:adjustRightInd w:val="0"/>
        <w:rPr>
          <w:rFonts w:asciiTheme="minorHAnsi" w:hAnsiTheme="minorHAnsi" w:cstheme="minorBidi"/>
          <w:i/>
          <w:iCs/>
        </w:rPr>
      </w:pPr>
      <w:r w:rsidRPr="0098358F">
        <w:rPr>
          <w:rFonts w:asciiTheme="minorHAnsi" w:hAnsiTheme="minorHAnsi" w:cstheme="minorBidi"/>
          <w:i/>
          <w:iCs/>
        </w:rPr>
        <w:t>As CLDN18.2 testing is now proposed to occur in parallel to HER2 testing, PASC confirmed that ‘human epidermal growth factor receptor 2 negative’ (HER2-</w:t>
      </w:r>
      <w:r w:rsidR="00A60B1A">
        <w:rPr>
          <w:rFonts w:asciiTheme="minorHAnsi" w:hAnsiTheme="minorHAnsi" w:cstheme="minorBidi"/>
          <w:i/>
          <w:iCs/>
        </w:rPr>
        <w:t>negative</w:t>
      </w:r>
      <w:r w:rsidRPr="0098358F">
        <w:rPr>
          <w:rFonts w:asciiTheme="minorHAnsi" w:hAnsiTheme="minorHAnsi" w:cstheme="minorBidi"/>
          <w:i/>
          <w:iCs/>
        </w:rPr>
        <w:t>) can be removed from the proposed item descriptor. PASC considered it unnecessary to compare the cost effectiveness of sequential versus parallel testing, given that only parallel testing is proposed.</w:t>
      </w:r>
    </w:p>
    <w:p w14:paraId="7A570FC8" w14:textId="77777777" w:rsidR="00A709F7" w:rsidRPr="0098358F" w:rsidRDefault="00A709F7" w:rsidP="008971A0">
      <w:pPr>
        <w:autoSpaceDE w:val="0"/>
        <w:autoSpaceDN w:val="0"/>
        <w:adjustRightInd w:val="0"/>
        <w:rPr>
          <w:rFonts w:asciiTheme="minorHAnsi" w:hAnsiTheme="minorHAnsi" w:cstheme="minorBidi"/>
          <w:i/>
          <w:iCs/>
        </w:rPr>
      </w:pPr>
      <w:r w:rsidRPr="0098358F">
        <w:rPr>
          <w:rFonts w:asciiTheme="minorHAnsi" w:hAnsiTheme="minorHAnsi" w:cstheme="minorBidi"/>
          <w:i/>
          <w:iCs/>
        </w:rPr>
        <w:t xml:space="preserve">PASC noted the applicant’s pre-PASC response proposed using the term “CLDN18 expression” instead of specifying 'positive' and/or a threshold to define positivity. The applicant’s pre-PASC response suggested that as more studies on CLDN18.2 testing and targeted therapies become available, the optimal threshold for positivity may change. Using a fixed threshold in the MBS item description would not allow for flexibility to accommodate evolving evidence or future applications of the test. PASC confirmed using the term “CLDN18 expression” without the term ‘positive’ or the specification of a threshold </w:t>
      </w:r>
      <w:r w:rsidRPr="0098358F" w:rsidDel="00CF0809">
        <w:rPr>
          <w:rFonts w:asciiTheme="minorHAnsi" w:hAnsiTheme="minorHAnsi" w:cstheme="minorBidi"/>
          <w:i/>
          <w:iCs/>
        </w:rPr>
        <w:t>is</w:t>
      </w:r>
      <w:r w:rsidRPr="0098358F">
        <w:rPr>
          <w:rFonts w:asciiTheme="minorHAnsi" w:hAnsiTheme="minorHAnsi" w:cstheme="minorBidi"/>
          <w:i/>
          <w:iCs/>
        </w:rPr>
        <w:t xml:space="preserve"> acceptable.</w:t>
      </w:r>
    </w:p>
    <w:p w14:paraId="790561AA" w14:textId="77777777" w:rsidR="00A709F7" w:rsidRPr="0098358F" w:rsidRDefault="00A709F7" w:rsidP="008971A0">
      <w:pPr>
        <w:autoSpaceDE w:val="0"/>
        <w:autoSpaceDN w:val="0"/>
        <w:adjustRightInd w:val="0"/>
        <w:rPr>
          <w:rFonts w:asciiTheme="minorHAnsi" w:hAnsiTheme="minorHAnsi" w:cstheme="minorBidi"/>
          <w:i/>
          <w:iCs/>
        </w:rPr>
      </w:pPr>
      <w:r w:rsidRPr="0098358F">
        <w:rPr>
          <w:rFonts w:asciiTheme="minorHAnsi" w:hAnsiTheme="minorHAnsi" w:cstheme="minorBidi"/>
          <w:i/>
          <w:iCs/>
        </w:rPr>
        <w:lastRenderedPageBreak/>
        <w:t>PASC noted the applicant’s pre-PASC response proposed replacing the wording ‘tumour tissue’ with ‘biopsy material’. PASC considered ‘tumour tissue’ to be the preferred terminology as clinicians require information specifically on the tumour tissue, rather than an undefined biopsy specimen which might be from non-tumour tissue.</w:t>
      </w:r>
    </w:p>
    <w:p w14:paraId="5E80BA41" w14:textId="77777777" w:rsidR="00A709F7" w:rsidRPr="0098358F" w:rsidRDefault="00A709F7" w:rsidP="008971A0">
      <w:pPr>
        <w:autoSpaceDE w:val="0"/>
        <w:autoSpaceDN w:val="0"/>
        <w:adjustRightInd w:val="0"/>
        <w:rPr>
          <w:rFonts w:asciiTheme="minorHAnsi" w:hAnsiTheme="minorHAnsi" w:cstheme="minorBidi"/>
          <w:i/>
          <w:iCs/>
        </w:rPr>
      </w:pPr>
      <w:r w:rsidRPr="0098358F">
        <w:rPr>
          <w:rFonts w:asciiTheme="minorHAnsi" w:hAnsiTheme="minorHAnsi" w:cstheme="minorBidi"/>
          <w:i/>
          <w:iCs/>
        </w:rPr>
        <w:t>PASC noted that the applicant omitted the word ‘gastric’ from the item descriptor, limiting the application to patients with gastro-oesophageal junction tumours only. During the PASC meeting, the applicant confirmed this was not intentional, but an error and the item descriptor should include the word ‘gastric’, as it sought to include patients with gastric adenocarcinoma, in addition to patients with gastro-oesophageal junction adenocarcinoma.</w:t>
      </w:r>
    </w:p>
    <w:p w14:paraId="0B76476D" w14:textId="77777777" w:rsidR="00A709F7" w:rsidRPr="0098358F" w:rsidRDefault="00A709F7" w:rsidP="008971A0">
      <w:pPr>
        <w:rPr>
          <w:rFonts w:asciiTheme="minorHAnsi" w:hAnsiTheme="minorHAnsi" w:cstheme="minorBidi"/>
          <w:i/>
          <w:iCs/>
        </w:rPr>
      </w:pPr>
      <w:r w:rsidRPr="0098358F">
        <w:rPr>
          <w:rFonts w:asciiTheme="minorHAnsi" w:hAnsiTheme="minorHAnsi" w:cstheme="minorBidi"/>
          <w:i/>
          <w:iCs/>
        </w:rPr>
        <w:t>PASC considered that the proposed descriptor could be ’future-proofed’ by replacing the specific reference to zolbetuximab wording with ‘access to a relevant treatment listed under the Pharmaceutical Benefits Scheme (PBS) are fulfilled'.</w:t>
      </w:r>
    </w:p>
    <w:p w14:paraId="539EE515" w14:textId="7439B931" w:rsidR="00A709F7" w:rsidRPr="0098358F" w:rsidRDefault="00A709F7" w:rsidP="4ECC7DC2">
      <w:pPr>
        <w:rPr>
          <w:rFonts w:asciiTheme="minorHAnsi" w:hAnsiTheme="minorHAnsi" w:cstheme="minorBidi"/>
          <w:i/>
          <w:iCs/>
        </w:rPr>
      </w:pPr>
      <w:r w:rsidRPr="4ECC7DC2">
        <w:rPr>
          <w:rFonts w:asciiTheme="minorHAnsi" w:hAnsiTheme="minorHAnsi" w:cstheme="minorBidi"/>
          <w:i/>
          <w:iCs/>
        </w:rPr>
        <w:t>PASC considered that</w:t>
      </w:r>
      <w:r w:rsidR="00A63014" w:rsidRPr="4ECC7DC2">
        <w:rPr>
          <w:rFonts w:asciiTheme="minorHAnsi" w:hAnsiTheme="minorHAnsi" w:cstheme="minorBidi"/>
          <w:i/>
          <w:iCs/>
        </w:rPr>
        <w:t xml:space="preserve"> the treating clinician</w:t>
      </w:r>
      <w:r w:rsidR="00CE2FA4" w:rsidRPr="4ECC7DC2">
        <w:rPr>
          <w:rFonts w:asciiTheme="minorHAnsi" w:hAnsiTheme="minorHAnsi" w:cstheme="minorBidi"/>
          <w:i/>
          <w:iCs/>
        </w:rPr>
        <w:t xml:space="preserve"> (oncologist)</w:t>
      </w:r>
      <w:r w:rsidR="00A63014" w:rsidRPr="4ECC7DC2">
        <w:rPr>
          <w:rFonts w:asciiTheme="minorHAnsi" w:hAnsiTheme="minorHAnsi" w:cstheme="minorBidi"/>
          <w:i/>
          <w:iCs/>
        </w:rPr>
        <w:t xml:space="preserve"> would have the necessary clinical information to determine if CLD</w:t>
      </w:r>
      <w:r w:rsidR="00AD0FC3" w:rsidRPr="4ECC7DC2">
        <w:rPr>
          <w:rFonts w:asciiTheme="minorHAnsi" w:hAnsiTheme="minorHAnsi" w:cstheme="minorBidi"/>
          <w:i/>
          <w:iCs/>
        </w:rPr>
        <w:t>N</w:t>
      </w:r>
      <w:r w:rsidR="00A63014" w:rsidRPr="4ECC7DC2">
        <w:rPr>
          <w:rFonts w:asciiTheme="minorHAnsi" w:hAnsiTheme="minorHAnsi" w:cstheme="minorBidi"/>
          <w:i/>
          <w:iCs/>
        </w:rPr>
        <w:t>18.2 testing was required along with the ability to interpret the test result to inform any change in patient management</w:t>
      </w:r>
      <w:r w:rsidR="00A63014" w:rsidRPr="4ECC7DC2">
        <w:rPr>
          <w:rFonts w:ascii="Segoe UI" w:hAnsi="Segoe UI" w:cs="Segoe UI"/>
          <w:i/>
          <w:iCs/>
          <w:sz w:val="18"/>
          <w:szCs w:val="18"/>
        </w:rPr>
        <w:t>. A</w:t>
      </w:r>
      <w:r w:rsidR="00A63014" w:rsidRPr="4ECC7DC2">
        <w:rPr>
          <w:rFonts w:asciiTheme="minorHAnsi" w:hAnsiTheme="minorHAnsi" w:cstheme="minorBidi"/>
          <w:i/>
          <w:iCs/>
        </w:rPr>
        <w:t>s such, PASC considered the treating clinician would be best placed to request the CLDN18.2 test and therefore considered that</w:t>
      </w:r>
      <w:r w:rsidRPr="4ECC7DC2">
        <w:rPr>
          <w:rFonts w:asciiTheme="minorHAnsi" w:hAnsiTheme="minorHAnsi" w:cstheme="minorBidi"/>
          <w:i/>
          <w:iCs/>
        </w:rPr>
        <w:t xml:space="preserve"> the test should be clinician-determinable</w:t>
      </w:r>
      <w:r w:rsidR="00CB7883" w:rsidRPr="4ECC7DC2">
        <w:rPr>
          <w:rFonts w:asciiTheme="minorHAnsi" w:hAnsiTheme="minorHAnsi" w:cstheme="minorBidi"/>
          <w:i/>
          <w:iCs/>
        </w:rPr>
        <w:t xml:space="preserve">. </w:t>
      </w:r>
    </w:p>
    <w:p w14:paraId="11C73138" w14:textId="77777777" w:rsidR="00A709F7" w:rsidRPr="0098358F" w:rsidRDefault="00A709F7" w:rsidP="008971A0">
      <w:pPr>
        <w:autoSpaceDE w:val="0"/>
        <w:autoSpaceDN w:val="0"/>
        <w:adjustRightInd w:val="0"/>
        <w:rPr>
          <w:rFonts w:asciiTheme="minorHAnsi" w:hAnsiTheme="minorHAnsi" w:cstheme="minorBidi"/>
          <w:i/>
          <w:iCs/>
        </w:rPr>
      </w:pPr>
      <w:r w:rsidRPr="0098358F">
        <w:rPr>
          <w:rFonts w:asciiTheme="minorHAnsi" w:hAnsiTheme="minorHAnsi" w:cstheme="minorBidi"/>
          <w:i/>
          <w:iCs/>
        </w:rPr>
        <w:t xml:space="preserve">PASC considered the risk of leakage to be low. PASC confirmed it is reasonable to remove the ‘Once per lifetime’ restriction, in case of likely rare scenarios where an additional biopsy/test is required. </w:t>
      </w:r>
    </w:p>
    <w:p w14:paraId="21B7FBF9" w14:textId="7F0048EC" w:rsidR="00A709F7" w:rsidRPr="0098358F" w:rsidRDefault="00A709F7" w:rsidP="008971A0">
      <w:pPr>
        <w:autoSpaceDE w:val="0"/>
        <w:autoSpaceDN w:val="0"/>
        <w:adjustRightInd w:val="0"/>
        <w:rPr>
          <w:rFonts w:asciiTheme="minorHAnsi" w:hAnsiTheme="minorHAnsi" w:cstheme="minorBidi"/>
          <w:i/>
          <w:iCs/>
        </w:rPr>
      </w:pPr>
      <w:r w:rsidRPr="0098358F">
        <w:rPr>
          <w:rFonts w:asciiTheme="minorHAnsi" w:hAnsiTheme="minorHAnsi" w:cstheme="minorBidi"/>
          <w:i/>
          <w:iCs/>
        </w:rPr>
        <w:t>PASC considered the proposed item fee of $550 is high and inadequately justified, given that the fee for generic MBS item 72846 for IHC examination is $59.60 and that for MBS Items 72848 and 72814 (IHC testing to determine HER2 and PD-L1 status respectively) is $74.50. During the PASC meeting, the applicant confirmed a reduced item fee will be finalised and incorporated in the applicant developed assessment report (ADAR), as they are in consultation with Roche Diagnostic</w:t>
      </w:r>
      <w:r w:rsidR="00A17D5E">
        <w:rPr>
          <w:rFonts w:asciiTheme="minorHAnsi" w:hAnsiTheme="minorHAnsi" w:cstheme="minorBidi"/>
          <w:i/>
          <w:iCs/>
        </w:rPr>
        <w:t>s</w:t>
      </w:r>
      <w:r w:rsidRPr="0098358F">
        <w:rPr>
          <w:rFonts w:asciiTheme="minorHAnsi" w:hAnsiTheme="minorHAnsi" w:cstheme="minorBidi"/>
          <w:i/>
          <w:iCs/>
        </w:rPr>
        <w:t xml:space="preserve"> and </w:t>
      </w:r>
      <w:r w:rsidR="3DF29738" w:rsidRPr="6E4C0E7C">
        <w:rPr>
          <w:rFonts w:asciiTheme="minorHAnsi" w:hAnsiTheme="minorHAnsi" w:cstheme="minorBidi"/>
          <w:i/>
          <w:iCs/>
        </w:rPr>
        <w:t xml:space="preserve">the </w:t>
      </w:r>
      <w:r w:rsidRPr="6E4C0E7C">
        <w:rPr>
          <w:rFonts w:asciiTheme="minorHAnsi" w:hAnsiTheme="minorHAnsi" w:cstheme="minorBidi"/>
          <w:i/>
          <w:iCs/>
        </w:rPr>
        <w:t>RCPA</w:t>
      </w:r>
      <w:r w:rsidRPr="0098358F">
        <w:rPr>
          <w:rFonts w:asciiTheme="minorHAnsi" w:hAnsiTheme="minorHAnsi" w:cstheme="minorBidi"/>
          <w:i/>
          <w:iCs/>
        </w:rPr>
        <w:t xml:space="preserve"> to determine an appropriate fee for CLDN18.2 testing. PASC raised the importance of keeping any out-of-pocket costs to a minimum in the consideration of the revised item fee. The applicant noted there would be no anticipated out-of-pocket costs for patients.</w:t>
      </w:r>
    </w:p>
    <w:p w14:paraId="22DC2F11" w14:textId="6783A8CE" w:rsidR="00DF324C" w:rsidRPr="008971A0" w:rsidRDefault="00AA23C4" w:rsidP="008971A0">
      <w:pPr>
        <w:spacing w:after="0"/>
        <w:textAlignment w:val="baseline"/>
        <w:rPr>
          <w:rFonts w:eastAsia="Times New Roman" w:cs="Calibri"/>
          <w:lang w:eastAsia="en-AU"/>
        </w:rPr>
      </w:pPr>
      <w:r>
        <w:rPr>
          <w:rFonts w:eastAsia="Times New Roman" w:cs="Calibri"/>
          <w:lang w:eastAsia="en-AU"/>
        </w:rPr>
        <w:t xml:space="preserve">Following the PASC </w:t>
      </w:r>
      <w:r w:rsidR="00DD209D">
        <w:rPr>
          <w:rFonts w:eastAsia="Times New Roman" w:cs="Calibri"/>
          <w:lang w:eastAsia="en-AU"/>
        </w:rPr>
        <w:t>meeting</w:t>
      </w:r>
      <w:r>
        <w:rPr>
          <w:rFonts w:eastAsia="Times New Roman" w:cs="Calibri"/>
          <w:lang w:eastAsia="en-AU"/>
        </w:rPr>
        <w:t xml:space="preserve">, </w:t>
      </w:r>
      <w:r w:rsidR="00DF324C" w:rsidRPr="00DF324C">
        <w:rPr>
          <w:rFonts w:eastAsia="Times New Roman" w:cs="Calibri"/>
          <w:lang w:eastAsia="en-AU"/>
        </w:rPr>
        <w:t xml:space="preserve">the evaluation group updated the </w:t>
      </w:r>
      <w:r w:rsidR="006F0B63">
        <w:rPr>
          <w:rFonts w:eastAsia="Times New Roman" w:cs="Calibri"/>
          <w:lang w:eastAsia="en-AU"/>
        </w:rPr>
        <w:t xml:space="preserve">MBS </w:t>
      </w:r>
      <w:r w:rsidR="00DF324C" w:rsidRPr="00DF324C">
        <w:rPr>
          <w:rFonts w:eastAsia="Times New Roman" w:cs="Calibri"/>
          <w:lang w:eastAsia="en-AU"/>
        </w:rPr>
        <w:t>item descriptor</w:t>
      </w:r>
      <w:r w:rsidR="006F0B63">
        <w:rPr>
          <w:rFonts w:eastAsia="Times New Roman" w:cs="Calibri"/>
          <w:lang w:eastAsia="en-AU"/>
        </w:rPr>
        <w:t xml:space="preserve"> to align with PASC advice</w:t>
      </w:r>
      <w:r w:rsidR="00DF324C" w:rsidRPr="00DF324C">
        <w:rPr>
          <w:rFonts w:eastAsia="Times New Roman" w:cs="Calibri"/>
          <w:lang w:eastAsia="en-AU"/>
        </w:rPr>
        <w:t xml:space="preserve"> (</w:t>
      </w:r>
      <w:r w:rsidR="0070404D">
        <w:rPr>
          <w:rFonts w:eastAsia="Times New Roman" w:cs="Calibri"/>
          <w:lang w:eastAsia="en-AU"/>
        </w:rPr>
        <w:fldChar w:fldCharType="begin"/>
      </w:r>
      <w:r w:rsidR="0070404D">
        <w:rPr>
          <w:rFonts w:eastAsia="Times New Roman" w:cs="Calibri"/>
          <w:lang w:eastAsia="en-AU"/>
        </w:rPr>
        <w:instrText xml:space="preserve"> REF _Ref166154740 \h </w:instrText>
      </w:r>
      <w:r w:rsidR="008971A0">
        <w:rPr>
          <w:rFonts w:eastAsia="Times New Roman" w:cs="Calibri"/>
          <w:lang w:eastAsia="en-AU"/>
        </w:rPr>
        <w:instrText xml:space="preserve"> \* MERGEFORMAT </w:instrText>
      </w:r>
      <w:r w:rsidR="0070404D">
        <w:rPr>
          <w:rFonts w:eastAsia="Times New Roman" w:cs="Calibri"/>
          <w:lang w:eastAsia="en-AU"/>
        </w:rPr>
      </w:r>
      <w:r w:rsidR="0070404D">
        <w:rPr>
          <w:rFonts w:eastAsia="Times New Roman" w:cs="Calibri"/>
          <w:lang w:eastAsia="en-AU"/>
        </w:rPr>
        <w:fldChar w:fldCharType="separate"/>
      </w:r>
      <w:r w:rsidR="00310004">
        <w:t xml:space="preserve">Table </w:t>
      </w:r>
      <w:r w:rsidR="00310004">
        <w:rPr>
          <w:noProof/>
        </w:rPr>
        <w:t>8</w:t>
      </w:r>
      <w:r w:rsidR="0070404D">
        <w:rPr>
          <w:rFonts w:eastAsia="Times New Roman" w:cs="Calibri"/>
          <w:lang w:eastAsia="en-AU"/>
        </w:rPr>
        <w:fldChar w:fldCharType="end"/>
      </w:r>
      <w:r w:rsidR="00DF324C" w:rsidRPr="00DF324C">
        <w:rPr>
          <w:rFonts w:eastAsia="Times New Roman" w:cs="Calibri"/>
          <w:lang w:eastAsia="en-AU"/>
        </w:rPr>
        <w:t>)</w:t>
      </w:r>
      <w:r w:rsidR="00DF324C" w:rsidRPr="0099678B">
        <w:rPr>
          <w:rFonts w:eastAsia="Times New Roman" w:cs="Calibri"/>
          <w:i/>
          <w:iCs/>
          <w:lang w:eastAsia="en-AU"/>
        </w:rPr>
        <w:t>. </w:t>
      </w:r>
    </w:p>
    <w:p w14:paraId="571DFFCF" w14:textId="3FAAF96C" w:rsidR="00DF324C" w:rsidRPr="00DF324C" w:rsidRDefault="008B0A16" w:rsidP="7B12295A">
      <w:pPr>
        <w:pStyle w:val="Caption"/>
        <w:rPr>
          <w:rFonts w:ascii="Segoe UI" w:hAnsi="Segoe UI" w:cs="Segoe UI"/>
          <w:sz w:val="18"/>
          <w:szCs w:val="18"/>
          <w:lang w:eastAsia="en-AU"/>
        </w:rPr>
      </w:pPr>
      <w:bookmarkStart w:id="13" w:name="_Ref166154740"/>
      <w:r>
        <w:t xml:space="preserve">Table </w:t>
      </w:r>
      <w:r>
        <w:fldChar w:fldCharType="begin"/>
      </w:r>
      <w:r>
        <w:instrText xml:space="preserve"> SEQ Table \* ARABIC </w:instrText>
      </w:r>
      <w:r>
        <w:fldChar w:fldCharType="separate"/>
      </w:r>
      <w:r w:rsidR="00310004">
        <w:rPr>
          <w:noProof/>
        </w:rPr>
        <w:t>8</w:t>
      </w:r>
      <w:r>
        <w:fldChar w:fldCharType="end"/>
      </w:r>
      <w:bookmarkEnd w:id="13"/>
      <w:r>
        <w:t xml:space="preserve">: </w:t>
      </w:r>
      <w:r w:rsidR="006F0B63" w:rsidRPr="7B12295A">
        <w:rPr>
          <w:rFonts w:cs="Segoe UI"/>
          <w:lang w:eastAsia="en-AU"/>
        </w:rPr>
        <w:t>Proposed i</w:t>
      </w:r>
      <w:r w:rsidR="00DF324C" w:rsidRPr="7B12295A">
        <w:rPr>
          <w:rFonts w:cs="Segoe UI"/>
          <w:lang w:eastAsia="en-AU"/>
        </w:rPr>
        <w:t>tem descriptor</w:t>
      </w:r>
      <w:r w:rsidR="006F0B63" w:rsidRPr="7B12295A">
        <w:rPr>
          <w:rFonts w:cs="Segoe UI"/>
          <w:lang w:eastAsia="en-AU"/>
        </w:rPr>
        <w:t xml:space="preserve"> based on PASC advice</w:t>
      </w:r>
      <w:r w:rsidR="00DF324C" w:rsidRPr="7B12295A">
        <w:rPr>
          <w:rFonts w:cs="Segoe UI"/>
          <w:lang w:eastAsia="en-AU"/>
        </w:rPr>
        <w:t xml:space="preserve">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roposed Item Descriptor Table"/>
      </w:tblPr>
      <w:tblGrid>
        <w:gridCol w:w="9064"/>
      </w:tblGrid>
      <w:tr w:rsidR="00DF324C" w:rsidRPr="00DF324C" w14:paraId="4B24BD14" w14:textId="77777777" w:rsidTr="01D1A7CA">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34EB8A48" w14:textId="77777777" w:rsidR="00DF324C" w:rsidRPr="00DF324C" w:rsidRDefault="00DF324C" w:rsidP="00DF324C">
            <w:pPr>
              <w:spacing w:after="0" w:line="240" w:lineRule="auto"/>
              <w:textAlignment w:val="baseline"/>
              <w:divId w:val="251016918"/>
              <w:rPr>
                <w:rFonts w:ascii="Times New Roman" w:eastAsia="Times New Roman" w:hAnsi="Times New Roman"/>
                <w:sz w:val="24"/>
                <w:szCs w:val="24"/>
                <w:lang w:eastAsia="en-AU"/>
              </w:rPr>
            </w:pPr>
            <w:r w:rsidRPr="00DF324C">
              <w:rPr>
                <w:rFonts w:ascii="Arial Narrow" w:eastAsia="Times New Roman" w:hAnsi="Arial Narrow"/>
                <w:sz w:val="20"/>
                <w:szCs w:val="20"/>
                <w:lang w:eastAsia="en-AU"/>
              </w:rPr>
              <w:t xml:space="preserve">Category </w:t>
            </w:r>
            <w:r w:rsidRPr="00DF324C">
              <w:rPr>
                <w:rFonts w:eastAsia="Times New Roman" w:cs="Calibri"/>
                <w:sz w:val="24"/>
                <w:szCs w:val="24"/>
                <w:lang w:eastAsia="en-AU"/>
              </w:rPr>
              <w:t>6 – PATHOLOGY SERVICES </w:t>
            </w:r>
          </w:p>
        </w:tc>
      </w:tr>
      <w:tr w:rsidR="00DF324C" w:rsidRPr="00DF324C" w14:paraId="579F700B" w14:textId="77777777" w:rsidTr="01D1A7CA">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auto"/>
            <w:hideMark/>
          </w:tcPr>
          <w:p w14:paraId="5B7688B2" w14:textId="77777777" w:rsidR="00DF324C" w:rsidRPr="00DF324C" w:rsidRDefault="00DF324C" w:rsidP="00DF324C">
            <w:pPr>
              <w:spacing w:after="0" w:line="240" w:lineRule="auto"/>
              <w:textAlignment w:val="baseline"/>
              <w:rPr>
                <w:rFonts w:ascii="Times New Roman" w:eastAsia="Times New Roman" w:hAnsi="Times New Roman"/>
                <w:sz w:val="24"/>
                <w:szCs w:val="24"/>
                <w:lang w:eastAsia="en-AU"/>
              </w:rPr>
            </w:pPr>
            <w:r w:rsidRPr="00DF324C">
              <w:rPr>
                <w:rFonts w:ascii="Arial Narrow" w:eastAsia="Times New Roman" w:hAnsi="Arial Narrow"/>
                <w:sz w:val="20"/>
                <w:szCs w:val="20"/>
                <w:lang w:eastAsia="en-AU"/>
              </w:rPr>
              <w:t>MBS item *XXXX </w:t>
            </w:r>
          </w:p>
          <w:p w14:paraId="6D670C19" w14:textId="40B6FF94" w:rsidR="00DF324C" w:rsidRDefault="00DF324C" w:rsidP="00DF324C">
            <w:pPr>
              <w:spacing w:after="0" w:line="240" w:lineRule="auto"/>
              <w:textAlignment w:val="baseline"/>
              <w:rPr>
                <w:rFonts w:ascii="Arial Narrow" w:eastAsia="Times New Roman" w:hAnsi="Arial Narrow"/>
                <w:sz w:val="20"/>
                <w:szCs w:val="20"/>
                <w:lang w:eastAsia="en-AU"/>
              </w:rPr>
            </w:pPr>
            <w:r w:rsidRPr="00DF324C">
              <w:rPr>
                <w:rFonts w:ascii="Arial Narrow" w:eastAsia="Times New Roman" w:hAnsi="Arial Narrow"/>
                <w:sz w:val="20"/>
                <w:szCs w:val="20"/>
                <w:lang w:eastAsia="en-AU"/>
              </w:rPr>
              <w:t xml:space="preserve">Immunohistochemical examination of tumour </w:t>
            </w:r>
            <w:r w:rsidR="00A15F7D">
              <w:rPr>
                <w:rFonts w:ascii="Arial Narrow" w:eastAsia="Times New Roman" w:hAnsi="Arial Narrow"/>
                <w:sz w:val="20"/>
                <w:szCs w:val="20"/>
                <w:lang w:eastAsia="en-AU"/>
              </w:rPr>
              <w:t>tissue</w:t>
            </w:r>
            <w:r w:rsidRPr="00DF324C">
              <w:rPr>
                <w:rFonts w:ascii="Arial Narrow" w:eastAsia="Times New Roman" w:hAnsi="Arial Narrow"/>
                <w:sz w:val="20"/>
                <w:szCs w:val="20"/>
                <w:lang w:eastAsia="en-AU"/>
              </w:rPr>
              <w:t xml:space="preserve"> from a patient with locally advanced unresectable or metastatic gastric/gastro-oesophageal junction adenocarcinoma to determine the requirements relating to CLDN18 expression for access to</w:t>
            </w:r>
            <w:r w:rsidR="006F0B63">
              <w:rPr>
                <w:rFonts w:ascii="Arial Narrow" w:eastAsia="Times New Roman" w:hAnsi="Arial Narrow"/>
                <w:sz w:val="20"/>
                <w:szCs w:val="20"/>
                <w:lang w:eastAsia="en-AU"/>
              </w:rPr>
              <w:t xml:space="preserve"> a relevant</w:t>
            </w:r>
            <w:r w:rsidRPr="00DF324C">
              <w:rPr>
                <w:rFonts w:ascii="Arial Narrow" w:eastAsia="Times New Roman" w:hAnsi="Arial Narrow"/>
                <w:sz w:val="20"/>
                <w:szCs w:val="20"/>
                <w:lang w:eastAsia="en-AU"/>
              </w:rPr>
              <w:t xml:space="preserve"> treatment</w:t>
            </w:r>
            <w:r w:rsidR="006F0B63">
              <w:rPr>
                <w:rFonts w:ascii="Arial Narrow" w:eastAsia="Times New Roman" w:hAnsi="Arial Narrow"/>
                <w:sz w:val="20"/>
                <w:szCs w:val="20"/>
                <w:lang w:eastAsia="en-AU"/>
              </w:rPr>
              <w:t xml:space="preserve"> listed</w:t>
            </w:r>
            <w:r w:rsidRPr="00DF324C">
              <w:rPr>
                <w:rFonts w:ascii="Arial Narrow" w:eastAsia="Times New Roman" w:hAnsi="Arial Narrow"/>
                <w:sz w:val="20"/>
                <w:szCs w:val="20"/>
                <w:lang w:eastAsia="en-AU"/>
              </w:rPr>
              <w:t xml:space="preserve"> under the Pharmaceutical Benefits Scheme (PBS) are fulfilled. </w:t>
            </w:r>
          </w:p>
          <w:p w14:paraId="7B6CF2E6" w14:textId="77777777" w:rsidR="0076782B" w:rsidRPr="00DF324C" w:rsidRDefault="0076782B" w:rsidP="00DF324C">
            <w:pPr>
              <w:spacing w:after="0" w:line="240" w:lineRule="auto"/>
              <w:textAlignment w:val="baseline"/>
              <w:rPr>
                <w:rFonts w:ascii="Times New Roman" w:eastAsia="Times New Roman" w:hAnsi="Times New Roman"/>
                <w:sz w:val="24"/>
                <w:szCs w:val="24"/>
                <w:lang w:eastAsia="en-AU"/>
              </w:rPr>
            </w:pPr>
          </w:p>
          <w:p w14:paraId="13B3A3FF" w14:textId="77777777" w:rsidR="00DF324C" w:rsidRDefault="00DF324C" w:rsidP="00DF324C">
            <w:pPr>
              <w:spacing w:after="0" w:line="240" w:lineRule="auto"/>
              <w:textAlignment w:val="baseline"/>
              <w:rPr>
                <w:rFonts w:ascii="Arial Narrow" w:eastAsia="Times New Roman" w:hAnsi="Arial Narrow"/>
                <w:sz w:val="20"/>
                <w:szCs w:val="20"/>
                <w:lang w:eastAsia="en-AU"/>
              </w:rPr>
            </w:pPr>
            <w:r w:rsidRPr="01D1A7CA">
              <w:rPr>
                <w:rFonts w:ascii="Arial Narrow" w:eastAsia="Times New Roman" w:hAnsi="Arial Narrow"/>
                <w:sz w:val="20"/>
                <w:szCs w:val="20"/>
                <w:lang w:eastAsia="en-AU"/>
              </w:rPr>
              <w:t>The service is requested by an oncologist. </w:t>
            </w:r>
          </w:p>
          <w:p w14:paraId="25480974" w14:textId="4031375F" w:rsidR="0076782B" w:rsidRPr="00DF324C" w:rsidRDefault="0076782B" w:rsidP="00DF324C">
            <w:pPr>
              <w:spacing w:after="0" w:line="240" w:lineRule="auto"/>
              <w:textAlignment w:val="baseline"/>
              <w:rPr>
                <w:rFonts w:ascii="Times New Roman" w:eastAsia="Times New Roman" w:hAnsi="Times New Roman"/>
                <w:sz w:val="24"/>
                <w:szCs w:val="24"/>
                <w:lang w:eastAsia="en-AU"/>
              </w:rPr>
            </w:pPr>
          </w:p>
        </w:tc>
      </w:tr>
      <w:tr w:rsidR="00DF324C" w:rsidRPr="00DF324C" w14:paraId="2C65A5A9" w14:textId="77777777" w:rsidTr="01D1A7CA">
        <w:trPr>
          <w:trHeight w:val="300"/>
        </w:trPr>
        <w:tc>
          <w:tcPr>
            <w:tcW w:w="906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9A4C16" w14:textId="77777777" w:rsidR="00DF324C" w:rsidRPr="00DF324C" w:rsidRDefault="00DF324C" w:rsidP="00DF324C">
            <w:pPr>
              <w:spacing w:after="0" w:line="240" w:lineRule="auto"/>
              <w:textAlignment w:val="baseline"/>
              <w:rPr>
                <w:rFonts w:ascii="Times New Roman" w:eastAsia="Times New Roman" w:hAnsi="Times New Roman"/>
                <w:sz w:val="24"/>
                <w:szCs w:val="24"/>
                <w:lang w:eastAsia="en-AU"/>
              </w:rPr>
            </w:pPr>
            <w:r w:rsidRPr="00DF324C">
              <w:rPr>
                <w:rFonts w:ascii="Arial Narrow" w:eastAsia="Times New Roman" w:hAnsi="Arial Narrow"/>
                <w:sz w:val="20"/>
                <w:szCs w:val="20"/>
                <w:lang w:eastAsia="en-AU"/>
              </w:rPr>
              <w:t>Fee: $TBD </w:t>
            </w:r>
          </w:p>
        </w:tc>
      </w:tr>
    </w:tbl>
    <w:p w14:paraId="74F7299C" w14:textId="7E79889C" w:rsidR="000C1DD7" w:rsidRPr="009F7515" w:rsidRDefault="00DF324C" w:rsidP="009F7515">
      <w:pPr>
        <w:spacing w:after="0" w:line="240" w:lineRule="auto"/>
        <w:jc w:val="both"/>
        <w:textAlignment w:val="baseline"/>
        <w:rPr>
          <w:rFonts w:ascii="Segoe UI" w:eastAsia="Times New Roman" w:hAnsi="Segoe UI" w:cs="Segoe UI"/>
          <w:sz w:val="18"/>
          <w:szCs w:val="18"/>
          <w:lang w:eastAsia="en-AU"/>
        </w:rPr>
      </w:pPr>
      <w:r w:rsidRPr="00DF324C">
        <w:rPr>
          <w:rFonts w:ascii="Arial Narrow" w:eastAsia="Times New Roman" w:hAnsi="Arial Narrow" w:cs="Segoe UI"/>
          <w:sz w:val="18"/>
          <w:szCs w:val="18"/>
          <w:lang w:eastAsia="en-AU"/>
        </w:rPr>
        <w:t>. </w:t>
      </w:r>
    </w:p>
    <w:p w14:paraId="62338695" w14:textId="302B6BE0" w:rsidR="00D37A3F" w:rsidRDefault="003F0A39" w:rsidP="00713728">
      <w:pPr>
        <w:pStyle w:val="Heading2"/>
        <w:rPr>
          <w:color w:val="auto"/>
        </w:rPr>
      </w:pPr>
      <w:r w:rsidRPr="00A74972">
        <w:rPr>
          <w:color w:val="auto"/>
        </w:rPr>
        <w:lastRenderedPageBreak/>
        <w:t xml:space="preserve">Summary of public consultation </w:t>
      </w:r>
      <w:r w:rsidR="00E470B0" w:rsidRPr="00A74972">
        <w:rPr>
          <w:color w:val="auto"/>
        </w:rPr>
        <w:t>input</w:t>
      </w:r>
    </w:p>
    <w:p w14:paraId="4C8CF2B1" w14:textId="1DE263EB" w:rsidR="0DDF667E" w:rsidRDefault="0DDF667E" w:rsidP="3594800A">
      <w:pPr>
        <w:spacing w:after="120" w:line="257" w:lineRule="auto"/>
        <w:rPr>
          <w:rFonts w:cs="Calibri"/>
        </w:rPr>
      </w:pPr>
      <w:r w:rsidRPr="3594800A">
        <w:rPr>
          <w:rFonts w:cs="Calibri"/>
          <w:i/>
          <w:iCs/>
        </w:rPr>
        <w:t>PASC noted and welcomed consultation input from</w:t>
      </w:r>
      <w:r w:rsidRPr="3594800A">
        <w:rPr>
          <w:rFonts w:cs="Calibri"/>
        </w:rPr>
        <w:t xml:space="preserve"> </w:t>
      </w:r>
      <w:r w:rsidR="0839ED66" w:rsidRPr="424EC5AD">
        <w:rPr>
          <w:rFonts w:cs="Calibri"/>
        </w:rPr>
        <w:t>two</w:t>
      </w:r>
      <w:r w:rsidRPr="424EC5AD">
        <w:rPr>
          <w:rFonts w:cs="Calibri"/>
        </w:rPr>
        <w:t xml:space="preserve"> </w:t>
      </w:r>
      <w:r w:rsidRPr="424EC5AD">
        <w:rPr>
          <w:rFonts w:cs="Calibri"/>
          <w:i/>
          <w:iCs/>
        </w:rPr>
        <w:t xml:space="preserve">organisations. The </w:t>
      </w:r>
      <w:r w:rsidR="2AD76BCB" w:rsidRPr="138E2E6D">
        <w:rPr>
          <w:rFonts w:cs="Calibri"/>
          <w:i/>
          <w:iCs/>
        </w:rPr>
        <w:t>two</w:t>
      </w:r>
      <w:r w:rsidRPr="424EC5AD">
        <w:rPr>
          <w:rFonts w:cs="Calibri"/>
          <w:i/>
        </w:rPr>
        <w:t xml:space="preserve"> </w:t>
      </w:r>
      <w:r w:rsidRPr="3594800A">
        <w:rPr>
          <w:rFonts w:cs="Calibri"/>
          <w:i/>
          <w:iCs/>
        </w:rPr>
        <w:t>organisations that submitted input were:</w:t>
      </w:r>
      <w:r w:rsidRPr="3594800A">
        <w:rPr>
          <w:rFonts w:cs="Calibri"/>
        </w:rPr>
        <w:t xml:space="preserve"> </w:t>
      </w:r>
    </w:p>
    <w:p w14:paraId="1BE1867F" w14:textId="22E7C116" w:rsidR="0DDF667E" w:rsidRDefault="0DDF667E" w:rsidP="00E227DB">
      <w:pPr>
        <w:pStyle w:val="ListParagraph"/>
        <w:numPr>
          <w:ilvl w:val="0"/>
          <w:numId w:val="13"/>
        </w:numPr>
        <w:spacing w:after="0" w:line="257" w:lineRule="auto"/>
        <w:rPr>
          <w:rFonts w:cs="Calibri"/>
        </w:rPr>
      </w:pPr>
      <w:r w:rsidRPr="3594800A">
        <w:rPr>
          <w:rFonts w:cs="Calibri"/>
        </w:rPr>
        <w:t>Australian Pathology</w:t>
      </w:r>
    </w:p>
    <w:p w14:paraId="368E40FF" w14:textId="20AB149A" w:rsidR="0DDF667E" w:rsidRDefault="2A1A1325" w:rsidP="00E227DB">
      <w:pPr>
        <w:pStyle w:val="ListParagraph"/>
        <w:numPr>
          <w:ilvl w:val="0"/>
          <w:numId w:val="13"/>
        </w:numPr>
        <w:spacing w:after="0" w:line="257" w:lineRule="auto"/>
        <w:rPr>
          <w:rFonts w:cs="Calibri"/>
        </w:rPr>
      </w:pPr>
      <w:r w:rsidRPr="1AF95240">
        <w:rPr>
          <w:rFonts w:cs="Calibri"/>
        </w:rPr>
        <w:t xml:space="preserve">The </w:t>
      </w:r>
      <w:r w:rsidR="0DDF667E" w:rsidRPr="3594800A">
        <w:rPr>
          <w:rFonts w:cs="Calibri"/>
        </w:rPr>
        <w:t>Royal College of Pathologists of Australasia (</w:t>
      </w:r>
      <w:r w:rsidR="7A1CE241" w:rsidRPr="6036CACB">
        <w:rPr>
          <w:rFonts w:cs="Calibri"/>
        </w:rPr>
        <w:t xml:space="preserve">the </w:t>
      </w:r>
      <w:r w:rsidR="0DDF667E" w:rsidRPr="3594800A">
        <w:rPr>
          <w:rFonts w:cs="Calibri"/>
        </w:rPr>
        <w:t>RCPA)</w:t>
      </w:r>
    </w:p>
    <w:p w14:paraId="057AC113" w14:textId="77777777" w:rsidR="00962623" w:rsidRDefault="00962623" w:rsidP="00962623">
      <w:pPr>
        <w:pStyle w:val="ListParagraph"/>
        <w:spacing w:after="0" w:line="257" w:lineRule="auto"/>
        <w:rPr>
          <w:rFonts w:cs="Calibri"/>
        </w:rPr>
      </w:pPr>
    </w:p>
    <w:p w14:paraId="315262E0" w14:textId="1207F266" w:rsidR="0DDF667E" w:rsidRDefault="0DDF667E" w:rsidP="3594800A">
      <w:pPr>
        <w:spacing w:after="160" w:line="257" w:lineRule="auto"/>
        <w:rPr>
          <w:rFonts w:cs="Calibri"/>
        </w:rPr>
      </w:pPr>
      <w:r w:rsidRPr="3594800A">
        <w:rPr>
          <w:rFonts w:cs="Calibri"/>
        </w:rPr>
        <w:t xml:space="preserve">There was no input from consumers or consumer organisations. The consultation feedback received was all supportive of public funding for </w:t>
      </w:r>
      <w:r w:rsidR="00D811B8">
        <w:rPr>
          <w:rFonts w:cs="Calibri"/>
        </w:rPr>
        <w:t>IHC</w:t>
      </w:r>
      <w:r w:rsidR="00D811B8" w:rsidRPr="3594800A">
        <w:rPr>
          <w:rFonts w:cs="Calibri"/>
        </w:rPr>
        <w:t xml:space="preserve"> </w:t>
      </w:r>
      <w:r w:rsidRPr="3594800A">
        <w:rPr>
          <w:rFonts w:cs="Calibri"/>
        </w:rPr>
        <w:t xml:space="preserve">testing for Claudin 18 expression in patients with </w:t>
      </w:r>
      <w:r w:rsidR="00D811B8">
        <w:rPr>
          <w:rFonts w:cs="Calibri"/>
        </w:rPr>
        <w:t>G/GOJ</w:t>
      </w:r>
      <w:r w:rsidRPr="3594800A">
        <w:rPr>
          <w:rFonts w:cs="Calibri"/>
        </w:rPr>
        <w:t xml:space="preserve"> cancers, to determine eligibility for PBS subsidised zolbetuximab treatment. </w:t>
      </w:r>
    </w:p>
    <w:p w14:paraId="72AEC881" w14:textId="370D5D16" w:rsidR="0DDF667E" w:rsidRDefault="0DDF667E" w:rsidP="3594800A">
      <w:pPr>
        <w:spacing w:after="160" w:line="257" w:lineRule="auto"/>
        <w:rPr>
          <w:rFonts w:cs="Calibri"/>
          <w:b/>
          <w:bCs/>
        </w:rPr>
      </w:pPr>
      <w:bookmarkStart w:id="14" w:name="_Int_afVfJd7O"/>
      <w:r w:rsidRPr="3594800A">
        <w:rPr>
          <w:rFonts w:cs="Calibri"/>
          <w:b/>
          <w:bCs/>
        </w:rPr>
        <w:t>Clinical need and public health significance</w:t>
      </w:r>
      <w:bookmarkEnd w:id="14"/>
    </w:p>
    <w:p w14:paraId="60F87D66" w14:textId="0FE4193E" w:rsidR="0DDF667E" w:rsidRDefault="0DDF667E" w:rsidP="3594800A">
      <w:pPr>
        <w:spacing w:after="160" w:line="257" w:lineRule="auto"/>
        <w:rPr>
          <w:rFonts w:cs="Calibri"/>
        </w:rPr>
      </w:pPr>
      <w:bookmarkStart w:id="15" w:name="_Int_J21iAEB4"/>
      <w:r w:rsidRPr="3594800A">
        <w:rPr>
          <w:rFonts w:cs="Calibri"/>
        </w:rPr>
        <w:t>The main benefits of public funding received in the consultation feedback included, proposed service ability to inform clinicians to provide the best possible treatment to targeted population of patients.</w:t>
      </w:r>
      <w:bookmarkEnd w:id="15"/>
    </w:p>
    <w:p w14:paraId="41DE960A" w14:textId="58BEE2E4" w:rsidR="0DDF667E" w:rsidRDefault="0DDF667E" w:rsidP="004E66CA">
      <w:pPr>
        <w:spacing w:after="160" w:line="257" w:lineRule="auto"/>
        <w:ind w:left="-20" w:right="-20"/>
        <w:rPr>
          <w:rFonts w:cs="Calibri"/>
          <w:b/>
          <w:bCs/>
        </w:rPr>
      </w:pPr>
      <w:bookmarkStart w:id="16" w:name="_Int_kyX7rDjC"/>
      <w:r w:rsidRPr="3594800A">
        <w:rPr>
          <w:rFonts w:cs="Calibri"/>
          <w:b/>
          <w:bCs/>
        </w:rPr>
        <w:t>Indication(s) for the proposed medical service and clinical claim</w:t>
      </w:r>
      <w:bookmarkEnd w:id="16"/>
    </w:p>
    <w:p w14:paraId="190211E4" w14:textId="21E9CCF9" w:rsidR="0DDF667E" w:rsidRDefault="0DDF667E" w:rsidP="3594800A">
      <w:pPr>
        <w:spacing w:after="160" w:line="257" w:lineRule="auto"/>
        <w:rPr>
          <w:rFonts w:cs="Calibri"/>
          <w:color w:val="FF0000"/>
        </w:rPr>
      </w:pPr>
      <w:bookmarkStart w:id="17" w:name="_Int_NWslhgZm"/>
      <w:r w:rsidRPr="3594800A">
        <w:rPr>
          <w:rFonts w:cs="Calibri"/>
        </w:rPr>
        <w:t>The consultation feedback strongly agreed with population and comparator.</w:t>
      </w:r>
      <w:r w:rsidRPr="3594800A">
        <w:rPr>
          <w:rFonts w:cs="Calibri"/>
          <w:color w:val="FF0000"/>
        </w:rPr>
        <w:t xml:space="preserve"> </w:t>
      </w:r>
      <w:bookmarkEnd w:id="17"/>
    </w:p>
    <w:p w14:paraId="695E96F7" w14:textId="045AD06C" w:rsidR="0DDF667E" w:rsidRDefault="0DDF667E" w:rsidP="3594800A">
      <w:pPr>
        <w:spacing w:after="160" w:line="257" w:lineRule="auto"/>
        <w:rPr>
          <w:rFonts w:cs="Calibri"/>
        </w:rPr>
      </w:pPr>
      <w:r w:rsidRPr="3594800A">
        <w:rPr>
          <w:rFonts w:cs="Calibri"/>
        </w:rPr>
        <w:t xml:space="preserve">The consultation feedback strongly agreed with the clinical claim with </w:t>
      </w:r>
      <w:r w:rsidR="1313FAE9" w:rsidRPr="5BEBE5C5">
        <w:rPr>
          <w:rFonts w:cs="Calibri"/>
        </w:rPr>
        <w:t xml:space="preserve">the </w:t>
      </w:r>
      <w:r w:rsidRPr="5BEBE5C5">
        <w:rPr>
          <w:rFonts w:cs="Calibri"/>
        </w:rPr>
        <w:t>RCPA</w:t>
      </w:r>
      <w:r w:rsidRPr="3594800A">
        <w:rPr>
          <w:rFonts w:cs="Calibri"/>
        </w:rPr>
        <w:t xml:space="preserve"> noting, test should be pathologist determinable.</w:t>
      </w:r>
    </w:p>
    <w:p w14:paraId="5F79D647" w14:textId="76D46E2A" w:rsidR="0DDF667E" w:rsidRDefault="0DDF667E" w:rsidP="3594800A">
      <w:pPr>
        <w:spacing w:after="160" w:line="257" w:lineRule="auto"/>
        <w:rPr>
          <w:rFonts w:cs="Calibri"/>
          <w:b/>
          <w:bCs/>
        </w:rPr>
      </w:pPr>
      <w:bookmarkStart w:id="18" w:name="_Int_urzHe2E1"/>
      <w:r w:rsidRPr="3594800A">
        <w:rPr>
          <w:rFonts w:cs="Calibri"/>
          <w:b/>
          <w:bCs/>
        </w:rPr>
        <w:t>Cost information for the proposed medical service</w:t>
      </w:r>
      <w:bookmarkEnd w:id="18"/>
    </w:p>
    <w:p w14:paraId="100CCCF0" w14:textId="0FB15E53" w:rsidR="0DDF667E" w:rsidRDefault="0DDF667E" w:rsidP="3594800A">
      <w:pPr>
        <w:spacing w:after="0"/>
        <w:rPr>
          <w:rFonts w:cs="Calibri"/>
          <w:color w:val="000000" w:themeColor="text1"/>
        </w:rPr>
      </w:pPr>
      <w:r w:rsidRPr="3594800A">
        <w:rPr>
          <w:rFonts w:cs="Calibri"/>
          <w:color w:val="000000" w:themeColor="text1"/>
        </w:rPr>
        <w:t>The consultation feedback received from both organisations strongly support</w:t>
      </w:r>
      <w:r w:rsidR="00D811B8">
        <w:rPr>
          <w:rFonts w:cs="Calibri"/>
          <w:color w:val="000000" w:themeColor="text1"/>
        </w:rPr>
        <w:t>ed</w:t>
      </w:r>
      <w:r w:rsidRPr="3594800A">
        <w:rPr>
          <w:rFonts w:cs="Calibri"/>
          <w:color w:val="000000" w:themeColor="text1"/>
        </w:rPr>
        <w:t xml:space="preserve"> the proposed service descriptor (as per the application form) and $550 fee for the test. </w:t>
      </w:r>
      <w:r w:rsidR="6F011858" w:rsidRPr="7F89E327">
        <w:rPr>
          <w:rFonts w:cs="Calibri"/>
          <w:color w:val="000000" w:themeColor="text1"/>
        </w:rPr>
        <w:t xml:space="preserve">The </w:t>
      </w:r>
      <w:r w:rsidRPr="7F89E327">
        <w:rPr>
          <w:rFonts w:cs="Calibri"/>
          <w:color w:val="000000" w:themeColor="text1"/>
        </w:rPr>
        <w:t>RCPA</w:t>
      </w:r>
      <w:r w:rsidRPr="3594800A">
        <w:rPr>
          <w:rFonts w:cs="Calibri"/>
          <w:color w:val="000000" w:themeColor="text1"/>
        </w:rPr>
        <w:t xml:space="preserve"> indicated that all semiquantitative IHC assays that are used to determine access to a specific drug require advanced level of validations, pathologist training and ongoing </w:t>
      </w:r>
      <w:r w:rsidR="00D811B8">
        <w:rPr>
          <w:rFonts w:cs="Calibri"/>
          <w:color w:val="000000" w:themeColor="text1"/>
        </w:rPr>
        <w:t>quality control/quality assurance</w:t>
      </w:r>
      <w:r w:rsidRPr="3594800A">
        <w:rPr>
          <w:rFonts w:cs="Calibri"/>
          <w:color w:val="000000" w:themeColor="text1"/>
        </w:rPr>
        <w:t xml:space="preserve"> to ensure they are being performed correctly. </w:t>
      </w:r>
      <w:r w:rsidR="7CC91C78" w:rsidRPr="4DDE29F8">
        <w:rPr>
          <w:rFonts w:cs="Calibri"/>
          <w:color w:val="000000" w:themeColor="text1"/>
        </w:rPr>
        <w:t xml:space="preserve">The </w:t>
      </w:r>
      <w:r w:rsidRPr="4DDE29F8">
        <w:rPr>
          <w:rFonts w:cs="Calibri"/>
          <w:color w:val="000000" w:themeColor="text1"/>
        </w:rPr>
        <w:t>RCPA</w:t>
      </w:r>
      <w:r w:rsidR="00D811B8">
        <w:rPr>
          <w:rFonts w:cs="Calibri"/>
          <w:color w:val="000000" w:themeColor="text1"/>
        </w:rPr>
        <w:t xml:space="preserve"> further noted</w:t>
      </w:r>
      <w:r w:rsidRPr="3594800A">
        <w:rPr>
          <w:rFonts w:cs="Calibri"/>
          <w:color w:val="000000" w:themeColor="text1"/>
        </w:rPr>
        <w:t xml:space="preserve"> that if the labs are using the IHC antibody for an in house developed IVD, the requirements for assay validation are more stringent and costly than those of diagnostic antibodies.</w:t>
      </w:r>
    </w:p>
    <w:p w14:paraId="65CD66CE" w14:textId="77777777" w:rsidR="0039154E" w:rsidRDefault="0039154E" w:rsidP="3594800A">
      <w:pPr>
        <w:spacing w:after="0"/>
        <w:rPr>
          <w:rFonts w:cs="Calibri"/>
          <w:color w:val="000000" w:themeColor="text1"/>
        </w:rPr>
      </w:pPr>
    </w:p>
    <w:p w14:paraId="70ED684C" w14:textId="54940364" w:rsidR="0DDF667E" w:rsidRDefault="0DDF667E" w:rsidP="3594800A">
      <w:pPr>
        <w:spacing w:after="160" w:line="257" w:lineRule="auto"/>
        <w:rPr>
          <w:rFonts w:cs="Calibri"/>
          <w:b/>
          <w:bCs/>
        </w:rPr>
      </w:pPr>
      <w:r w:rsidRPr="3594800A">
        <w:rPr>
          <w:rFonts w:cs="Calibri"/>
          <w:b/>
          <w:bCs/>
        </w:rPr>
        <w:t>Consumer Feedback</w:t>
      </w:r>
    </w:p>
    <w:p w14:paraId="3F7933AC" w14:textId="6D50FB64" w:rsidR="3594800A" w:rsidRDefault="007406FD" w:rsidP="3594800A">
      <w:r w:rsidRPr="4DDE29F8">
        <w:rPr>
          <w:rFonts w:asciiTheme="minorHAnsi" w:hAnsiTheme="minorHAnsi" w:cstheme="minorBidi"/>
          <w:i/>
        </w:rPr>
        <w:t xml:space="preserve">PASC noted that the consultation input from Australian Pathology and </w:t>
      </w:r>
      <w:r w:rsidR="6D899553" w:rsidRPr="5C3EBD8C">
        <w:rPr>
          <w:rFonts w:asciiTheme="minorHAnsi" w:hAnsiTheme="minorHAnsi" w:cstheme="minorBidi"/>
          <w:i/>
          <w:iCs/>
        </w:rPr>
        <w:t xml:space="preserve">the </w:t>
      </w:r>
      <w:r w:rsidRPr="5C3EBD8C">
        <w:rPr>
          <w:rFonts w:asciiTheme="minorHAnsi" w:hAnsiTheme="minorHAnsi" w:cstheme="minorBidi"/>
          <w:i/>
          <w:iCs/>
        </w:rPr>
        <w:t xml:space="preserve">RCPA </w:t>
      </w:r>
      <w:r w:rsidRPr="60DB213B">
        <w:rPr>
          <w:rFonts w:asciiTheme="minorHAnsi" w:hAnsiTheme="minorHAnsi" w:cstheme="minorBidi"/>
          <w:i/>
          <w:iCs/>
        </w:rPr>
        <w:t>w</w:t>
      </w:r>
      <w:r w:rsidR="120FE624" w:rsidRPr="60DB213B">
        <w:rPr>
          <w:rFonts w:asciiTheme="minorHAnsi" w:hAnsiTheme="minorHAnsi" w:cstheme="minorBidi"/>
          <w:i/>
          <w:iCs/>
        </w:rPr>
        <w:t>as</w:t>
      </w:r>
      <w:r w:rsidRPr="60DB213B">
        <w:rPr>
          <w:rFonts w:asciiTheme="minorHAnsi" w:hAnsiTheme="minorHAnsi" w:cstheme="minorBidi"/>
          <w:i/>
          <w:iCs/>
        </w:rPr>
        <w:t>e</w:t>
      </w:r>
      <w:r w:rsidRPr="4DDE29F8">
        <w:rPr>
          <w:rFonts w:asciiTheme="minorHAnsi" w:hAnsiTheme="minorHAnsi" w:cstheme="minorBidi"/>
          <w:i/>
        </w:rPr>
        <w:t xml:space="preserve"> supportive of the proposed service and the proposed MBS fee of $550. PASC further noted that the RCPA considered that the test should be pathologist determinable.</w:t>
      </w:r>
    </w:p>
    <w:p w14:paraId="4E68667F" w14:textId="77777777" w:rsidR="00D37A3F" w:rsidRPr="00A74972" w:rsidRDefault="00D37A3F" w:rsidP="00713728">
      <w:pPr>
        <w:pStyle w:val="Heading2"/>
        <w:rPr>
          <w:color w:val="auto"/>
        </w:rPr>
      </w:pPr>
      <w:r w:rsidRPr="00A74972">
        <w:rPr>
          <w:color w:val="auto"/>
        </w:rPr>
        <w:t>Next steps</w:t>
      </w:r>
    </w:p>
    <w:p w14:paraId="334197E0" w14:textId="77777777" w:rsidR="000B3DE2" w:rsidRPr="006F61AD" w:rsidRDefault="000B3DE2">
      <w:pPr>
        <w:pStyle w:val="Instructionaltext"/>
        <w:rPr>
          <w:color w:val="auto"/>
        </w:rPr>
      </w:pPr>
      <w:r w:rsidRPr="006F61AD">
        <w:rPr>
          <w:i/>
          <w:color w:val="auto"/>
        </w:rPr>
        <w:t>PASC advised that, upon ratification of the post-PASC PICO, the application can proceed to the Evaluation Sub-Committee (ESC) stage of the MSAC process.</w:t>
      </w:r>
    </w:p>
    <w:p w14:paraId="766C4251" w14:textId="2C6E8F43" w:rsidR="000B3DE2" w:rsidRDefault="000B3DE2" w:rsidP="000B3DE2">
      <w:pPr>
        <w:pStyle w:val="Instructionaltext"/>
        <w:rPr>
          <w:i/>
          <w:iCs/>
          <w:color w:val="auto"/>
        </w:rPr>
      </w:pPr>
      <w:r w:rsidRPr="0BB3A0F9">
        <w:rPr>
          <w:i/>
          <w:iCs/>
          <w:color w:val="auto"/>
        </w:rPr>
        <w:t>PASC noted the applicant has elected to progress its application as an ADAR (integrated cod</w:t>
      </w:r>
      <w:r w:rsidR="00785E20">
        <w:rPr>
          <w:i/>
          <w:iCs/>
          <w:color w:val="auto"/>
        </w:rPr>
        <w:t>e</w:t>
      </w:r>
      <w:r w:rsidRPr="0BB3A0F9">
        <w:rPr>
          <w:i/>
          <w:iCs/>
          <w:color w:val="auto"/>
        </w:rPr>
        <w:t xml:space="preserve">pendent submission).  </w:t>
      </w:r>
    </w:p>
    <w:p w14:paraId="52A1A5E1" w14:textId="77777777" w:rsidR="00312BF6" w:rsidRDefault="00312BF6" w:rsidP="00312BF6">
      <w:pPr>
        <w:pStyle w:val="Heading2"/>
      </w:pPr>
      <w:r>
        <w:t>Applicant Comments on Ratified PICO</w:t>
      </w:r>
    </w:p>
    <w:p w14:paraId="71884712" w14:textId="36D2CD54" w:rsidR="00A3201C" w:rsidRDefault="00325E87" w:rsidP="00A3201C">
      <w:pPr>
        <w:rPr>
          <w:rFonts w:ascii="Franklin Gothic Medium" w:eastAsiaTheme="majorEastAsia" w:hAnsi="Franklin Gothic Medium" w:cstheme="majorBidi"/>
          <w:sz w:val="32"/>
          <w:szCs w:val="26"/>
        </w:rPr>
      </w:pPr>
      <w:bookmarkStart w:id="19" w:name="_Hlk167437372"/>
      <w:r w:rsidRPr="00325E87">
        <w:rPr>
          <w:color w:val="000000" w:themeColor="text1"/>
        </w:rPr>
        <w:t>Applicant had no comments</w:t>
      </w:r>
      <w:bookmarkEnd w:id="19"/>
      <w:r w:rsidR="00A3201C">
        <w:rPr>
          <w:color w:val="000000" w:themeColor="text1"/>
        </w:rPr>
        <w:t>.</w:t>
      </w:r>
      <w:r w:rsidR="00A3201C">
        <w:br w:type="page"/>
      </w:r>
    </w:p>
    <w:p w14:paraId="295FE321" w14:textId="10323783" w:rsidR="0039154E" w:rsidRPr="0039154E" w:rsidRDefault="00A33126" w:rsidP="0039154E">
      <w:pPr>
        <w:pStyle w:val="Heading2"/>
      </w:pPr>
      <w:r w:rsidRPr="00A74972">
        <w:rPr>
          <w:color w:val="auto"/>
        </w:rPr>
        <w:lastRenderedPageBreak/>
        <w:t>References</w:t>
      </w:r>
      <w:r w:rsidR="0039154E">
        <w:t xml:space="preserve"> </w:t>
      </w:r>
    </w:p>
    <w:p w14:paraId="19F164A4" w14:textId="77777777" w:rsidR="004657DF" w:rsidRPr="004657DF" w:rsidRDefault="004F6E7C" w:rsidP="009D5DBB">
      <w:pPr>
        <w:pStyle w:val="EndNoteBibliography"/>
        <w:spacing w:before="100" w:beforeAutospacing="1" w:after="0"/>
        <w:ind w:left="720" w:hanging="720"/>
      </w:pPr>
      <w:r w:rsidRPr="00A74972">
        <w:fldChar w:fldCharType="begin"/>
      </w:r>
      <w:r w:rsidRPr="00A74972">
        <w:instrText xml:space="preserve"> ADDIN EN.REFLIST </w:instrText>
      </w:r>
      <w:r w:rsidRPr="00A74972">
        <w:fldChar w:fldCharType="separate"/>
      </w:r>
      <w:r w:rsidR="004657DF" w:rsidRPr="004657DF">
        <w:t xml:space="preserve">Abbas, M Nazim, Tim Bright, Timothy Price, Christos Karapetis, Sarah Thompson, Caroline Connell, David Watson, Mary Barnes, Jeff Bull, Nimit Singhal, and Amitesh Roy. 2021. 'Patterns of care and outcomes for gastric and gastro-oesophageal junction cancer in an Australian population', </w:t>
      </w:r>
      <w:r w:rsidR="004657DF" w:rsidRPr="004657DF">
        <w:rPr>
          <w:i/>
        </w:rPr>
        <w:t>ANZ Journal of Surgery</w:t>
      </w:r>
      <w:r w:rsidR="004657DF" w:rsidRPr="004657DF">
        <w:t>, 91: 2675-82.</w:t>
      </w:r>
    </w:p>
    <w:p w14:paraId="324E3073" w14:textId="0B4FA250" w:rsidR="004657DF" w:rsidRPr="004657DF" w:rsidRDefault="004657DF" w:rsidP="009D5DBB">
      <w:pPr>
        <w:pStyle w:val="EndNoteBibliography"/>
        <w:spacing w:before="100" w:beforeAutospacing="1" w:after="0"/>
        <w:ind w:left="720" w:hanging="720"/>
      </w:pPr>
      <w:r w:rsidRPr="004657DF">
        <w:t>AIHW, Australian Institute of Health Welfare. 2018. "Colorectal and other digestive-tract cancers." Canberra: AIHW.</w:t>
      </w:r>
    </w:p>
    <w:p w14:paraId="214019B3" w14:textId="77777777" w:rsidR="004657DF" w:rsidRPr="004657DF" w:rsidRDefault="004657DF" w:rsidP="009D5DBB">
      <w:pPr>
        <w:pStyle w:val="EndNoteBibliography"/>
        <w:spacing w:before="100" w:beforeAutospacing="1" w:after="0"/>
        <w:ind w:left="720" w:hanging="720"/>
      </w:pPr>
      <w:r w:rsidRPr="004657DF">
        <w:t xml:space="preserve">Bickenbach, K., and V. E. Strong. 2012. 'Comparisons of Gastric Cancer Treatments: East vs. West', </w:t>
      </w:r>
      <w:r w:rsidRPr="004657DF">
        <w:rPr>
          <w:i/>
        </w:rPr>
        <w:t>J Gastric Cancer</w:t>
      </w:r>
      <w:r w:rsidRPr="004657DF">
        <w:t>, 12: 55-62.</w:t>
      </w:r>
    </w:p>
    <w:p w14:paraId="25CB43E9" w14:textId="77777777" w:rsidR="004657DF" w:rsidRPr="004657DF" w:rsidRDefault="004657DF" w:rsidP="009D5DBB">
      <w:pPr>
        <w:pStyle w:val="EndNoteBibliography"/>
        <w:spacing w:before="100" w:beforeAutospacing="1" w:after="0"/>
        <w:ind w:left="720" w:hanging="720"/>
      </w:pPr>
      <w:r w:rsidRPr="004657DF">
        <w:t xml:space="preserve">Cao, Weijie, Haizhou Xing, Yingmei Li, Wenliang Tian, Yongping Song, Zhongxing Jiang, and Jifeng Yu. 2022. 'Claudin18. 2 is a novel molecular biomarker for tumor-targeted immunotherapy', </w:t>
      </w:r>
      <w:r w:rsidRPr="004657DF">
        <w:rPr>
          <w:i/>
        </w:rPr>
        <w:t>Biomarker Research</w:t>
      </w:r>
      <w:r w:rsidRPr="004657DF">
        <w:t>, 10: 38.</w:t>
      </w:r>
    </w:p>
    <w:p w14:paraId="49FF93FB" w14:textId="77777777" w:rsidR="004657DF" w:rsidRPr="004657DF" w:rsidRDefault="004657DF" w:rsidP="009D5DBB">
      <w:pPr>
        <w:pStyle w:val="EndNoteBibliography"/>
        <w:spacing w:before="100" w:beforeAutospacing="1" w:after="0"/>
        <w:ind w:left="720" w:hanging="720"/>
      </w:pPr>
      <w:r w:rsidRPr="004657DF">
        <w:t xml:space="preserve">Chen, Jinxia, Zhiyuan Xu, Can Hu, Shengjie Zhang, Mengli Zi, Li Yuan, and Xiangdong Cheng. 2023. 'Targeting CLDN18. 2 in cancers of the gastrointestinal tract: New drugs and new indications', </w:t>
      </w:r>
      <w:r w:rsidRPr="004657DF">
        <w:rPr>
          <w:i/>
        </w:rPr>
        <w:t>Frontiers in Oncology</w:t>
      </w:r>
      <w:r w:rsidRPr="004657DF">
        <w:t>, 13: 1132319.</w:t>
      </w:r>
    </w:p>
    <w:p w14:paraId="5C6C2B12" w14:textId="77777777" w:rsidR="004657DF" w:rsidRPr="004657DF" w:rsidRDefault="004657DF" w:rsidP="009D5DBB">
      <w:pPr>
        <w:pStyle w:val="EndNoteBibliography"/>
        <w:spacing w:before="100" w:beforeAutospacing="1" w:after="0"/>
        <w:ind w:left="720" w:hanging="720"/>
      </w:pPr>
      <w:r w:rsidRPr="004657DF">
        <w:t xml:space="preserve">Jasani, B., P. Taniere, H. U. Schildhaus, K. Blighe, S. Parry, D. Wilkinson, N. Atkey, S. Clare-Antony, C. McCabe, C. Quinn, and A. Dodson. 2024. 'Global Ring Study to Investigate the Comparability of Total Assay Performance of Commercial Claudin 18 Antibodies for Evaluation in Gastric Cancer', </w:t>
      </w:r>
      <w:r w:rsidRPr="004657DF">
        <w:rPr>
          <w:i/>
        </w:rPr>
        <w:t>Lab Invest</w:t>
      </w:r>
      <w:r w:rsidRPr="004657DF">
        <w:t>, 104: 100284.</w:t>
      </w:r>
    </w:p>
    <w:p w14:paraId="44FBA2F2" w14:textId="77777777" w:rsidR="004657DF" w:rsidRPr="004657DF" w:rsidRDefault="004657DF" w:rsidP="009D5DBB">
      <w:pPr>
        <w:pStyle w:val="EndNoteBibliography"/>
        <w:spacing w:before="100" w:beforeAutospacing="1" w:after="0"/>
        <w:ind w:left="720" w:hanging="720"/>
      </w:pPr>
      <w:r w:rsidRPr="004657DF">
        <w:t xml:space="preserve">Kayikcioglu, E., R. O. Yüceer, B. Cetin, K. Yüceer, and N. Karahan. 2023. 'Prognostic value of claudin 18.2 expression in gastric adenocarcinoma', </w:t>
      </w:r>
      <w:r w:rsidRPr="004657DF">
        <w:rPr>
          <w:i/>
        </w:rPr>
        <w:t>World J Gastrointest Oncol</w:t>
      </w:r>
      <w:r w:rsidRPr="004657DF">
        <w:t>, 15: 343-51.</w:t>
      </w:r>
    </w:p>
    <w:p w14:paraId="530B6D0B" w14:textId="77777777" w:rsidR="004657DF" w:rsidRPr="004657DF" w:rsidRDefault="004657DF" w:rsidP="009D5DBB">
      <w:pPr>
        <w:pStyle w:val="EndNoteBibliography"/>
        <w:spacing w:before="100" w:beforeAutospacing="1" w:after="0"/>
        <w:ind w:left="720" w:hanging="720"/>
      </w:pPr>
      <w:r w:rsidRPr="004657DF">
        <w:t xml:space="preserve">Kumarasinghe, M. P., A. Morey, M. Bilous, G. Farshid, G. Francis, G. Lampe, G. McCue, V. Von Neumann-Cosel, and S. B. Fox. 2017. 'HER2 testing in advanced gastric and gastro-oesophageal cancer: analysis of an Australia-wide testing program', </w:t>
      </w:r>
      <w:r w:rsidRPr="004657DF">
        <w:rPr>
          <w:i/>
        </w:rPr>
        <w:t>Pathology</w:t>
      </w:r>
      <w:r w:rsidRPr="004657DF">
        <w:t>, 49: 575-81.</w:t>
      </w:r>
    </w:p>
    <w:p w14:paraId="038F6496" w14:textId="77777777" w:rsidR="004657DF" w:rsidRPr="004657DF" w:rsidRDefault="004657DF" w:rsidP="009D5DBB">
      <w:pPr>
        <w:pStyle w:val="EndNoteBibliography"/>
        <w:spacing w:before="100" w:beforeAutospacing="1" w:after="0"/>
        <w:ind w:left="720" w:hanging="720"/>
      </w:pPr>
      <w:r w:rsidRPr="004657DF">
        <w:t xml:space="preserve">LaFemina, Michael J, Katherine M Sutherland, Trevor Bentley, Linda W Gonzales, Lennell Allen, Cheryl J Chapin, Deepti Rokkam, Kelly A Sweerus, Leland G Dobbs, and Philip L Ballard. 2014. 'Claudin-18 deficiency results in alveolar barrier dysfunction and impaired alveologenesis in mice', </w:t>
      </w:r>
      <w:r w:rsidRPr="004657DF">
        <w:rPr>
          <w:i/>
        </w:rPr>
        <w:t>American journal of respiratory cell and molecular biology</w:t>
      </w:r>
      <w:r w:rsidRPr="004657DF">
        <w:t>, 51: 550-58.</w:t>
      </w:r>
    </w:p>
    <w:p w14:paraId="7CE8CB69" w14:textId="77777777" w:rsidR="004657DF" w:rsidRPr="004657DF" w:rsidRDefault="004657DF" w:rsidP="009D5DBB">
      <w:pPr>
        <w:pStyle w:val="EndNoteBibliography"/>
        <w:spacing w:before="100" w:beforeAutospacing="1" w:after="0"/>
        <w:ind w:left="720" w:hanging="720"/>
      </w:pPr>
      <w:r w:rsidRPr="004657DF">
        <w:t xml:space="preserve">Lu, Yufeng, Tielong Wu, Yingyue Sheng, Yuanyuan Dai, Beilei Xia, and Yuzheng Xue. 2020. 'Correlation between Claudin-18 expression and clinicopathological features and prognosis in patients with gastric cancer', </w:t>
      </w:r>
      <w:r w:rsidRPr="004657DF">
        <w:rPr>
          <w:i/>
        </w:rPr>
        <w:t>Journal of Gastrointestinal Oncology</w:t>
      </w:r>
      <w:r w:rsidRPr="004657DF">
        <w:t>, 11: 1253-60.</w:t>
      </w:r>
    </w:p>
    <w:p w14:paraId="0162C77E" w14:textId="213155A7" w:rsidR="004657DF" w:rsidRPr="004657DF" w:rsidRDefault="004657DF" w:rsidP="009D5DBB">
      <w:pPr>
        <w:pStyle w:val="EndNoteBibliography"/>
        <w:spacing w:before="100" w:beforeAutospacing="1" w:after="0"/>
        <w:ind w:left="720" w:hanging="720"/>
      </w:pPr>
      <w:r w:rsidRPr="004657DF">
        <w:t xml:space="preserve">MEDx, Translational Medicine: Companion Diagnostics for Precision Medicine. 2024. 'Claudin 18.2 IHC Kit', MEDx Translational Medicine Co., Ltd. </w:t>
      </w:r>
      <w:hyperlink r:id="rId11" w:history="1">
        <w:r w:rsidRPr="004657DF">
          <w:rPr>
            <w:rStyle w:val="Hyperlink"/>
            <w:rFonts w:ascii="Calibri" w:hAnsi="Calibri" w:cs="Calibri"/>
          </w:rPr>
          <w:t>https://www.medxtmc.net/IHC_Based_Assays/Claudin_18_2_IHC_Kit.shtml</w:t>
        </w:r>
      </w:hyperlink>
      <w:r w:rsidRPr="004657DF">
        <w:t>.</w:t>
      </w:r>
    </w:p>
    <w:p w14:paraId="5A9D65EE" w14:textId="17E86DEA" w:rsidR="004657DF" w:rsidRPr="004657DF" w:rsidRDefault="004657DF" w:rsidP="009D5DBB">
      <w:pPr>
        <w:pStyle w:val="EndNoteBibliography"/>
        <w:spacing w:before="100" w:beforeAutospacing="1" w:after="0"/>
        <w:ind w:left="720" w:hanging="720"/>
      </w:pPr>
      <w:r w:rsidRPr="004657DF">
        <w:t>MSAC, Medical Services Advisory Committee. 2022. "MSAC Position Statement on programmed death-ligand 1 (PD-L1) immunohistochemistry testing to determine eligibility for treatment with PD-(L)1 checkpoint inhibitors."  Canberra: Department of Health and Aged Care.</w:t>
      </w:r>
    </w:p>
    <w:p w14:paraId="4F0B10B7" w14:textId="77777777" w:rsidR="004657DF" w:rsidRPr="004657DF" w:rsidRDefault="004657DF" w:rsidP="009D5DBB">
      <w:pPr>
        <w:pStyle w:val="EndNoteBibliography"/>
        <w:spacing w:before="100" w:beforeAutospacing="1" w:after="0"/>
        <w:ind w:left="720" w:hanging="720"/>
      </w:pPr>
      <w:r w:rsidRPr="004657DF">
        <w:lastRenderedPageBreak/>
        <w:t xml:space="preserve">Pavlakis, N., G. Tincknell, L. E. Lim, K. Muro, R. Obermannova, S. Lorenzen, Y. J. Chua, C. Jackson, C. S. Karapetis, T. Price, L. Chantrill, E. Segelov, and F. Lordick. 2022. 'European-Australasian consensus on the management of advanced gastric and gastro-oesophageal junction cancer: current practice and new directions', </w:t>
      </w:r>
      <w:r w:rsidRPr="004657DF">
        <w:rPr>
          <w:i/>
        </w:rPr>
        <w:t>Ther Adv Med Oncol</w:t>
      </w:r>
      <w:r w:rsidRPr="004657DF">
        <w:t>, 14: 17588359221118874.</w:t>
      </w:r>
    </w:p>
    <w:p w14:paraId="76D8D7E1" w14:textId="77777777" w:rsidR="004657DF" w:rsidRPr="004657DF" w:rsidRDefault="004657DF" w:rsidP="009D5DBB">
      <w:pPr>
        <w:pStyle w:val="EndNoteBibliography"/>
        <w:spacing w:before="100" w:beforeAutospacing="1" w:after="0"/>
        <w:ind w:left="720" w:hanging="720"/>
      </w:pPr>
      <w:r w:rsidRPr="0093751A">
        <w:rPr>
          <w:lang w:val="es-CL"/>
        </w:rPr>
        <w:t xml:space="preserve">Pellino, A., S. Brignola, E. Riello, M. Niero, S. Murgioni, M. Guido, F. Nappo, G. Businello, M. Sbaraglia, F. Bergamo, G. Spolverato, S. Pucciarelli, S. Merigliano, P. Pilati, F. Cavallin, S. Realdon, F. Farinati, A. P. Dei Tos, V. Zagonel, S. Lonardi, F. Loupakis, and M. Fassan. </w:t>
      </w:r>
      <w:r w:rsidRPr="004657DF">
        <w:t xml:space="preserve">2021. 'Association of CLDN18 Protein Expression with Clinicopathological Features and Prognosis in Advanced Gastric and Gastroesophageal Junction Adenocarcinomas', </w:t>
      </w:r>
      <w:r w:rsidRPr="004657DF">
        <w:rPr>
          <w:i/>
        </w:rPr>
        <w:t>J Pers Med</w:t>
      </w:r>
      <w:r w:rsidRPr="004657DF">
        <w:t>, 11.</w:t>
      </w:r>
    </w:p>
    <w:p w14:paraId="19E46FB5" w14:textId="77777777" w:rsidR="004657DF" w:rsidRPr="004657DF" w:rsidRDefault="004657DF" w:rsidP="009D5DBB">
      <w:pPr>
        <w:pStyle w:val="EndNoteBibliography"/>
        <w:spacing w:before="100" w:beforeAutospacing="1" w:after="0"/>
        <w:ind w:left="720" w:hanging="720"/>
      </w:pPr>
      <w:r w:rsidRPr="004657DF">
        <w:t xml:space="preserve">Schoemig-Markiefka, B., J. Eschbach, A. H. Scheel, A. Pamuk, J. Rueschoff, T. Zander, R. Buettner, W. Schroeder, C. J. Bruns, H. Loeser, H. Alakus, and A. Quaas. 2021. 'Optimized PD-L1 scoring of gastric cancer', </w:t>
      </w:r>
      <w:r w:rsidRPr="004657DF">
        <w:rPr>
          <w:i/>
        </w:rPr>
        <w:t>Gastric Cancer</w:t>
      </w:r>
      <w:r w:rsidRPr="004657DF">
        <w:t>, 24: 1115-22.</w:t>
      </w:r>
    </w:p>
    <w:p w14:paraId="1505445A" w14:textId="77777777" w:rsidR="004657DF" w:rsidRPr="004657DF" w:rsidRDefault="004657DF" w:rsidP="009D5DBB">
      <w:pPr>
        <w:pStyle w:val="EndNoteBibliography"/>
        <w:spacing w:before="100" w:beforeAutospacing="1" w:after="0"/>
        <w:ind w:left="720" w:hanging="720"/>
      </w:pPr>
      <w:r w:rsidRPr="004657DF">
        <w:t xml:space="preserve">Sung, Hyuna, Jacques Ferlay, Rebecca L. Siegel, Mathieu Laversanne, Isabelle Soerjomataram, Ahmedin Jemal, and Freddie Bray. 2021. 'Global Cancer Statistics 2020: GLOBOCAN Estimates of Incidence and Mortality Worldwide for 36 Cancers in 185 Countries', </w:t>
      </w:r>
      <w:r w:rsidRPr="004657DF">
        <w:rPr>
          <w:i/>
        </w:rPr>
        <w:t>CA: A Cancer Journal for Clinicians</w:t>
      </w:r>
      <w:r w:rsidRPr="004657DF">
        <w:t>, 71: 209-49.</w:t>
      </w:r>
    </w:p>
    <w:p w14:paraId="3DA8069B" w14:textId="77777777" w:rsidR="004657DF" w:rsidRPr="004657DF" w:rsidRDefault="004657DF" w:rsidP="009D5DBB">
      <w:pPr>
        <w:pStyle w:val="EndNoteBibliography"/>
        <w:spacing w:before="100" w:beforeAutospacing="1"/>
        <w:ind w:left="720" w:hanging="720"/>
      </w:pPr>
      <w:r w:rsidRPr="004657DF">
        <w:t xml:space="preserve">Van Cutsem, Eric, Xavier Sagaert, Baki Topal, Karin Haustermans, and Hans Prenen. 2016. 'Gastric cancer', </w:t>
      </w:r>
      <w:r w:rsidRPr="004657DF">
        <w:rPr>
          <w:i/>
        </w:rPr>
        <w:t>The Lancet</w:t>
      </w:r>
      <w:r w:rsidRPr="004657DF">
        <w:t>, 388: 2654-64.</w:t>
      </w:r>
    </w:p>
    <w:p w14:paraId="3923ED2A" w14:textId="2899928E" w:rsidR="005A0C40" w:rsidRPr="00A74972" w:rsidRDefault="004F6E7C" w:rsidP="009D5DBB">
      <w:pPr>
        <w:pStyle w:val="Instructionaltext"/>
        <w:spacing w:before="100" w:beforeAutospacing="1"/>
        <w:rPr>
          <w:color w:val="auto"/>
        </w:rPr>
      </w:pPr>
      <w:r w:rsidRPr="00A74972">
        <w:rPr>
          <w:color w:val="auto"/>
        </w:rPr>
        <w:fldChar w:fldCharType="end"/>
      </w:r>
    </w:p>
    <w:sectPr w:rsidR="005A0C40" w:rsidRPr="00A74972" w:rsidSect="0043087D">
      <w:headerReference w:type="even" r:id="rId12"/>
      <w:headerReference w:type="default" r:id="rId13"/>
      <w:footerReference w:type="even" r:id="rId14"/>
      <w:footerReference w:type="default" r:id="rId15"/>
      <w:headerReference w:type="first" r:id="rId16"/>
      <w:footerReference w:type="first" r:id="rId17"/>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3FC25" w14:textId="77777777" w:rsidR="008E5173" w:rsidRDefault="008E5173" w:rsidP="0016315C">
      <w:pPr>
        <w:spacing w:after="0" w:line="240" w:lineRule="auto"/>
      </w:pPr>
      <w:r>
        <w:separator/>
      </w:r>
    </w:p>
  </w:endnote>
  <w:endnote w:type="continuationSeparator" w:id="0">
    <w:p w14:paraId="691ADC3A" w14:textId="77777777" w:rsidR="008E5173" w:rsidRDefault="008E5173" w:rsidP="0016315C">
      <w:pPr>
        <w:spacing w:after="0" w:line="240" w:lineRule="auto"/>
      </w:pPr>
      <w:r>
        <w:continuationSeparator/>
      </w:r>
    </w:p>
  </w:endnote>
  <w:endnote w:type="continuationNotice" w:id="1">
    <w:p w14:paraId="26B34FC5" w14:textId="77777777" w:rsidR="008E5173" w:rsidRDefault="008E51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D3D2" w14:textId="3251E85A" w:rsidR="003D519C" w:rsidRDefault="003D51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E72C2D" w14:textId="77777777" w:rsidR="003D519C" w:rsidRDefault="003D519C"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3382827"/>
      <w:docPartObj>
        <w:docPartGallery w:val="Page Numbers (Bottom of Page)"/>
        <w:docPartUnique/>
      </w:docPartObj>
    </w:sdtPr>
    <w:sdtEndPr>
      <w:rPr>
        <w:rStyle w:val="PageNumber"/>
      </w:rPr>
    </w:sdtEndPr>
    <w:sdtContent>
      <w:p w14:paraId="4DE593B1" w14:textId="39D5A86A" w:rsidR="003D519C" w:rsidRDefault="003D51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4ADCF5" w14:textId="362ECD77" w:rsidR="68028931" w:rsidRDefault="1237ACF9" w:rsidP="68028931">
    <w:pPr>
      <w:jc w:val="center"/>
    </w:pPr>
    <w:r>
      <w:t>Ratified PICO Confirmation – April 2024 PASC Meeting</w:t>
    </w:r>
    <w:r w:rsidR="00576D00">
      <w:br/>
    </w:r>
    <w:r>
      <w:t xml:space="preserve">Application 1767 </w:t>
    </w:r>
    <w:bookmarkStart w:id="20" w:name="_Hlk167879759"/>
    <w:r>
      <w:t>– Immunohistochemistry testing for C</w:t>
    </w:r>
    <w:r w:rsidR="001D0186">
      <w:t xml:space="preserve">laudin </w:t>
    </w:r>
    <w:r>
      <w:t>18</w:t>
    </w:r>
    <w:r w:rsidR="006F0CAC">
      <w:t xml:space="preserve"> </w:t>
    </w:r>
    <w:r>
      <w:t>expression in patients with gastric or gastro</w:t>
    </w:r>
    <w:r w:rsidR="001D0186">
      <w:t>-o</w:t>
    </w:r>
    <w:r>
      <w:t>esophageal junction cancers, to determine eligibility for PBS subsidised zolbetuximab treatment</w:t>
    </w:r>
    <w:bookmarkEnd w:id="2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9305" w14:textId="77777777" w:rsidR="001D0186" w:rsidRDefault="001D0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3E4E3" w14:textId="77777777" w:rsidR="008E5173" w:rsidRDefault="008E5173" w:rsidP="0016315C">
      <w:pPr>
        <w:spacing w:after="0" w:line="240" w:lineRule="auto"/>
      </w:pPr>
      <w:r>
        <w:separator/>
      </w:r>
    </w:p>
  </w:footnote>
  <w:footnote w:type="continuationSeparator" w:id="0">
    <w:p w14:paraId="0CF6188B" w14:textId="77777777" w:rsidR="008E5173" w:rsidRDefault="008E5173" w:rsidP="0016315C">
      <w:pPr>
        <w:spacing w:after="0" w:line="240" w:lineRule="auto"/>
      </w:pPr>
      <w:r>
        <w:continuationSeparator/>
      </w:r>
    </w:p>
  </w:footnote>
  <w:footnote w:type="continuationNotice" w:id="1">
    <w:p w14:paraId="34107401" w14:textId="77777777" w:rsidR="008E5173" w:rsidRDefault="008E5173">
      <w:pPr>
        <w:spacing w:after="0" w:line="240" w:lineRule="auto"/>
      </w:pPr>
    </w:p>
  </w:footnote>
  <w:footnote w:id="2">
    <w:p w14:paraId="5A8491BB" w14:textId="32BF16EE" w:rsidR="005322E7" w:rsidRDefault="005322E7">
      <w:pPr>
        <w:pStyle w:val="FootnoteText"/>
      </w:pPr>
      <w:r>
        <w:rPr>
          <w:rStyle w:val="FootnoteReference"/>
        </w:rPr>
        <w:footnoteRef/>
      </w:r>
      <w:r>
        <w:t xml:space="preserve"> </w:t>
      </w:r>
      <w:r w:rsidR="00C375B9">
        <w:t xml:space="preserve">The application initially requested </w:t>
      </w:r>
      <w:r w:rsidR="00900511">
        <w:t xml:space="preserve">MBS listing of </w:t>
      </w:r>
      <w:r w:rsidR="00E90A88">
        <w:t xml:space="preserve">Claudin 18.2 </w:t>
      </w:r>
      <w:r w:rsidR="00231432">
        <w:t xml:space="preserve">testing </w:t>
      </w:r>
      <w:r w:rsidR="009366D7">
        <w:t xml:space="preserve">to determine access to </w:t>
      </w:r>
      <w:r w:rsidR="009366D7" w:rsidRPr="00A74972">
        <w:rPr>
          <w:rFonts w:cs="Calibri"/>
        </w:rPr>
        <w:t>zolbetuximab</w:t>
      </w:r>
      <w:r w:rsidR="009366D7">
        <w:rPr>
          <w:rFonts w:cs="Calibri"/>
        </w:rPr>
        <w:t xml:space="preserve"> </w:t>
      </w:r>
      <w:r w:rsidR="00A43D4B">
        <w:rPr>
          <w:rFonts w:cs="Calibri"/>
        </w:rPr>
        <w:t>in</w:t>
      </w:r>
      <w:r w:rsidR="00A43D4B" w:rsidRPr="00A74972">
        <w:rPr>
          <w:rFonts w:cs="Calibri"/>
        </w:rPr>
        <w:t xml:space="preserve"> patients with HER2-negative, locally advanced unresectable or metastatic G/GOJ adenocarcinoma</w:t>
      </w:r>
      <w:r w:rsidR="00A43D4B">
        <w:rPr>
          <w:rFonts w:cs="Calibri"/>
        </w:rPr>
        <w:t xml:space="preserve">. </w:t>
      </w:r>
      <w:r w:rsidR="00531C85">
        <w:rPr>
          <w:rFonts w:cs="Calibri"/>
        </w:rPr>
        <w:t>Through the PASC process</w:t>
      </w:r>
      <w:r w:rsidR="00995DE1">
        <w:rPr>
          <w:rFonts w:cs="Calibri"/>
        </w:rPr>
        <w:t xml:space="preserve">, the population </w:t>
      </w:r>
      <w:r w:rsidR="00F141F4">
        <w:rPr>
          <w:rFonts w:cs="Calibri"/>
        </w:rPr>
        <w:t xml:space="preserve">was changed to include all patients with </w:t>
      </w:r>
      <w:r w:rsidR="00F141F4" w:rsidRPr="00A74972">
        <w:rPr>
          <w:rFonts w:cs="Calibri"/>
        </w:rPr>
        <w:t>locally advanced unresectable or metastatic G/GOJ adenocarcinoma</w:t>
      </w:r>
      <w:r w:rsidR="00F141F4">
        <w:rPr>
          <w:rFonts w:cs="Calibri"/>
        </w:rPr>
        <w:t xml:space="preserve"> irrespective of HER2 </w:t>
      </w:r>
      <w:r w:rsidR="00F141F4" w:rsidRPr="00D60F89">
        <w:rPr>
          <w:rFonts w:cs="Calibri"/>
        </w:rPr>
        <w:t>s</w:t>
      </w:r>
      <w:r w:rsidR="008036F3" w:rsidRPr="00D60F89">
        <w:rPr>
          <w:rFonts w:cs="Calibri"/>
        </w:rPr>
        <w:t xml:space="preserve">tatus </w:t>
      </w:r>
      <w:r w:rsidR="00D60F89" w:rsidRPr="00D60F89">
        <w:rPr>
          <w:rFonts w:cs="Calibri"/>
          <w:color w:val="000000" w:themeColor="text1"/>
        </w:rPr>
        <w:t>to allow for parallel testing of HER2/CLDN</w:t>
      </w:r>
      <w:r w:rsidR="009F0867">
        <w:rPr>
          <w:rFonts w:cs="Calibri"/>
          <w:color w:val="000000" w:themeColor="text1"/>
        </w:rPr>
        <w:t xml:space="preserve"> 18.2</w:t>
      </w:r>
      <w:r w:rsidR="00D60F89">
        <w:rPr>
          <w:rFonts w:cs="Calibri"/>
          <w:color w:val="000000" w:themeColor="text1"/>
          <w:sz w:val="22"/>
        </w:rPr>
        <w:t xml:space="preserve"> </w:t>
      </w:r>
      <w:r w:rsidR="008036F3">
        <w:rPr>
          <w:rFonts w:cs="Calibri"/>
        </w:rPr>
        <w:t xml:space="preserve">and </w:t>
      </w:r>
      <w:r w:rsidR="00553080">
        <w:rPr>
          <w:rFonts w:cs="Calibri"/>
        </w:rPr>
        <w:t xml:space="preserve">the treatment </w:t>
      </w:r>
      <w:r w:rsidR="00C54172">
        <w:rPr>
          <w:rFonts w:cs="Calibri"/>
        </w:rPr>
        <w:t xml:space="preserve">eligibility </w:t>
      </w:r>
      <w:r w:rsidR="00553080">
        <w:rPr>
          <w:rFonts w:cs="Calibri"/>
        </w:rPr>
        <w:t xml:space="preserve">was not </w:t>
      </w:r>
      <w:r w:rsidR="00E3175F">
        <w:rPr>
          <w:rFonts w:cs="Calibri"/>
        </w:rPr>
        <w:t>restricted to zolbetuximab</w:t>
      </w:r>
      <w:r w:rsidR="00431265">
        <w:rPr>
          <w:rFonts w:cs="Calibri"/>
        </w:rPr>
        <w:t>. This was confirmed by PASC.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41B1" w14:textId="77777777" w:rsidR="001D0186" w:rsidRDefault="001D0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90"/>
      <w:gridCol w:w="3190"/>
      <w:gridCol w:w="3190"/>
    </w:tblGrid>
    <w:tr w:rsidR="68028931" w14:paraId="72389CC1" w14:textId="77777777" w:rsidTr="00D646F0">
      <w:trPr>
        <w:trHeight w:val="300"/>
      </w:trPr>
      <w:tc>
        <w:tcPr>
          <w:tcW w:w="3190" w:type="dxa"/>
        </w:tcPr>
        <w:p w14:paraId="5227FA25" w14:textId="2E47791D" w:rsidR="68028931" w:rsidRDefault="68028931" w:rsidP="00D646F0">
          <w:pPr>
            <w:pStyle w:val="Header"/>
            <w:ind w:left="-115"/>
          </w:pPr>
        </w:p>
      </w:tc>
      <w:tc>
        <w:tcPr>
          <w:tcW w:w="3190" w:type="dxa"/>
        </w:tcPr>
        <w:p w14:paraId="6909E5B9" w14:textId="69B12036" w:rsidR="68028931" w:rsidRDefault="68028931" w:rsidP="00D646F0">
          <w:pPr>
            <w:pStyle w:val="Header"/>
            <w:jc w:val="center"/>
          </w:pPr>
        </w:p>
      </w:tc>
      <w:tc>
        <w:tcPr>
          <w:tcW w:w="3190" w:type="dxa"/>
        </w:tcPr>
        <w:p w14:paraId="4DC09470" w14:textId="62E8F379" w:rsidR="68028931" w:rsidRDefault="68028931" w:rsidP="00D646F0">
          <w:pPr>
            <w:pStyle w:val="Header"/>
            <w:ind w:right="-115"/>
            <w:jc w:val="right"/>
          </w:pPr>
        </w:p>
      </w:tc>
    </w:tr>
  </w:tbl>
  <w:p w14:paraId="03B8B7D2" w14:textId="05BC784B" w:rsidR="68028931" w:rsidRDefault="680289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C7B2" w14:textId="77777777" w:rsidR="001D0186" w:rsidRDefault="001D0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0093"/>
    <w:multiLevelType w:val="hybridMultilevel"/>
    <w:tmpl w:val="8390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8277DA"/>
    <w:multiLevelType w:val="hybridMultilevel"/>
    <w:tmpl w:val="398616D8"/>
    <w:lvl w:ilvl="0" w:tplc="A5DC8BA0">
      <w:start w:val="1"/>
      <w:numFmt w:val="decimal"/>
      <w:lvlText w:val="%1."/>
      <w:lvlJc w:val="left"/>
      <w:pPr>
        <w:ind w:left="720" w:hanging="360"/>
      </w:pPr>
      <w:rPr>
        <w:rFonts w:ascii="Calibri" w:eastAsia="Times New Roman" w:hAnsi="Calibri" w:cs="Calibr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9969CE"/>
    <w:multiLevelType w:val="hybridMultilevel"/>
    <w:tmpl w:val="34F296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365069"/>
    <w:multiLevelType w:val="hybridMultilevel"/>
    <w:tmpl w:val="AD344AC2"/>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41BD88"/>
    <w:multiLevelType w:val="hybridMultilevel"/>
    <w:tmpl w:val="32600396"/>
    <w:lvl w:ilvl="0" w:tplc="F3C0B6EE">
      <w:start w:val="1"/>
      <w:numFmt w:val="bullet"/>
      <w:lvlText w:val=""/>
      <w:lvlJc w:val="left"/>
      <w:pPr>
        <w:ind w:left="720" w:hanging="360"/>
      </w:pPr>
      <w:rPr>
        <w:rFonts w:ascii="Symbol" w:hAnsi="Symbol" w:hint="default"/>
      </w:rPr>
    </w:lvl>
    <w:lvl w:ilvl="1" w:tplc="7F24EBFC">
      <w:start w:val="1"/>
      <w:numFmt w:val="bullet"/>
      <w:lvlText w:val="o"/>
      <w:lvlJc w:val="left"/>
      <w:pPr>
        <w:ind w:left="1440" w:hanging="360"/>
      </w:pPr>
      <w:rPr>
        <w:rFonts w:ascii="Courier New" w:hAnsi="Courier New" w:hint="default"/>
      </w:rPr>
    </w:lvl>
    <w:lvl w:ilvl="2" w:tplc="C428E036">
      <w:start w:val="1"/>
      <w:numFmt w:val="bullet"/>
      <w:lvlText w:val=""/>
      <w:lvlJc w:val="left"/>
      <w:pPr>
        <w:ind w:left="2160" w:hanging="360"/>
      </w:pPr>
      <w:rPr>
        <w:rFonts w:ascii="Wingdings" w:hAnsi="Wingdings" w:hint="default"/>
      </w:rPr>
    </w:lvl>
    <w:lvl w:ilvl="3" w:tplc="20EA08A6">
      <w:start w:val="1"/>
      <w:numFmt w:val="bullet"/>
      <w:lvlText w:val=""/>
      <w:lvlJc w:val="left"/>
      <w:pPr>
        <w:ind w:left="2880" w:hanging="360"/>
      </w:pPr>
      <w:rPr>
        <w:rFonts w:ascii="Symbol" w:hAnsi="Symbol" w:hint="default"/>
      </w:rPr>
    </w:lvl>
    <w:lvl w:ilvl="4" w:tplc="0C72D578">
      <w:start w:val="1"/>
      <w:numFmt w:val="bullet"/>
      <w:lvlText w:val="o"/>
      <w:lvlJc w:val="left"/>
      <w:pPr>
        <w:ind w:left="3600" w:hanging="360"/>
      </w:pPr>
      <w:rPr>
        <w:rFonts w:ascii="Courier New" w:hAnsi="Courier New" w:hint="default"/>
      </w:rPr>
    </w:lvl>
    <w:lvl w:ilvl="5" w:tplc="0CB6F044">
      <w:start w:val="1"/>
      <w:numFmt w:val="bullet"/>
      <w:lvlText w:val=""/>
      <w:lvlJc w:val="left"/>
      <w:pPr>
        <w:ind w:left="4320" w:hanging="360"/>
      </w:pPr>
      <w:rPr>
        <w:rFonts w:ascii="Wingdings" w:hAnsi="Wingdings" w:hint="default"/>
      </w:rPr>
    </w:lvl>
    <w:lvl w:ilvl="6" w:tplc="24E23F76">
      <w:start w:val="1"/>
      <w:numFmt w:val="bullet"/>
      <w:lvlText w:val=""/>
      <w:lvlJc w:val="left"/>
      <w:pPr>
        <w:ind w:left="5040" w:hanging="360"/>
      </w:pPr>
      <w:rPr>
        <w:rFonts w:ascii="Symbol" w:hAnsi="Symbol" w:hint="default"/>
      </w:rPr>
    </w:lvl>
    <w:lvl w:ilvl="7" w:tplc="DC40FBFA">
      <w:start w:val="1"/>
      <w:numFmt w:val="bullet"/>
      <w:lvlText w:val="o"/>
      <w:lvlJc w:val="left"/>
      <w:pPr>
        <w:ind w:left="5760" w:hanging="360"/>
      </w:pPr>
      <w:rPr>
        <w:rFonts w:ascii="Courier New" w:hAnsi="Courier New" w:hint="default"/>
      </w:rPr>
    </w:lvl>
    <w:lvl w:ilvl="8" w:tplc="2CE0D6F4">
      <w:start w:val="1"/>
      <w:numFmt w:val="bullet"/>
      <w:lvlText w:val=""/>
      <w:lvlJc w:val="left"/>
      <w:pPr>
        <w:ind w:left="6480" w:hanging="360"/>
      </w:pPr>
      <w:rPr>
        <w:rFonts w:ascii="Wingdings" w:hAnsi="Wingdings" w:hint="default"/>
      </w:rPr>
    </w:lvl>
  </w:abstractNum>
  <w:abstractNum w:abstractNumId="6" w15:restartNumberingAfterBreak="0">
    <w:nsid w:val="336880C4"/>
    <w:multiLevelType w:val="hybridMultilevel"/>
    <w:tmpl w:val="1F2C5600"/>
    <w:lvl w:ilvl="0" w:tplc="923A687E">
      <w:start w:val="1"/>
      <w:numFmt w:val="decimal"/>
      <w:lvlText w:val="%1."/>
      <w:lvlJc w:val="left"/>
      <w:pPr>
        <w:ind w:left="720" w:hanging="360"/>
      </w:pPr>
    </w:lvl>
    <w:lvl w:ilvl="1" w:tplc="3F0E6970">
      <w:start w:val="1"/>
      <w:numFmt w:val="lowerLetter"/>
      <w:lvlText w:val="%2."/>
      <w:lvlJc w:val="left"/>
      <w:pPr>
        <w:ind w:left="1440" w:hanging="360"/>
      </w:pPr>
    </w:lvl>
    <w:lvl w:ilvl="2" w:tplc="75CC7B64">
      <w:start w:val="1"/>
      <w:numFmt w:val="lowerRoman"/>
      <w:lvlText w:val="%3."/>
      <w:lvlJc w:val="right"/>
      <w:pPr>
        <w:ind w:left="2160" w:hanging="180"/>
      </w:pPr>
    </w:lvl>
    <w:lvl w:ilvl="3" w:tplc="2B2A5AC2">
      <w:start w:val="1"/>
      <w:numFmt w:val="decimal"/>
      <w:lvlText w:val="%4."/>
      <w:lvlJc w:val="left"/>
      <w:pPr>
        <w:ind w:left="2880" w:hanging="360"/>
      </w:pPr>
    </w:lvl>
    <w:lvl w:ilvl="4" w:tplc="15D626F4">
      <w:start w:val="1"/>
      <w:numFmt w:val="lowerLetter"/>
      <w:lvlText w:val="%5."/>
      <w:lvlJc w:val="left"/>
      <w:pPr>
        <w:ind w:left="3600" w:hanging="360"/>
      </w:pPr>
    </w:lvl>
    <w:lvl w:ilvl="5" w:tplc="DEFE6B50">
      <w:start w:val="1"/>
      <w:numFmt w:val="lowerRoman"/>
      <w:lvlText w:val="%6."/>
      <w:lvlJc w:val="right"/>
      <w:pPr>
        <w:ind w:left="4320" w:hanging="180"/>
      </w:pPr>
    </w:lvl>
    <w:lvl w:ilvl="6" w:tplc="7D640354">
      <w:start w:val="1"/>
      <w:numFmt w:val="decimal"/>
      <w:lvlText w:val="%7."/>
      <w:lvlJc w:val="left"/>
      <w:pPr>
        <w:ind w:left="5040" w:hanging="360"/>
      </w:pPr>
    </w:lvl>
    <w:lvl w:ilvl="7" w:tplc="2F8EB86A">
      <w:start w:val="1"/>
      <w:numFmt w:val="lowerLetter"/>
      <w:lvlText w:val="%8."/>
      <w:lvlJc w:val="left"/>
      <w:pPr>
        <w:ind w:left="5760" w:hanging="360"/>
      </w:pPr>
    </w:lvl>
    <w:lvl w:ilvl="8" w:tplc="2D92BE66">
      <w:start w:val="1"/>
      <w:numFmt w:val="lowerRoman"/>
      <w:lvlText w:val="%9."/>
      <w:lvlJc w:val="right"/>
      <w:pPr>
        <w:ind w:left="6480" w:hanging="180"/>
      </w:pPr>
    </w:lvl>
  </w:abstractNum>
  <w:abstractNum w:abstractNumId="7" w15:restartNumberingAfterBreak="0">
    <w:nsid w:val="3C8448B3"/>
    <w:multiLevelType w:val="hybridMultilevel"/>
    <w:tmpl w:val="82D24D5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47095746"/>
    <w:multiLevelType w:val="hybridMultilevel"/>
    <w:tmpl w:val="28BC0FCE"/>
    <w:lvl w:ilvl="0" w:tplc="A26EFB64">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A2C3BD8"/>
    <w:multiLevelType w:val="hybridMultilevel"/>
    <w:tmpl w:val="2BC81AE0"/>
    <w:lvl w:ilvl="0" w:tplc="6A4EA130">
      <w:start w:val="27"/>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F17650"/>
    <w:multiLevelType w:val="hybridMultilevel"/>
    <w:tmpl w:val="B42A2A26"/>
    <w:lvl w:ilvl="0" w:tplc="5E48767C">
      <w:start w:val="1"/>
      <w:numFmt w:val="bullet"/>
      <w:lvlText w:val="·"/>
      <w:lvlJc w:val="left"/>
      <w:pPr>
        <w:ind w:left="720" w:hanging="360"/>
      </w:pPr>
      <w:rPr>
        <w:rFonts w:ascii="Symbol" w:hAnsi="Symbol" w:hint="default"/>
      </w:rPr>
    </w:lvl>
    <w:lvl w:ilvl="1" w:tplc="1184660E">
      <w:start w:val="1"/>
      <w:numFmt w:val="bullet"/>
      <w:lvlText w:val="o"/>
      <w:lvlJc w:val="left"/>
      <w:pPr>
        <w:ind w:left="1440" w:hanging="360"/>
      </w:pPr>
      <w:rPr>
        <w:rFonts w:ascii="Courier New" w:hAnsi="Courier New" w:hint="default"/>
      </w:rPr>
    </w:lvl>
    <w:lvl w:ilvl="2" w:tplc="B0BCC6C0">
      <w:start w:val="1"/>
      <w:numFmt w:val="bullet"/>
      <w:lvlText w:val=""/>
      <w:lvlJc w:val="left"/>
      <w:pPr>
        <w:ind w:left="2160" w:hanging="360"/>
      </w:pPr>
      <w:rPr>
        <w:rFonts w:ascii="Wingdings" w:hAnsi="Wingdings" w:hint="default"/>
      </w:rPr>
    </w:lvl>
    <w:lvl w:ilvl="3" w:tplc="4F9EAF74">
      <w:start w:val="1"/>
      <w:numFmt w:val="bullet"/>
      <w:lvlText w:val=""/>
      <w:lvlJc w:val="left"/>
      <w:pPr>
        <w:ind w:left="2880" w:hanging="360"/>
      </w:pPr>
      <w:rPr>
        <w:rFonts w:ascii="Symbol" w:hAnsi="Symbol" w:hint="default"/>
      </w:rPr>
    </w:lvl>
    <w:lvl w:ilvl="4" w:tplc="808273BC">
      <w:start w:val="1"/>
      <w:numFmt w:val="bullet"/>
      <w:lvlText w:val="o"/>
      <w:lvlJc w:val="left"/>
      <w:pPr>
        <w:ind w:left="3600" w:hanging="360"/>
      </w:pPr>
      <w:rPr>
        <w:rFonts w:ascii="Courier New" w:hAnsi="Courier New" w:hint="default"/>
      </w:rPr>
    </w:lvl>
    <w:lvl w:ilvl="5" w:tplc="87D6B4E6">
      <w:start w:val="1"/>
      <w:numFmt w:val="bullet"/>
      <w:lvlText w:val=""/>
      <w:lvlJc w:val="left"/>
      <w:pPr>
        <w:ind w:left="4320" w:hanging="360"/>
      </w:pPr>
      <w:rPr>
        <w:rFonts w:ascii="Wingdings" w:hAnsi="Wingdings" w:hint="default"/>
      </w:rPr>
    </w:lvl>
    <w:lvl w:ilvl="6" w:tplc="5A968956">
      <w:start w:val="1"/>
      <w:numFmt w:val="bullet"/>
      <w:lvlText w:val=""/>
      <w:lvlJc w:val="left"/>
      <w:pPr>
        <w:ind w:left="5040" w:hanging="360"/>
      </w:pPr>
      <w:rPr>
        <w:rFonts w:ascii="Symbol" w:hAnsi="Symbol" w:hint="default"/>
      </w:rPr>
    </w:lvl>
    <w:lvl w:ilvl="7" w:tplc="140C6884">
      <w:start w:val="1"/>
      <w:numFmt w:val="bullet"/>
      <w:lvlText w:val="o"/>
      <w:lvlJc w:val="left"/>
      <w:pPr>
        <w:ind w:left="5760" w:hanging="360"/>
      </w:pPr>
      <w:rPr>
        <w:rFonts w:ascii="Courier New" w:hAnsi="Courier New" w:hint="default"/>
      </w:rPr>
    </w:lvl>
    <w:lvl w:ilvl="8" w:tplc="24682324">
      <w:start w:val="1"/>
      <w:numFmt w:val="bullet"/>
      <w:lvlText w:val=""/>
      <w:lvlJc w:val="left"/>
      <w:pPr>
        <w:ind w:left="6480" w:hanging="360"/>
      </w:pPr>
      <w:rPr>
        <w:rFonts w:ascii="Wingdings" w:hAnsi="Wingdings" w:hint="default"/>
      </w:rPr>
    </w:lvl>
  </w:abstractNum>
  <w:abstractNum w:abstractNumId="11" w15:restartNumberingAfterBreak="0">
    <w:nsid w:val="4E3A58FE"/>
    <w:multiLevelType w:val="hybridMultilevel"/>
    <w:tmpl w:val="4BC0922C"/>
    <w:lvl w:ilvl="0" w:tplc="FFFFFFFF">
      <w:start w:val="1"/>
      <w:numFmt w:val="decimal"/>
      <w:lvlText w:val="%1."/>
      <w:lvlJc w:val="left"/>
      <w:pPr>
        <w:ind w:left="720" w:hanging="360"/>
      </w:pPr>
      <w:rPr>
        <w:rFonts w:ascii="Calibri" w:eastAsia="Times New Roman" w:hAnsi="Calibri" w:cs="Calibri"/>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13" w15:restartNumberingAfterBreak="0">
    <w:nsid w:val="622B5B07"/>
    <w:multiLevelType w:val="hybridMultilevel"/>
    <w:tmpl w:val="4BC0922C"/>
    <w:lvl w:ilvl="0" w:tplc="436AB2A2">
      <w:start w:val="1"/>
      <w:numFmt w:val="decimal"/>
      <w:lvlText w:val="%1."/>
      <w:lvlJc w:val="left"/>
      <w:pPr>
        <w:ind w:left="720" w:hanging="360"/>
      </w:pPr>
      <w:rPr>
        <w:rFonts w:ascii="Calibri" w:eastAsia="Times New Roman" w:hAnsi="Calibri" w:cs="Calibri"/>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6B0BF231"/>
    <w:multiLevelType w:val="hybridMultilevel"/>
    <w:tmpl w:val="1C122D80"/>
    <w:lvl w:ilvl="0" w:tplc="F3C43E4A">
      <w:start w:val="1"/>
      <w:numFmt w:val="bullet"/>
      <w:lvlText w:val="·"/>
      <w:lvlJc w:val="left"/>
      <w:pPr>
        <w:ind w:left="720" w:hanging="360"/>
      </w:pPr>
      <w:rPr>
        <w:rFonts w:ascii="Symbol" w:hAnsi="Symbol" w:hint="default"/>
      </w:rPr>
    </w:lvl>
    <w:lvl w:ilvl="1" w:tplc="094E61BE">
      <w:start w:val="1"/>
      <w:numFmt w:val="bullet"/>
      <w:lvlText w:val="o"/>
      <w:lvlJc w:val="left"/>
      <w:pPr>
        <w:ind w:left="1440" w:hanging="360"/>
      </w:pPr>
      <w:rPr>
        <w:rFonts w:ascii="Courier New" w:hAnsi="Courier New" w:hint="default"/>
      </w:rPr>
    </w:lvl>
    <w:lvl w:ilvl="2" w:tplc="292CEA66">
      <w:start w:val="1"/>
      <w:numFmt w:val="bullet"/>
      <w:lvlText w:val=""/>
      <w:lvlJc w:val="left"/>
      <w:pPr>
        <w:ind w:left="2160" w:hanging="360"/>
      </w:pPr>
      <w:rPr>
        <w:rFonts w:ascii="Wingdings" w:hAnsi="Wingdings" w:hint="default"/>
      </w:rPr>
    </w:lvl>
    <w:lvl w:ilvl="3" w:tplc="EFB4853A">
      <w:start w:val="1"/>
      <w:numFmt w:val="bullet"/>
      <w:lvlText w:val=""/>
      <w:lvlJc w:val="left"/>
      <w:pPr>
        <w:ind w:left="2880" w:hanging="360"/>
      </w:pPr>
      <w:rPr>
        <w:rFonts w:ascii="Symbol" w:hAnsi="Symbol" w:hint="default"/>
      </w:rPr>
    </w:lvl>
    <w:lvl w:ilvl="4" w:tplc="6550341A">
      <w:start w:val="1"/>
      <w:numFmt w:val="bullet"/>
      <w:lvlText w:val="o"/>
      <w:lvlJc w:val="left"/>
      <w:pPr>
        <w:ind w:left="3600" w:hanging="360"/>
      </w:pPr>
      <w:rPr>
        <w:rFonts w:ascii="Courier New" w:hAnsi="Courier New" w:hint="default"/>
      </w:rPr>
    </w:lvl>
    <w:lvl w:ilvl="5" w:tplc="3A227660">
      <w:start w:val="1"/>
      <w:numFmt w:val="bullet"/>
      <w:lvlText w:val=""/>
      <w:lvlJc w:val="left"/>
      <w:pPr>
        <w:ind w:left="4320" w:hanging="360"/>
      </w:pPr>
      <w:rPr>
        <w:rFonts w:ascii="Wingdings" w:hAnsi="Wingdings" w:hint="default"/>
      </w:rPr>
    </w:lvl>
    <w:lvl w:ilvl="6" w:tplc="E0E66AA6">
      <w:start w:val="1"/>
      <w:numFmt w:val="bullet"/>
      <w:lvlText w:val=""/>
      <w:lvlJc w:val="left"/>
      <w:pPr>
        <w:ind w:left="5040" w:hanging="360"/>
      </w:pPr>
      <w:rPr>
        <w:rFonts w:ascii="Symbol" w:hAnsi="Symbol" w:hint="default"/>
      </w:rPr>
    </w:lvl>
    <w:lvl w:ilvl="7" w:tplc="D0201512">
      <w:start w:val="1"/>
      <w:numFmt w:val="bullet"/>
      <w:lvlText w:val="o"/>
      <w:lvlJc w:val="left"/>
      <w:pPr>
        <w:ind w:left="5760" w:hanging="360"/>
      </w:pPr>
      <w:rPr>
        <w:rFonts w:ascii="Courier New" w:hAnsi="Courier New" w:hint="default"/>
      </w:rPr>
    </w:lvl>
    <w:lvl w:ilvl="8" w:tplc="CB94883A">
      <w:start w:val="1"/>
      <w:numFmt w:val="bullet"/>
      <w:lvlText w:val=""/>
      <w:lvlJc w:val="left"/>
      <w:pPr>
        <w:ind w:left="6480" w:hanging="360"/>
      </w:pPr>
      <w:rPr>
        <w:rFonts w:ascii="Wingdings" w:hAnsi="Wingdings" w:hint="default"/>
      </w:rPr>
    </w:lvl>
  </w:abstractNum>
  <w:abstractNum w:abstractNumId="15" w15:restartNumberingAfterBreak="0">
    <w:nsid w:val="70C5132C"/>
    <w:multiLevelType w:val="hybridMultilevel"/>
    <w:tmpl w:val="7206C40C"/>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7FF123A4"/>
    <w:multiLevelType w:val="hybridMultilevel"/>
    <w:tmpl w:val="059A2448"/>
    <w:lvl w:ilvl="0" w:tplc="0C9E8EB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8329604">
    <w:abstractNumId w:val="6"/>
  </w:num>
  <w:num w:numId="2" w16cid:durableId="672608307">
    <w:abstractNumId w:val="10"/>
  </w:num>
  <w:num w:numId="3" w16cid:durableId="2146240851">
    <w:abstractNumId w:val="12"/>
  </w:num>
  <w:num w:numId="4" w16cid:durableId="1489860677">
    <w:abstractNumId w:val="2"/>
  </w:num>
  <w:num w:numId="5" w16cid:durableId="2092389346">
    <w:abstractNumId w:val="8"/>
  </w:num>
  <w:num w:numId="6" w16cid:durableId="2070037496">
    <w:abstractNumId w:val="5"/>
  </w:num>
  <w:num w:numId="7" w16cid:durableId="569000948">
    <w:abstractNumId w:val="9"/>
  </w:num>
  <w:num w:numId="8" w16cid:durableId="815608161">
    <w:abstractNumId w:val="0"/>
  </w:num>
  <w:num w:numId="9" w16cid:durableId="339235355">
    <w:abstractNumId w:val="3"/>
  </w:num>
  <w:num w:numId="10" w16cid:durableId="177350363">
    <w:abstractNumId w:val="4"/>
  </w:num>
  <w:num w:numId="11" w16cid:durableId="1384451726">
    <w:abstractNumId w:val="16"/>
  </w:num>
  <w:num w:numId="12" w16cid:durableId="1583030864">
    <w:abstractNumId w:val="1"/>
  </w:num>
  <w:num w:numId="13" w16cid:durableId="103308637">
    <w:abstractNumId w:val="14"/>
  </w:num>
  <w:num w:numId="14" w16cid:durableId="1577545005">
    <w:abstractNumId w:val="13"/>
  </w:num>
  <w:num w:numId="15" w16cid:durableId="609895647">
    <w:abstractNumId w:val="11"/>
  </w:num>
  <w:num w:numId="16" w16cid:durableId="2075348252">
    <w:abstractNumId w:val="15"/>
  </w:num>
  <w:num w:numId="17" w16cid:durableId="144469135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MHRA (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fx9s5pw4fwez6ed5azp5ddz9xxarv0a9599&quot;&gt;svigours@gmail.com&lt;record-ids&gt;&lt;item&gt;130&lt;/item&gt;&lt;item&gt;132&lt;/item&gt;&lt;item&gt;133&lt;/item&gt;&lt;item&gt;134&lt;/item&gt;&lt;item&gt;135&lt;/item&gt;&lt;item&gt;136&lt;/item&gt;&lt;item&gt;137&lt;/item&gt;&lt;item&gt;138&lt;/item&gt;&lt;item&gt;139&lt;/item&gt;&lt;item&gt;140&lt;/item&gt;&lt;item&gt;141&lt;/item&gt;&lt;item&gt;144&lt;/item&gt;&lt;item&gt;145&lt;/item&gt;&lt;item&gt;148&lt;/item&gt;&lt;item&gt;149&lt;/item&gt;&lt;item&gt;150&lt;/item&gt;&lt;item&gt;2053&lt;/item&gt;&lt;item&gt;13583&lt;/item&gt;&lt;/record-ids&gt;&lt;/item&gt;&lt;/Libraries&gt;"/>
  </w:docVars>
  <w:rsids>
    <w:rsidRoot w:val="001E5F9C"/>
    <w:rsid w:val="00000D1B"/>
    <w:rsid w:val="0000134C"/>
    <w:rsid w:val="0000163E"/>
    <w:rsid w:val="000018C7"/>
    <w:rsid w:val="0000190E"/>
    <w:rsid w:val="00001A2C"/>
    <w:rsid w:val="00001D66"/>
    <w:rsid w:val="00002024"/>
    <w:rsid w:val="000029AC"/>
    <w:rsid w:val="00002AC3"/>
    <w:rsid w:val="00002DB1"/>
    <w:rsid w:val="00002E0E"/>
    <w:rsid w:val="000039BC"/>
    <w:rsid w:val="00004323"/>
    <w:rsid w:val="00004BBD"/>
    <w:rsid w:val="00004DA9"/>
    <w:rsid w:val="000052D3"/>
    <w:rsid w:val="0000553C"/>
    <w:rsid w:val="00005B2E"/>
    <w:rsid w:val="00005C10"/>
    <w:rsid w:val="00006757"/>
    <w:rsid w:val="00006AAC"/>
    <w:rsid w:val="00006AF6"/>
    <w:rsid w:val="00007038"/>
    <w:rsid w:val="000073AA"/>
    <w:rsid w:val="00010D4E"/>
    <w:rsid w:val="0001175C"/>
    <w:rsid w:val="0001183B"/>
    <w:rsid w:val="00011897"/>
    <w:rsid w:val="00011A7D"/>
    <w:rsid w:val="00012218"/>
    <w:rsid w:val="00012267"/>
    <w:rsid w:val="000129DB"/>
    <w:rsid w:val="000136DF"/>
    <w:rsid w:val="000137C3"/>
    <w:rsid w:val="00014126"/>
    <w:rsid w:val="00014634"/>
    <w:rsid w:val="000149EA"/>
    <w:rsid w:val="00014A79"/>
    <w:rsid w:val="00014ADF"/>
    <w:rsid w:val="00014E5F"/>
    <w:rsid w:val="00015031"/>
    <w:rsid w:val="00015516"/>
    <w:rsid w:val="00015563"/>
    <w:rsid w:val="000156B1"/>
    <w:rsid w:val="00015E39"/>
    <w:rsid w:val="00015F76"/>
    <w:rsid w:val="0001686D"/>
    <w:rsid w:val="00016C89"/>
    <w:rsid w:val="000177E2"/>
    <w:rsid w:val="0002007F"/>
    <w:rsid w:val="00020380"/>
    <w:rsid w:val="000203BD"/>
    <w:rsid w:val="00020A5D"/>
    <w:rsid w:val="000210B5"/>
    <w:rsid w:val="0002170F"/>
    <w:rsid w:val="00021854"/>
    <w:rsid w:val="00021B81"/>
    <w:rsid w:val="00021DF8"/>
    <w:rsid w:val="000223B0"/>
    <w:rsid w:val="00022EE7"/>
    <w:rsid w:val="000233C1"/>
    <w:rsid w:val="00023499"/>
    <w:rsid w:val="00023B7E"/>
    <w:rsid w:val="00023E44"/>
    <w:rsid w:val="0002412F"/>
    <w:rsid w:val="0002434F"/>
    <w:rsid w:val="00024711"/>
    <w:rsid w:val="000247BE"/>
    <w:rsid w:val="000247CC"/>
    <w:rsid w:val="00024973"/>
    <w:rsid w:val="00024978"/>
    <w:rsid w:val="00025B73"/>
    <w:rsid w:val="00025BF7"/>
    <w:rsid w:val="00026818"/>
    <w:rsid w:val="00026851"/>
    <w:rsid w:val="00026D73"/>
    <w:rsid w:val="00026D74"/>
    <w:rsid w:val="00026DC8"/>
    <w:rsid w:val="000270E3"/>
    <w:rsid w:val="0002776F"/>
    <w:rsid w:val="00027DAC"/>
    <w:rsid w:val="0003020B"/>
    <w:rsid w:val="000303CC"/>
    <w:rsid w:val="000309A9"/>
    <w:rsid w:val="00030ADA"/>
    <w:rsid w:val="00030C53"/>
    <w:rsid w:val="00030D1F"/>
    <w:rsid w:val="00030E2C"/>
    <w:rsid w:val="00030E36"/>
    <w:rsid w:val="00030F80"/>
    <w:rsid w:val="000312B1"/>
    <w:rsid w:val="00031851"/>
    <w:rsid w:val="00031913"/>
    <w:rsid w:val="00031FFC"/>
    <w:rsid w:val="00032396"/>
    <w:rsid w:val="000324A2"/>
    <w:rsid w:val="00033405"/>
    <w:rsid w:val="00033D77"/>
    <w:rsid w:val="000343DC"/>
    <w:rsid w:val="00034B48"/>
    <w:rsid w:val="00034C02"/>
    <w:rsid w:val="00034EAD"/>
    <w:rsid w:val="00035A25"/>
    <w:rsid w:val="000360B4"/>
    <w:rsid w:val="000365DC"/>
    <w:rsid w:val="0003661F"/>
    <w:rsid w:val="000376ED"/>
    <w:rsid w:val="000400B5"/>
    <w:rsid w:val="00040308"/>
    <w:rsid w:val="00040F7C"/>
    <w:rsid w:val="00041674"/>
    <w:rsid w:val="00041712"/>
    <w:rsid w:val="00041763"/>
    <w:rsid w:val="000418AD"/>
    <w:rsid w:val="00041FE4"/>
    <w:rsid w:val="000425B4"/>
    <w:rsid w:val="00042F2F"/>
    <w:rsid w:val="00043DC9"/>
    <w:rsid w:val="00044666"/>
    <w:rsid w:val="000446FE"/>
    <w:rsid w:val="00044D6A"/>
    <w:rsid w:val="000453EA"/>
    <w:rsid w:val="0004546B"/>
    <w:rsid w:val="00045517"/>
    <w:rsid w:val="00045D52"/>
    <w:rsid w:val="000460CC"/>
    <w:rsid w:val="00046166"/>
    <w:rsid w:val="000461F8"/>
    <w:rsid w:val="00046487"/>
    <w:rsid w:val="00046584"/>
    <w:rsid w:val="00046DC8"/>
    <w:rsid w:val="00046E40"/>
    <w:rsid w:val="00046E64"/>
    <w:rsid w:val="0004701A"/>
    <w:rsid w:val="000477F3"/>
    <w:rsid w:val="00047A67"/>
    <w:rsid w:val="00047C04"/>
    <w:rsid w:val="00047D69"/>
    <w:rsid w:val="00047DDA"/>
    <w:rsid w:val="00050218"/>
    <w:rsid w:val="000507B4"/>
    <w:rsid w:val="00050FC1"/>
    <w:rsid w:val="00051039"/>
    <w:rsid w:val="00051636"/>
    <w:rsid w:val="000524E8"/>
    <w:rsid w:val="00052B71"/>
    <w:rsid w:val="00052D46"/>
    <w:rsid w:val="0005360B"/>
    <w:rsid w:val="0005361B"/>
    <w:rsid w:val="00053AC1"/>
    <w:rsid w:val="00053AE6"/>
    <w:rsid w:val="00053F4C"/>
    <w:rsid w:val="00054071"/>
    <w:rsid w:val="000540B4"/>
    <w:rsid w:val="0005457D"/>
    <w:rsid w:val="0005463B"/>
    <w:rsid w:val="00054A13"/>
    <w:rsid w:val="00055272"/>
    <w:rsid w:val="000554AC"/>
    <w:rsid w:val="00055D22"/>
    <w:rsid w:val="000569BD"/>
    <w:rsid w:val="00057570"/>
    <w:rsid w:val="000575B6"/>
    <w:rsid w:val="000577A9"/>
    <w:rsid w:val="00057803"/>
    <w:rsid w:val="00057BD5"/>
    <w:rsid w:val="00060339"/>
    <w:rsid w:val="00060609"/>
    <w:rsid w:val="0006088A"/>
    <w:rsid w:val="00060F0E"/>
    <w:rsid w:val="00061135"/>
    <w:rsid w:val="000618BD"/>
    <w:rsid w:val="00061BA7"/>
    <w:rsid w:val="0006249C"/>
    <w:rsid w:val="000627BD"/>
    <w:rsid w:val="000628DA"/>
    <w:rsid w:val="00062C6A"/>
    <w:rsid w:val="00063CC5"/>
    <w:rsid w:val="00063ECD"/>
    <w:rsid w:val="0006410E"/>
    <w:rsid w:val="00064240"/>
    <w:rsid w:val="000644AD"/>
    <w:rsid w:val="000649E6"/>
    <w:rsid w:val="0006524C"/>
    <w:rsid w:val="00065541"/>
    <w:rsid w:val="000656EB"/>
    <w:rsid w:val="00065757"/>
    <w:rsid w:val="00065BF5"/>
    <w:rsid w:val="00066962"/>
    <w:rsid w:val="0006792E"/>
    <w:rsid w:val="00067F03"/>
    <w:rsid w:val="00070A8B"/>
    <w:rsid w:val="00071213"/>
    <w:rsid w:val="000714B9"/>
    <w:rsid w:val="00071875"/>
    <w:rsid w:val="000719A9"/>
    <w:rsid w:val="0007208D"/>
    <w:rsid w:val="0007293D"/>
    <w:rsid w:val="00072CBA"/>
    <w:rsid w:val="00072E8A"/>
    <w:rsid w:val="00073282"/>
    <w:rsid w:val="0007332E"/>
    <w:rsid w:val="0007361C"/>
    <w:rsid w:val="00074130"/>
    <w:rsid w:val="00074557"/>
    <w:rsid w:val="00075B6D"/>
    <w:rsid w:val="00075CCD"/>
    <w:rsid w:val="00075DF6"/>
    <w:rsid w:val="000760A0"/>
    <w:rsid w:val="0007641C"/>
    <w:rsid w:val="00076851"/>
    <w:rsid w:val="000774D3"/>
    <w:rsid w:val="00077E02"/>
    <w:rsid w:val="00080221"/>
    <w:rsid w:val="000805EE"/>
    <w:rsid w:val="00080778"/>
    <w:rsid w:val="00080D96"/>
    <w:rsid w:val="00080F14"/>
    <w:rsid w:val="000814C9"/>
    <w:rsid w:val="0008160C"/>
    <w:rsid w:val="000818F4"/>
    <w:rsid w:val="00082226"/>
    <w:rsid w:val="0008280A"/>
    <w:rsid w:val="00082B95"/>
    <w:rsid w:val="000833B7"/>
    <w:rsid w:val="00083AF0"/>
    <w:rsid w:val="00083F40"/>
    <w:rsid w:val="00084EE6"/>
    <w:rsid w:val="000856A3"/>
    <w:rsid w:val="00085A07"/>
    <w:rsid w:val="0008605C"/>
    <w:rsid w:val="00086511"/>
    <w:rsid w:val="00086E69"/>
    <w:rsid w:val="00086EF7"/>
    <w:rsid w:val="00086EFF"/>
    <w:rsid w:val="00087056"/>
    <w:rsid w:val="0008716A"/>
    <w:rsid w:val="0008723B"/>
    <w:rsid w:val="000872D1"/>
    <w:rsid w:val="00087553"/>
    <w:rsid w:val="00087757"/>
    <w:rsid w:val="000877B7"/>
    <w:rsid w:val="00087DBE"/>
    <w:rsid w:val="00087FCC"/>
    <w:rsid w:val="00090735"/>
    <w:rsid w:val="000907EC"/>
    <w:rsid w:val="000909DC"/>
    <w:rsid w:val="00090C14"/>
    <w:rsid w:val="00090CDC"/>
    <w:rsid w:val="00091B0B"/>
    <w:rsid w:val="00092777"/>
    <w:rsid w:val="0009296F"/>
    <w:rsid w:val="000930B2"/>
    <w:rsid w:val="00093156"/>
    <w:rsid w:val="00093349"/>
    <w:rsid w:val="000933D1"/>
    <w:rsid w:val="000939E0"/>
    <w:rsid w:val="00093EC2"/>
    <w:rsid w:val="00094001"/>
    <w:rsid w:val="0009440F"/>
    <w:rsid w:val="00094880"/>
    <w:rsid w:val="00094CB0"/>
    <w:rsid w:val="00094FF6"/>
    <w:rsid w:val="00095925"/>
    <w:rsid w:val="00095A01"/>
    <w:rsid w:val="00095AF6"/>
    <w:rsid w:val="00095DE9"/>
    <w:rsid w:val="0009663E"/>
    <w:rsid w:val="00096991"/>
    <w:rsid w:val="00096FBA"/>
    <w:rsid w:val="0009736A"/>
    <w:rsid w:val="000978FD"/>
    <w:rsid w:val="000A071D"/>
    <w:rsid w:val="000A0EE6"/>
    <w:rsid w:val="000A1487"/>
    <w:rsid w:val="000A184E"/>
    <w:rsid w:val="000A20B4"/>
    <w:rsid w:val="000A21C0"/>
    <w:rsid w:val="000A270A"/>
    <w:rsid w:val="000A28DC"/>
    <w:rsid w:val="000A3027"/>
    <w:rsid w:val="000A3242"/>
    <w:rsid w:val="000A3741"/>
    <w:rsid w:val="000A3935"/>
    <w:rsid w:val="000A54B3"/>
    <w:rsid w:val="000A5590"/>
    <w:rsid w:val="000A5BBC"/>
    <w:rsid w:val="000A5CAF"/>
    <w:rsid w:val="000A5DA2"/>
    <w:rsid w:val="000A5F32"/>
    <w:rsid w:val="000A6212"/>
    <w:rsid w:val="000A650D"/>
    <w:rsid w:val="000A68D1"/>
    <w:rsid w:val="000A7017"/>
    <w:rsid w:val="000A75E8"/>
    <w:rsid w:val="000A7927"/>
    <w:rsid w:val="000A79E4"/>
    <w:rsid w:val="000A7C76"/>
    <w:rsid w:val="000B0339"/>
    <w:rsid w:val="000B0E4B"/>
    <w:rsid w:val="000B107B"/>
    <w:rsid w:val="000B1258"/>
    <w:rsid w:val="000B1983"/>
    <w:rsid w:val="000B1C99"/>
    <w:rsid w:val="000B1DF6"/>
    <w:rsid w:val="000B1F2C"/>
    <w:rsid w:val="000B211C"/>
    <w:rsid w:val="000B322A"/>
    <w:rsid w:val="000B34FE"/>
    <w:rsid w:val="000B36CC"/>
    <w:rsid w:val="000B3884"/>
    <w:rsid w:val="000B3DE2"/>
    <w:rsid w:val="000B4734"/>
    <w:rsid w:val="000B4A3E"/>
    <w:rsid w:val="000B53CB"/>
    <w:rsid w:val="000B5C14"/>
    <w:rsid w:val="000B5E75"/>
    <w:rsid w:val="000B60A6"/>
    <w:rsid w:val="000B6245"/>
    <w:rsid w:val="000B6B30"/>
    <w:rsid w:val="000B6B69"/>
    <w:rsid w:val="000B6D2B"/>
    <w:rsid w:val="000B72BC"/>
    <w:rsid w:val="000B7AA9"/>
    <w:rsid w:val="000B7FF4"/>
    <w:rsid w:val="000C02DB"/>
    <w:rsid w:val="000C0B62"/>
    <w:rsid w:val="000C1DD7"/>
    <w:rsid w:val="000C22F5"/>
    <w:rsid w:val="000C27DE"/>
    <w:rsid w:val="000C2C22"/>
    <w:rsid w:val="000C2CE9"/>
    <w:rsid w:val="000C2E88"/>
    <w:rsid w:val="000C31DE"/>
    <w:rsid w:val="000C3833"/>
    <w:rsid w:val="000C388A"/>
    <w:rsid w:val="000C3ACC"/>
    <w:rsid w:val="000C41FF"/>
    <w:rsid w:val="000C4441"/>
    <w:rsid w:val="000C4734"/>
    <w:rsid w:val="000C4F33"/>
    <w:rsid w:val="000C584D"/>
    <w:rsid w:val="000C5FA8"/>
    <w:rsid w:val="000C6FDD"/>
    <w:rsid w:val="000C72AD"/>
    <w:rsid w:val="000C7393"/>
    <w:rsid w:val="000C79BC"/>
    <w:rsid w:val="000D0098"/>
    <w:rsid w:val="000D021E"/>
    <w:rsid w:val="000D0BFB"/>
    <w:rsid w:val="000D0F11"/>
    <w:rsid w:val="000D1F02"/>
    <w:rsid w:val="000D1FCF"/>
    <w:rsid w:val="000D2341"/>
    <w:rsid w:val="000D2E50"/>
    <w:rsid w:val="000D2FE4"/>
    <w:rsid w:val="000D3598"/>
    <w:rsid w:val="000D3EEC"/>
    <w:rsid w:val="000D4226"/>
    <w:rsid w:val="000D42CC"/>
    <w:rsid w:val="000D438E"/>
    <w:rsid w:val="000D4442"/>
    <w:rsid w:val="000D468C"/>
    <w:rsid w:val="000D48D0"/>
    <w:rsid w:val="000D560A"/>
    <w:rsid w:val="000D5728"/>
    <w:rsid w:val="000D5C99"/>
    <w:rsid w:val="000D5F99"/>
    <w:rsid w:val="000D612C"/>
    <w:rsid w:val="000D6178"/>
    <w:rsid w:val="000D6411"/>
    <w:rsid w:val="000D65CD"/>
    <w:rsid w:val="000D69C4"/>
    <w:rsid w:val="000D71DF"/>
    <w:rsid w:val="000D760B"/>
    <w:rsid w:val="000D7C85"/>
    <w:rsid w:val="000E018E"/>
    <w:rsid w:val="000E0342"/>
    <w:rsid w:val="000E03AE"/>
    <w:rsid w:val="000E051B"/>
    <w:rsid w:val="000E1CCC"/>
    <w:rsid w:val="000E1F66"/>
    <w:rsid w:val="000E275A"/>
    <w:rsid w:val="000E2AE7"/>
    <w:rsid w:val="000E32CD"/>
    <w:rsid w:val="000E3330"/>
    <w:rsid w:val="000E3C1F"/>
    <w:rsid w:val="000E4041"/>
    <w:rsid w:val="000E47B6"/>
    <w:rsid w:val="000E483E"/>
    <w:rsid w:val="000E48F2"/>
    <w:rsid w:val="000E4B60"/>
    <w:rsid w:val="000E56A5"/>
    <w:rsid w:val="000E5974"/>
    <w:rsid w:val="000E5F37"/>
    <w:rsid w:val="000E5F60"/>
    <w:rsid w:val="000E60B8"/>
    <w:rsid w:val="000E623D"/>
    <w:rsid w:val="000E66C3"/>
    <w:rsid w:val="000E6A19"/>
    <w:rsid w:val="000E7371"/>
    <w:rsid w:val="000E79F6"/>
    <w:rsid w:val="000F05D9"/>
    <w:rsid w:val="000F08FB"/>
    <w:rsid w:val="000F098F"/>
    <w:rsid w:val="000F0C40"/>
    <w:rsid w:val="000F1053"/>
    <w:rsid w:val="000F14B2"/>
    <w:rsid w:val="000F1526"/>
    <w:rsid w:val="000F15B7"/>
    <w:rsid w:val="000F2D91"/>
    <w:rsid w:val="000F2E09"/>
    <w:rsid w:val="000F3216"/>
    <w:rsid w:val="000F3499"/>
    <w:rsid w:val="000F3794"/>
    <w:rsid w:val="000F3B61"/>
    <w:rsid w:val="000F3ED6"/>
    <w:rsid w:val="000F3FC5"/>
    <w:rsid w:val="000F4053"/>
    <w:rsid w:val="000F4639"/>
    <w:rsid w:val="000F47AC"/>
    <w:rsid w:val="000F4CE1"/>
    <w:rsid w:val="000F5E88"/>
    <w:rsid w:val="000F6412"/>
    <w:rsid w:val="000F68B3"/>
    <w:rsid w:val="000F6CB1"/>
    <w:rsid w:val="000F6FD8"/>
    <w:rsid w:val="000F7C35"/>
    <w:rsid w:val="00100882"/>
    <w:rsid w:val="00100AF3"/>
    <w:rsid w:val="0010124D"/>
    <w:rsid w:val="001012C9"/>
    <w:rsid w:val="00102008"/>
    <w:rsid w:val="001028D1"/>
    <w:rsid w:val="001028F2"/>
    <w:rsid w:val="00102C89"/>
    <w:rsid w:val="00102E83"/>
    <w:rsid w:val="00103B67"/>
    <w:rsid w:val="00103C0C"/>
    <w:rsid w:val="00104166"/>
    <w:rsid w:val="001042CA"/>
    <w:rsid w:val="00104B33"/>
    <w:rsid w:val="00105A70"/>
    <w:rsid w:val="00105B8F"/>
    <w:rsid w:val="00106432"/>
    <w:rsid w:val="0010656C"/>
    <w:rsid w:val="001065AC"/>
    <w:rsid w:val="00106E2D"/>
    <w:rsid w:val="00106EE9"/>
    <w:rsid w:val="00106F3C"/>
    <w:rsid w:val="00107025"/>
    <w:rsid w:val="0010706E"/>
    <w:rsid w:val="001072BF"/>
    <w:rsid w:val="00107EB4"/>
    <w:rsid w:val="00107FFA"/>
    <w:rsid w:val="001105C4"/>
    <w:rsid w:val="00110AD5"/>
    <w:rsid w:val="00110F61"/>
    <w:rsid w:val="00111075"/>
    <w:rsid w:val="00111C95"/>
    <w:rsid w:val="00111F29"/>
    <w:rsid w:val="001120DC"/>
    <w:rsid w:val="0011287E"/>
    <w:rsid w:val="0011298C"/>
    <w:rsid w:val="00113FBF"/>
    <w:rsid w:val="00114392"/>
    <w:rsid w:val="00114464"/>
    <w:rsid w:val="001150E2"/>
    <w:rsid w:val="001156A1"/>
    <w:rsid w:val="001158F4"/>
    <w:rsid w:val="00115D44"/>
    <w:rsid w:val="00116234"/>
    <w:rsid w:val="00116457"/>
    <w:rsid w:val="001169BD"/>
    <w:rsid w:val="00116A18"/>
    <w:rsid w:val="00117119"/>
    <w:rsid w:val="00117561"/>
    <w:rsid w:val="00120010"/>
    <w:rsid w:val="00120758"/>
    <w:rsid w:val="00120F8A"/>
    <w:rsid w:val="0012150B"/>
    <w:rsid w:val="001215C4"/>
    <w:rsid w:val="00121AB6"/>
    <w:rsid w:val="00122F31"/>
    <w:rsid w:val="0012317D"/>
    <w:rsid w:val="00124210"/>
    <w:rsid w:val="001245DD"/>
    <w:rsid w:val="00124DEB"/>
    <w:rsid w:val="001251F8"/>
    <w:rsid w:val="001256DA"/>
    <w:rsid w:val="00125A9B"/>
    <w:rsid w:val="00125B40"/>
    <w:rsid w:val="00126072"/>
    <w:rsid w:val="00126E0D"/>
    <w:rsid w:val="00126E90"/>
    <w:rsid w:val="00126F30"/>
    <w:rsid w:val="001271BF"/>
    <w:rsid w:val="001276DE"/>
    <w:rsid w:val="00127970"/>
    <w:rsid w:val="00127BA2"/>
    <w:rsid w:val="001305EA"/>
    <w:rsid w:val="0013083F"/>
    <w:rsid w:val="0013189F"/>
    <w:rsid w:val="001318C4"/>
    <w:rsid w:val="00132DE0"/>
    <w:rsid w:val="001331EC"/>
    <w:rsid w:val="00133341"/>
    <w:rsid w:val="001337C4"/>
    <w:rsid w:val="0013390F"/>
    <w:rsid w:val="00133CA9"/>
    <w:rsid w:val="0013405B"/>
    <w:rsid w:val="00135195"/>
    <w:rsid w:val="00135CC2"/>
    <w:rsid w:val="00135D07"/>
    <w:rsid w:val="00136154"/>
    <w:rsid w:val="001375EE"/>
    <w:rsid w:val="00137862"/>
    <w:rsid w:val="0013796D"/>
    <w:rsid w:val="0014014B"/>
    <w:rsid w:val="0014067A"/>
    <w:rsid w:val="001406A1"/>
    <w:rsid w:val="00140865"/>
    <w:rsid w:val="001409CA"/>
    <w:rsid w:val="00140DB0"/>
    <w:rsid w:val="00140DD7"/>
    <w:rsid w:val="0014112F"/>
    <w:rsid w:val="00141194"/>
    <w:rsid w:val="00141642"/>
    <w:rsid w:val="00141BFB"/>
    <w:rsid w:val="00141CB4"/>
    <w:rsid w:val="00142A35"/>
    <w:rsid w:val="00142A4E"/>
    <w:rsid w:val="00143391"/>
    <w:rsid w:val="001434AE"/>
    <w:rsid w:val="00143F95"/>
    <w:rsid w:val="00144DBA"/>
    <w:rsid w:val="00144E90"/>
    <w:rsid w:val="00145046"/>
    <w:rsid w:val="00145198"/>
    <w:rsid w:val="00145B12"/>
    <w:rsid w:val="001464CA"/>
    <w:rsid w:val="00146567"/>
    <w:rsid w:val="0014699A"/>
    <w:rsid w:val="00146FFD"/>
    <w:rsid w:val="001473E6"/>
    <w:rsid w:val="00150174"/>
    <w:rsid w:val="001501DC"/>
    <w:rsid w:val="0015047E"/>
    <w:rsid w:val="0015100B"/>
    <w:rsid w:val="001511EE"/>
    <w:rsid w:val="001522EF"/>
    <w:rsid w:val="001528DA"/>
    <w:rsid w:val="00152A2A"/>
    <w:rsid w:val="00152AB5"/>
    <w:rsid w:val="0015302B"/>
    <w:rsid w:val="00153DF8"/>
    <w:rsid w:val="00153F0B"/>
    <w:rsid w:val="00154040"/>
    <w:rsid w:val="001540A3"/>
    <w:rsid w:val="001541B8"/>
    <w:rsid w:val="001546E2"/>
    <w:rsid w:val="0015479E"/>
    <w:rsid w:val="00154850"/>
    <w:rsid w:val="001549D9"/>
    <w:rsid w:val="0015583E"/>
    <w:rsid w:val="001559BE"/>
    <w:rsid w:val="00155A7E"/>
    <w:rsid w:val="00155B0E"/>
    <w:rsid w:val="00155EF3"/>
    <w:rsid w:val="001564A4"/>
    <w:rsid w:val="0015671F"/>
    <w:rsid w:val="00156ABE"/>
    <w:rsid w:val="00156CDA"/>
    <w:rsid w:val="00157AAB"/>
    <w:rsid w:val="00157D1D"/>
    <w:rsid w:val="00157EF8"/>
    <w:rsid w:val="0016070E"/>
    <w:rsid w:val="00160995"/>
    <w:rsid w:val="00160A8C"/>
    <w:rsid w:val="00160C18"/>
    <w:rsid w:val="0016125F"/>
    <w:rsid w:val="001612E3"/>
    <w:rsid w:val="00161727"/>
    <w:rsid w:val="001617ED"/>
    <w:rsid w:val="00161E58"/>
    <w:rsid w:val="00162876"/>
    <w:rsid w:val="00162DF7"/>
    <w:rsid w:val="00163031"/>
    <w:rsid w:val="0016315C"/>
    <w:rsid w:val="00163CE8"/>
    <w:rsid w:val="0016456B"/>
    <w:rsid w:val="001649B9"/>
    <w:rsid w:val="00164AB4"/>
    <w:rsid w:val="00164CC4"/>
    <w:rsid w:val="00164E33"/>
    <w:rsid w:val="001651BB"/>
    <w:rsid w:val="00165292"/>
    <w:rsid w:val="00165451"/>
    <w:rsid w:val="0016547D"/>
    <w:rsid w:val="001657FD"/>
    <w:rsid w:val="001659B3"/>
    <w:rsid w:val="00166210"/>
    <w:rsid w:val="001668C0"/>
    <w:rsid w:val="00166926"/>
    <w:rsid w:val="00166995"/>
    <w:rsid w:val="00167099"/>
    <w:rsid w:val="001672F1"/>
    <w:rsid w:val="0016744C"/>
    <w:rsid w:val="001677FD"/>
    <w:rsid w:val="00170B2B"/>
    <w:rsid w:val="0017106B"/>
    <w:rsid w:val="00171410"/>
    <w:rsid w:val="001720B0"/>
    <w:rsid w:val="001724DC"/>
    <w:rsid w:val="0017263F"/>
    <w:rsid w:val="0017285A"/>
    <w:rsid w:val="00172E9B"/>
    <w:rsid w:val="00172EBC"/>
    <w:rsid w:val="00173126"/>
    <w:rsid w:val="00173583"/>
    <w:rsid w:val="00173763"/>
    <w:rsid w:val="00173850"/>
    <w:rsid w:val="0017413A"/>
    <w:rsid w:val="001745DC"/>
    <w:rsid w:val="0017485A"/>
    <w:rsid w:val="001748C7"/>
    <w:rsid w:val="00174921"/>
    <w:rsid w:val="00174AD5"/>
    <w:rsid w:val="00174C4E"/>
    <w:rsid w:val="00174EA4"/>
    <w:rsid w:val="00175FD5"/>
    <w:rsid w:val="001764A0"/>
    <w:rsid w:val="00176500"/>
    <w:rsid w:val="00176501"/>
    <w:rsid w:val="00176949"/>
    <w:rsid w:val="00177DA3"/>
    <w:rsid w:val="00180506"/>
    <w:rsid w:val="00180696"/>
    <w:rsid w:val="001812BC"/>
    <w:rsid w:val="00181767"/>
    <w:rsid w:val="001818A7"/>
    <w:rsid w:val="00181C22"/>
    <w:rsid w:val="00181F94"/>
    <w:rsid w:val="00182A94"/>
    <w:rsid w:val="00182AAF"/>
    <w:rsid w:val="00182B77"/>
    <w:rsid w:val="00182E90"/>
    <w:rsid w:val="001833E4"/>
    <w:rsid w:val="00183961"/>
    <w:rsid w:val="00183B77"/>
    <w:rsid w:val="00183BB2"/>
    <w:rsid w:val="00183C92"/>
    <w:rsid w:val="0018523B"/>
    <w:rsid w:val="00185282"/>
    <w:rsid w:val="0018535E"/>
    <w:rsid w:val="001856A1"/>
    <w:rsid w:val="00185B6A"/>
    <w:rsid w:val="00185D03"/>
    <w:rsid w:val="00185D27"/>
    <w:rsid w:val="00186255"/>
    <w:rsid w:val="00186D4C"/>
    <w:rsid w:val="00186D8B"/>
    <w:rsid w:val="00187A36"/>
    <w:rsid w:val="00190196"/>
    <w:rsid w:val="00190346"/>
    <w:rsid w:val="00190748"/>
    <w:rsid w:val="001915A1"/>
    <w:rsid w:val="00191BA5"/>
    <w:rsid w:val="00191C4C"/>
    <w:rsid w:val="00192104"/>
    <w:rsid w:val="00193119"/>
    <w:rsid w:val="001936DE"/>
    <w:rsid w:val="00194172"/>
    <w:rsid w:val="00194AA9"/>
    <w:rsid w:val="00195369"/>
    <w:rsid w:val="00195408"/>
    <w:rsid w:val="00195467"/>
    <w:rsid w:val="001955FE"/>
    <w:rsid w:val="001959B2"/>
    <w:rsid w:val="00195D30"/>
    <w:rsid w:val="00195E67"/>
    <w:rsid w:val="001961CE"/>
    <w:rsid w:val="001966FC"/>
    <w:rsid w:val="00196802"/>
    <w:rsid w:val="00196AD9"/>
    <w:rsid w:val="00197487"/>
    <w:rsid w:val="0019771F"/>
    <w:rsid w:val="001A03A6"/>
    <w:rsid w:val="001A04BB"/>
    <w:rsid w:val="001A0866"/>
    <w:rsid w:val="001A137F"/>
    <w:rsid w:val="001A178B"/>
    <w:rsid w:val="001A1EBF"/>
    <w:rsid w:val="001A28D9"/>
    <w:rsid w:val="001A2A97"/>
    <w:rsid w:val="001A2C2A"/>
    <w:rsid w:val="001A2E60"/>
    <w:rsid w:val="001A308F"/>
    <w:rsid w:val="001A340F"/>
    <w:rsid w:val="001A37F2"/>
    <w:rsid w:val="001A3BC7"/>
    <w:rsid w:val="001A4672"/>
    <w:rsid w:val="001A4A9F"/>
    <w:rsid w:val="001A4AD0"/>
    <w:rsid w:val="001A5487"/>
    <w:rsid w:val="001A578F"/>
    <w:rsid w:val="001A5D2F"/>
    <w:rsid w:val="001A6788"/>
    <w:rsid w:val="001A6C19"/>
    <w:rsid w:val="001A6C5F"/>
    <w:rsid w:val="001A7CB1"/>
    <w:rsid w:val="001B0B3A"/>
    <w:rsid w:val="001B0B73"/>
    <w:rsid w:val="001B0F5F"/>
    <w:rsid w:val="001B1E99"/>
    <w:rsid w:val="001B2B84"/>
    <w:rsid w:val="001B2D91"/>
    <w:rsid w:val="001B2E33"/>
    <w:rsid w:val="001B36D5"/>
    <w:rsid w:val="001B4435"/>
    <w:rsid w:val="001B490C"/>
    <w:rsid w:val="001B4BDD"/>
    <w:rsid w:val="001B4D26"/>
    <w:rsid w:val="001B4F79"/>
    <w:rsid w:val="001B5274"/>
    <w:rsid w:val="001B5330"/>
    <w:rsid w:val="001B58F8"/>
    <w:rsid w:val="001B62AE"/>
    <w:rsid w:val="001B62FC"/>
    <w:rsid w:val="001B690C"/>
    <w:rsid w:val="001B69C5"/>
    <w:rsid w:val="001B73A0"/>
    <w:rsid w:val="001B77D7"/>
    <w:rsid w:val="001C05BA"/>
    <w:rsid w:val="001C0826"/>
    <w:rsid w:val="001C0A9B"/>
    <w:rsid w:val="001C1202"/>
    <w:rsid w:val="001C14AB"/>
    <w:rsid w:val="001C1AA4"/>
    <w:rsid w:val="001C2705"/>
    <w:rsid w:val="001C3C5F"/>
    <w:rsid w:val="001C3D78"/>
    <w:rsid w:val="001C4472"/>
    <w:rsid w:val="001C4695"/>
    <w:rsid w:val="001C53CF"/>
    <w:rsid w:val="001C53F3"/>
    <w:rsid w:val="001C5639"/>
    <w:rsid w:val="001C59A2"/>
    <w:rsid w:val="001C5D0E"/>
    <w:rsid w:val="001C6398"/>
    <w:rsid w:val="001C687F"/>
    <w:rsid w:val="001C6BCE"/>
    <w:rsid w:val="001C6DF0"/>
    <w:rsid w:val="001C6F04"/>
    <w:rsid w:val="001C70CC"/>
    <w:rsid w:val="001C7429"/>
    <w:rsid w:val="001C74D1"/>
    <w:rsid w:val="001C7A23"/>
    <w:rsid w:val="001C7E8A"/>
    <w:rsid w:val="001C7F0B"/>
    <w:rsid w:val="001D0186"/>
    <w:rsid w:val="001D0875"/>
    <w:rsid w:val="001D08C3"/>
    <w:rsid w:val="001D13B2"/>
    <w:rsid w:val="001D13D3"/>
    <w:rsid w:val="001D15EE"/>
    <w:rsid w:val="001D1611"/>
    <w:rsid w:val="001D16AE"/>
    <w:rsid w:val="001D1F4D"/>
    <w:rsid w:val="001D227A"/>
    <w:rsid w:val="001D247E"/>
    <w:rsid w:val="001D303D"/>
    <w:rsid w:val="001D33C8"/>
    <w:rsid w:val="001D396E"/>
    <w:rsid w:val="001D3D29"/>
    <w:rsid w:val="001D3E42"/>
    <w:rsid w:val="001D3FD9"/>
    <w:rsid w:val="001D482D"/>
    <w:rsid w:val="001D48DC"/>
    <w:rsid w:val="001D5B78"/>
    <w:rsid w:val="001D5CC2"/>
    <w:rsid w:val="001D600C"/>
    <w:rsid w:val="001D60EE"/>
    <w:rsid w:val="001D6292"/>
    <w:rsid w:val="001D6378"/>
    <w:rsid w:val="001D670D"/>
    <w:rsid w:val="001D672A"/>
    <w:rsid w:val="001D68D1"/>
    <w:rsid w:val="001D69F2"/>
    <w:rsid w:val="001D714C"/>
    <w:rsid w:val="001D78AA"/>
    <w:rsid w:val="001E0355"/>
    <w:rsid w:val="001E084F"/>
    <w:rsid w:val="001E097C"/>
    <w:rsid w:val="001E0FB4"/>
    <w:rsid w:val="001E1D71"/>
    <w:rsid w:val="001E2B27"/>
    <w:rsid w:val="001E2FD6"/>
    <w:rsid w:val="001E36AA"/>
    <w:rsid w:val="001E3947"/>
    <w:rsid w:val="001E3CAD"/>
    <w:rsid w:val="001E4B05"/>
    <w:rsid w:val="001E4F8E"/>
    <w:rsid w:val="001E5C95"/>
    <w:rsid w:val="001E5F9C"/>
    <w:rsid w:val="001E608C"/>
    <w:rsid w:val="001E6174"/>
    <w:rsid w:val="001E63E0"/>
    <w:rsid w:val="001E6666"/>
    <w:rsid w:val="001E6D12"/>
    <w:rsid w:val="001E6E72"/>
    <w:rsid w:val="001E7412"/>
    <w:rsid w:val="001E77D9"/>
    <w:rsid w:val="001E7E56"/>
    <w:rsid w:val="001F063F"/>
    <w:rsid w:val="001F073D"/>
    <w:rsid w:val="001F09D1"/>
    <w:rsid w:val="001F1020"/>
    <w:rsid w:val="001F11A0"/>
    <w:rsid w:val="001F18B6"/>
    <w:rsid w:val="001F1A75"/>
    <w:rsid w:val="001F1FE2"/>
    <w:rsid w:val="001F2901"/>
    <w:rsid w:val="001F4422"/>
    <w:rsid w:val="001F55D0"/>
    <w:rsid w:val="001F55EE"/>
    <w:rsid w:val="001F5D9F"/>
    <w:rsid w:val="001F60D7"/>
    <w:rsid w:val="001F6F1A"/>
    <w:rsid w:val="001F7510"/>
    <w:rsid w:val="002000BA"/>
    <w:rsid w:val="002002CC"/>
    <w:rsid w:val="00200333"/>
    <w:rsid w:val="002010E1"/>
    <w:rsid w:val="00201344"/>
    <w:rsid w:val="0020157B"/>
    <w:rsid w:val="0020184E"/>
    <w:rsid w:val="00202721"/>
    <w:rsid w:val="002030B4"/>
    <w:rsid w:val="00203756"/>
    <w:rsid w:val="00203F37"/>
    <w:rsid w:val="00204154"/>
    <w:rsid w:val="00204779"/>
    <w:rsid w:val="0020477C"/>
    <w:rsid w:val="00205147"/>
    <w:rsid w:val="00205370"/>
    <w:rsid w:val="002058DC"/>
    <w:rsid w:val="00205D08"/>
    <w:rsid w:val="002062F6"/>
    <w:rsid w:val="0020675D"/>
    <w:rsid w:val="00206790"/>
    <w:rsid w:val="002067B7"/>
    <w:rsid w:val="00206832"/>
    <w:rsid w:val="002075D7"/>
    <w:rsid w:val="00207AEB"/>
    <w:rsid w:val="00210C5B"/>
    <w:rsid w:val="00210DEA"/>
    <w:rsid w:val="00210E3E"/>
    <w:rsid w:val="002112E5"/>
    <w:rsid w:val="002115D4"/>
    <w:rsid w:val="0021188A"/>
    <w:rsid w:val="00211B19"/>
    <w:rsid w:val="00211F54"/>
    <w:rsid w:val="0021211D"/>
    <w:rsid w:val="002128E7"/>
    <w:rsid w:val="002132DB"/>
    <w:rsid w:val="00213BFB"/>
    <w:rsid w:val="002146FD"/>
    <w:rsid w:val="002147E1"/>
    <w:rsid w:val="002156AA"/>
    <w:rsid w:val="002157B0"/>
    <w:rsid w:val="00215B62"/>
    <w:rsid w:val="00215CE0"/>
    <w:rsid w:val="0021704F"/>
    <w:rsid w:val="00217274"/>
    <w:rsid w:val="00217545"/>
    <w:rsid w:val="002175D7"/>
    <w:rsid w:val="00220E04"/>
    <w:rsid w:val="002214F2"/>
    <w:rsid w:val="00221873"/>
    <w:rsid w:val="00221A15"/>
    <w:rsid w:val="00221B21"/>
    <w:rsid w:val="00222320"/>
    <w:rsid w:val="0022275F"/>
    <w:rsid w:val="00222D3B"/>
    <w:rsid w:val="00223449"/>
    <w:rsid w:val="00224241"/>
    <w:rsid w:val="002245D1"/>
    <w:rsid w:val="002247B7"/>
    <w:rsid w:val="0022484E"/>
    <w:rsid w:val="00224B8F"/>
    <w:rsid w:val="00225A3E"/>
    <w:rsid w:val="00226BB0"/>
    <w:rsid w:val="00227381"/>
    <w:rsid w:val="00227744"/>
    <w:rsid w:val="00227BEF"/>
    <w:rsid w:val="00227CBC"/>
    <w:rsid w:val="00227EEB"/>
    <w:rsid w:val="00227FCA"/>
    <w:rsid w:val="00230778"/>
    <w:rsid w:val="00230C94"/>
    <w:rsid w:val="0023107D"/>
    <w:rsid w:val="0023114E"/>
    <w:rsid w:val="0023120C"/>
    <w:rsid w:val="002313FD"/>
    <w:rsid w:val="00231432"/>
    <w:rsid w:val="0023251D"/>
    <w:rsid w:val="002326C3"/>
    <w:rsid w:val="002329AD"/>
    <w:rsid w:val="0023368A"/>
    <w:rsid w:val="00233E99"/>
    <w:rsid w:val="002340D3"/>
    <w:rsid w:val="00234518"/>
    <w:rsid w:val="0023494F"/>
    <w:rsid w:val="00234A3C"/>
    <w:rsid w:val="00235B21"/>
    <w:rsid w:val="00235B3C"/>
    <w:rsid w:val="00235D41"/>
    <w:rsid w:val="00236281"/>
    <w:rsid w:val="0023633D"/>
    <w:rsid w:val="0023653F"/>
    <w:rsid w:val="00236647"/>
    <w:rsid w:val="00236657"/>
    <w:rsid w:val="00236BB5"/>
    <w:rsid w:val="00236F60"/>
    <w:rsid w:val="00237391"/>
    <w:rsid w:val="002374D9"/>
    <w:rsid w:val="00237840"/>
    <w:rsid w:val="00237EC8"/>
    <w:rsid w:val="002405DD"/>
    <w:rsid w:val="00240681"/>
    <w:rsid w:val="002410A0"/>
    <w:rsid w:val="00241AFA"/>
    <w:rsid w:val="00242C1D"/>
    <w:rsid w:val="00243211"/>
    <w:rsid w:val="0024326F"/>
    <w:rsid w:val="0024334D"/>
    <w:rsid w:val="00243DE8"/>
    <w:rsid w:val="00243F56"/>
    <w:rsid w:val="00244049"/>
    <w:rsid w:val="002441C5"/>
    <w:rsid w:val="00244606"/>
    <w:rsid w:val="00244738"/>
    <w:rsid w:val="00245192"/>
    <w:rsid w:val="00245D57"/>
    <w:rsid w:val="00245EE3"/>
    <w:rsid w:val="00246686"/>
    <w:rsid w:val="00247A40"/>
    <w:rsid w:val="00247A77"/>
    <w:rsid w:val="00247DC9"/>
    <w:rsid w:val="002514CD"/>
    <w:rsid w:val="00251B59"/>
    <w:rsid w:val="002522BD"/>
    <w:rsid w:val="002529B2"/>
    <w:rsid w:val="00252B98"/>
    <w:rsid w:val="00253129"/>
    <w:rsid w:val="00253322"/>
    <w:rsid w:val="0025334B"/>
    <w:rsid w:val="00253B39"/>
    <w:rsid w:val="00253BC9"/>
    <w:rsid w:val="00253E4F"/>
    <w:rsid w:val="00253E6B"/>
    <w:rsid w:val="00253E78"/>
    <w:rsid w:val="00254616"/>
    <w:rsid w:val="00254821"/>
    <w:rsid w:val="00254A86"/>
    <w:rsid w:val="00255778"/>
    <w:rsid w:val="0025579C"/>
    <w:rsid w:val="00255E75"/>
    <w:rsid w:val="0025651F"/>
    <w:rsid w:val="002566DB"/>
    <w:rsid w:val="002568EE"/>
    <w:rsid w:val="00256A85"/>
    <w:rsid w:val="00256E45"/>
    <w:rsid w:val="00257178"/>
    <w:rsid w:val="00257229"/>
    <w:rsid w:val="0025727D"/>
    <w:rsid w:val="00257AC0"/>
    <w:rsid w:val="00257C54"/>
    <w:rsid w:val="00260138"/>
    <w:rsid w:val="002602E6"/>
    <w:rsid w:val="002605CE"/>
    <w:rsid w:val="002607F4"/>
    <w:rsid w:val="00260E5A"/>
    <w:rsid w:val="00260FAD"/>
    <w:rsid w:val="002612CA"/>
    <w:rsid w:val="0026244B"/>
    <w:rsid w:val="00262A35"/>
    <w:rsid w:val="0026361F"/>
    <w:rsid w:val="00263A17"/>
    <w:rsid w:val="00263D03"/>
    <w:rsid w:val="002640E3"/>
    <w:rsid w:val="0026410A"/>
    <w:rsid w:val="0026413F"/>
    <w:rsid w:val="00264585"/>
    <w:rsid w:val="00264963"/>
    <w:rsid w:val="00264C5C"/>
    <w:rsid w:val="00264F23"/>
    <w:rsid w:val="00265B52"/>
    <w:rsid w:val="00266302"/>
    <w:rsid w:val="00267043"/>
    <w:rsid w:val="002675F5"/>
    <w:rsid w:val="00267641"/>
    <w:rsid w:val="00267693"/>
    <w:rsid w:val="0026774D"/>
    <w:rsid w:val="00267CAC"/>
    <w:rsid w:val="00267CBA"/>
    <w:rsid w:val="00270CF2"/>
    <w:rsid w:val="00270DA3"/>
    <w:rsid w:val="00270E8B"/>
    <w:rsid w:val="0027170F"/>
    <w:rsid w:val="00271725"/>
    <w:rsid w:val="0027175B"/>
    <w:rsid w:val="00271A6A"/>
    <w:rsid w:val="00271D14"/>
    <w:rsid w:val="00271F2C"/>
    <w:rsid w:val="00272051"/>
    <w:rsid w:val="0027225B"/>
    <w:rsid w:val="00272450"/>
    <w:rsid w:val="002728C9"/>
    <w:rsid w:val="002730D1"/>
    <w:rsid w:val="00273C82"/>
    <w:rsid w:val="00273E55"/>
    <w:rsid w:val="0027430C"/>
    <w:rsid w:val="00274800"/>
    <w:rsid w:val="00274A0F"/>
    <w:rsid w:val="00274EC4"/>
    <w:rsid w:val="002750F5"/>
    <w:rsid w:val="00275183"/>
    <w:rsid w:val="00275488"/>
    <w:rsid w:val="00275715"/>
    <w:rsid w:val="00275AA1"/>
    <w:rsid w:val="00275EF1"/>
    <w:rsid w:val="0027667E"/>
    <w:rsid w:val="00276804"/>
    <w:rsid w:val="00276DBA"/>
    <w:rsid w:val="0027761D"/>
    <w:rsid w:val="002778AE"/>
    <w:rsid w:val="00277D20"/>
    <w:rsid w:val="00280096"/>
    <w:rsid w:val="0028040E"/>
    <w:rsid w:val="00280991"/>
    <w:rsid w:val="00280EB3"/>
    <w:rsid w:val="00280EEC"/>
    <w:rsid w:val="00281208"/>
    <w:rsid w:val="00281679"/>
    <w:rsid w:val="00281801"/>
    <w:rsid w:val="00281865"/>
    <w:rsid w:val="002819D8"/>
    <w:rsid w:val="00281A62"/>
    <w:rsid w:val="00282E90"/>
    <w:rsid w:val="00283353"/>
    <w:rsid w:val="0028341D"/>
    <w:rsid w:val="00283722"/>
    <w:rsid w:val="00283F51"/>
    <w:rsid w:val="002841D7"/>
    <w:rsid w:val="00284612"/>
    <w:rsid w:val="00284874"/>
    <w:rsid w:val="00284887"/>
    <w:rsid w:val="00284C3F"/>
    <w:rsid w:val="002855CD"/>
    <w:rsid w:val="002857AF"/>
    <w:rsid w:val="00285B99"/>
    <w:rsid w:val="00285BDA"/>
    <w:rsid w:val="00285D54"/>
    <w:rsid w:val="00285FEF"/>
    <w:rsid w:val="002865D8"/>
    <w:rsid w:val="00286C09"/>
    <w:rsid w:val="00286C76"/>
    <w:rsid w:val="00286FF6"/>
    <w:rsid w:val="00287960"/>
    <w:rsid w:val="00287D90"/>
    <w:rsid w:val="00290140"/>
    <w:rsid w:val="0029163F"/>
    <w:rsid w:val="00291C21"/>
    <w:rsid w:val="00291C68"/>
    <w:rsid w:val="002929B4"/>
    <w:rsid w:val="00292FC5"/>
    <w:rsid w:val="00293340"/>
    <w:rsid w:val="00293685"/>
    <w:rsid w:val="00293772"/>
    <w:rsid w:val="00294150"/>
    <w:rsid w:val="00294359"/>
    <w:rsid w:val="0029518C"/>
    <w:rsid w:val="00296440"/>
    <w:rsid w:val="002966C5"/>
    <w:rsid w:val="0029674C"/>
    <w:rsid w:val="002967A7"/>
    <w:rsid w:val="00296AFC"/>
    <w:rsid w:val="00296BCE"/>
    <w:rsid w:val="00296CA8"/>
    <w:rsid w:val="002974CB"/>
    <w:rsid w:val="0029774C"/>
    <w:rsid w:val="002A020D"/>
    <w:rsid w:val="002A10FB"/>
    <w:rsid w:val="002A125A"/>
    <w:rsid w:val="002A1482"/>
    <w:rsid w:val="002A1705"/>
    <w:rsid w:val="002A1AB0"/>
    <w:rsid w:val="002A1B20"/>
    <w:rsid w:val="002A27AF"/>
    <w:rsid w:val="002A29A5"/>
    <w:rsid w:val="002A2CA2"/>
    <w:rsid w:val="002A2D8B"/>
    <w:rsid w:val="002A2E3A"/>
    <w:rsid w:val="002A2EEF"/>
    <w:rsid w:val="002A3372"/>
    <w:rsid w:val="002A3AB2"/>
    <w:rsid w:val="002A4232"/>
    <w:rsid w:val="002A441C"/>
    <w:rsid w:val="002A45B6"/>
    <w:rsid w:val="002A56EC"/>
    <w:rsid w:val="002A5AA2"/>
    <w:rsid w:val="002A6717"/>
    <w:rsid w:val="002A73A4"/>
    <w:rsid w:val="002A76BC"/>
    <w:rsid w:val="002A7853"/>
    <w:rsid w:val="002A78DC"/>
    <w:rsid w:val="002A7D3A"/>
    <w:rsid w:val="002B03DE"/>
    <w:rsid w:val="002B0F38"/>
    <w:rsid w:val="002B103E"/>
    <w:rsid w:val="002B146D"/>
    <w:rsid w:val="002B14FB"/>
    <w:rsid w:val="002B1E39"/>
    <w:rsid w:val="002B2E19"/>
    <w:rsid w:val="002B2E3B"/>
    <w:rsid w:val="002B3253"/>
    <w:rsid w:val="002B3C37"/>
    <w:rsid w:val="002B4183"/>
    <w:rsid w:val="002B4290"/>
    <w:rsid w:val="002B454B"/>
    <w:rsid w:val="002B4A65"/>
    <w:rsid w:val="002B51EA"/>
    <w:rsid w:val="002B5595"/>
    <w:rsid w:val="002B694F"/>
    <w:rsid w:val="002B69C6"/>
    <w:rsid w:val="002C02E6"/>
    <w:rsid w:val="002C03A2"/>
    <w:rsid w:val="002C0635"/>
    <w:rsid w:val="002C065F"/>
    <w:rsid w:val="002C0BC9"/>
    <w:rsid w:val="002C12CC"/>
    <w:rsid w:val="002C1314"/>
    <w:rsid w:val="002C1487"/>
    <w:rsid w:val="002C1B4D"/>
    <w:rsid w:val="002C1CDB"/>
    <w:rsid w:val="002C2083"/>
    <w:rsid w:val="002C27D4"/>
    <w:rsid w:val="002C314E"/>
    <w:rsid w:val="002C4327"/>
    <w:rsid w:val="002C44C1"/>
    <w:rsid w:val="002C4D87"/>
    <w:rsid w:val="002C5478"/>
    <w:rsid w:val="002C576B"/>
    <w:rsid w:val="002C5B75"/>
    <w:rsid w:val="002C5D1C"/>
    <w:rsid w:val="002C61F7"/>
    <w:rsid w:val="002C62F9"/>
    <w:rsid w:val="002C6D30"/>
    <w:rsid w:val="002C7325"/>
    <w:rsid w:val="002D026A"/>
    <w:rsid w:val="002D1475"/>
    <w:rsid w:val="002D147A"/>
    <w:rsid w:val="002D1C2B"/>
    <w:rsid w:val="002D1FC8"/>
    <w:rsid w:val="002D20EB"/>
    <w:rsid w:val="002D23A5"/>
    <w:rsid w:val="002D2B0B"/>
    <w:rsid w:val="002D4034"/>
    <w:rsid w:val="002D42B2"/>
    <w:rsid w:val="002D5D59"/>
    <w:rsid w:val="002D5DAB"/>
    <w:rsid w:val="002D6270"/>
    <w:rsid w:val="002D6326"/>
    <w:rsid w:val="002D6555"/>
    <w:rsid w:val="002D6B3F"/>
    <w:rsid w:val="002D7249"/>
    <w:rsid w:val="002D7BF3"/>
    <w:rsid w:val="002E0350"/>
    <w:rsid w:val="002E06BF"/>
    <w:rsid w:val="002E0ECD"/>
    <w:rsid w:val="002E1167"/>
    <w:rsid w:val="002E196C"/>
    <w:rsid w:val="002E1C37"/>
    <w:rsid w:val="002E2912"/>
    <w:rsid w:val="002E2AFA"/>
    <w:rsid w:val="002E2F15"/>
    <w:rsid w:val="002E31E0"/>
    <w:rsid w:val="002E3547"/>
    <w:rsid w:val="002E3857"/>
    <w:rsid w:val="002E3BAD"/>
    <w:rsid w:val="002E3CEE"/>
    <w:rsid w:val="002E4B88"/>
    <w:rsid w:val="002E4B9A"/>
    <w:rsid w:val="002E4F92"/>
    <w:rsid w:val="002E5874"/>
    <w:rsid w:val="002E6910"/>
    <w:rsid w:val="002E69C4"/>
    <w:rsid w:val="002E6FD2"/>
    <w:rsid w:val="002E7415"/>
    <w:rsid w:val="002E7492"/>
    <w:rsid w:val="002E7ABA"/>
    <w:rsid w:val="002E7D08"/>
    <w:rsid w:val="002F0235"/>
    <w:rsid w:val="002F06E6"/>
    <w:rsid w:val="002F1668"/>
    <w:rsid w:val="002F166E"/>
    <w:rsid w:val="002F2499"/>
    <w:rsid w:val="002F2637"/>
    <w:rsid w:val="002F2C77"/>
    <w:rsid w:val="002F2D00"/>
    <w:rsid w:val="002F2F21"/>
    <w:rsid w:val="002F35DB"/>
    <w:rsid w:val="002F3AF6"/>
    <w:rsid w:val="002F3BFE"/>
    <w:rsid w:val="002F3E40"/>
    <w:rsid w:val="002F433D"/>
    <w:rsid w:val="002F46CB"/>
    <w:rsid w:val="002F50AA"/>
    <w:rsid w:val="002F51A0"/>
    <w:rsid w:val="002F61EF"/>
    <w:rsid w:val="002F67B8"/>
    <w:rsid w:val="002F6908"/>
    <w:rsid w:val="002F6B9C"/>
    <w:rsid w:val="002F6DEA"/>
    <w:rsid w:val="002F6E51"/>
    <w:rsid w:val="002F706E"/>
    <w:rsid w:val="002F7202"/>
    <w:rsid w:val="002F78A0"/>
    <w:rsid w:val="002F7C6C"/>
    <w:rsid w:val="002F7CB5"/>
    <w:rsid w:val="003001B6"/>
    <w:rsid w:val="003001D3"/>
    <w:rsid w:val="00300514"/>
    <w:rsid w:val="003005CF"/>
    <w:rsid w:val="0030087F"/>
    <w:rsid w:val="00300B91"/>
    <w:rsid w:val="00300CA5"/>
    <w:rsid w:val="00300F66"/>
    <w:rsid w:val="00300FBA"/>
    <w:rsid w:val="003013F6"/>
    <w:rsid w:val="0030189B"/>
    <w:rsid w:val="0030194E"/>
    <w:rsid w:val="00301A49"/>
    <w:rsid w:val="00301B5A"/>
    <w:rsid w:val="0030210C"/>
    <w:rsid w:val="003022A8"/>
    <w:rsid w:val="003027B7"/>
    <w:rsid w:val="0030282D"/>
    <w:rsid w:val="00302882"/>
    <w:rsid w:val="003028E4"/>
    <w:rsid w:val="00302907"/>
    <w:rsid w:val="003029AC"/>
    <w:rsid w:val="00302FAE"/>
    <w:rsid w:val="003032AC"/>
    <w:rsid w:val="0030336D"/>
    <w:rsid w:val="00303B86"/>
    <w:rsid w:val="00303EAC"/>
    <w:rsid w:val="00304226"/>
    <w:rsid w:val="0030456B"/>
    <w:rsid w:val="00305389"/>
    <w:rsid w:val="003053E9"/>
    <w:rsid w:val="00305CC7"/>
    <w:rsid w:val="00305DF1"/>
    <w:rsid w:val="0030604E"/>
    <w:rsid w:val="0030605C"/>
    <w:rsid w:val="00306714"/>
    <w:rsid w:val="003075BB"/>
    <w:rsid w:val="00307645"/>
    <w:rsid w:val="00310004"/>
    <w:rsid w:val="003108DB"/>
    <w:rsid w:val="00310A87"/>
    <w:rsid w:val="00310F76"/>
    <w:rsid w:val="00311391"/>
    <w:rsid w:val="00311A00"/>
    <w:rsid w:val="00311C79"/>
    <w:rsid w:val="00311D98"/>
    <w:rsid w:val="00311FC1"/>
    <w:rsid w:val="0031241A"/>
    <w:rsid w:val="00312B83"/>
    <w:rsid w:val="00312BF4"/>
    <w:rsid w:val="00312BF6"/>
    <w:rsid w:val="00312EAB"/>
    <w:rsid w:val="0031318C"/>
    <w:rsid w:val="003138C0"/>
    <w:rsid w:val="003139AC"/>
    <w:rsid w:val="00313CED"/>
    <w:rsid w:val="00314708"/>
    <w:rsid w:val="00315296"/>
    <w:rsid w:val="00315412"/>
    <w:rsid w:val="00315915"/>
    <w:rsid w:val="003160FD"/>
    <w:rsid w:val="00316314"/>
    <w:rsid w:val="003167A0"/>
    <w:rsid w:val="003168A3"/>
    <w:rsid w:val="00316BF7"/>
    <w:rsid w:val="00317321"/>
    <w:rsid w:val="003178A3"/>
    <w:rsid w:val="003179C1"/>
    <w:rsid w:val="00317BE8"/>
    <w:rsid w:val="0032038A"/>
    <w:rsid w:val="00320914"/>
    <w:rsid w:val="00320DEA"/>
    <w:rsid w:val="00320F88"/>
    <w:rsid w:val="00321370"/>
    <w:rsid w:val="003213B6"/>
    <w:rsid w:val="0032146C"/>
    <w:rsid w:val="003217AD"/>
    <w:rsid w:val="00321864"/>
    <w:rsid w:val="00321CF8"/>
    <w:rsid w:val="00321F08"/>
    <w:rsid w:val="0032250A"/>
    <w:rsid w:val="00322C53"/>
    <w:rsid w:val="00323828"/>
    <w:rsid w:val="003243FB"/>
    <w:rsid w:val="00324513"/>
    <w:rsid w:val="00324799"/>
    <w:rsid w:val="00324EF8"/>
    <w:rsid w:val="003256BF"/>
    <w:rsid w:val="00325DB3"/>
    <w:rsid w:val="00325E87"/>
    <w:rsid w:val="0032644E"/>
    <w:rsid w:val="00326740"/>
    <w:rsid w:val="003267FC"/>
    <w:rsid w:val="00326A10"/>
    <w:rsid w:val="00326CEE"/>
    <w:rsid w:val="00326DC5"/>
    <w:rsid w:val="00326E8B"/>
    <w:rsid w:val="0032749B"/>
    <w:rsid w:val="003276E6"/>
    <w:rsid w:val="0032770D"/>
    <w:rsid w:val="003279DA"/>
    <w:rsid w:val="00327B21"/>
    <w:rsid w:val="00330698"/>
    <w:rsid w:val="0033073D"/>
    <w:rsid w:val="00330B49"/>
    <w:rsid w:val="00330EBF"/>
    <w:rsid w:val="00331764"/>
    <w:rsid w:val="00331B87"/>
    <w:rsid w:val="00331F1E"/>
    <w:rsid w:val="003323FE"/>
    <w:rsid w:val="00332C9C"/>
    <w:rsid w:val="00332E8E"/>
    <w:rsid w:val="00332EFF"/>
    <w:rsid w:val="0033304E"/>
    <w:rsid w:val="003332B6"/>
    <w:rsid w:val="0033345F"/>
    <w:rsid w:val="00333DAA"/>
    <w:rsid w:val="00333EEA"/>
    <w:rsid w:val="00334552"/>
    <w:rsid w:val="0033465B"/>
    <w:rsid w:val="00334BB1"/>
    <w:rsid w:val="00334CD2"/>
    <w:rsid w:val="00334DF1"/>
    <w:rsid w:val="00335379"/>
    <w:rsid w:val="00335767"/>
    <w:rsid w:val="0033592E"/>
    <w:rsid w:val="00336325"/>
    <w:rsid w:val="003364A4"/>
    <w:rsid w:val="00336CBD"/>
    <w:rsid w:val="00336CFD"/>
    <w:rsid w:val="00336FFE"/>
    <w:rsid w:val="0033738F"/>
    <w:rsid w:val="00337DB0"/>
    <w:rsid w:val="0034078A"/>
    <w:rsid w:val="00341D31"/>
    <w:rsid w:val="00343173"/>
    <w:rsid w:val="00343786"/>
    <w:rsid w:val="00343C26"/>
    <w:rsid w:val="003445F4"/>
    <w:rsid w:val="00344D46"/>
    <w:rsid w:val="00345047"/>
    <w:rsid w:val="00345886"/>
    <w:rsid w:val="00345A7A"/>
    <w:rsid w:val="00345A8C"/>
    <w:rsid w:val="00345ED8"/>
    <w:rsid w:val="00345FAE"/>
    <w:rsid w:val="0034631E"/>
    <w:rsid w:val="0034704A"/>
    <w:rsid w:val="0034710A"/>
    <w:rsid w:val="0034725C"/>
    <w:rsid w:val="0035010D"/>
    <w:rsid w:val="0035081C"/>
    <w:rsid w:val="003508B5"/>
    <w:rsid w:val="003508C1"/>
    <w:rsid w:val="00351789"/>
    <w:rsid w:val="003519E0"/>
    <w:rsid w:val="0035245A"/>
    <w:rsid w:val="00352805"/>
    <w:rsid w:val="00352982"/>
    <w:rsid w:val="00352A05"/>
    <w:rsid w:val="00352F89"/>
    <w:rsid w:val="00353137"/>
    <w:rsid w:val="0035355B"/>
    <w:rsid w:val="003536DB"/>
    <w:rsid w:val="00353854"/>
    <w:rsid w:val="00353F1F"/>
    <w:rsid w:val="003549ED"/>
    <w:rsid w:val="003554CE"/>
    <w:rsid w:val="00355720"/>
    <w:rsid w:val="003557CD"/>
    <w:rsid w:val="00356105"/>
    <w:rsid w:val="003562D7"/>
    <w:rsid w:val="0035637B"/>
    <w:rsid w:val="0035678C"/>
    <w:rsid w:val="003567D0"/>
    <w:rsid w:val="00356853"/>
    <w:rsid w:val="00356C22"/>
    <w:rsid w:val="003573F2"/>
    <w:rsid w:val="00357681"/>
    <w:rsid w:val="00357B63"/>
    <w:rsid w:val="00360293"/>
    <w:rsid w:val="00360880"/>
    <w:rsid w:val="00360A82"/>
    <w:rsid w:val="00360B68"/>
    <w:rsid w:val="003611F1"/>
    <w:rsid w:val="00361AAD"/>
    <w:rsid w:val="0036215F"/>
    <w:rsid w:val="00362642"/>
    <w:rsid w:val="00362888"/>
    <w:rsid w:val="0036315C"/>
    <w:rsid w:val="00363698"/>
    <w:rsid w:val="00363776"/>
    <w:rsid w:val="00363E0A"/>
    <w:rsid w:val="003640FB"/>
    <w:rsid w:val="00364A02"/>
    <w:rsid w:val="00364FC3"/>
    <w:rsid w:val="003657B5"/>
    <w:rsid w:val="003657E3"/>
    <w:rsid w:val="00365F80"/>
    <w:rsid w:val="00367C6F"/>
    <w:rsid w:val="0036E0D7"/>
    <w:rsid w:val="00370605"/>
    <w:rsid w:val="003706B0"/>
    <w:rsid w:val="003706BC"/>
    <w:rsid w:val="00370A8E"/>
    <w:rsid w:val="00370C1F"/>
    <w:rsid w:val="00370E2A"/>
    <w:rsid w:val="003711A8"/>
    <w:rsid w:val="00371407"/>
    <w:rsid w:val="0037167A"/>
    <w:rsid w:val="003716E7"/>
    <w:rsid w:val="00371928"/>
    <w:rsid w:val="00372316"/>
    <w:rsid w:val="0037328C"/>
    <w:rsid w:val="00373D21"/>
    <w:rsid w:val="00374488"/>
    <w:rsid w:val="0037452F"/>
    <w:rsid w:val="00374872"/>
    <w:rsid w:val="00374D5A"/>
    <w:rsid w:val="00374F18"/>
    <w:rsid w:val="0037507D"/>
    <w:rsid w:val="003750F9"/>
    <w:rsid w:val="00375831"/>
    <w:rsid w:val="0037595A"/>
    <w:rsid w:val="0037672F"/>
    <w:rsid w:val="00376769"/>
    <w:rsid w:val="00376B37"/>
    <w:rsid w:val="00376CD8"/>
    <w:rsid w:val="00377586"/>
    <w:rsid w:val="0037782E"/>
    <w:rsid w:val="0038010C"/>
    <w:rsid w:val="00380683"/>
    <w:rsid w:val="00380B83"/>
    <w:rsid w:val="00380DAD"/>
    <w:rsid w:val="00380E30"/>
    <w:rsid w:val="00380F14"/>
    <w:rsid w:val="00380FA3"/>
    <w:rsid w:val="00381DF2"/>
    <w:rsid w:val="00382587"/>
    <w:rsid w:val="003834DF"/>
    <w:rsid w:val="00383C17"/>
    <w:rsid w:val="003841D5"/>
    <w:rsid w:val="00384836"/>
    <w:rsid w:val="00384889"/>
    <w:rsid w:val="00384C54"/>
    <w:rsid w:val="00384DBF"/>
    <w:rsid w:val="00385017"/>
    <w:rsid w:val="003858E2"/>
    <w:rsid w:val="00385976"/>
    <w:rsid w:val="00385EDA"/>
    <w:rsid w:val="00386733"/>
    <w:rsid w:val="0038688C"/>
    <w:rsid w:val="003868B9"/>
    <w:rsid w:val="00386B80"/>
    <w:rsid w:val="00386BF7"/>
    <w:rsid w:val="00386C0C"/>
    <w:rsid w:val="00387106"/>
    <w:rsid w:val="00387369"/>
    <w:rsid w:val="0038749D"/>
    <w:rsid w:val="00387D2F"/>
    <w:rsid w:val="00387F20"/>
    <w:rsid w:val="003905C4"/>
    <w:rsid w:val="0039082E"/>
    <w:rsid w:val="003909E1"/>
    <w:rsid w:val="00390A01"/>
    <w:rsid w:val="00391321"/>
    <w:rsid w:val="0039134E"/>
    <w:rsid w:val="0039154E"/>
    <w:rsid w:val="0039166E"/>
    <w:rsid w:val="0039182C"/>
    <w:rsid w:val="00391A05"/>
    <w:rsid w:val="00391AC1"/>
    <w:rsid w:val="00391B51"/>
    <w:rsid w:val="003923BB"/>
    <w:rsid w:val="0039334B"/>
    <w:rsid w:val="00393B80"/>
    <w:rsid w:val="003940C7"/>
    <w:rsid w:val="00394523"/>
    <w:rsid w:val="00394D8F"/>
    <w:rsid w:val="00394E43"/>
    <w:rsid w:val="00394F23"/>
    <w:rsid w:val="00394F5C"/>
    <w:rsid w:val="003957AA"/>
    <w:rsid w:val="00395CAA"/>
    <w:rsid w:val="003965C1"/>
    <w:rsid w:val="00396851"/>
    <w:rsid w:val="00396C20"/>
    <w:rsid w:val="00396FDD"/>
    <w:rsid w:val="0039726C"/>
    <w:rsid w:val="003977A3"/>
    <w:rsid w:val="003979A8"/>
    <w:rsid w:val="00397DD3"/>
    <w:rsid w:val="003A03AD"/>
    <w:rsid w:val="003A0543"/>
    <w:rsid w:val="003A05C7"/>
    <w:rsid w:val="003A060B"/>
    <w:rsid w:val="003A0B83"/>
    <w:rsid w:val="003A0B91"/>
    <w:rsid w:val="003A0DFA"/>
    <w:rsid w:val="003A160F"/>
    <w:rsid w:val="003A1642"/>
    <w:rsid w:val="003A17EF"/>
    <w:rsid w:val="003A1E02"/>
    <w:rsid w:val="003A1EB2"/>
    <w:rsid w:val="003A1EF2"/>
    <w:rsid w:val="003A20E7"/>
    <w:rsid w:val="003A228E"/>
    <w:rsid w:val="003A2C64"/>
    <w:rsid w:val="003A30C2"/>
    <w:rsid w:val="003A3AF6"/>
    <w:rsid w:val="003A4039"/>
    <w:rsid w:val="003A4637"/>
    <w:rsid w:val="003A465E"/>
    <w:rsid w:val="003A466D"/>
    <w:rsid w:val="003A498E"/>
    <w:rsid w:val="003A51F9"/>
    <w:rsid w:val="003A5620"/>
    <w:rsid w:val="003A5F5D"/>
    <w:rsid w:val="003A63BE"/>
    <w:rsid w:val="003A668C"/>
    <w:rsid w:val="003A7378"/>
    <w:rsid w:val="003B0141"/>
    <w:rsid w:val="003B0397"/>
    <w:rsid w:val="003B2099"/>
    <w:rsid w:val="003B2914"/>
    <w:rsid w:val="003B2E05"/>
    <w:rsid w:val="003B307C"/>
    <w:rsid w:val="003B31B8"/>
    <w:rsid w:val="003B3576"/>
    <w:rsid w:val="003B398C"/>
    <w:rsid w:val="003B4BEB"/>
    <w:rsid w:val="003B5270"/>
    <w:rsid w:val="003B5398"/>
    <w:rsid w:val="003B57D4"/>
    <w:rsid w:val="003B6766"/>
    <w:rsid w:val="003B6C53"/>
    <w:rsid w:val="003B6F79"/>
    <w:rsid w:val="003B7828"/>
    <w:rsid w:val="003B7EA6"/>
    <w:rsid w:val="003B7EE6"/>
    <w:rsid w:val="003C0784"/>
    <w:rsid w:val="003C07FC"/>
    <w:rsid w:val="003C0C57"/>
    <w:rsid w:val="003C12C3"/>
    <w:rsid w:val="003C12D6"/>
    <w:rsid w:val="003C2606"/>
    <w:rsid w:val="003C2727"/>
    <w:rsid w:val="003C500C"/>
    <w:rsid w:val="003C5303"/>
    <w:rsid w:val="003C53B2"/>
    <w:rsid w:val="003C5533"/>
    <w:rsid w:val="003C5873"/>
    <w:rsid w:val="003C610E"/>
    <w:rsid w:val="003C6325"/>
    <w:rsid w:val="003C656F"/>
    <w:rsid w:val="003C6B08"/>
    <w:rsid w:val="003C72E9"/>
    <w:rsid w:val="003C7757"/>
    <w:rsid w:val="003C77E5"/>
    <w:rsid w:val="003C7B8C"/>
    <w:rsid w:val="003D0240"/>
    <w:rsid w:val="003D0CF0"/>
    <w:rsid w:val="003D1039"/>
    <w:rsid w:val="003D112D"/>
    <w:rsid w:val="003D12B5"/>
    <w:rsid w:val="003D1978"/>
    <w:rsid w:val="003D1ABD"/>
    <w:rsid w:val="003D1AF3"/>
    <w:rsid w:val="003D1EA9"/>
    <w:rsid w:val="003D2477"/>
    <w:rsid w:val="003D2761"/>
    <w:rsid w:val="003D27EE"/>
    <w:rsid w:val="003D28FC"/>
    <w:rsid w:val="003D2B6F"/>
    <w:rsid w:val="003D2EB7"/>
    <w:rsid w:val="003D332F"/>
    <w:rsid w:val="003D3385"/>
    <w:rsid w:val="003D37CF"/>
    <w:rsid w:val="003D3F52"/>
    <w:rsid w:val="003D406F"/>
    <w:rsid w:val="003D409B"/>
    <w:rsid w:val="003D4231"/>
    <w:rsid w:val="003D42E4"/>
    <w:rsid w:val="003D4A78"/>
    <w:rsid w:val="003D4B89"/>
    <w:rsid w:val="003D5026"/>
    <w:rsid w:val="003D519C"/>
    <w:rsid w:val="003D5C31"/>
    <w:rsid w:val="003D5CE6"/>
    <w:rsid w:val="003D5DC7"/>
    <w:rsid w:val="003D60F9"/>
    <w:rsid w:val="003D6457"/>
    <w:rsid w:val="003D66D3"/>
    <w:rsid w:val="003D6EB1"/>
    <w:rsid w:val="003D719B"/>
    <w:rsid w:val="003D77E5"/>
    <w:rsid w:val="003E017D"/>
    <w:rsid w:val="003E06B3"/>
    <w:rsid w:val="003E1506"/>
    <w:rsid w:val="003E1696"/>
    <w:rsid w:val="003E1758"/>
    <w:rsid w:val="003E1770"/>
    <w:rsid w:val="003E179B"/>
    <w:rsid w:val="003E218C"/>
    <w:rsid w:val="003E22CB"/>
    <w:rsid w:val="003E232C"/>
    <w:rsid w:val="003E2364"/>
    <w:rsid w:val="003E2E6B"/>
    <w:rsid w:val="003E33BB"/>
    <w:rsid w:val="003E3425"/>
    <w:rsid w:val="003E3800"/>
    <w:rsid w:val="003E3AAD"/>
    <w:rsid w:val="003E4905"/>
    <w:rsid w:val="003E4E8E"/>
    <w:rsid w:val="003E51FC"/>
    <w:rsid w:val="003E52CF"/>
    <w:rsid w:val="003E531B"/>
    <w:rsid w:val="003E5C71"/>
    <w:rsid w:val="003E5CD1"/>
    <w:rsid w:val="003E5D76"/>
    <w:rsid w:val="003E6164"/>
    <w:rsid w:val="003E6246"/>
    <w:rsid w:val="003E6471"/>
    <w:rsid w:val="003E775A"/>
    <w:rsid w:val="003E7BA9"/>
    <w:rsid w:val="003E7DC7"/>
    <w:rsid w:val="003E7F4A"/>
    <w:rsid w:val="003F06D9"/>
    <w:rsid w:val="003F0A39"/>
    <w:rsid w:val="003F0CD7"/>
    <w:rsid w:val="003F0ECD"/>
    <w:rsid w:val="003F0FBE"/>
    <w:rsid w:val="003F13E2"/>
    <w:rsid w:val="003F15EC"/>
    <w:rsid w:val="003F16B4"/>
    <w:rsid w:val="003F189D"/>
    <w:rsid w:val="003F1A87"/>
    <w:rsid w:val="003F2411"/>
    <w:rsid w:val="003F2B40"/>
    <w:rsid w:val="003F2BCD"/>
    <w:rsid w:val="003F2D8D"/>
    <w:rsid w:val="003F3209"/>
    <w:rsid w:val="003F3522"/>
    <w:rsid w:val="003F42F2"/>
    <w:rsid w:val="003F4A5D"/>
    <w:rsid w:val="003F4F90"/>
    <w:rsid w:val="003F53E3"/>
    <w:rsid w:val="003F548F"/>
    <w:rsid w:val="003F5A24"/>
    <w:rsid w:val="003F5E33"/>
    <w:rsid w:val="003F654E"/>
    <w:rsid w:val="003F6736"/>
    <w:rsid w:val="003F6B53"/>
    <w:rsid w:val="003F6C45"/>
    <w:rsid w:val="003F6F4B"/>
    <w:rsid w:val="003F727E"/>
    <w:rsid w:val="003F7525"/>
    <w:rsid w:val="003F7858"/>
    <w:rsid w:val="003F7B60"/>
    <w:rsid w:val="00400C49"/>
    <w:rsid w:val="00401095"/>
    <w:rsid w:val="00401DAB"/>
    <w:rsid w:val="00401E2D"/>
    <w:rsid w:val="00402F1A"/>
    <w:rsid w:val="0040385E"/>
    <w:rsid w:val="00403B85"/>
    <w:rsid w:val="004047E6"/>
    <w:rsid w:val="00404A9D"/>
    <w:rsid w:val="004051AD"/>
    <w:rsid w:val="00405262"/>
    <w:rsid w:val="004052F5"/>
    <w:rsid w:val="004055ED"/>
    <w:rsid w:val="00405CE4"/>
    <w:rsid w:val="00405F7C"/>
    <w:rsid w:val="00406375"/>
    <w:rsid w:val="004068E5"/>
    <w:rsid w:val="00406A28"/>
    <w:rsid w:val="00407040"/>
    <w:rsid w:val="00407D87"/>
    <w:rsid w:val="00407E81"/>
    <w:rsid w:val="004110AA"/>
    <w:rsid w:val="004111E7"/>
    <w:rsid w:val="0041124C"/>
    <w:rsid w:val="00411330"/>
    <w:rsid w:val="00411523"/>
    <w:rsid w:val="0041187A"/>
    <w:rsid w:val="00411C9F"/>
    <w:rsid w:val="00411E4F"/>
    <w:rsid w:val="004120E3"/>
    <w:rsid w:val="004123A7"/>
    <w:rsid w:val="00412F5A"/>
    <w:rsid w:val="00413230"/>
    <w:rsid w:val="004132AC"/>
    <w:rsid w:val="00413601"/>
    <w:rsid w:val="00413715"/>
    <w:rsid w:val="00413918"/>
    <w:rsid w:val="00413987"/>
    <w:rsid w:val="00413AE8"/>
    <w:rsid w:val="00413E3A"/>
    <w:rsid w:val="004142C8"/>
    <w:rsid w:val="00414643"/>
    <w:rsid w:val="004147E0"/>
    <w:rsid w:val="004151CE"/>
    <w:rsid w:val="0041532E"/>
    <w:rsid w:val="00415930"/>
    <w:rsid w:val="004159E8"/>
    <w:rsid w:val="00415AAC"/>
    <w:rsid w:val="00415F4C"/>
    <w:rsid w:val="004161CA"/>
    <w:rsid w:val="00416230"/>
    <w:rsid w:val="0041644E"/>
    <w:rsid w:val="004164F0"/>
    <w:rsid w:val="004169DB"/>
    <w:rsid w:val="00416FA2"/>
    <w:rsid w:val="00417250"/>
    <w:rsid w:val="004172C1"/>
    <w:rsid w:val="0041773B"/>
    <w:rsid w:val="00417B2B"/>
    <w:rsid w:val="004207CF"/>
    <w:rsid w:val="00420A2D"/>
    <w:rsid w:val="00420F2D"/>
    <w:rsid w:val="004210F3"/>
    <w:rsid w:val="004214E4"/>
    <w:rsid w:val="004215ED"/>
    <w:rsid w:val="00421C23"/>
    <w:rsid w:val="00421D4E"/>
    <w:rsid w:val="00421D80"/>
    <w:rsid w:val="004226ED"/>
    <w:rsid w:val="00422BC8"/>
    <w:rsid w:val="00422EF6"/>
    <w:rsid w:val="004232F6"/>
    <w:rsid w:val="0042383D"/>
    <w:rsid w:val="004239D4"/>
    <w:rsid w:val="00423A01"/>
    <w:rsid w:val="00423D80"/>
    <w:rsid w:val="00424314"/>
    <w:rsid w:val="004246D5"/>
    <w:rsid w:val="00424CB7"/>
    <w:rsid w:val="004252E6"/>
    <w:rsid w:val="00425703"/>
    <w:rsid w:val="00425F7A"/>
    <w:rsid w:val="004260FF"/>
    <w:rsid w:val="0042612C"/>
    <w:rsid w:val="004263F6"/>
    <w:rsid w:val="0042694D"/>
    <w:rsid w:val="00426D6C"/>
    <w:rsid w:val="00426F25"/>
    <w:rsid w:val="00426F26"/>
    <w:rsid w:val="00427A1F"/>
    <w:rsid w:val="00427EBA"/>
    <w:rsid w:val="004301AD"/>
    <w:rsid w:val="0043087D"/>
    <w:rsid w:val="00430BEF"/>
    <w:rsid w:val="00430C8A"/>
    <w:rsid w:val="00431265"/>
    <w:rsid w:val="00431A92"/>
    <w:rsid w:val="00431E03"/>
    <w:rsid w:val="00431EAB"/>
    <w:rsid w:val="00431F7E"/>
    <w:rsid w:val="00432E6E"/>
    <w:rsid w:val="00432FDB"/>
    <w:rsid w:val="00433042"/>
    <w:rsid w:val="00433280"/>
    <w:rsid w:val="004335E8"/>
    <w:rsid w:val="00433749"/>
    <w:rsid w:val="00433A64"/>
    <w:rsid w:val="00434008"/>
    <w:rsid w:val="004340BE"/>
    <w:rsid w:val="00434DD2"/>
    <w:rsid w:val="00434EE2"/>
    <w:rsid w:val="00435070"/>
    <w:rsid w:val="00435578"/>
    <w:rsid w:val="00435645"/>
    <w:rsid w:val="00435972"/>
    <w:rsid w:val="004362AA"/>
    <w:rsid w:val="00436D94"/>
    <w:rsid w:val="00437268"/>
    <w:rsid w:val="0043758E"/>
    <w:rsid w:val="004377DF"/>
    <w:rsid w:val="00437E5D"/>
    <w:rsid w:val="00437FFB"/>
    <w:rsid w:val="0044018B"/>
    <w:rsid w:val="0044043D"/>
    <w:rsid w:val="00440E1D"/>
    <w:rsid w:val="00440E3F"/>
    <w:rsid w:val="00441191"/>
    <w:rsid w:val="00441270"/>
    <w:rsid w:val="00441313"/>
    <w:rsid w:val="00441D36"/>
    <w:rsid w:val="004421E2"/>
    <w:rsid w:val="00443161"/>
    <w:rsid w:val="004431F5"/>
    <w:rsid w:val="004437E7"/>
    <w:rsid w:val="004438EC"/>
    <w:rsid w:val="00443D52"/>
    <w:rsid w:val="00444249"/>
    <w:rsid w:val="00444730"/>
    <w:rsid w:val="004447D4"/>
    <w:rsid w:val="00444A31"/>
    <w:rsid w:val="00444D2A"/>
    <w:rsid w:val="004453FD"/>
    <w:rsid w:val="004458C1"/>
    <w:rsid w:val="00445AB3"/>
    <w:rsid w:val="00446018"/>
    <w:rsid w:val="00446384"/>
    <w:rsid w:val="00447640"/>
    <w:rsid w:val="0044772E"/>
    <w:rsid w:val="00450501"/>
    <w:rsid w:val="0045071E"/>
    <w:rsid w:val="004508D9"/>
    <w:rsid w:val="00450D86"/>
    <w:rsid w:val="004514CB"/>
    <w:rsid w:val="004517A2"/>
    <w:rsid w:val="00451CB9"/>
    <w:rsid w:val="0045214F"/>
    <w:rsid w:val="00452308"/>
    <w:rsid w:val="004528CA"/>
    <w:rsid w:val="00452E06"/>
    <w:rsid w:val="0045367B"/>
    <w:rsid w:val="00453BF8"/>
    <w:rsid w:val="004541D3"/>
    <w:rsid w:val="0045426F"/>
    <w:rsid w:val="00454529"/>
    <w:rsid w:val="00454555"/>
    <w:rsid w:val="00454641"/>
    <w:rsid w:val="00454C46"/>
    <w:rsid w:val="0045518B"/>
    <w:rsid w:val="004557BE"/>
    <w:rsid w:val="00456686"/>
    <w:rsid w:val="004567E4"/>
    <w:rsid w:val="00456840"/>
    <w:rsid w:val="00456BA0"/>
    <w:rsid w:val="00457257"/>
    <w:rsid w:val="00457264"/>
    <w:rsid w:val="00457B41"/>
    <w:rsid w:val="00457CA8"/>
    <w:rsid w:val="00460587"/>
    <w:rsid w:val="00460DAA"/>
    <w:rsid w:val="00460DB3"/>
    <w:rsid w:val="00461425"/>
    <w:rsid w:val="00461498"/>
    <w:rsid w:val="00461C5B"/>
    <w:rsid w:val="00462049"/>
    <w:rsid w:val="0046216C"/>
    <w:rsid w:val="00462810"/>
    <w:rsid w:val="00462FDD"/>
    <w:rsid w:val="0046301E"/>
    <w:rsid w:val="004630E8"/>
    <w:rsid w:val="004632B0"/>
    <w:rsid w:val="00463329"/>
    <w:rsid w:val="0046381A"/>
    <w:rsid w:val="004642A9"/>
    <w:rsid w:val="00464437"/>
    <w:rsid w:val="0046448F"/>
    <w:rsid w:val="004645BE"/>
    <w:rsid w:val="00464674"/>
    <w:rsid w:val="004649D7"/>
    <w:rsid w:val="00464AE0"/>
    <w:rsid w:val="00464F5D"/>
    <w:rsid w:val="004650EA"/>
    <w:rsid w:val="00465114"/>
    <w:rsid w:val="00465246"/>
    <w:rsid w:val="004657DF"/>
    <w:rsid w:val="004659B1"/>
    <w:rsid w:val="004659B8"/>
    <w:rsid w:val="0046605A"/>
    <w:rsid w:val="00466265"/>
    <w:rsid w:val="00466785"/>
    <w:rsid w:val="00466918"/>
    <w:rsid w:val="00466A4D"/>
    <w:rsid w:val="00466CD0"/>
    <w:rsid w:val="0046704D"/>
    <w:rsid w:val="004676E0"/>
    <w:rsid w:val="00467CF3"/>
    <w:rsid w:val="004705F2"/>
    <w:rsid w:val="004706CD"/>
    <w:rsid w:val="00470825"/>
    <w:rsid w:val="00470A85"/>
    <w:rsid w:val="00470E8C"/>
    <w:rsid w:val="00470F3A"/>
    <w:rsid w:val="0047113E"/>
    <w:rsid w:val="004713DF"/>
    <w:rsid w:val="00471627"/>
    <w:rsid w:val="004716FB"/>
    <w:rsid w:val="00471AA9"/>
    <w:rsid w:val="00471BCC"/>
    <w:rsid w:val="00471C50"/>
    <w:rsid w:val="00471E68"/>
    <w:rsid w:val="00471F8E"/>
    <w:rsid w:val="0047207E"/>
    <w:rsid w:val="004724AC"/>
    <w:rsid w:val="00472EA8"/>
    <w:rsid w:val="004738BE"/>
    <w:rsid w:val="00473A13"/>
    <w:rsid w:val="00473CA1"/>
    <w:rsid w:val="00473F15"/>
    <w:rsid w:val="004740CA"/>
    <w:rsid w:val="00474D78"/>
    <w:rsid w:val="00474EB2"/>
    <w:rsid w:val="0047509F"/>
    <w:rsid w:val="004757FE"/>
    <w:rsid w:val="00475904"/>
    <w:rsid w:val="00476939"/>
    <w:rsid w:val="00476A77"/>
    <w:rsid w:val="00476AAD"/>
    <w:rsid w:val="00476F52"/>
    <w:rsid w:val="004775E8"/>
    <w:rsid w:val="00477AE3"/>
    <w:rsid w:val="004800C2"/>
    <w:rsid w:val="00480889"/>
    <w:rsid w:val="00480CE6"/>
    <w:rsid w:val="00480FE5"/>
    <w:rsid w:val="00481FC6"/>
    <w:rsid w:val="00481FE1"/>
    <w:rsid w:val="0048259F"/>
    <w:rsid w:val="004826E2"/>
    <w:rsid w:val="004827E6"/>
    <w:rsid w:val="00482D1A"/>
    <w:rsid w:val="0048357A"/>
    <w:rsid w:val="00483697"/>
    <w:rsid w:val="004837F1"/>
    <w:rsid w:val="00483B8C"/>
    <w:rsid w:val="00483E66"/>
    <w:rsid w:val="004843B7"/>
    <w:rsid w:val="00484683"/>
    <w:rsid w:val="004848AC"/>
    <w:rsid w:val="004854B5"/>
    <w:rsid w:val="004855C0"/>
    <w:rsid w:val="00486049"/>
    <w:rsid w:val="00486461"/>
    <w:rsid w:val="00486D97"/>
    <w:rsid w:val="00486F7D"/>
    <w:rsid w:val="00487602"/>
    <w:rsid w:val="0048782B"/>
    <w:rsid w:val="00487A85"/>
    <w:rsid w:val="00487A8D"/>
    <w:rsid w:val="00487BF5"/>
    <w:rsid w:val="00487E21"/>
    <w:rsid w:val="00490218"/>
    <w:rsid w:val="00490CB5"/>
    <w:rsid w:val="00490FBB"/>
    <w:rsid w:val="00491183"/>
    <w:rsid w:val="004917C3"/>
    <w:rsid w:val="00491F23"/>
    <w:rsid w:val="00492F6B"/>
    <w:rsid w:val="00493448"/>
    <w:rsid w:val="0049368B"/>
    <w:rsid w:val="00493DF4"/>
    <w:rsid w:val="00493E6B"/>
    <w:rsid w:val="00493EBF"/>
    <w:rsid w:val="00494824"/>
    <w:rsid w:val="004948CC"/>
    <w:rsid w:val="00495576"/>
    <w:rsid w:val="0049593B"/>
    <w:rsid w:val="00495DDD"/>
    <w:rsid w:val="004962B7"/>
    <w:rsid w:val="0049639C"/>
    <w:rsid w:val="0049698B"/>
    <w:rsid w:val="00496AB6"/>
    <w:rsid w:val="004973E9"/>
    <w:rsid w:val="00497A00"/>
    <w:rsid w:val="004A01B5"/>
    <w:rsid w:val="004A05BC"/>
    <w:rsid w:val="004A1708"/>
    <w:rsid w:val="004A19C6"/>
    <w:rsid w:val="004A1DAD"/>
    <w:rsid w:val="004A1ED8"/>
    <w:rsid w:val="004A240F"/>
    <w:rsid w:val="004A3025"/>
    <w:rsid w:val="004A3B2D"/>
    <w:rsid w:val="004A3C2C"/>
    <w:rsid w:val="004A3C76"/>
    <w:rsid w:val="004A4882"/>
    <w:rsid w:val="004A4A04"/>
    <w:rsid w:val="004A4DBA"/>
    <w:rsid w:val="004A500F"/>
    <w:rsid w:val="004A5241"/>
    <w:rsid w:val="004A5539"/>
    <w:rsid w:val="004A5CAC"/>
    <w:rsid w:val="004A5EB2"/>
    <w:rsid w:val="004A6278"/>
    <w:rsid w:val="004A62D7"/>
    <w:rsid w:val="004A6514"/>
    <w:rsid w:val="004A6796"/>
    <w:rsid w:val="004A6F28"/>
    <w:rsid w:val="004A7EF9"/>
    <w:rsid w:val="004B0375"/>
    <w:rsid w:val="004B0848"/>
    <w:rsid w:val="004B0CC5"/>
    <w:rsid w:val="004B0F00"/>
    <w:rsid w:val="004B214C"/>
    <w:rsid w:val="004B2924"/>
    <w:rsid w:val="004B2D28"/>
    <w:rsid w:val="004B3300"/>
    <w:rsid w:val="004B37DE"/>
    <w:rsid w:val="004B3B77"/>
    <w:rsid w:val="004B4081"/>
    <w:rsid w:val="004B42CE"/>
    <w:rsid w:val="004B435A"/>
    <w:rsid w:val="004B445D"/>
    <w:rsid w:val="004B47B7"/>
    <w:rsid w:val="004B4A04"/>
    <w:rsid w:val="004B4ED2"/>
    <w:rsid w:val="004B518C"/>
    <w:rsid w:val="004B59AF"/>
    <w:rsid w:val="004B5BBE"/>
    <w:rsid w:val="004B5E41"/>
    <w:rsid w:val="004B60D7"/>
    <w:rsid w:val="004B626C"/>
    <w:rsid w:val="004B6343"/>
    <w:rsid w:val="004B6448"/>
    <w:rsid w:val="004B6504"/>
    <w:rsid w:val="004B69ED"/>
    <w:rsid w:val="004B6B4C"/>
    <w:rsid w:val="004B70A2"/>
    <w:rsid w:val="004B719F"/>
    <w:rsid w:val="004B72B6"/>
    <w:rsid w:val="004B7524"/>
    <w:rsid w:val="004B7667"/>
    <w:rsid w:val="004B7675"/>
    <w:rsid w:val="004B7BCD"/>
    <w:rsid w:val="004B7BF9"/>
    <w:rsid w:val="004B7F5D"/>
    <w:rsid w:val="004C2135"/>
    <w:rsid w:val="004C22F2"/>
    <w:rsid w:val="004C2797"/>
    <w:rsid w:val="004C2C5E"/>
    <w:rsid w:val="004C2FF5"/>
    <w:rsid w:val="004C3891"/>
    <w:rsid w:val="004C3F6B"/>
    <w:rsid w:val="004C4351"/>
    <w:rsid w:val="004C46A5"/>
    <w:rsid w:val="004C4736"/>
    <w:rsid w:val="004C49FD"/>
    <w:rsid w:val="004C56BF"/>
    <w:rsid w:val="004C6136"/>
    <w:rsid w:val="004C6492"/>
    <w:rsid w:val="004C687D"/>
    <w:rsid w:val="004C6AE3"/>
    <w:rsid w:val="004C6B67"/>
    <w:rsid w:val="004C6C97"/>
    <w:rsid w:val="004C6CC1"/>
    <w:rsid w:val="004C6D2F"/>
    <w:rsid w:val="004C7458"/>
    <w:rsid w:val="004C758D"/>
    <w:rsid w:val="004C7BDA"/>
    <w:rsid w:val="004C7E21"/>
    <w:rsid w:val="004D01D3"/>
    <w:rsid w:val="004D0269"/>
    <w:rsid w:val="004D045D"/>
    <w:rsid w:val="004D1065"/>
    <w:rsid w:val="004D11D6"/>
    <w:rsid w:val="004D16D5"/>
    <w:rsid w:val="004D1902"/>
    <w:rsid w:val="004D190D"/>
    <w:rsid w:val="004D1B05"/>
    <w:rsid w:val="004D23A2"/>
    <w:rsid w:val="004D2C87"/>
    <w:rsid w:val="004D2E12"/>
    <w:rsid w:val="004D2FDE"/>
    <w:rsid w:val="004D32BE"/>
    <w:rsid w:val="004D3581"/>
    <w:rsid w:val="004D3E93"/>
    <w:rsid w:val="004D4190"/>
    <w:rsid w:val="004D462B"/>
    <w:rsid w:val="004D4AAD"/>
    <w:rsid w:val="004D4B88"/>
    <w:rsid w:val="004D4F87"/>
    <w:rsid w:val="004D5083"/>
    <w:rsid w:val="004D5356"/>
    <w:rsid w:val="004D58C5"/>
    <w:rsid w:val="004D5C0E"/>
    <w:rsid w:val="004D6974"/>
    <w:rsid w:val="004D73B8"/>
    <w:rsid w:val="004E00F8"/>
    <w:rsid w:val="004E04AE"/>
    <w:rsid w:val="004E0984"/>
    <w:rsid w:val="004E0DA3"/>
    <w:rsid w:val="004E1082"/>
    <w:rsid w:val="004E12E0"/>
    <w:rsid w:val="004E24B7"/>
    <w:rsid w:val="004E281F"/>
    <w:rsid w:val="004E3478"/>
    <w:rsid w:val="004E34A2"/>
    <w:rsid w:val="004E354E"/>
    <w:rsid w:val="004E362A"/>
    <w:rsid w:val="004E373E"/>
    <w:rsid w:val="004E3ABF"/>
    <w:rsid w:val="004E4189"/>
    <w:rsid w:val="004E45EC"/>
    <w:rsid w:val="004E4EEE"/>
    <w:rsid w:val="004E557C"/>
    <w:rsid w:val="004E56EA"/>
    <w:rsid w:val="004E585B"/>
    <w:rsid w:val="004E60A1"/>
    <w:rsid w:val="004E6475"/>
    <w:rsid w:val="004E66CA"/>
    <w:rsid w:val="004E681D"/>
    <w:rsid w:val="004E6CAE"/>
    <w:rsid w:val="004E7FD8"/>
    <w:rsid w:val="004F062C"/>
    <w:rsid w:val="004F22F8"/>
    <w:rsid w:val="004F35B6"/>
    <w:rsid w:val="004F4154"/>
    <w:rsid w:val="004F4366"/>
    <w:rsid w:val="004F4923"/>
    <w:rsid w:val="004F4CC1"/>
    <w:rsid w:val="004F56AE"/>
    <w:rsid w:val="004F595F"/>
    <w:rsid w:val="004F5AAE"/>
    <w:rsid w:val="004F6A69"/>
    <w:rsid w:val="004F6A8E"/>
    <w:rsid w:val="004F6ABA"/>
    <w:rsid w:val="004F6E7C"/>
    <w:rsid w:val="004F754C"/>
    <w:rsid w:val="00500B4A"/>
    <w:rsid w:val="00501224"/>
    <w:rsid w:val="00501469"/>
    <w:rsid w:val="0050183E"/>
    <w:rsid w:val="00501A0D"/>
    <w:rsid w:val="005024D8"/>
    <w:rsid w:val="00502BAA"/>
    <w:rsid w:val="00502D7C"/>
    <w:rsid w:val="00502E43"/>
    <w:rsid w:val="00502E7E"/>
    <w:rsid w:val="00502EFB"/>
    <w:rsid w:val="005036C0"/>
    <w:rsid w:val="005036E9"/>
    <w:rsid w:val="0050384B"/>
    <w:rsid w:val="00504523"/>
    <w:rsid w:val="005045E8"/>
    <w:rsid w:val="00504925"/>
    <w:rsid w:val="00504C62"/>
    <w:rsid w:val="00505B0A"/>
    <w:rsid w:val="00505B16"/>
    <w:rsid w:val="00506D17"/>
    <w:rsid w:val="00507331"/>
    <w:rsid w:val="0050739F"/>
    <w:rsid w:val="00507A47"/>
    <w:rsid w:val="00507BE9"/>
    <w:rsid w:val="00507CDA"/>
    <w:rsid w:val="0051056E"/>
    <w:rsid w:val="00510D7C"/>
    <w:rsid w:val="0051113F"/>
    <w:rsid w:val="005113E5"/>
    <w:rsid w:val="005114D6"/>
    <w:rsid w:val="005115EE"/>
    <w:rsid w:val="005116A2"/>
    <w:rsid w:val="00511A0B"/>
    <w:rsid w:val="00511ABD"/>
    <w:rsid w:val="00511D8B"/>
    <w:rsid w:val="005120A1"/>
    <w:rsid w:val="00512220"/>
    <w:rsid w:val="00512414"/>
    <w:rsid w:val="00512570"/>
    <w:rsid w:val="00512A74"/>
    <w:rsid w:val="0051314E"/>
    <w:rsid w:val="00513569"/>
    <w:rsid w:val="005135E8"/>
    <w:rsid w:val="00513647"/>
    <w:rsid w:val="005136AC"/>
    <w:rsid w:val="00513C27"/>
    <w:rsid w:val="005143E2"/>
    <w:rsid w:val="005145A9"/>
    <w:rsid w:val="00514698"/>
    <w:rsid w:val="00514B5F"/>
    <w:rsid w:val="00514D48"/>
    <w:rsid w:val="00516030"/>
    <w:rsid w:val="00516072"/>
    <w:rsid w:val="0051610C"/>
    <w:rsid w:val="00520027"/>
    <w:rsid w:val="005200B0"/>
    <w:rsid w:val="00520179"/>
    <w:rsid w:val="005201CD"/>
    <w:rsid w:val="00520327"/>
    <w:rsid w:val="00521AE4"/>
    <w:rsid w:val="00522B59"/>
    <w:rsid w:val="00522D6B"/>
    <w:rsid w:val="00523365"/>
    <w:rsid w:val="00523939"/>
    <w:rsid w:val="00524979"/>
    <w:rsid w:val="00524BC1"/>
    <w:rsid w:val="00525776"/>
    <w:rsid w:val="0052607E"/>
    <w:rsid w:val="00526837"/>
    <w:rsid w:val="00526996"/>
    <w:rsid w:val="00526D0B"/>
    <w:rsid w:val="00527436"/>
    <w:rsid w:val="005279D3"/>
    <w:rsid w:val="00527AFE"/>
    <w:rsid w:val="00527ED2"/>
    <w:rsid w:val="00530B28"/>
    <w:rsid w:val="00530CB2"/>
    <w:rsid w:val="005317D4"/>
    <w:rsid w:val="00531AAA"/>
    <w:rsid w:val="00531C85"/>
    <w:rsid w:val="00531D3B"/>
    <w:rsid w:val="00532024"/>
    <w:rsid w:val="005322E7"/>
    <w:rsid w:val="005323CF"/>
    <w:rsid w:val="00532527"/>
    <w:rsid w:val="00532AD2"/>
    <w:rsid w:val="00532DD7"/>
    <w:rsid w:val="005332EB"/>
    <w:rsid w:val="0053393E"/>
    <w:rsid w:val="00533970"/>
    <w:rsid w:val="0053493B"/>
    <w:rsid w:val="00534B43"/>
    <w:rsid w:val="00534D6C"/>
    <w:rsid w:val="0053546C"/>
    <w:rsid w:val="005354AA"/>
    <w:rsid w:val="00535539"/>
    <w:rsid w:val="00535647"/>
    <w:rsid w:val="00536A50"/>
    <w:rsid w:val="00536B12"/>
    <w:rsid w:val="00536C09"/>
    <w:rsid w:val="00537278"/>
    <w:rsid w:val="0053767E"/>
    <w:rsid w:val="005407E4"/>
    <w:rsid w:val="00541380"/>
    <w:rsid w:val="005422E8"/>
    <w:rsid w:val="00542412"/>
    <w:rsid w:val="005427AC"/>
    <w:rsid w:val="00543280"/>
    <w:rsid w:val="00543E95"/>
    <w:rsid w:val="0054451D"/>
    <w:rsid w:val="0054468B"/>
    <w:rsid w:val="00544961"/>
    <w:rsid w:val="00544FCE"/>
    <w:rsid w:val="00545587"/>
    <w:rsid w:val="00546435"/>
    <w:rsid w:val="005468A9"/>
    <w:rsid w:val="005478C1"/>
    <w:rsid w:val="00547F93"/>
    <w:rsid w:val="00550F30"/>
    <w:rsid w:val="00551769"/>
    <w:rsid w:val="00551CF8"/>
    <w:rsid w:val="00551D2E"/>
    <w:rsid w:val="00551DC0"/>
    <w:rsid w:val="0055256B"/>
    <w:rsid w:val="00552DFB"/>
    <w:rsid w:val="00553080"/>
    <w:rsid w:val="0055308E"/>
    <w:rsid w:val="00553802"/>
    <w:rsid w:val="00553A99"/>
    <w:rsid w:val="00553FDC"/>
    <w:rsid w:val="005544D1"/>
    <w:rsid w:val="00554A4C"/>
    <w:rsid w:val="00554D3A"/>
    <w:rsid w:val="00555019"/>
    <w:rsid w:val="005556E1"/>
    <w:rsid w:val="005557CF"/>
    <w:rsid w:val="00555AAC"/>
    <w:rsid w:val="00555CB6"/>
    <w:rsid w:val="005561F3"/>
    <w:rsid w:val="00556468"/>
    <w:rsid w:val="00556553"/>
    <w:rsid w:val="00556824"/>
    <w:rsid w:val="0055704B"/>
    <w:rsid w:val="00557821"/>
    <w:rsid w:val="0055786A"/>
    <w:rsid w:val="00557BF6"/>
    <w:rsid w:val="00557C73"/>
    <w:rsid w:val="00560B50"/>
    <w:rsid w:val="00560B6E"/>
    <w:rsid w:val="00561168"/>
    <w:rsid w:val="00561678"/>
    <w:rsid w:val="005617A8"/>
    <w:rsid w:val="00561806"/>
    <w:rsid w:val="00561BFF"/>
    <w:rsid w:val="00561CB2"/>
    <w:rsid w:val="00561DB5"/>
    <w:rsid w:val="00562063"/>
    <w:rsid w:val="005626E0"/>
    <w:rsid w:val="005630CD"/>
    <w:rsid w:val="005639EE"/>
    <w:rsid w:val="00563DC4"/>
    <w:rsid w:val="00563FF2"/>
    <w:rsid w:val="00564497"/>
    <w:rsid w:val="00564506"/>
    <w:rsid w:val="00564AF7"/>
    <w:rsid w:val="00565027"/>
    <w:rsid w:val="00565FC3"/>
    <w:rsid w:val="00566107"/>
    <w:rsid w:val="005661D9"/>
    <w:rsid w:val="005663F8"/>
    <w:rsid w:val="005665AD"/>
    <w:rsid w:val="005665E2"/>
    <w:rsid w:val="00566E5F"/>
    <w:rsid w:val="00567057"/>
    <w:rsid w:val="00567066"/>
    <w:rsid w:val="005672AE"/>
    <w:rsid w:val="0057012F"/>
    <w:rsid w:val="00570223"/>
    <w:rsid w:val="005705F2"/>
    <w:rsid w:val="00571144"/>
    <w:rsid w:val="005716BD"/>
    <w:rsid w:val="0057198B"/>
    <w:rsid w:val="005721F9"/>
    <w:rsid w:val="00572493"/>
    <w:rsid w:val="005726DF"/>
    <w:rsid w:val="005729DD"/>
    <w:rsid w:val="00572C5E"/>
    <w:rsid w:val="00572F4E"/>
    <w:rsid w:val="00573A0A"/>
    <w:rsid w:val="00573B6D"/>
    <w:rsid w:val="00573CEE"/>
    <w:rsid w:val="00574223"/>
    <w:rsid w:val="00574F38"/>
    <w:rsid w:val="00575253"/>
    <w:rsid w:val="00575311"/>
    <w:rsid w:val="005754F3"/>
    <w:rsid w:val="005759CC"/>
    <w:rsid w:val="00575A45"/>
    <w:rsid w:val="00575C4F"/>
    <w:rsid w:val="00575F63"/>
    <w:rsid w:val="00576822"/>
    <w:rsid w:val="005768BA"/>
    <w:rsid w:val="00576901"/>
    <w:rsid w:val="0057691B"/>
    <w:rsid w:val="00576A68"/>
    <w:rsid w:val="00576B57"/>
    <w:rsid w:val="00576C64"/>
    <w:rsid w:val="00576D00"/>
    <w:rsid w:val="00576FE8"/>
    <w:rsid w:val="00577005"/>
    <w:rsid w:val="005771DC"/>
    <w:rsid w:val="00577347"/>
    <w:rsid w:val="00577513"/>
    <w:rsid w:val="00577BE6"/>
    <w:rsid w:val="00577C62"/>
    <w:rsid w:val="00577D05"/>
    <w:rsid w:val="0058022F"/>
    <w:rsid w:val="005804D1"/>
    <w:rsid w:val="005805F7"/>
    <w:rsid w:val="00580970"/>
    <w:rsid w:val="005810AE"/>
    <w:rsid w:val="00581240"/>
    <w:rsid w:val="005814C8"/>
    <w:rsid w:val="005816F6"/>
    <w:rsid w:val="005817D6"/>
    <w:rsid w:val="00581D4C"/>
    <w:rsid w:val="00581FC3"/>
    <w:rsid w:val="005820C1"/>
    <w:rsid w:val="00582B1C"/>
    <w:rsid w:val="00582F9E"/>
    <w:rsid w:val="005835A2"/>
    <w:rsid w:val="00583EE2"/>
    <w:rsid w:val="00584569"/>
    <w:rsid w:val="005845E9"/>
    <w:rsid w:val="00584654"/>
    <w:rsid w:val="0058526C"/>
    <w:rsid w:val="00585353"/>
    <w:rsid w:val="0058604F"/>
    <w:rsid w:val="00587B3C"/>
    <w:rsid w:val="005900C2"/>
    <w:rsid w:val="005901AD"/>
    <w:rsid w:val="005903AD"/>
    <w:rsid w:val="00590BD3"/>
    <w:rsid w:val="00590C49"/>
    <w:rsid w:val="00590D71"/>
    <w:rsid w:val="0059169A"/>
    <w:rsid w:val="005916C6"/>
    <w:rsid w:val="005918DB"/>
    <w:rsid w:val="0059191F"/>
    <w:rsid w:val="00591A11"/>
    <w:rsid w:val="00591CAD"/>
    <w:rsid w:val="00591DE9"/>
    <w:rsid w:val="00591FB3"/>
    <w:rsid w:val="00592719"/>
    <w:rsid w:val="005928F9"/>
    <w:rsid w:val="00592D62"/>
    <w:rsid w:val="00593C77"/>
    <w:rsid w:val="00593E47"/>
    <w:rsid w:val="00594119"/>
    <w:rsid w:val="00594912"/>
    <w:rsid w:val="005952AE"/>
    <w:rsid w:val="00595BBC"/>
    <w:rsid w:val="00595DDC"/>
    <w:rsid w:val="00596028"/>
    <w:rsid w:val="00596120"/>
    <w:rsid w:val="00596180"/>
    <w:rsid w:val="00596211"/>
    <w:rsid w:val="005968AA"/>
    <w:rsid w:val="005969AF"/>
    <w:rsid w:val="00596F28"/>
    <w:rsid w:val="00597313"/>
    <w:rsid w:val="00597446"/>
    <w:rsid w:val="0059748B"/>
    <w:rsid w:val="00597614"/>
    <w:rsid w:val="00597A28"/>
    <w:rsid w:val="00597D0B"/>
    <w:rsid w:val="00597D1A"/>
    <w:rsid w:val="005A0385"/>
    <w:rsid w:val="005A05CB"/>
    <w:rsid w:val="005A0949"/>
    <w:rsid w:val="005A09CB"/>
    <w:rsid w:val="005A0B0D"/>
    <w:rsid w:val="005A0C40"/>
    <w:rsid w:val="005A0C4F"/>
    <w:rsid w:val="005A173D"/>
    <w:rsid w:val="005A1D9D"/>
    <w:rsid w:val="005A1E56"/>
    <w:rsid w:val="005A250A"/>
    <w:rsid w:val="005A2886"/>
    <w:rsid w:val="005A2BEB"/>
    <w:rsid w:val="005A320A"/>
    <w:rsid w:val="005A4052"/>
    <w:rsid w:val="005A4E4A"/>
    <w:rsid w:val="005A50C2"/>
    <w:rsid w:val="005A5126"/>
    <w:rsid w:val="005A5C7D"/>
    <w:rsid w:val="005A5E1D"/>
    <w:rsid w:val="005A5F59"/>
    <w:rsid w:val="005A60C0"/>
    <w:rsid w:val="005A6202"/>
    <w:rsid w:val="005A62DE"/>
    <w:rsid w:val="005A69D1"/>
    <w:rsid w:val="005A6E19"/>
    <w:rsid w:val="005A7423"/>
    <w:rsid w:val="005B02A3"/>
    <w:rsid w:val="005B0954"/>
    <w:rsid w:val="005B0971"/>
    <w:rsid w:val="005B09E5"/>
    <w:rsid w:val="005B0A44"/>
    <w:rsid w:val="005B0B58"/>
    <w:rsid w:val="005B0E94"/>
    <w:rsid w:val="005B12A5"/>
    <w:rsid w:val="005B1458"/>
    <w:rsid w:val="005B1789"/>
    <w:rsid w:val="005B1BF2"/>
    <w:rsid w:val="005B1F28"/>
    <w:rsid w:val="005B1F85"/>
    <w:rsid w:val="005B2438"/>
    <w:rsid w:val="005B2A9E"/>
    <w:rsid w:val="005B3257"/>
    <w:rsid w:val="005B33D0"/>
    <w:rsid w:val="005B434A"/>
    <w:rsid w:val="005B5235"/>
    <w:rsid w:val="005B57EC"/>
    <w:rsid w:val="005B58CE"/>
    <w:rsid w:val="005B5D77"/>
    <w:rsid w:val="005B5F0B"/>
    <w:rsid w:val="005B6B9C"/>
    <w:rsid w:val="005B6D5B"/>
    <w:rsid w:val="005B6E27"/>
    <w:rsid w:val="005B730A"/>
    <w:rsid w:val="005B7812"/>
    <w:rsid w:val="005B7A41"/>
    <w:rsid w:val="005C0B4E"/>
    <w:rsid w:val="005C1E1F"/>
    <w:rsid w:val="005C1FFB"/>
    <w:rsid w:val="005C258C"/>
    <w:rsid w:val="005C2826"/>
    <w:rsid w:val="005C35E5"/>
    <w:rsid w:val="005C3704"/>
    <w:rsid w:val="005C377F"/>
    <w:rsid w:val="005C3B5F"/>
    <w:rsid w:val="005C41AD"/>
    <w:rsid w:val="005C48AE"/>
    <w:rsid w:val="005C508D"/>
    <w:rsid w:val="005C539D"/>
    <w:rsid w:val="005C5815"/>
    <w:rsid w:val="005C5821"/>
    <w:rsid w:val="005C5856"/>
    <w:rsid w:val="005C5A64"/>
    <w:rsid w:val="005C5C1A"/>
    <w:rsid w:val="005C61EE"/>
    <w:rsid w:val="005C6C35"/>
    <w:rsid w:val="005C71FC"/>
    <w:rsid w:val="005C75F9"/>
    <w:rsid w:val="005C7844"/>
    <w:rsid w:val="005C7904"/>
    <w:rsid w:val="005C7971"/>
    <w:rsid w:val="005D09A6"/>
    <w:rsid w:val="005D0A8C"/>
    <w:rsid w:val="005D1194"/>
    <w:rsid w:val="005D257B"/>
    <w:rsid w:val="005D2606"/>
    <w:rsid w:val="005D3141"/>
    <w:rsid w:val="005D355D"/>
    <w:rsid w:val="005D358D"/>
    <w:rsid w:val="005D39BE"/>
    <w:rsid w:val="005D3AC5"/>
    <w:rsid w:val="005D3B38"/>
    <w:rsid w:val="005D4056"/>
    <w:rsid w:val="005D4063"/>
    <w:rsid w:val="005D4452"/>
    <w:rsid w:val="005D480C"/>
    <w:rsid w:val="005D4B16"/>
    <w:rsid w:val="005D4DA2"/>
    <w:rsid w:val="005D5578"/>
    <w:rsid w:val="005D5610"/>
    <w:rsid w:val="005D569F"/>
    <w:rsid w:val="005D6566"/>
    <w:rsid w:val="005D6800"/>
    <w:rsid w:val="005D6C6F"/>
    <w:rsid w:val="005D71AB"/>
    <w:rsid w:val="005D740B"/>
    <w:rsid w:val="005D7613"/>
    <w:rsid w:val="005D7884"/>
    <w:rsid w:val="005D7FA6"/>
    <w:rsid w:val="005E07ED"/>
    <w:rsid w:val="005E0A1F"/>
    <w:rsid w:val="005E0A9C"/>
    <w:rsid w:val="005E0AE1"/>
    <w:rsid w:val="005E0B12"/>
    <w:rsid w:val="005E0F55"/>
    <w:rsid w:val="005E1192"/>
    <w:rsid w:val="005E11DE"/>
    <w:rsid w:val="005E140D"/>
    <w:rsid w:val="005E1443"/>
    <w:rsid w:val="005E15AC"/>
    <w:rsid w:val="005E1907"/>
    <w:rsid w:val="005E190E"/>
    <w:rsid w:val="005E1AC4"/>
    <w:rsid w:val="005E1FE5"/>
    <w:rsid w:val="005E222C"/>
    <w:rsid w:val="005E411F"/>
    <w:rsid w:val="005E4155"/>
    <w:rsid w:val="005E4B38"/>
    <w:rsid w:val="005E5395"/>
    <w:rsid w:val="005E575D"/>
    <w:rsid w:val="005E5924"/>
    <w:rsid w:val="005E5D34"/>
    <w:rsid w:val="005E621F"/>
    <w:rsid w:val="005E62C1"/>
    <w:rsid w:val="005E65A6"/>
    <w:rsid w:val="005E6ACB"/>
    <w:rsid w:val="005E6BC5"/>
    <w:rsid w:val="005E6D19"/>
    <w:rsid w:val="005E74B9"/>
    <w:rsid w:val="005E7997"/>
    <w:rsid w:val="005E7A3F"/>
    <w:rsid w:val="005F05D3"/>
    <w:rsid w:val="005F078D"/>
    <w:rsid w:val="005F0826"/>
    <w:rsid w:val="005F094D"/>
    <w:rsid w:val="005F0DCF"/>
    <w:rsid w:val="005F0E01"/>
    <w:rsid w:val="005F0EBD"/>
    <w:rsid w:val="005F1CB2"/>
    <w:rsid w:val="005F222C"/>
    <w:rsid w:val="005F233B"/>
    <w:rsid w:val="005F2677"/>
    <w:rsid w:val="005F2A67"/>
    <w:rsid w:val="005F2BEE"/>
    <w:rsid w:val="005F3B0A"/>
    <w:rsid w:val="005F3BB2"/>
    <w:rsid w:val="005F3DE7"/>
    <w:rsid w:val="005F3FAE"/>
    <w:rsid w:val="005F4757"/>
    <w:rsid w:val="005F47A3"/>
    <w:rsid w:val="005F53FB"/>
    <w:rsid w:val="005F5A07"/>
    <w:rsid w:val="005F5D37"/>
    <w:rsid w:val="005F5F02"/>
    <w:rsid w:val="005F5FF6"/>
    <w:rsid w:val="005F61B7"/>
    <w:rsid w:val="005F668D"/>
    <w:rsid w:val="005F689E"/>
    <w:rsid w:val="005F6ABE"/>
    <w:rsid w:val="005F6DA0"/>
    <w:rsid w:val="005F6E86"/>
    <w:rsid w:val="005F7287"/>
    <w:rsid w:val="005F736C"/>
    <w:rsid w:val="00600459"/>
    <w:rsid w:val="00600EB8"/>
    <w:rsid w:val="006016B2"/>
    <w:rsid w:val="006018CA"/>
    <w:rsid w:val="00601B29"/>
    <w:rsid w:val="00602729"/>
    <w:rsid w:val="00602B8F"/>
    <w:rsid w:val="00602BDD"/>
    <w:rsid w:val="006030DB"/>
    <w:rsid w:val="006033EF"/>
    <w:rsid w:val="00603595"/>
    <w:rsid w:val="006037B1"/>
    <w:rsid w:val="006038A5"/>
    <w:rsid w:val="006041F4"/>
    <w:rsid w:val="00604586"/>
    <w:rsid w:val="00604738"/>
    <w:rsid w:val="00604FB6"/>
    <w:rsid w:val="006054AF"/>
    <w:rsid w:val="0060552E"/>
    <w:rsid w:val="0060588E"/>
    <w:rsid w:val="006059F0"/>
    <w:rsid w:val="00606001"/>
    <w:rsid w:val="006062A1"/>
    <w:rsid w:val="0060631E"/>
    <w:rsid w:val="0060642C"/>
    <w:rsid w:val="0060693B"/>
    <w:rsid w:val="00606D4D"/>
    <w:rsid w:val="00606EC8"/>
    <w:rsid w:val="006071CA"/>
    <w:rsid w:val="006072F5"/>
    <w:rsid w:val="0060748C"/>
    <w:rsid w:val="00607C53"/>
    <w:rsid w:val="00607E42"/>
    <w:rsid w:val="00607EC1"/>
    <w:rsid w:val="00607EEA"/>
    <w:rsid w:val="006102B4"/>
    <w:rsid w:val="00610799"/>
    <w:rsid w:val="00610BC9"/>
    <w:rsid w:val="00610C90"/>
    <w:rsid w:val="00611396"/>
    <w:rsid w:val="00611938"/>
    <w:rsid w:val="00611A3D"/>
    <w:rsid w:val="00611ACE"/>
    <w:rsid w:val="00611CDB"/>
    <w:rsid w:val="00611F86"/>
    <w:rsid w:val="00612842"/>
    <w:rsid w:val="00612C22"/>
    <w:rsid w:val="00613E66"/>
    <w:rsid w:val="00614141"/>
    <w:rsid w:val="006142DA"/>
    <w:rsid w:val="0061474D"/>
    <w:rsid w:val="00615347"/>
    <w:rsid w:val="006158D1"/>
    <w:rsid w:val="00615A86"/>
    <w:rsid w:val="00615AB1"/>
    <w:rsid w:val="00615FA4"/>
    <w:rsid w:val="00615FFB"/>
    <w:rsid w:val="00616390"/>
    <w:rsid w:val="006165D3"/>
    <w:rsid w:val="00616734"/>
    <w:rsid w:val="006169BA"/>
    <w:rsid w:val="00616C71"/>
    <w:rsid w:val="00617670"/>
    <w:rsid w:val="00617715"/>
    <w:rsid w:val="00617717"/>
    <w:rsid w:val="00617B8A"/>
    <w:rsid w:val="00617D04"/>
    <w:rsid w:val="00617E9B"/>
    <w:rsid w:val="006207E2"/>
    <w:rsid w:val="00620846"/>
    <w:rsid w:val="006211FA"/>
    <w:rsid w:val="00621714"/>
    <w:rsid w:val="00621746"/>
    <w:rsid w:val="006218CE"/>
    <w:rsid w:val="00621BE1"/>
    <w:rsid w:val="0062330C"/>
    <w:rsid w:val="006236EB"/>
    <w:rsid w:val="0062375D"/>
    <w:rsid w:val="00623984"/>
    <w:rsid w:val="00623C89"/>
    <w:rsid w:val="00623D33"/>
    <w:rsid w:val="00623E4E"/>
    <w:rsid w:val="0062413F"/>
    <w:rsid w:val="00624530"/>
    <w:rsid w:val="00624F5B"/>
    <w:rsid w:val="00625229"/>
    <w:rsid w:val="00625F1C"/>
    <w:rsid w:val="0062641E"/>
    <w:rsid w:val="006265D9"/>
    <w:rsid w:val="00626851"/>
    <w:rsid w:val="006272CE"/>
    <w:rsid w:val="006275F5"/>
    <w:rsid w:val="0062762E"/>
    <w:rsid w:val="00627C89"/>
    <w:rsid w:val="0063008B"/>
    <w:rsid w:val="00630415"/>
    <w:rsid w:val="006304A4"/>
    <w:rsid w:val="0063078D"/>
    <w:rsid w:val="00630E4A"/>
    <w:rsid w:val="006312E9"/>
    <w:rsid w:val="00631379"/>
    <w:rsid w:val="00631970"/>
    <w:rsid w:val="006319ED"/>
    <w:rsid w:val="00631A7C"/>
    <w:rsid w:val="00632B45"/>
    <w:rsid w:val="00632C22"/>
    <w:rsid w:val="00632DB2"/>
    <w:rsid w:val="00633638"/>
    <w:rsid w:val="00633CD8"/>
    <w:rsid w:val="006344D5"/>
    <w:rsid w:val="006345EE"/>
    <w:rsid w:val="00634E46"/>
    <w:rsid w:val="006359AA"/>
    <w:rsid w:val="00635C0C"/>
    <w:rsid w:val="00635EA4"/>
    <w:rsid w:val="0063642E"/>
    <w:rsid w:val="006365BD"/>
    <w:rsid w:val="006365EA"/>
    <w:rsid w:val="0063732F"/>
    <w:rsid w:val="006375DD"/>
    <w:rsid w:val="00640258"/>
    <w:rsid w:val="00640D6E"/>
    <w:rsid w:val="0064145F"/>
    <w:rsid w:val="006414BC"/>
    <w:rsid w:val="0064176D"/>
    <w:rsid w:val="006428B8"/>
    <w:rsid w:val="00643D79"/>
    <w:rsid w:val="00643DA9"/>
    <w:rsid w:val="00644AA6"/>
    <w:rsid w:val="00644F9E"/>
    <w:rsid w:val="00645792"/>
    <w:rsid w:val="006458C9"/>
    <w:rsid w:val="00645E88"/>
    <w:rsid w:val="00645EBF"/>
    <w:rsid w:val="00646908"/>
    <w:rsid w:val="0064756F"/>
    <w:rsid w:val="006478E7"/>
    <w:rsid w:val="00647938"/>
    <w:rsid w:val="00647DD6"/>
    <w:rsid w:val="006500F5"/>
    <w:rsid w:val="0065041B"/>
    <w:rsid w:val="00650968"/>
    <w:rsid w:val="00650A6D"/>
    <w:rsid w:val="00650B5B"/>
    <w:rsid w:val="00650CBE"/>
    <w:rsid w:val="00650ED2"/>
    <w:rsid w:val="00650EF7"/>
    <w:rsid w:val="00651092"/>
    <w:rsid w:val="006517B1"/>
    <w:rsid w:val="00651A9C"/>
    <w:rsid w:val="0065205D"/>
    <w:rsid w:val="00652BDE"/>
    <w:rsid w:val="00652C73"/>
    <w:rsid w:val="00652CF9"/>
    <w:rsid w:val="006531D8"/>
    <w:rsid w:val="0065392A"/>
    <w:rsid w:val="00653A7E"/>
    <w:rsid w:val="00653A8C"/>
    <w:rsid w:val="00653E16"/>
    <w:rsid w:val="006540C0"/>
    <w:rsid w:val="00654BAE"/>
    <w:rsid w:val="00655386"/>
    <w:rsid w:val="00655CA3"/>
    <w:rsid w:val="00655E8E"/>
    <w:rsid w:val="00656A55"/>
    <w:rsid w:val="00657A28"/>
    <w:rsid w:val="00657CB0"/>
    <w:rsid w:val="0066063B"/>
    <w:rsid w:val="00660808"/>
    <w:rsid w:val="00660B9F"/>
    <w:rsid w:val="00660CC7"/>
    <w:rsid w:val="00661483"/>
    <w:rsid w:val="006614C1"/>
    <w:rsid w:val="0066173B"/>
    <w:rsid w:val="006618A1"/>
    <w:rsid w:val="00661E1E"/>
    <w:rsid w:val="00662EA3"/>
    <w:rsid w:val="00663004"/>
    <w:rsid w:val="00663D67"/>
    <w:rsid w:val="00663D69"/>
    <w:rsid w:val="00664DC9"/>
    <w:rsid w:val="00665EC7"/>
    <w:rsid w:val="006662F6"/>
    <w:rsid w:val="00666469"/>
    <w:rsid w:val="00666676"/>
    <w:rsid w:val="00666D66"/>
    <w:rsid w:val="00666F69"/>
    <w:rsid w:val="00667743"/>
    <w:rsid w:val="0066793F"/>
    <w:rsid w:val="00667B7F"/>
    <w:rsid w:val="00667EDE"/>
    <w:rsid w:val="0066EA29"/>
    <w:rsid w:val="00670A7D"/>
    <w:rsid w:val="00670AEA"/>
    <w:rsid w:val="006710DB"/>
    <w:rsid w:val="00671612"/>
    <w:rsid w:val="00671F7A"/>
    <w:rsid w:val="00672354"/>
    <w:rsid w:val="00672708"/>
    <w:rsid w:val="00672799"/>
    <w:rsid w:val="006727FB"/>
    <w:rsid w:val="00673123"/>
    <w:rsid w:val="006733AF"/>
    <w:rsid w:val="00673793"/>
    <w:rsid w:val="00674BAD"/>
    <w:rsid w:val="0067518F"/>
    <w:rsid w:val="00675423"/>
    <w:rsid w:val="00675632"/>
    <w:rsid w:val="00675AFA"/>
    <w:rsid w:val="00675BBB"/>
    <w:rsid w:val="006761F3"/>
    <w:rsid w:val="0067665A"/>
    <w:rsid w:val="00677008"/>
    <w:rsid w:val="00677319"/>
    <w:rsid w:val="00677553"/>
    <w:rsid w:val="00677AE3"/>
    <w:rsid w:val="00677CC8"/>
    <w:rsid w:val="006802AF"/>
    <w:rsid w:val="0068036F"/>
    <w:rsid w:val="006803CC"/>
    <w:rsid w:val="00680490"/>
    <w:rsid w:val="00680F1A"/>
    <w:rsid w:val="00681989"/>
    <w:rsid w:val="0068200E"/>
    <w:rsid w:val="00682F18"/>
    <w:rsid w:val="00683A8D"/>
    <w:rsid w:val="00683D2A"/>
    <w:rsid w:val="00683D47"/>
    <w:rsid w:val="00684730"/>
    <w:rsid w:val="00684771"/>
    <w:rsid w:val="00684B0B"/>
    <w:rsid w:val="00684CC9"/>
    <w:rsid w:val="00685355"/>
    <w:rsid w:val="00685806"/>
    <w:rsid w:val="00685B8B"/>
    <w:rsid w:val="006862F1"/>
    <w:rsid w:val="006865B1"/>
    <w:rsid w:val="00686BA1"/>
    <w:rsid w:val="00686C82"/>
    <w:rsid w:val="00686EED"/>
    <w:rsid w:val="006876C6"/>
    <w:rsid w:val="00690608"/>
    <w:rsid w:val="006907A1"/>
    <w:rsid w:val="006909E5"/>
    <w:rsid w:val="00690F16"/>
    <w:rsid w:val="00690F95"/>
    <w:rsid w:val="00691426"/>
    <w:rsid w:val="006917FE"/>
    <w:rsid w:val="006918EC"/>
    <w:rsid w:val="0069245B"/>
    <w:rsid w:val="00692793"/>
    <w:rsid w:val="00692AAE"/>
    <w:rsid w:val="00693B13"/>
    <w:rsid w:val="00694364"/>
    <w:rsid w:val="006953FC"/>
    <w:rsid w:val="00695651"/>
    <w:rsid w:val="0069590C"/>
    <w:rsid w:val="00695BE2"/>
    <w:rsid w:val="006970BD"/>
    <w:rsid w:val="006975A1"/>
    <w:rsid w:val="00697BAA"/>
    <w:rsid w:val="00697DF0"/>
    <w:rsid w:val="006A04E8"/>
    <w:rsid w:val="006A0CA4"/>
    <w:rsid w:val="006A1204"/>
    <w:rsid w:val="006A1557"/>
    <w:rsid w:val="006A1664"/>
    <w:rsid w:val="006A191D"/>
    <w:rsid w:val="006A1DE0"/>
    <w:rsid w:val="006A2C1A"/>
    <w:rsid w:val="006A2F9A"/>
    <w:rsid w:val="006A30CA"/>
    <w:rsid w:val="006A3B4B"/>
    <w:rsid w:val="006A429D"/>
    <w:rsid w:val="006A448D"/>
    <w:rsid w:val="006A467F"/>
    <w:rsid w:val="006A4884"/>
    <w:rsid w:val="006A4B62"/>
    <w:rsid w:val="006A5208"/>
    <w:rsid w:val="006A5A68"/>
    <w:rsid w:val="006A5F77"/>
    <w:rsid w:val="006A69B5"/>
    <w:rsid w:val="006A758D"/>
    <w:rsid w:val="006A7744"/>
    <w:rsid w:val="006B006F"/>
    <w:rsid w:val="006B0E3E"/>
    <w:rsid w:val="006B17A2"/>
    <w:rsid w:val="006B1846"/>
    <w:rsid w:val="006B198A"/>
    <w:rsid w:val="006B2332"/>
    <w:rsid w:val="006B3631"/>
    <w:rsid w:val="006B3FB3"/>
    <w:rsid w:val="006B4809"/>
    <w:rsid w:val="006B48BF"/>
    <w:rsid w:val="006B52CD"/>
    <w:rsid w:val="006B5393"/>
    <w:rsid w:val="006B56F6"/>
    <w:rsid w:val="006B598D"/>
    <w:rsid w:val="006B664F"/>
    <w:rsid w:val="006B6D1D"/>
    <w:rsid w:val="006B7433"/>
    <w:rsid w:val="006B75F6"/>
    <w:rsid w:val="006B771A"/>
    <w:rsid w:val="006B7A2D"/>
    <w:rsid w:val="006B7C97"/>
    <w:rsid w:val="006B7E2A"/>
    <w:rsid w:val="006C03C0"/>
    <w:rsid w:val="006C0A99"/>
    <w:rsid w:val="006C0CC0"/>
    <w:rsid w:val="006C23D4"/>
    <w:rsid w:val="006C23DC"/>
    <w:rsid w:val="006C267E"/>
    <w:rsid w:val="006C29D7"/>
    <w:rsid w:val="006C2C9F"/>
    <w:rsid w:val="006C3161"/>
    <w:rsid w:val="006C3A28"/>
    <w:rsid w:val="006C3A82"/>
    <w:rsid w:val="006C3AAF"/>
    <w:rsid w:val="006C3DE5"/>
    <w:rsid w:val="006C3E46"/>
    <w:rsid w:val="006C4E63"/>
    <w:rsid w:val="006C504E"/>
    <w:rsid w:val="006C5576"/>
    <w:rsid w:val="006C55C9"/>
    <w:rsid w:val="006C5661"/>
    <w:rsid w:val="006C595A"/>
    <w:rsid w:val="006C59FF"/>
    <w:rsid w:val="006C5BED"/>
    <w:rsid w:val="006C5C54"/>
    <w:rsid w:val="006C5DCB"/>
    <w:rsid w:val="006C5F17"/>
    <w:rsid w:val="006C67EC"/>
    <w:rsid w:val="006C73F4"/>
    <w:rsid w:val="006C7512"/>
    <w:rsid w:val="006C7566"/>
    <w:rsid w:val="006C76CD"/>
    <w:rsid w:val="006D0165"/>
    <w:rsid w:val="006D05B9"/>
    <w:rsid w:val="006D0677"/>
    <w:rsid w:val="006D1017"/>
    <w:rsid w:val="006D17E3"/>
    <w:rsid w:val="006D1882"/>
    <w:rsid w:val="006D1A7E"/>
    <w:rsid w:val="006D1C08"/>
    <w:rsid w:val="006D1E48"/>
    <w:rsid w:val="006D20DA"/>
    <w:rsid w:val="006D3876"/>
    <w:rsid w:val="006D3B7D"/>
    <w:rsid w:val="006D405E"/>
    <w:rsid w:val="006D447C"/>
    <w:rsid w:val="006D44A6"/>
    <w:rsid w:val="006D455B"/>
    <w:rsid w:val="006D4B53"/>
    <w:rsid w:val="006D4E8B"/>
    <w:rsid w:val="006D520A"/>
    <w:rsid w:val="006D5402"/>
    <w:rsid w:val="006D5413"/>
    <w:rsid w:val="006D54FA"/>
    <w:rsid w:val="006D58C2"/>
    <w:rsid w:val="006D5A4E"/>
    <w:rsid w:val="006D5C49"/>
    <w:rsid w:val="006D5C4A"/>
    <w:rsid w:val="006D6510"/>
    <w:rsid w:val="006D6E75"/>
    <w:rsid w:val="006D713E"/>
    <w:rsid w:val="006D7572"/>
    <w:rsid w:val="006D76B7"/>
    <w:rsid w:val="006E016F"/>
    <w:rsid w:val="006E0295"/>
    <w:rsid w:val="006E0930"/>
    <w:rsid w:val="006E0E30"/>
    <w:rsid w:val="006E0FA0"/>
    <w:rsid w:val="006E0FAC"/>
    <w:rsid w:val="006E145A"/>
    <w:rsid w:val="006E21B5"/>
    <w:rsid w:val="006E2B87"/>
    <w:rsid w:val="006E2C43"/>
    <w:rsid w:val="006E2E88"/>
    <w:rsid w:val="006E2F1C"/>
    <w:rsid w:val="006E3196"/>
    <w:rsid w:val="006E326E"/>
    <w:rsid w:val="006E3305"/>
    <w:rsid w:val="006E38AB"/>
    <w:rsid w:val="006E3A98"/>
    <w:rsid w:val="006E3DB9"/>
    <w:rsid w:val="006E404C"/>
    <w:rsid w:val="006E478C"/>
    <w:rsid w:val="006E4B58"/>
    <w:rsid w:val="006E511B"/>
    <w:rsid w:val="006E5282"/>
    <w:rsid w:val="006E53F6"/>
    <w:rsid w:val="006E554E"/>
    <w:rsid w:val="006E5E1C"/>
    <w:rsid w:val="006E5F2A"/>
    <w:rsid w:val="006E6066"/>
    <w:rsid w:val="006E60ED"/>
    <w:rsid w:val="006E6573"/>
    <w:rsid w:val="006E798F"/>
    <w:rsid w:val="006E7A4D"/>
    <w:rsid w:val="006E7F1F"/>
    <w:rsid w:val="006E7F5D"/>
    <w:rsid w:val="006F01C4"/>
    <w:rsid w:val="006F03B3"/>
    <w:rsid w:val="006F0A03"/>
    <w:rsid w:val="006F0B63"/>
    <w:rsid w:val="006F0CAC"/>
    <w:rsid w:val="006F14C3"/>
    <w:rsid w:val="006F153A"/>
    <w:rsid w:val="006F191D"/>
    <w:rsid w:val="006F1AB5"/>
    <w:rsid w:val="006F2497"/>
    <w:rsid w:val="006F25D4"/>
    <w:rsid w:val="006F2734"/>
    <w:rsid w:val="006F2F47"/>
    <w:rsid w:val="006F3205"/>
    <w:rsid w:val="006F3ADB"/>
    <w:rsid w:val="006F3D50"/>
    <w:rsid w:val="006F40FF"/>
    <w:rsid w:val="006F4348"/>
    <w:rsid w:val="006F43F8"/>
    <w:rsid w:val="006F4403"/>
    <w:rsid w:val="006F4D7B"/>
    <w:rsid w:val="006F61AD"/>
    <w:rsid w:val="006F664F"/>
    <w:rsid w:val="006F68F7"/>
    <w:rsid w:val="006F6FE3"/>
    <w:rsid w:val="006F741F"/>
    <w:rsid w:val="006F781B"/>
    <w:rsid w:val="006F7933"/>
    <w:rsid w:val="006F7DCF"/>
    <w:rsid w:val="00700B35"/>
    <w:rsid w:val="00700DE5"/>
    <w:rsid w:val="00700FB9"/>
    <w:rsid w:val="00701B17"/>
    <w:rsid w:val="00701B28"/>
    <w:rsid w:val="00701E01"/>
    <w:rsid w:val="007022AD"/>
    <w:rsid w:val="0070274D"/>
    <w:rsid w:val="0070310D"/>
    <w:rsid w:val="00703499"/>
    <w:rsid w:val="0070352C"/>
    <w:rsid w:val="0070375A"/>
    <w:rsid w:val="0070404D"/>
    <w:rsid w:val="00704188"/>
    <w:rsid w:val="007041CB"/>
    <w:rsid w:val="0070430D"/>
    <w:rsid w:val="00704862"/>
    <w:rsid w:val="00704D1F"/>
    <w:rsid w:val="00705182"/>
    <w:rsid w:val="007053DF"/>
    <w:rsid w:val="00705DA0"/>
    <w:rsid w:val="007063C8"/>
    <w:rsid w:val="00706570"/>
    <w:rsid w:val="00706D42"/>
    <w:rsid w:val="00706F8D"/>
    <w:rsid w:val="0070707A"/>
    <w:rsid w:val="00707201"/>
    <w:rsid w:val="00707575"/>
    <w:rsid w:val="007077BC"/>
    <w:rsid w:val="007078BF"/>
    <w:rsid w:val="00707973"/>
    <w:rsid w:val="00707B21"/>
    <w:rsid w:val="00707D2C"/>
    <w:rsid w:val="00707E75"/>
    <w:rsid w:val="007104C5"/>
    <w:rsid w:val="0071068F"/>
    <w:rsid w:val="00710AAC"/>
    <w:rsid w:val="00710EF2"/>
    <w:rsid w:val="007110FC"/>
    <w:rsid w:val="00711224"/>
    <w:rsid w:val="007114C3"/>
    <w:rsid w:val="00711650"/>
    <w:rsid w:val="00711CDF"/>
    <w:rsid w:val="00711FC9"/>
    <w:rsid w:val="00712773"/>
    <w:rsid w:val="00712881"/>
    <w:rsid w:val="007134E1"/>
    <w:rsid w:val="00713728"/>
    <w:rsid w:val="0071377A"/>
    <w:rsid w:val="007144EE"/>
    <w:rsid w:val="00714585"/>
    <w:rsid w:val="0071529D"/>
    <w:rsid w:val="007157AB"/>
    <w:rsid w:val="007157C0"/>
    <w:rsid w:val="00715B2D"/>
    <w:rsid w:val="00715E33"/>
    <w:rsid w:val="00716731"/>
    <w:rsid w:val="00716E41"/>
    <w:rsid w:val="00717443"/>
    <w:rsid w:val="007175FE"/>
    <w:rsid w:val="0071762D"/>
    <w:rsid w:val="007177A2"/>
    <w:rsid w:val="00717C8E"/>
    <w:rsid w:val="00717D9C"/>
    <w:rsid w:val="00720052"/>
    <w:rsid w:val="007207BB"/>
    <w:rsid w:val="00720EC7"/>
    <w:rsid w:val="00721FC1"/>
    <w:rsid w:val="0072243D"/>
    <w:rsid w:val="0072268F"/>
    <w:rsid w:val="00722864"/>
    <w:rsid w:val="007228C4"/>
    <w:rsid w:val="007228F8"/>
    <w:rsid w:val="00723361"/>
    <w:rsid w:val="0072360A"/>
    <w:rsid w:val="00723795"/>
    <w:rsid w:val="00723881"/>
    <w:rsid w:val="00724187"/>
    <w:rsid w:val="0072476C"/>
    <w:rsid w:val="007248A3"/>
    <w:rsid w:val="00724B92"/>
    <w:rsid w:val="00725307"/>
    <w:rsid w:val="007259D7"/>
    <w:rsid w:val="00725B97"/>
    <w:rsid w:val="00725C1C"/>
    <w:rsid w:val="007260C9"/>
    <w:rsid w:val="00726197"/>
    <w:rsid w:val="007264E5"/>
    <w:rsid w:val="00727247"/>
    <w:rsid w:val="007300D7"/>
    <w:rsid w:val="0073052C"/>
    <w:rsid w:val="00730AE4"/>
    <w:rsid w:val="00730B4F"/>
    <w:rsid w:val="00730C73"/>
    <w:rsid w:val="00730CBA"/>
    <w:rsid w:val="00731645"/>
    <w:rsid w:val="0073171A"/>
    <w:rsid w:val="007317D4"/>
    <w:rsid w:val="007320CB"/>
    <w:rsid w:val="00732B57"/>
    <w:rsid w:val="00733646"/>
    <w:rsid w:val="007349C5"/>
    <w:rsid w:val="00734B40"/>
    <w:rsid w:val="00734CC4"/>
    <w:rsid w:val="00734D1E"/>
    <w:rsid w:val="00734DB6"/>
    <w:rsid w:val="007356EB"/>
    <w:rsid w:val="00735E95"/>
    <w:rsid w:val="00736019"/>
    <w:rsid w:val="00736123"/>
    <w:rsid w:val="00736182"/>
    <w:rsid w:val="00736313"/>
    <w:rsid w:val="0073635E"/>
    <w:rsid w:val="00736C3F"/>
    <w:rsid w:val="00736C94"/>
    <w:rsid w:val="00736E19"/>
    <w:rsid w:val="00737861"/>
    <w:rsid w:val="00740356"/>
    <w:rsid w:val="007406FD"/>
    <w:rsid w:val="0074072F"/>
    <w:rsid w:val="00740D35"/>
    <w:rsid w:val="00740FA7"/>
    <w:rsid w:val="007414BF"/>
    <w:rsid w:val="007415B3"/>
    <w:rsid w:val="007417B6"/>
    <w:rsid w:val="007418E5"/>
    <w:rsid w:val="00741C22"/>
    <w:rsid w:val="007424E0"/>
    <w:rsid w:val="00742CC2"/>
    <w:rsid w:val="00742EBE"/>
    <w:rsid w:val="00743CD2"/>
    <w:rsid w:val="00743EA8"/>
    <w:rsid w:val="00744B97"/>
    <w:rsid w:val="00745038"/>
    <w:rsid w:val="007451BA"/>
    <w:rsid w:val="007451CD"/>
    <w:rsid w:val="007456B9"/>
    <w:rsid w:val="00745DC7"/>
    <w:rsid w:val="007464B3"/>
    <w:rsid w:val="00746605"/>
    <w:rsid w:val="007468A9"/>
    <w:rsid w:val="00747369"/>
    <w:rsid w:val="007474DE"/>
    <w:rsid w:val="0074799E"/>
    <w:rsid w:val="00750206"/>
    <w:rsid w:val="0075076C"/>
    <w:rsid w:val="007507BA"/>
    <w:rsid w:val="0075085C"/>
    <w:rsid w:val="00750C61"/>
    <w:rsid w:val="00750D7F"/>
    <w:rsid w:val="007510FB"/>
    <w:rsid w:val="007511EC"/>
    <w:rsid w:val="00752263"/>
    <w:rsid w:val="007522CD"/>
    <w:rsid w:val="00752D2E"/>
    <w:rsid w:val="00753384"/>
    <w:rsid w:val="0075375B"/>
    <w:rsid w:val="007537CA"/>
    <w:rsid w:val="00753ED6"/>
    <w:rsid w:val="0075435B"/>
    <w:rsid w:val="00754390"/>
    <w:rsid w:val="00754A3D"/>
    <w:rsid w:val="00754FAB"/>
    <w:rsid w:val="007555E2"/>
    <w:rsid w:val="00755859"/>
    <w:rsid w:val="007567AC"/>
    <w:rsid w:val="00756801"/>
    <w:rsid w:val="00756CDE"/>
    <w:rsid w:val="00756CE9"/>
    <w:rsid w:val="00757034"/>
    <w:rsid w:val="00757252"/>
    <w:rsid w:val="007574EC"/>
    <w:rsid w:val="007579B0"/>
    <w:rsid w:val="0076028F"/>
    <w:rsid w:val="0076049E"/>
    <w:rsid w:val="0076099D"/>
    <w:rsid w:val="00760A1D"/>
    <w:rsid w:val="00760A37"/>
    <w:rsid w:val="007612E4"/>
    <w:rsid w:val="0076158B"/>
    <w:rsid w:val="0076190C"/>
    <w:rsid w:val="00761CF7"/>
    <w:rsid w:val="0076240F"/>
    <w:rsid w:val="00762975"/>
    <w:rsid w:val="00763FC7"/>
    <w:rsid w:val="00764283"/>
    <w:rsid w:val="007643EB"/>
    <w:rsid w:val="0076456C"/>
    <w:rsid w:val="00764810"/>
    <w:rsid w:val="007653CC"/>
    <w:rsid w:val="00765E68"/>
    <w:rsid w:val="00766DD4"/>
    <w:rsid w:val="0076702F"/>
    <w:rsid w:val="007672F6"/>
    <w:rsid w:val="0076740E"/>
    <w:rsid w:val="007676D3"/>
    <w:rsid w:val="0076782B"/>
    <w:rsid w:val="00771363"/>
    <w:rsid w:val="007716B0"/>
    <w:rsid w:val="0077177B"/>
    <w:rsid w:val="007717F0"/>
    <w:rsid w:val="00771E01"/>
    <w:rsid w:val="00771F12"/>
    <w:rsid w:val="00771F18"/>
    <w:rsid w:val="00772207"/>
    <w:rsid w:val="007729E9"/>
    <w:rsid w:val="00773C4D"/>
    <w:rsid w:val="007740A8"/>
    <w:rsid w:val="00774BA9"/>
    <w:rsid w:val="0077595A"/>
    <w:rsid w:val="007761A1"/>
    <w:rsid w:val="007761F8"/>
    <w:rsid w:val="00776556"/>
    <w:rsid w:val="00777180"/>
    <w:rsid w:val="00777181"/>
    <w:rsid w:val="0077737E"/>
    <w:rsid w:val="007776EA"/>
    <w:rsid w:val="007807E9"/>
    <w:rsid w:val="007808EC"/>
    <w:rsid w:val="00780926"/>
    <w:rsid w:val="007816C7"/>
    <w:rsid w:val="00781D65"/>
    <w:rsid w:val="00781DEA"/>
    <w:rsid w:val="00781DFF"/>
    <w:rsid w:val="00781F00"/>
    <w:rsid w:val="00782C40"/>
    <w:rsid w:val="007831F4"/>
    <w:rsid w:val="00783366"/>
    <w:rsid w:val="007838D8"/>
    <w:rsid w:val="00783C95"/>
    <w:rsid w:val="00783ED5"/>
    <w:rsid w:val="00783F99"/>
    <w:rsid w:val="007842AE"/>
    <w:rsid w:val="00784881"/>
    <w:rsid w:val="00784F23"/>
    <w:rsid w:val="0078509B"/>
    <w:rsid w:val="007858BF"/>
    <w:rsid w:val="00785E20"/>
    <w:rsid w:val="0078600D"/>
    <w:rsid w:val="00786475"/>
    <w:rsid w:val="00786A45"/>
    <w:rsid w:val="00787BCE"/>
    <w:rsid w:val="00787F0F"/>
    <w:rsid w:val="00790321"/>
    <w:rsid w:val="007904DD"/>
    <w:rsid w:val="007908DF"/>
    <w:rsid w:val="00790C6C"/>
    <w:rsid w:val="007914EC"/>
    <w:rsid w:val="0079241D"/>
    <w:rsid w:val="00792734"/>
    <w:rsid w:val="00792A44"/>
    <w:rsid w:val="00792A64"/>
    <w:rsid w:val="00792E75"/>
    <w:rsid w:val="007930A1"/>
    <w:rsid w:val="007934FC"/>
    <w:rsid w:val="00793937"/>
    <w:rsid w:val="00793991"/>
    <w:rsid w:val="00794592"/>
    <w:rsid w:val="007946BA"/>
    <w:rsid w:val="00794985"/>
    <w:rsid w:val="00794FC3"/>
    <w:rsid w:val="00794FC9"/>
    <w:rsid w:val="00795096"/>
    <w:rsid w:val="0079569A"/>
    <w:rsid w:val="00795B48"/>
    <w:rsid w:val="00795BC6"/>
    <w:rsid w:val="00795C1C"/>
    <w:rsid w:val="00795CC6"/>
    <w:rsid w:val="007962DE"/>
    <w:rsid w:val="007963E8"/>
    <w:rsid w:val="007968E4"/>
    <w:rsid w:val="00796B12"/>
    <w:rsid w:val="00797186"/>
    <w:rsid w:val="007973A0"/>
    <w:rsid w:val="0079784B"/>
    <w:rsid w:val="007A023F"/>
    <w:rsid w:val="007A0637"/>
    <w:rsid w:val="007A0E1C"/>
    <w:rsid w:val="007A14E0"/>
    <w:rsid w:val="007A1650"/>
    <w:rsid w:val="007A1A7E"/>
    <w:rsid w:val="007A33E0"/>
    <w:rsid w:val="007A3D33"/>
    <w:rsid w:val="007A491C"/>
    <w:rsid w:val="007A4AA3"/>
    <w:rsid w:val="007A4CEC"/>
    <w:rsid w:val="007A4D92"/>
    <w:rsid w:val="007A5368"/>
    <w:rsid w:val="007A5513"/>
    <w:rsid w:val="007A56EC"/>
    <w:rsid w:val="007A5C92"/>
    <w:rsid w:val="007A5CB3"/>
    <w:rsid w:val="007A5CC5"/>
    <w:rsid w:val="007A6018"/>
    <w:rsid w:val="007A61E7"/>
    <w:rsid w:val="007A623D"/>
    <w:rsid w:val="007A63A1"/>
    <w:rsid w:val="007A66C8"/>
    <w:rsid w:val="007A689F"/>
    <w:rsid w:val="007A6AF7"/>
    <w:rsid w:val="007A6F56"/>
    <w:rsid w:val="007A6FA0"/>
    <w:rsid w:val="007A6FB2"/>
    <w:rsid w:val="007B01D8"/>
    <w:rsid w:val="007B045D"/>
    <w:rsid w:val="007B062E"/>
    <w:rsid w:val="007B0824"/>
    <w:rsid w:val="007B0B2C"/>
    <w:rsid w:val="007B0B2D"/>
    <w:rsid w:val="007B0BE3"/>
    <w:rsid w:val="007B0EB0"/>
    <w:rsid w:val="007B104C"/>
    <w:rsid w:val="007B1358"/>
    <w:rsid w:val="007B172E"/>
    <w:rsid w:val="007B1735"/>
    <w:rsid w:val="007B1975"/>
    <w:rsid w:val="007B19D8"/>
    <w:rsid w:val="007B1B5E"/>
    <w:rsid w:val="007B1C45"/>
    <w:rsid w:val="007B1E0C"/>
    <w:rsid w:val="007B1F15"/>
    <w:rsid w:val="007B222E"/>
    <w:rsid w:val="007B2247"/>
    <w:rsid w:val="007B24F7"/>
    <w:rsid w:val="007B2D20"/>
    <w:rsid w:val="007B313F"/>
    <w:rsid w:val="007B34ED"/>
    <w:rsid w:val="007B392B"/>
    <w:rsid w:val="007B3A85"/>
    <w:rsid w:val="007B3B95"/>
    <w:rsid w:val="007B3B9F"/>
    <w:rsid w:val="007B3C90"/>
    <w:rsid w:val="007B3CA5"/>
    <w:rsid w:val="007B44FA"/>
    <w:rsid w:val="007B45E1"/>
    <w:rsid w:val="007B489F"/>
    <w:rsid w:val="007B4A53"/>
    <w:rsid w:val="007B534F"/>
    <w:rsid w:val="007B5366"/>
    <w:rsid w:val="007B552C"/>
    <w:rsid w:val="007B55D3"/>
    <w:rsid w:val="007B5625"/>
    <w:rsid w:val="007B606C"/>
    <w:rsid w:val="007B621B"/>
    <w:rsid w:val="007B6DB5"/>
    <w:rsid w:val="007B7170"/>
    <w:rsid w:val="007B71BB"/>
    <w:rsid w:val="007B7223"/>
    <w:rsid w:val="007B72DE"/>
    <w:rsid w:val="007B731B"/>
    <w:rsid w:val="007B7537"/>
    <w:rsid w:val="007B7542"/>
    <w:rsid w:val="007B771B"/>
    <w:rsid w:val="007B78B6"/>
    <w:rsid w:val="007B7CCA"/>
    <w:rsid w:val="007C0465"/>
    <w:rsid w:val="007C0735"/>
    <w:rsid w:val="007C0C56"/>
    <w:rsid w:val="007C1007"/>
    <w:rsid w:val="007C178F"/>
    <w:rsid w:val="007C18FE"/>
    <w:rsid w:val="007C2EBB"/>
    <w:rsid w:val="007C436C"/>
    <w:rsid w:val="007C43F9"/>
    <w:rsid w:val="007C4639"/>
    <w:rsid w:val="007C4A4F"/>
    <w:rsid w:val="007C4CDD"/>
    <w:rsid w:val="007C4E55"/>
    <w:rsid w:val="007C551C"/>
    <w:rsid w:val="007C564B"/>
    <w:rsid w:val="007C590D"/>
    <w:rsid w:val="007C5DEC"/>
    <w:rsid w:val="007C622E"/>
    <w:rsid w:val="007C631C"/>
    <w:rsid w:val="007C64CC"/>
    <w:rsid w:val="007C65DC"/>
    <w:rsid w:val="007C7228"/>
    <w:rsid w:val="007C7834"/>
    <w:rsid w:val="007C7F6E"/>
    <w:rsid w:val="007D1681"/>
    <w:rsid w:val="007D19B2"/>
    <w:rsid w:val="007D1ABC"/>
    <w:rsid w:val="007D1E80"/>
    <w:rsid w:val="007D2065"/>
    <w:rsid w:val="007D2450"/>
    <w:rsid w:val="007D27B4"/>
    <w:rsid w:val="007D27C4"/>
    <w:rsid w:val="007D28F9"/>
    <w:rsid w:val="007D29BE"/>
    <w:rsid w:val="007D29F9"/>
    <w:rsid w:val="007D39C3"/>
    <w:rsid w:val="007D3AE7"/>
    <w:rsid w:val="007D3FD3"/>
    <w:rsid w:val="007D3FE7"/>
    <w:rsid w:val="007D426E"/>
    <w:rsid w:val="007D4727"/>
    <w:rsid w:val="007D4DF3"/>
    <w:rsid w:val="007D4E9E"/>
    <w:rsid w:val="007D531A"/>
    <w:rsid w:val="007D5B5C"/>
    <w:rsid w:val="007D5EDB"/>
    <w:rsid w:val="007D6144"/>
    <w:rsid w:val="007D6370"/>
    <w:rsid w:val="007D640E"/>
    <w:rsid w:val="007D679B"/>
    <w:rsid w:val="007D6B83"/>
    <w:rsid w:val="007D6EEE"/>
    <w:rsid w:val="007D704D"/>
    <w:rsid w:val="007D755E"/>
    <w:rsid w:val="007D7578"/>
    <w:rsid w:val="007D7658"/>
    <w:rsid w:val="007D7A0E"/>
    <w:rsid w:val="007D7D79"/>
    <w:rsid w:val="007D7DFD"/>
    <w:rsid w:val="007D7EAE"/>
    <w:rsid w:val="007E0719"/>
    <w:rsid w:val="007E0874"/>
    <w:rsid w:val="007E08C5"/>
    <w:rsid w:val="007E12F2"/>
    <w:rsid w:val="007E1654"/>
    <w:rsid w:val="007E1D6C"/>
    <w:rsid w:val="007E24A5"/>
    <w:rsid w:val="007E257B"/>
    <w:rsid w:val="007E2954"/>
    <w:rsid w:val="007E393E"/>
    <w:rsid w:val="007E39C0"/>
    <w:rsid w:val="007E3BE5"/>
    <w:rsid w:val="007E3CDB"/>
    <w:rsid w:val="007E3EE6"/>
    <w:rsid w:val="007E4419"/>
    <w:rsid w:val="007E459D"/>
    <w:rsid w:val="007E45DD"/>
    <w:rsid w:val="007E4845"/>
    <w:rsid w:val="007E4A11"/>
    <w:rsid w:val="007E4AD7"/>
    <w:rsid w:val="007E4C64"/>
    <w:rsid w:val="007E5DC3"/>
    <w:rsid w:val="007E5E94"/>
    <w:rsid w:val="007E71E2"/>
    <w:rsid w:val="007E77ED"/>
    <w:rsid w:val="007E7B59"/>
    <w:rsid w:val="007E7B9B"/>
    <w:rsid w:val="007F0409"/>
    <w:rsid w:val="007F081E"/>
    <w:rsid w:val="007F09B3"/>
    <w:rsid w:val="007F0E3E"/>
    <w:rsid w:val="007F108C"/>
    <w:rsid w:val="007F13D2"/>
    <w:rsid w:val="007F1B4D"/>
    <w:rsid w:val="007F2DF2"/>
    <w:rsid w:val="007F2EAC"/>
    <w:rsid w:val="007F302C"/>
    <w:rsid w:val="007F3D23"/>
    <w:rsid w:val="007F3FB2"/>
    <w:rsid w:val="007F41F9"/>
    <w:rsid w:val="007F4200"/>
    <w:rsid w:val="007F4810"/>
    <w:rsid w:val="007F4827"/>
    <w:rsid w:val="007F48F8"/>
    <w:rsid w:val="007F4B44"/>
    <w:rsid w:val="007F5206"/>
    <w:rsid w:val="007F52DE"/>
    <w:rsid w:val="007F5938"/>
    <w:rsid w:val="007F5EBD"/>
    <w:rsid w:val="007F6042"/>
    <w:rsid w:val="007F6ED6"/>
    <w:rsid w:val="007F7A19"/>
    <w:rsid w:val="007F7A37"/>
    <w:rsid w:val="007F7CF5"/>
    <w:rsid w:val="007F7F66"/>
    <w:rsid w:val="00800093"/>
    <w:rsid w:val="00800121"/>
    <w:rsid w:val="008003CE"/>
    <w:rsid w:val="008008CC"/>
    <w:rsid w:val="00800C58"/>
    <w:rsid w:val="008014DF"/>
    <w:rsid w:val="00801756"/>
    <w:rsid w:val="00801815"/>
    <w:rsid w:val="00801E63"/>
    <w:rsid w:val="00801F27"/>
    <w:rsid w:val="0080285C"/>
    <w:rsid w:val="00802CEB"/>
    <w:rsid w:val="008030BD"/>
    <w:rsid w:val="008036F3"/>
    <w:rsid w:val="00803D88"/>
    <w:rsid w:val="0080412A"/>
    <w:rsid w:val="00804334"/>
    <w:rsid w:val="00804F55"/>
    <w:rsid w:val="00805A96"/>
    <w:rsid w:val="00805E6F"/>
    <w:rsid w:val="00805FB8"/>
    <w:rsid w:val="00806055"/>
    <w:rsid w:val="00806685"/>
    <w:rsid w:val="00806A7D"/>
    <w:rsid w:val="00807168"/>
    <w:rsid w:val="00807730"/>
    <w:rsid w:val="00807D6E"/>
    <w:rsid w:val="00807FE9"/>
    <w:rsid w:val="0081085B"/>
    <w:rsid w:val="00811080"/>
    <w:rsid w:val="008115F6"/>
    <w:rsid w:val="008116EA"/>
    <w:rsid w:val="00811D76"/>
    <w:rsid w:val="00811EC6"/>
    <w:rsid w:val="00811EE5"/>
    <w:rsid w:val="0081271D"/>
    <w:rsid w:val="00812CBE"/>
    <w:rsid w:val="0081304B"/>
    <w:rsid w:val="0081334F"/>
    <w:rsid w:val="008136CF"/>
    <w:rsid w:val="008140DF"/>
    <w:rsid w:val="00814607"/>
    <w:rsid w:val="00814754"/>
    <w:rsid w:val="008148E9"/>
    <w:rsid w:val="008149D9"/>
    <w:rsid w:val="00814A14"/>
    <w:rsid w:val="00814EE3"/>
    <w:rsid w:val="0081528F"/>
    <w:rsid w:val="008153B5"/>
    <w:rsid w:val="0081550C"/>
    <w:rsid w:val="008159F2"/>
    <w:rsid w:val="00815CD3"/>
    <w:rsid w:val="00816071"/>
    <w:rsid w:val="00816320"/>
    <w:rsid w:val="0081672F"/>
    <w:rsid w:val="0081696B"/>
    <w:rsid w:val="00816D3A"/>
    <w:rsid w:val="00816E24"/>
    <w:rsid w:val="00816E7C"/>
    <w:rsid w:val="00817F70"/>
    <w:rsid w:val="00820048"/>
    <w:rsid w:val="008200BA"/>
    <w:rsid w:val="00820AAD"/>
    <w:rsid w:val="00820C68"/>
    <w:rsid w:val="00820DC2"/>
    <w:rsid w:val="00820F82"/>
    <w:rsid w:val="008219D9"/>
    <w:rsid w:val="00821A07"/>
    <w:rsid w:val="00821D10"/>
    <w:rsid w:val="00821DE4"/>
    <w:rsid w:val="00821FD2"/>
    <w:rsid w:val="00822AC7"/>
    <w:rsid w:val="008230EE"/>
    <w:rsid w:val="00823B5E"/>
    <w:rsid w:val="00824741"/>
    <w:rsid w:val="00824A2E"/>
    <w:rsid w:val="00824DE2"/>
    <w:rsid w:val="00824E6C"/>
    <w:rsid w:val="0082501C"/>
    <w:rsid w:val="0082563F"/>
    <w:rsid w:val="00825957"/>
    <w:rsid w:val="008265B6"/>
    <w:rsid w:val="008267DF"/>
    <w:rsid w:val="00826B7E"/>
    <w:rsid w:val="00826C76"/>
    <w:rsid w:val="00826CE3"/>
    <w:rsid w:val="00826D38"/>
    <w:rsid w:val="008270F1"/>
    <w:rsid w:val="00827A35"/>
    <w:rsid w:val="00827D14"/>
    <w:rsid w:val="00830056"/>
    <w:rsid w:val="0083056F"/>
    <w:rsid w:val="0083073B"/>
    <w:rsid w:val="00830A2B"/>
    <w:rsid w:val="00830C6D"/>
    <w:rsid w:val="00830FCF"/>
    <w:rsid w:val="0083149F"/>
    <w:rsid w:val="00831BB6"/>
    <w:rsid w:val="00831E03"/>
    <w:rsid w:val="00832403"/>
    <w:rsid w:val="00832F5E"/>
    <w:rsid w:val="00833158"/>
    <w:rsid w:val="008338EF"/>
    <w:rsid w:val="008339B5"/>
    <w:rsid w:val="00833A63"/>
    <w:rsid w:val="00833CB5"/>
    <w:rsid w:val="0083405C"/>
    <w:rsid w:val="008348E6"/>
    <w:rsid w:val="00834DB3"/>
    <w:rsid w:val="00834DC5"/>
    <w:rsid w:val="008352C9"/>
    <w:rsid w:val="008353DC"/>
    <w:rsid w:val="00835597"/>
    <w:rsid w:val="00835CA1"/>
    <w:rsid w:val="00835D36"/>
    <w:rsid w:val="0083601C"/>
    <w:rsid w:val="00836F34"/>
    <w:rsid w:val="00836F92"/>
    <w:rsid w:val="00837404"/>
    <w:rsid w:val="00837C44"/>
    <w:rsid w:val="00840238"/>
    <w:rsid w:val="008408E4"/>
    <w:rsid w:val="00840A50"/>
    <w:rsid w:val="00840E98"/>
    <w:rsid w:val="008410ED"/>
    <w:rsid w:val="008414A4"/>
    <w:rsid w:val="008419AC"/>
    <w:rsid w:val="00841F40"/>
    <w:rsid w:val="0084242D"/>
    <w:rsid w:val="00843665"/>
    <w:rsid w:val="00843A97"/>
    <w:rsid w:val="00843CD5"/>
    <w:rsid w:val="00843E50"/>
    <w:rsid w:val="00843EA7"/>
    <w:rsid w:val="00844023"/>
    <w:rsid w:val="008442F4"/>
    <w:rsid w:val="008447FF"/>
    <w:rsid w:val="00844A19"/>
    <w:rsid w:val="00844A1F"/>
    <w:rsid w:val="00844ACF"/>
    <w:rsid w:val="008453A9"/>
    <w:rsid w:val="00845498"/>
    <w:rsid w:val="00845758"/>
    <w:rsid w:val="00845C6F"/>
    <w:rsid w:val="0084793D"/>
    <w:rsid w:val="00847D2B"/>
    <w:rsid w:val="00847E94"/>
    <w:rsid w:val="008505A4"/>
    <w:rsid w:val="008506BD"/>
    <w:rsid w:val="00850748"/>
    <w:rsid w:val="008508CF"/>
    <w:rsid w:val="00850A42"/>
    <w:rsid w:val="00850AD0"/>
    <w:rsid w:val="00850DDB"/>
    <w:rsid w:val="0085133F"/>
    <w:rsid w:val="00851493"/>
    <w:rsid w:val="008515F9"/>
    <w:rsid w:val="00851B9D"/>
    <w:rsid w:val="00851E45"/>
    <w:rsid w:val="00852045"/>
    <w:rsid w:val="00852330"/>
    <w:rsid w:val="00853F95"/>
    <w:rsid w:val="00854285"/>
    <w:rsid w:val="008553C1"/>
    <w:rsid w:val="0085540F"/>
    <w:rsid w:val="00855BCA"/>
    <w:rsid w:val="00855F8F"/>
    <w:rsid w:val="00856065"/>
    <w:rsid w:val="00856607"/>
    <w:rsid w:val="008572DC"/>
    <w:rsid w:val="00860368"/>
    <w:rsid w:val="0086042E"/>
    <w:rsid w:val="008608A3"/>
    <w:rsid w:val="008612BE"/>
    <w:rsid w:val="00861F03"/>
    <w:rsid w:val="0086228B"/>
    <w:rsid w:val="00862370"/>
    <w:rsid w:val="00862C4E"/>
    <w:rsid w:val="00863608"/>
    <w:rsid w:val="00863974"/>
    <w:rsid w:val="00863CA5"/>
    <w:rsid w:val="00864109"/>
    <w:rsid w:val="00864A04"/>
    <w:rsid w:val="00864B87"/>
    <w:rsid w:val="008652B4"/>
    <w:rsid w:val="00865513"/>
    <w:rsid w:val="00865539"/>
    <w:rsid w:val="008655B3"/>
    <w:rsid w:val="0086574C"/>
    <w:rsid w:val="00865D5C"/>
    <w:rsid w:val="00866AE7"/>
    <w:rsid w:val="0086740F"/>
    <w:rsid w:val="00867F2B"/>
    <w:rsid w:val="00867FA3"/>
    <w:rsid w:val="00870077"/>
    <w:rsid w:val="0087041D"/>
    <w:rsid w:val="00870533"/>
    <w:rsid w:val="00870563"/>
    <w:rsid w:val="00870630"/>
    <w:rsid w:val="00870944"/>
    <w:rsid w:val="00870A86"/>
    <w:rsid w:val="00870B89"/>
    <w:rsid w:val="00871504"/>
    <w:rsid w:val="008716AD"/>
    <w:rsid w:val="00871D3A"/>
    <w:rsid w:val="00871E50"/>
    <w:rsid w:val="00871FE5"/>
    <w:rsid w:val="0087273C"/>
    <w:rsid w:val="008729E7"/>
    <w:rsid w:val="008735C8"/>
    <w:rsid w:val="00873C69"/>
    <w:rsid w:val="00873DB9"/>
    <w:rsid w:val="00874039"/>
    <w:rsid w:val="00874297"/>
    <w:rsid w:val="008744DE"/>
    <w:rsid w:val="0087450F"/>
    <w:rsid w:val="00874616"/>
    <w:rsid w:val="00874864"/>
    <w:rsid w:val="00875124"/>
    <w:rsid w:val="0087555B"/>
    <w:rsid w:val="00875664"/>
    <w:rsid w:val="00875D3D"/>
    <w:rsid w:val="008760D9"/>
    <w:rsid w:val="00877341"/>
    <w:rsid w:val="0088158E"/>
    <w:rsid w:val="00881FD2"/>
    <w:rsid w:val="0088200D"/>
    <w:rsid w:val="00882071"/>
    <w:rsid w:val="00882A77"/>
    <w:rsid w:val="00882BE8"/>
    <w:rsid w:val="00882DAE"/>
    <w:rsid w:val="00882E28"/>
    <w:rsid w:val="00882FFF"/>
    <w:rsid w:val="008830FB"/>
    <w:rsid w:val="00883376"/>
    <w:rsid w:val="0088399D"/>
    <w:rsid w:val="00884ABF"/>
    <w:rsid w:val="00884C9C"/>
    <w:rsid w:val="00884FC0"/>
    <w:rsid w:val="00884FC5"/>
    <w:rsid w:val="008853BC"/>
    <w:rsid w:val="008857AA"/>
    <w:rsid w:val="00885CE5"/>
    <w:rsid w:val="00886AEF"/>
    <w:rsid w:val="00886C13"/>
    <w:rsid w:val="00886E58"/>
    <w:rsid w:val="0088732C"/>
    <w:rsid w:val="0088784F"/>
    <w:rsid w:val="00887D7C"/>
    <w:rsid w:val="00887E87"/>
    <w:rsid w:val="0089035D"/>
    <w:rsid w:val="00890758"/>
    <w:rsid w:val="008912F4"/>
    <w:rsid w:val="00891488"/>
    <w:rsid w:val="0089156E"/>
    <w:rsid w:val="0089161C"/>
    <w:rsid w:val="00891E93"/>
    <w:rsid w:val="00892562"/>
    <w:rsid w:val="00892BF1"/>
    <w:rsid w:val="00892D49"/>
    <w:rsid w:val="00893031"/>
    <w:rsid w:val="00893270"/>
    <w:rsid w:val="00893379"/>
    <w:rsid w:val="00894073"/>
    <w:rsid w:val="008944B6"/>
    <w:rsid w:val="008947F1"/>
    <w:rsid w:val="008948B7"/>
    <w:rsid w:val="008949D0"/>
    <w:rsid w:val="00894E82"/>
    <w:rsid w:val="00895159"/>
    <w:rsid w:val="00895BE9"/>
    <w:rsid w:val="00896210"/>
    <w:rsid w:val="008971A0"/>
    <w:rsid w:val="008971EC"/>
    <w:rsid w:val="008973E0"/>
    <w:rsid w:val="00897644"/>
    <w:rsid w:val="008976DE"/>
    <w:rsid w:val="00897FB2"/>
    <w:rsid w:val="008A00F7"/>
    <w:rsid w:val="008A0110"/>
    <w:rsid w:val="008A0379"/>
    <w:rsid w:val="008A08BC"/>
    <w:rsid w:val="008A0961"/>
    <w:rsid w:val="008A0C34"/>
    <w:rsid w:val="008A0EDC"/>
    <w:rsid w:val="008A205B"/>
    <w:rsid w:val="008A2138"/>
    <w:rsid w:val="008A2143"/>
    <w:rsid w:val="008A2246"/>
    <w:rsid w:val="008A23EB"/>
    <w:rsid w:val="008A244F"/>
    <w:rsid w:val="008A26A6"/>
    <w:rsid w:val="008A285A"/>
    <w:rsid w:val="008A2CE8"/>
    <w:rsid w:val="008A3484"/>
    <w:rsid w:val="008A4515"/>
    <w:rsid w:val="008A46F6"/>
    <w:rsid w:val="008A498F"/>
    <w:rsid w:val="008A4ACD"/>
    <w:rsid w:val="008A538D"/>
    <w:rsid w:val="008A5AA8"/>
    <w:rsid w:val="008A5C94"/>
    <w:rsid w:val="008A602F"/>
    <w:rsid w:val="008A61D7"/>
    <w:rsid w:val="008A6293"/>
    <w:rsid w:val="008A6833"/>
    <w:rsid w:val="008A6C74"/>
    <w:rsid w:val="008A6D5C"/>
    <w:rsid w:val="008A6F65"/>
    <w:rsid w:val="008A74ED"/>
    <w:rsid w:val="008B04C3"/>
    <w:rsid w:val="008B0A16"/>
    <w:rsid w:val="008B0A5B"/>
    <w:rsid w:val="008B110F"/>
    <w:rsid w:val="008B133D"/>
    <w:rsid w:val="008B16ED"/>
    <w:rsid w:val="008B16F7"/>
    <w:rsid w:val="008B1A5A"/>
    <w:rsid w:val="008B1E2F"/>
    <w:rsid w:val="008B202C"/>
    <w:rsid w:val="008B21F9"/>
    <w:rsid w:val="008B2736"/>
    <w:rsid w:val="008B324A"/>
    <w:rsid w:val="008B328B"/>
    <w:rsid w:val="008B3531"/>
    <w:rsid w:val="008B370E"/>
    <w:rsid w:val="008B4CF7"/>
    <w:rsid w:val="008B4EE8"/>
    <w:rsid w:val="008B5037"/>
    <w:rsid w:val="008B5468"/>
    <w:rsid w:val="008B5553"/>
    <w:rsid w:val="008B557C"/>
    <w:rsid w:val="008B5E3A"/>
    <w:rsid w:val="008B6260"/>
    <w:rsid w:val="008B6F05"/>
    <w:rsid w:val="008B7163"/>
    <w:rsid w:val="008B7BC4"/>
    <w:rsid w:val="008B7C7F"/>
    <w:rsid w:val="008C0192"/>
    <w:rsid w:val="008C0246"/>
    <w:rsid w:val="008C0855"/>
    <w:rsid w:val="008C133F"/>
    <w:rsid w:val="008C14D8"/>
    <w:rsid w:val="008C162D"/>
    <w:rsid w:val="008C1AB0"/>
    <w:rsid w:val="008C1C84"/>
    <w:rsid w:val="008C1D18"/>
    <w:rsid w:val="008C2706"/>
    <w:rsid w:val="008C2853"/>
    <w:rsid w:val="008C2962"/>
    <w:rsid w:val="008C29B4"/>
    <w:rsid w:val="008C32A0"/>
    <w:rsid w:val="008C350E"/>
    <w:rsid w:val="008C351F"/>
    <w:rsid w:val="008C3529"/>
    <w:rsid w:val="008C3759"/>
    <w:rsid w:val="008C3853"/>
    <w:rsid w:val="008C3E60"/>
    <w:rsid w:val="008C449B"/>
    <w:rsid w:val="008C45AE"/>
    <w:rsid w:val="008C46C2"/>
    <w:rsid w:val="008C4945"/>
    <w:rsid w:val="008C4B33"/>
    <w:rsid w:val="008C4B3C"/>
    <w:rsid w:val="008C52DB"/>
    <w:rsid w:val="008C639F"/>
    <w:rsid w:val="008C6B7E"/>
    <w:rsid w:val="008C6CD5"/>
    <w:rsid w:val="008C702D"/>
    <w:rsid w:val="008C7365"/>
    <w:rsid w:val="008C73B9"/>
    <w:rsid w:val="008C74E6"/>
    <w:rsid w:val="008C75AB"/>
    <w:rsid w:val="008C799D"/>
    <w:rsid w:val="008C7A31"/>
    <w:rsid w:val="008C7D04"/>
    <w:rsid w:val="008C7E8C"/>
    <w:rsid w:val="008D0327"/>
    <w:rsid w:val="008D06F0"/>
    <w:rsid w:val="008D07D8"/>
    <w:rsid w:val="008D0B69"/>
    <w:rsid w:val="008D0BBD"/>
    <w:rsid w:val="008D1282"/>
    <w:rsid w:val="008D1371"/>
    <w:rsid w:val="008D18EA"/>
    <w:rsid w:val="008D1994"/>
    <w:rsid w:val="008D1C2B"/>
    <w:rsid w:val="008D2249"/>
    <w:rsid w:val="008D2C7F"/>
    <w:rsid w:val="008D32EF"/>
    <w:rsid w:val="008D3C9E"/>
    <w:rsid w:val="008D3D44"/>
    <w:rsid w:val="008D4304"/>
    <w:rsid w:val="008D44FC"/>
    <w:rsid w:val="008D463B"/>
    <w:rsid w:val="008D4A2C"/>
    <w:rsid w:val="008D4D04"/>
    <w:rsid w:val="008D5225"/>
    <w:rsid w:val="008D52A6"/>
    <w:rsid w:val="008D5751"/>
    <w:rsid w:val="008D5ACC"/>
    <w:rsid w:val="008D6DA3"/>
    <w:rsid w:val="008D6DD8"/>
    <w:rsid w:val="008D6E2E"/>
    <w:rsid w:val="008D71C3"/>
    <w:rsid w:val="008D799A"/>
    <w:rsid w:val="008D7CA7"/>
    <w:rsid w:val="008D7EFE"/>
    <w:rsid w:val="008E06AD"/>
    <w:rsid w:val="008E0BEE"/>
    <w:rsid w:val="008E0D62"/>
    <w:rsid w:val="008E0E23"/>
    <w:rsid w:val="008E14A4"/>
    <w:rsid w:val="008E1E5C"/>
    <w:rsid w:val="008E39C1"/>
    <w:rsid w:val="008E3AD0"/>
    <w:rsid w:val="008E42F5"/>
    <w:rsid w:val="008E4410"/>
    <w:rsid w:val="008E45ED"/>
    <w:rsid w:val="008E4639"/>
    <w:rsid w:val="008E4D32"/>
    <w:rsid w:val="008E5173"/>
    <w:rsid w:val="008E530C"/>
    <w:rsid w:val="008E5A81"/>
    <w:rsid w:val="008E5B13"/>
    <w:rsid w:val="008E5C0E"/>
    <w:rsid w:val="008E5D00"/>
    <w:rsid w:val="008E5E92"/>
    <w:rsid w:val="008E60EA"/>
    <w:rsid w:val="008E6A26"/>
    <w:rsid w:val="008E7302"/>
    <w:rsid w:val="008E75A7"/>
    <w:rsid w:val="008E76AD"/>
    <w:rsid w:val="008E7708"/>
    <w:rsid w:val="008E78C5"/>
    <w:rsid w:val="008E7951"/>
    <w:rsid w:val="008E7A43"/>
    <w:rsid w:val="008E7AB3"/>
    <w:rsid w:val="008E7B18"/>
    <w:rsid w:val="008E7C41"/>
    <w:rsid w:val="008F00A5"/>
    <w:rsid w:val="008F0589"/>
    <w:rsid w:val="008F07C1"/>
    <w:rsid w:val="008F109E"/>
    <w:rsid w:val="008F122B"/>
    <w:rsid w:val="008F1532"/>
    <w:rsid w:val="008F1D6E"/>
    <w:rsid w:val="008F212D"/>
    <w:rsid w:val="008F2242"/>
    <w:rsid w:val="008F2A36"/>
    <w:rsid w:val="008F34FB"/>
    <w:rsid w:val="008F35D4"/>
    <w:rsid w:val="008F3838"/>
    <w:rsid w:val="008F3B68"/>
    <w:rsid w:val="008F3B8C"/>
    <w:rsid w:val="008F3ED7"/>
    <w:rsid w:val="008F40A4"/>
    <w:rsid w:val="008F4448"/>
    <w:rsid w:val="008F46A6"/>
    <w:rsid w:val="008F4B2E"/>
    <w:rsid w:val="008F4B81"/>
    <w:rsid w:val="008F4F74"/>
    <w:rsid w:val="008F518E"/>
    <w:rsid w:val="008F5201"/>
    <w:rsid w:val="008F527C"/>
    <w:rsid w:val="008F530A"/>
    <w:rsid w:val="008F56C6"/>
    <w:rsid w:val="008F5B7D"/>
    <w:rsid w:val="008F5D36"/>
    <w:rsid w:val="008F5FD9"/>
    <w:rsid w:val="008F6069"/>
    <w:rsid w:val="008F62F9"/>
    <w:rsid w:val="008F6E6D"/>
    <w:rsid w:val="008F6F14"/>
    <w:rsid w:val="008F7065"/>
    <w:rsid w:val="008F786C"/>
    <w:rsid w:val="00900511"/>
    <w:rsid w:val="0090054D"/>
    <w:rsid w:val="00900E35"/>
    <w:rsid w:val="00900F65"/>
    <w:rsid w:val="00900F75"/>
    <w:rsid w:val="009012B2"/>
    <w:rsid w:val="009018B3"/>
    <w:rsid w:val="0090253C"/>
    <w:rsid w:val="00902998"/>
    <w:rsid w:val="00903CE8"/>
    <w:rsid w:val="00903F26"/>
    <w:rsid w:val="00904A85"/>
    <w:rsid w:val="00904F00"/>
    <w:rsid w:val="00904F2A"/>
    <w:rsid w:val="00905F5D"/>
    <w:rsid w:val="009061E8"/>
    <w:rsid w:val="009065B2"/>
    <w:rsid w:val="009065DD"/>
    <w:rsid w:val="00906665"/>
    <w:rsid w:val="00906AC0"/>
    <w:rsid w:val="00907143"/>
    <w:rsid w:val="00907849"/>
    <w:rsid w:val="009078D5"/>
    <w:rsid w:val="00907C61"/>
    <w:rsid w:val="0091135A"/>
    <w:rsid w:val="009115A1"/>
    <w:rsid w:val="00911814"/>
    <w:rsid w:val="00912579"/>
    <w:rsid w:val="00912660"/>
    <w:rsid w:val="00912F6E"/>
    <w:rsid w:val="00913018"/>
    <w:rsid w:val="00913595"/>
    <w:rsid w:val="00913E2F"/>
    <w:rsid w:val="00914093"/>
    <w:rsid w:val="00914C27"/>
    <w:rsid w:val="00915009"/>
    <w:rsid w:val="009153D3"/>
    <w:rsid w:val="009157CD"/>
    <w:rsid w:val="00915CBB"/>
    <w:rsid w:val="00916284"/>
    <w:rsid w:val="0091649F"/>
    <w:rsid w:val="009164A9"/>
    <w:rsid w:val="009166AE"/>
    <w:rsid w:val="009166C0"/>
    <w:rsid w:val="00916BDB"/>
    <w:rsid w:val="00917005"/>
    <w:rsid w:val="00917272"/>
    <w:rsid w:val="009173C7"/>
    <w:rsid w:val="009177D0"/>
    <w:rsid w:val="0091788B"/>
    <w:rsid w:val="009178F0"/>
    <w:rsid w:val="0092017A"/>
    <w:rsid w:val="009201AB"/>
    <w:rsid w:val="0092073D"/>
    <w:rsid w:val="0092089D"/>
    <w:rsid w:val="009208F2"/>
    <w:rsid w:val="00920FB7"/>
    <w:rsid w:val="0092141F"/>
    <w:rsid w:val="00921874"/>
    <w:rsid w:val="00921944"/>
    <w:rsid w:val="00921B97"/>
    <w:rsid w:val="009224EA"/>
    <w:rsid w:val="0092259C"/>
    <w:rsid w:val="00922D6A"/>
    <w:rsid w:val="00922D9A"/>
    <w:rsid w:val="00923309"/>
    <w:rsid w:val="00923C5B"/>
    <w:rsid w:val="00923FF1"/>
    <w:rsid w:val="009240E4"/>
    <w:rsid w:val="009242E9"/>
    <w:rsid w:val="00924E08"/>
    <w:rsid w:val="00925C7F"/>
    <w:rsid w:val="00925DC8"/>
    <w:rsid w:val="0092622C"/>
    <w:rsid w:val="009267C4"/>
    <w:rsid w:val="00926D7F"/>
    <w:rsid w:val="009275A1"/>
    <w:rsid w:val="00927B49"/>
    <w:rsid w:val="00930566"/>
    <w:rsid w:val="00930653"/>
    <w:rsid w:val="009309F2"/>
    <w:rsid w:val="00930DF2"/>
    <w:rsid w:val="0093142D"/>
    <w:rsid w:val="009316B8"/>
    <w:rsid w:val="0093191A"/>
    <w:rsid w:val="00932E9F"/>
    <w:rsid w:val="009330BC"/>
    <w:rsid w:val="00933129"/>
    <w:rsid w:val="009331EC"/>
    <w:rsid w:val="009337F0"/>
    <w:rsid w:val="00933860"/>
    <w:rsid w:val="00933E24"/>
    <w:rsid w:val="00933ED6"/>
    <w:rsid w:val="009342D1"/>
    <w:rsid w:val="00934437"/>
    <w:rsid w:val="00934893"/>
    <w:rsid w:val="00934C2C"/>
    <w:rsid w:val="00934FB2"/>
    <w:rsid w:val="0093535D"/>
    <w:rsid w:val="00935495"/>
    <w:rsid w:val="0093572B"/>
    <w:rsid w:val="00935943"/>
    <w:rsid w:val="009359FB"/>
    <w:rsid w:val="00935C76"/>
    <w:rsid w:val="00935E3F"/>
    <w:rsid w:val="00936092"/>
    <w:rsid w:val="009360D5"/>
    <w:rsid w:val="009366D7"/>
    <w:rsid w:val="00936D69"/>
    <w:rsid w:val="0093745B"/>
    <w:rsid w:val="0093751A"/>
    <w:rsid w:val="00937848"/>
    <w:rsid w:val="00937A50"/>
    <w:rsid w:val="00937EAC"/>
    <w:rsid w:val="00937FF6"/>
    <w:rsid w:val="009400ED"/>
    <w:rsid w:val="0094012F"/>
    <w:rsid w:val="009406D1"/>
    <w:rsid w:val="0094071F"/>
    <w:rsid w:val="009416BF"/>
    <w:rsid w:val="00941C8B"/>
    <w:rsid w:val="00941E29"/>
    <w:rsid w:val="009424EF"/>
    <w:rsid w:val="00942715"/>
    <w:rsid w:val="00942C9F"/>
    <w:rsid w:val="00943951"/>
    <w:rsid w:val="00943997"/>
    <w:rsid w:val="009441F1"/>
    <w:rsid w:val="00944281"/>
    <w:rsid w:val="00944339"/>
    <w:rsid w:val="0094544E"/>
    <w:rsid w:val="00945B74"/>
    <w:rsid w:val="00945FEE"/>
    <w:rsid w:val="0094608A"/>
    <w:rsid w:val="00946F79"/>
    <w:rsid w:val="009475B6"/>
    <w:rsid w:val="00947708"/>
    <w:rsid w:val="0094797E"/>
    <w:rsid w:val="00947F57"/>
    <w:rsid w:val="00950035"/>
    <w:rsid w:val="009504AF"/>
    <w:rsid w:val="0095093B"/>
    <w:rsid w:val="00950C4A"/>
    <w:rsid w:val="009514C8"/>
    <w:rsid w:val="00951638"/>
    <w:rsid w:val="009516B6"/>
    <w:rsid w:val="0095176F"/>
    <w:rsid w:val="00952035"/>
    <w:rsid w:val="009520BD"/>
    <w:rsid w:val="00952550"/>
    <w:rsid w:val="009527A3"/>
    <w:rsid w:val="0095345B"/>
    <w:rsid w:val="00953CA8"/>
    <w:rsid w:val="0095403C"/>
    <w:rsid w:val="009552AF"/>
    <w:rsid w:val="00956053"/>
    <w:rsid w:val="00956422"/>
    <w:rsid w:val="00956741"/>
    <w:rsid w:val="009567C1"/>
    <w:rsid w:val="00956808"/>
    <w:rsid w:val="00956A71"/>
    <w:rsid w:val="00957AB9"/>
    <w:rsid w:val="0096009C"/>
    <w:rsid w:val="00960168"/>
    <w:rsid w:val="0096049E"/>
    <w:rsid w:val="009608BF"/>
    <w:rsid w:val="00960919"/>
    <w:rsid w:val="00960AA6"/>
    <w:rsid w:val="00960B01"/>
    <w:rsid w:val="00960B8B"/>
    <w:rsid w:val="00961A3B"/>
    <w:rsid w:val="00961B5D"/>
    <w:rsid w:val="00961CD1"/>
    <w:rsid w:val="00962142"/>
    <w:rsid w:val="0096233D"/>
    <w:rsid w:val="00962623"/>
    <w:rsid w:val="00962986"/>
    <w:rsid w:val="00962BFC"/>
    <w:rsid w:val="00962E6F"/>
    <w:rsid w:val="00963732"/>
    <w:rsid w:val="0096395B"/>
    <w:rsid w:val="00963B5B"/>
    <w:rsid w:val="00963CE8"/>
    <w:rsid w:val="00964269"/>
    <w:rsid w:val="009643AE"/>
    <w:rsid w:val="009645F7"/>
    <w:rsid w:val="00964AF1"/>
    <w:rsid w:val="009651E0"/>
    <w:rsid w:val="00965A66"/>
    <w:rsid w:val="009662AB"/>
    <w:rsid w:val="00966806"/>
    <w:rsid w:val="00966AC1"/>
    <w:rsid w:val="00966B56"/>
    <w:rsid w:val="00966EC7"/>
    <w:rsid w:val="00967172"/>
    <w:rsid w:val="0096728B"/>
    <w:rsid w:val="00967561"/>
    <w:rsid w:val="00967617"/>
    <w:rsid w:val="00967A7E"/>
    <w:rsid w:val="00967ACE"/>
    <w:rsid w:val="00967C98"/>
    <w:rsid w:val="00970133"/>
    <w:rsid w:val="0097013D"/>
    <w:rsid w:val="0097049F"/>
    <w:rsid w:val="00971B26"/>
    <w:rsid w:val="00971CAC"/>
    <w:rsid w:val="00972083"/>
    <w:rsid w:val="00972591"/>
    <w:rsid w:val="0097277C"/>
    <w:rsid w:val="0097291A"/>
    <w:rsid w:val="00972A9F"/>
    <w:rsid w:val="00972C30"/>
    <w:rsid w:val="009730DA"/>
    <w:rsid w:val="0097326D"/>
    <w:rsid w:val="00973730"/>
    <w:rsid w:val="009739DA"/>
    <w:rsid w:val="00974176"/>
    <w:rsid w:val="00974236"/>
    <w:rsid w:val="00974988"/>
    <w:rsid w:val="00974A75"/>
    <w:rsid w:val="00975253"/>
    <w:rsid w:val="0097554C"/>
    <w:rsid w:val="009755BB"/>
    <w:rsid w:val="0097580C"/>
    <w:rsid w:val="00975DBC"/>
    <w:rsid w:val="00976453"/>
    <w:rsid w:val="009766C4"/>
    <w:rsid w:val="00977257"/>
    <w:rsid w:val="009772A1"/>
    <w:rsid w:val="009774E8"/>
    <w:rsid w:val="009776C3"/>
    <w:rsid w:val="00977701"/>
    <w:rsid w:val="00977B06"/>
    <w:rsid w:val="00977F26"/>
    <w:rsid w:val="00980206"/>
    <w:rsid w:val="00980687"/>
    <w:rsid w:val="0098072B"/>
    <w:rsid w:val="00980829"/>
    <w:rsid w:val="00980ADB"/>
    <w:rsid w:val="00981880"/>
    <w:rsid w:val="00982178"/>
    <w:rsid w:val="00982489"/>
    <w:rsid w:val="00982D01"/>
    <w:rsid w:val="009831FD"/>
    <w:rsid w:val="0098358F"/>
    <w:rsid w:val="00983A05"/>
    <w:rsid w:val="00983A6C"/>
    <w:rsid w:val="00983E49"/>
    <w:rsid w:val="00984112"/>
    <w:rsid w:val="009842DF"/>
    <w:rsid w:val="00984AA0"/>
    <w:rsid w:val="00985429"/>
    <w:rsid w:val="0098559A"/>
    <w:rsid w:val="0098576E"/>
    <w:rsid w:val="00985985"/>
    <w:rsid w:val="00985CC2"/>
    <w:rsid w:val="00985F6B"/>
    <w:rsid w:val="00986075"/>
    <w:rsid w:val="009861AE"/>
    <w:rsid w:val="00986556"/>
    <w:rsid w:val="009865B7"/>
    <w:rsid w:val="0098699F"/>
    <w:rsid w:val="00987ACB"/>
    <w:rsid w:val="00987EBB"/>
    <w:rsid w:val="0099065A"/>
    <w:rsid w:val="0099085C"/>
    <w:rsid w:val="0099091B"/>
    <w:rsid w:val="00990A8B"/>
    <w:rsid w:val="00991600"/>
    <w:rsid w:val="009919B5"/>
    <w:rsid w:val="00991C29"/>
    <w:rsid w:val="00992153"/>
    <w:rsid w:val="00992415"/>
    <w:rsid w:val="00992BE5"/>
    <w:rsid w:val="00993538"/>
    <w:rsid w:val="00993695"/>
    <w:rsid w:val="009938E4"/>
    <w:rsid w:val="009939E1"/>
    <w:rsid w:val="00993F44"/>
    <w:rsid w:val="00994B7B"/>
    <w:rsid w:val="00994E19"/>
    <w:rsid w:val="00994E23"/>
    <w:rsid w:val="009953F3"/>
    <w:rsid w:val="00995459"/>
    <w:rsid w:val="0099595D"/>
    <w:rsid w:val="00995A7D"/>
    <w:rsid w:val="00995B6B"/>
    <w:rsid w:val="00995BE3"/>
    <w:rsid w:val="00995DE1"/>
    <w:rsid w:val="009965FF"/>
    <w:rsid w:val="0099678B"/>
    <w:rsid w:val="009968D4"/>
    <w:rsid w:val="009976A4"/>
    <w:rsid w:val="0099797B"/>
    <w:rsid w:val="00997F1F"/>
    <w:rsid w:val="00997F67"/>
    <w:rsid w:val="009A03A1"/>
    <w:rsid w:val="009A05D0"/>
    <w:rsid w:val="009A09C3"/>
    <w:rsid w:val="009A0F72"/>
    <w:rsid w:val="009A1001"/>
    <w:rsid w:val="009A1C37"/>
    <w:rsid w:val="009A1CBF"/>
    <w:rsid w:val="009A38CB"/>
    <w:rsid w:val="009A3C0B"/>
    <w:rsid w:val="009A3D09"/>
    <w:rsid w:val="009A414D"/>
    <w:rsid w:val="009A4564"/>
    <w:rsid w:val="009A469D"/>
    <w:rsid w:val="009A4955"/>
    <w:rsid w:val="009A4ADD"/>
    <w:rsid w:val="009A4C20"/>
    <w:rsid w:val="009A4D9B"/>
    <w:rsid w:val="009A4FFB"/>
    <w:rsid w:val="009A50F2"/>
    <w:rsid w:val="009A5159"/>
    <w:rsid w:val="009A527B"/>
    <w:rsid w:val="009A547A"/>
    <w:rsid w:val="009A6061"/>
    <w:rsid w:val="009A637D"/>
    <w:rsid w:val="009A67AC"/>
    <w:rsid w:val="009A67F0"/>
    <w:rsid w:val="009A680F"/>
    <w:rsid w:val="009A7658"/>
    <w:rsid w:val="009A7E25"/>
    <w:rsid w:val="009A7E6D"/>
    <w:rsid w:val="009A7FC8"/>
    <w:rsid w:val="009B00BF"/>
    <w:rsid w:val="009B01D5"/>
    <w:rsid w:val="009B06E5"/>
    <w:rsid w:val="009B0A42"/>
    <w:rsid w:val="009B0A96"/>
    <w:rsid w:val="009B0EBE"/>
    <w:rsid w:val="009B18DD"/>
    <w:rsid w:val="009B1914"/>
    <w:rsid w:val="009B1EBC"/>
    <w:rsid w:val="009B225D"/>
    <w:rsid w:val="009B23A4"/>
    <w:rsid w:val="009B2A8C"/>
    <w:rsid w:val="009B31CC"/>
    <w:rsid w:val="009B38C1"/>
    <w:rsid w:val="009B408C"/>
    <w:rsid w:val="009B418D"/>
    <w:rsid w:val="009B5047"/>
    <w:rsid w:val="009B587E"/>
    <w:rsid w:val="009B5F6F"/>
    <w:rsid w:val="009B607C"/>
    <w:rsid w:val="009B6403"/>
    <w:rsid w:val="009B6700"/>
    <w:rsid w:val="009B689E"/>
    <w:rsid w:val="009B7637"/>
    <w:rsid w:val="009B774C"/>
    <w:rsid w:val="009B7B48"/>
    <w:rsid w:val="009C079E"/>
    <w:rsid w:val="009C098F"/>
    <w:rsid w:val="009C0D36"/>
    <w:rsid w:val="009C13FE"/>
    <w:rsid w:val="009C16C8"/>
    <w:rsid w:val="009C17E9"/>
    <w:rsid w:val="009C1B9A"/>
    <w:rsid w:val="009C2557"/>
    <w:rsid w:val="009C298E"/>
    <w:rsid w:val="009C29A4"/>
    <w:rsid w:val="009C37BB"/>
    <w:rsid w:val="009C387B"/>
    <w:rsid w:val="009C3985"/>
    <w:rsid w:val="009C3C33"/>
    <w:rsid w:val="009C47FF"/>
    <w:rsid w:val="009C4AF2"/>
    <w:rsid w:val="009C4C38"/>
    <w:rsid w:val="009C4DBD"/>
    <w:rsid w:val="009C4E38"/>
    <w:rsid w:val="009C52E8"/>
    <w:rsid w:val="009C5730"/>
    <w:rsid w:val="009C59BE"/>
    <w:rsid w:val="009C69B3"/>
    <w:rsid w:val="009C6B8A"/>
    <w:rsid w:val="009C6CA0"/>
    <w:rsid w:val="009C6EE3"/>
    <w:rsid w:val="009C740C"/>
    <w:rsid w:val="009D0639"/>
    <w:rsid w:val="009D073D"/>
    <w:rsid w:val="009D0CE0"/>
    <w:rsid w:val="009D149D"/>
    <w:rsid w:val="009D15B6"/>
    <w:rsid w:val="009D1AAF"/>
    <w:rsid w:val="009D1BDA"/>
    <w:rsid w:val="009D28BA"/>
    <w:rsid w:val="009D3BBC"/>
    <w:rsid w:val="009D3C14"/>
    <w:rsid w:val="009D4434"/>
    <w:rsid w:val="009D48ED"/>
    <w:rsid w:val="009D4D5E"/>
    <w:rsid w:val="009D4EEA"/>
    <w:rsid w:val="009D5DBB"/>
    <w:rsid w:val="009D68CD"/>
    <w:rsid w:val="009D6B9C"/>
    <w:rsid w:val="009D7365"/>
    <w:rsid w:val="009D7C38"/>
    <w:rsid w:val="009D7D7D"/>
    <w:rsid w:val="009D7E3B"/>
    <w:rsid w:val="009E0426"/>
    <w:rsid w:val="009E044A"/>
    <w:rsid w:val="009E06F4"/>
    <w:rsid w:val="009E071C"/>
    <w:rsid w:val="009E07C2"/>
    <w:rsid w:val="009E0CB0"/>
    <w:rsid w:val="009E126B"/>
    <w:rsid w:val="009E1509"/>
    <w:rsid w:val="009E1B0F"/>
    <w:rsid w:val="009E1BDA"/>
    <w:rsid w:val="009E1D93"/>
    <w:rsid w:val="009E1D9D"/>
    <w:rsid w:val="009E28F8"/>
    <w:rsid w:val="009E29E2"/>
    <w:rsid w:val="009E2B5B"/>
    <w:rsid w:val="009E2CE9"/>
    <w:rsid w:val="009E315A"/>
    <w:rsid w:val="009E347A"/>
    <w:rsid w:val="009E3D53"/>
    <w:rsid w:val="009E412B"/>
    <w:rsid w:val="009E428B"/>
    <w:rsid w:val="009E4F73"/>
    <w:rsid w:val="009E525D"/>
    <w:rsid w:val="009E5BA6"/>
    <w:rsid w:val="009E5CF7"/>
    <w:rsid w:val="009E6451"/>
    <w:rsid w:val="009E6638"/>
    <w:rsid w:val="009E6A24"/>
    <w:rsid w:val="009E715F"/>
    <w:rsid w:val="009E71D4"/>
    <w:rsid w:val="009E71D9"/>
    <w:rsid w:val="009E731C"/>
    <w:rsid w:val="009E740C"/>
    <w:rsid w:val="009E7D1E"/>
    <w:rsid w:val="009F00F6"/>
    <w:rsid w:val="009F0256"/>
    <w:rsid w:val="009F0867"/>
    <w:rsid w:val="009F1519"/>
    <w:rsid w:val="009F1B61"/>
    <w:rsid w:val="009F1CE0"/>
    <w:rsid w:val="009F2229"/>
    <w:rsid w:val="009F2350"/>
    <w:rsid w:val="009F2730"/>
    <w:rsid w:val="009F350D"/>
    <w:rsid w:val="009F36AF"/>
    <w:rsid w:val="009F3ED5"/>
    <w:rsid w:val="009F432F"/>
    <w:rsid w:val="009F48FB"/>
    <w:rsid w:val="009F4F86"/>
    <w:rsid w:val="009F506F"/>
    <w:rsid w:val="009F526A"/>
    <w:rsid w:val="009F5CCA"/>
    <w:rsid w:val="009F6C1A"/>
    <w:rsid w:val="009F6D2D"/>
    <w:rsid w:val="009F6D3B"/>
    <w:rsid w:val="009F7470"/>
    <w:rsid w:val="009F7515"/>
    <w:rsid w:val="00A00EFB"/>
    <w:rsid w:val="00A01396"/>
    <w:rsid w:val="00A0163C"/>
    <w:rsid w:val="00A01E48"/>
    <w:rsid w:val="00A01FB9"/>
    <w:rsid w:val="00A0203A"/>
    <w:rsid w:val="00A023C7"/>
    <w:rsid w:val="00A03445"/>
    <w:rsid w:val="00A0391C"/>
    <w:rsid w:val="00A03B95"/>
    <w:rsid w:val="00A03D49"/>
    <w:rsid w:val="00A0496E"/>
    <w:rsid w:val="00A04A0B"/>
    <w:rsid w:val="00A04B34"/>
    <w:rsid w:val="00A0509F"/>
    <w:rsid w:val="00A05406"/>
    <w:rsid w:val="00A055D2"/>
    <w:rsid w:val="00A0578F"/>
    <w:rsid w:val="00A05914"/>
    <w:rsid w:val="00A05B6F"/>
    <w:rsid w:val="00A0617A"/>
    <w:rsid w:val="00A06ACB"/>
    <w:rsid w:val="00A06B69"/>
    <w:rsid w:val="00A075BC"/>
    <w:rsid w:val="00A07B64"/>
    <w:rsid w:val="00A10490"/>
    <w:rsid w:val="00A10881"/>
    <w:rsid w:val="00A10DC3"/>
    <w:rsid w:val="00A11A63"/>
    <w:rsid w:val="00A11AB9"/>
    <w:rsid w:val="00A11AFB"/>
    <w:rsid w:val="00A11D49"/>
    <w:rsid w:val="00A12152"/>
    <w:rsid w:val="00A121D3"/>
    <w:rsid w:val="00A128ED"/>
    <w:rsid w:val="00A12B69"/>
    <w:rsid w:val="00A13257"/>
    <w:rsid w:val="00A134DE"/>
    <w:rsid w:val="00A13C3B"/>
    <w:rsid w:val="00A13E84"/>
    <w:rsid w:val="00A13F52"/>
    <w:rsid w:val="00A14422"/>
    <w:rsid w:val="00A147A4"/>
    <w:rsid w:val="00A14E0B"/>
    <w:rsid w:val="00A1505B"/>
    <w:rsid w:val="00A150A2"/>
    <w:rsid w:val="00A15331"/>
    <w:rsid w:val="00A15E17"/>
    <w:rsid w:val="00A15F7D"/>
    <w:rsid w:val="00A1615B"/>
    <w:rsid w:val="00A16752"/>
    <w:rsid w:val="00A167C6"/>
    <w:rsid w:val="00A179AE"/>
    <w:rsid w:val="00A17A75"/>
    <w:rsid w:val="00A17B8B"/>
    <w:rsid w:val="00A17D5E"/>
    <w:rsid w:val="00A2014B"/>
    <w:rsid w:val="00A2045E"/>
    <w:rsid w:val="00A206F4"/>
    <w:rsid w:val="00A20876"/>
    <w:rsid w:val="00A20A5F"/>
    <w:rsid w:val="00A20C9D"/>
    <w:rsid w:val="00A20CF9"/>
    <w:rsid w:val="00A212DA"/>
    <w:rsid w:val="00A21454"/>
    <w:rsid w:val="00A2184E"/>
    <w:rsid w:val="00A21BC0"/>
    <w:rsid w:val="00A22043"/>
    <w:rsid w:val="00A2228A"/>
    <w:rsid w:val="00A22880"/>
    <w:rsid w:val="00A2296F"/>
    <w:rsid w:val="00A22C95"/>
    <w:rsid w:val="00A2389A"/>
    <w:rsid w:val="00A23D15"/>
    <w:rsid w:val="00A23E2C"/>
    <w:rsid w:val="00A24415"/>
    <w:rsid w:val="00A24456"/>
    <w:rsid w:val="00A24A9D"/>
    <w:rsid w:val="00A24DBE"/>
    <w:rsid w:val="00A24F54"/>
    <w:rsid w:val="00A2502F"/>
    <w:rsid w:val="00A25F68"/>
    <w:rsid w:val="00A25FB0"/>
    <w:rsid w:val="00A2616D"/>
    <w:rsid w:val="00A263CD"/>
    <w:rsid w:val="00A26611"/>
    <w:rsid w:val="00A276E7"/>
    <w:rsid w:val="00A27AEF"/>
    <w:rsid w:val="00A3098C"/>
    <w:rsid w:val="00A30A71"/>
    <w:rsid w:val="00A30E76"/>
    <w:rsid w:val="00A312FA"/>
    <w:rsid w:val="00A3162D"/>
    <w:rsid w:val="00A31678"/>
    <w:rsid w:val="00A31D3B"/>
    <w:rsid w:val="00A31E46"/>
    <w:rsid w:val="00A31EA6"/>
    <w:rsid w:val="00A3201C"/>
    <w:rsid w:val="00A32D96"/>
    <w:rsid w:val="00A33126"/>
    <w:rsid w:val="00A333B6"/>
    <w:rsid w:val="00A336F8"/>
    <w:rsid w:val="00A33C49"/>
    <w:rsid w:val="00A342B3"/>
    <w:rsid w:val="00A34447"/>
    <w:rsid w:val="00A34BD7"/>
    <w:rsid w:val="00A351BC"/>
    <w:rsid w:val="00A35DFB"/>
    <w:rsid w:val="00A36345"/>
    <w:rsid w:val="00A363A3"/>
    <w:rsid w:val="00A36713"/>
    <w:rsid w:val="00A3692A"/>
    <w:rsid w:val="00A36B43"/>
    <w:rsid w:val="00A36C6A"/>
    <w:rsid w:val="00A36ECE"/>
    <w:rsid w:val="00A370C8"/>
    <w:rsid w:val="00A370D7"/>
    <w:rsid w:val="00A37B65"/>
    <w:rsid w:val="00A37E73"/>
    <w:rsid w:val="00A403CB"/>
    <w:rsid w:val="00A403FD"/>
    <w:rsid w:val="00A408CF"/>
    <w:rsid w:val="00A40CF4"/>
    <w:rsid w:val="00A4127B"/>
    <w:rsid w:val="00A4181C"/>
    <w:rsid w:val="00A41BEA"/>
    <w:rsid w:val="00A41E6D"/>
    <w:rsid w:val="00A41E75"/>
    <w:rsid w:val="00A423BF"/>
    <w:rsid w:val="00A423E1"/>
    <w:rsid w:val="00A427FA"/>
    <w:rsid w:val="00A42D02"/>
    <w:rsid w:val="00A42FF7"/>
    <w:rsid w:val="00A4341D"/>
    <w:rsid w:val="00A43D4B"/>
    <w:rsid w:val="00A43F72"/>
    <w:rsid w:val="00A44049"/>
    <w:rsid w:val="00A44381"/>
    <w:rsid w:val="00A443BE"/>
    <w:rsid w:val="00A45137"/>
    <w:rsid w:val="00A45394"/>
    <w:rsid w:val="00A4551D"/>
    <w:rsid w:val="00A4578D"/>
    <w:rsid w:val="00A45B95"/>
    <w:rsid w:val="00A45C32"/>
    <w:rsid w:val="00A45FC6"/>
    <w:rsid w:val="00A46848"/>
    <w:rsid w:val="00A46A28"/>
    <w:rsid w:val="00A46A8D"/>
    <w:rsid w:val="00A46EA0"/>
    <w:rsid w:val="00A46F97"/>
    <w:rsid w:val="00A470EA"/>
    <w:rsid w:val="00A4710A"/>
    <w:rsid w:val="00A471EA"/>
    <w:rsid w:val="00A475FA"/>
    <w:rsid w:val="00A477FE"/>
    <w:rsid w:val="00A47CC8"/>
    <w:rsid w:val="00A47DC9"/>
    <w:rsid w:val="00A500B6"/>
    <w:rsid w:val="00A50202"/>
    <w:rsid w:val="00A508D7"/>
    <w:rsid w:val="00A50A1E"/>
    <w:rsid w:val="00A50AFF"/>
    <w:rsid w:val="00A510D8"/>
    <w:rsid w:val="00A514DA"/>
    <w:rsid w:val="00A51708"/>
    <w:rsid w:val="00A51ACE"/>
    <w:rsid w:val="00A51B58"/>
    <w:rsid w:val="00A51D6E"/>
    <w:rsid w:val="00A51F25"/>
    <w:rsid w:val="00A5219D"/>
    <w:rsid w:val="00A52FAD"/>
    <w:rsid w:val="00A53559"/>
    <w:rsid w:val="00A545B0"/>
    <w:rsid w:val="00A545DF"/>
    <w:rsid w:val="00A55903"/>
    <w:rsid w:val="00A56311"/>
    <w:rsid w:val="00A56941"/>
    <w:rsid w:val="00A569D8"/>
    <w:rsid w:val="00A56B9D"/>
    <w:rsid w:val="00A56D49"/>
    <w:rsid w:val="00A57056"/>
    <w:rsid w:val="00A573D6"/>
    <w:rsid w:val="00A576A3"/>
    <w:rsid w:val="00A57A30"/>
    <w:rsid w:val="00A57E4B"/>
    <w:rsid w:val="00A57F9C"/>
    <w:rsid w:val="00A60164"/>
    <w:rsid w:val="00A60289"/>
    <w:rsid w:val="00A60900"/>
    <w:rsid w:val="00A6091B"/>
    <w:rsid w:val="00A60983"/>
    <w:rsid w:val="00A60B1A"/>
    <w:rsid w:val="00A60B4C"/>
    <w:rsid w:val="00A6103A"/>
    <w:rsid w:val="00A612A1"/>
    <w:rsid w:val="00A61558"/>
    <w:rsid w:val="00A615B8"/>
    <w:rsid w:val="00A6193C"/>
    <w:rsid w:val="00A61A35"/>
    <w:rsid w:val="00A61B7C"/>
    <w:rsid w:val="00A62163"/>
    <w:rsid w:val="00A624DE"/>
    <w:rsid w:val="00A6262C"/>
    <w:rsid w:val="00A627D1"/>
    <w:rsid w:val="00A627F1"/>
    <w:rsid w:val="00A62813"/>
    <w:rsid w:val="00A63014"/>
    <w:rsid w:val="00A630CC"/>
    <w:rsid w:val="00A63322"/>
    <w:rsid w:val="00A63BAA"/>
    <w:rsid w:val="00A63EBE"/>
    <w:rsid w:val="00A640EA"/>
    <w:rsid w:val="00A643FD"/>
    <w:rsid w:val="00A646E3"/>
    <w:rsid w:val="00A64C10"/>
    <w:rsid w:val="00A64C39"/>
    <w:rsid w:val="00A64DD3"/>
    <w:rsid w:val="00A64EF0"/>
    <w:rsid w:val="00A65B04"/>
    <w:rsid w:val="00A65DA0"/>
    <w:rsid w:val="00A6610C"/>
    <w:rsid w:val="00A66187"/>
    <w:rsid w:val="00A661FE"/>
    <w:rsid w:val="00A6657C"/>
    <w:rsid w:val="00A66809"/>
    <w:rsid w:val="00A70000"/>
    <w:rsid w:val="00A70278"/>
    <w:rsid w:val="00A7096E"/>
    <w:rsid w:val="00A709F7"/>
    <w:rsid w:val="00A70BA7"/>
    <w:rsid w:val="00A70DA6"/>
    <w:rsid w:val="00A70DD6"/>
    <w:rsid w:val="00A717BF"/>
    <w:rsid w:val="00A71A4F"/>
    <w:rsid w:val="00A71C1A"/>
    <w:rsid w:val="00A7295C"/>
    <w:rsid w:val="00A72A7F"/>
    <w:rsid w:val="00A739FD"/>
    <w:rsid w:val="00A73BBF"/>
    <w:rsid w:val="00A73E45"/>
    <w:rsid w:val="00A7403F"/>
    <w:rsid w:val="00A74079"/>
    <w:rsid w:val="00A740B1"/>
    <w:rsid w:val="00A741A3"/>
    <w:rsid w:val="00A745DA"/>
    <w:rsid w:val="00A747F3"/>
    <w:rsid w:val="00A748C9"/>
    <w:rsid w:val="00A74972"/>
    <w:rsid w:val="00A74B83"/>
    <w:rsid w:val="00A74FBF"/>
    <w:rsid w:val="00A7505B"/>
    <w:rsid w:val="00A753E6"/>
    <w:rsid w:val="00A761AB"/>
    <w:rsid w:val="00A76419"/>
    <w:rsid w:val="00A774F2"/>
    <w:rsid w:val="00A7772F"/>
    <w:rsid w:val="00A77939"/>
    <w:rsid w:val="00A80246"/>
    <w:rsid w:val="00A805BD"/>
    <w:rsid w:val="00A806F2"/>
    <w:rsid w:val="00A8070C"/>
    <w:rsid w:val="00A8089A"/>
    <w:rsid w:val="00A80A99"/>
    <w:rsid w:val="00A80BE4"/>
    <w:rsid w:val="00A812D4"/>
    <w:rsid w:val="00A8162E"/>
    <w:rsid w:val="00A81815"/>
    <w:rsid w:val="00A81D58"/>
    <w:rsid w:val="00A81F2C"/>
    <w:rsid w:val="00A822B4"/>
    <w:rsid w:val="00A82473"/>
    <w:rsid w:val="00A8264E"/>
    <w:rsid w:val="00A8290B"/>
    <w:rsid w:val="00A82972"/>
    <w:rsid w:val="00A82FAC"/>
    <w:rsid w:val="00A82FBE"/>
    <w:rsid w:val="00A83419"/>
    <w:rsid w:val="00A83C6D"/>
    <w:rsid w:val="00A83C86"/>
    <w:rsid w:val="00A83DB1"/>
    <w:rsid w:val="00A840EC"/>
    <w:rsid w:val="00A841B3"/>
    <w:rsid w:val="00A84682"/>
    <w:rsid w:val="00A84E46"/>
    <w:rsid w:val="00A8544D"/>
    <w:rsid w:val="00A85484"/>
    <w:rsid w:val="00A85933"/>
    <w:rsid w:val="00A85C54"/>
    <w:rsid w:val="00A85E5E"/>
    <w:rsid w:val="00A85F02"/>
    <w:rsid w:val="00A85FA4"/>
    <w:rsid w:val="00A861DE"/>
    <w:rsid w:val="00A86330"/>
    <w:rsid w:val="00A86A50"/>
    <w:rsid w:val="00A87241"/>
    <w:rsid w:val="00A879BE"/>
    <w:rsid w:val="00A87D26"/>
    <w:rsid w:val="00A87FE2"/>
    <w:rsid w:val="00A8A73A"/>
    <w:rsid w:val="00A905DD"/>
    <w:rsid w:val="00A9134B"/>
    <w:rsid w:val="00A91FE5"/>
    <w:rsid w:val="00A924A4"/>
    <w:rsid w:val="00A92C2D"/>
    <w:rsid w:val="00A92DE9"/>
    <w:rsid w:val="00A92F2F"/>
    <w:rsid w:val="00A93142"/>
    <w:rsid w:val="00A93241"/>
    <w:rsid w:val="00A934D7"/>
    <w:rsid w:val="00A935D1"/>
    <w:rsid w:val="00A93B25"/>
    <w:rsid w:val="00A94AA5"/>
    <w:rsid w:val="00A94C47"/>
    <w:rsid w:val="00A96165"/>
    <w:rsid w:val="00A968C9"/>
    <w:rsid w:val="00A96F5A"/>
    <w:rsid w:val="00A971D5"/>
    <w:rsid w:val="00A97E8B"/>
    <w:rsid w:val="00AA0062"/>
    <w:rsid w:val="00AA0516"/>
    <w:rsid w:val="00AA087B"/>
    <w:rsid w:val="00AA1D5B"/>
    <w:rsid w:val="00AA1E01"/>
    <w:rsid w:val="00AA1F0E"/>
    <w:rsid w:val="00AA1F5C"/>
    <w:rsid w:val="00AA23C4"/>
    <w:rsid w:val="00AA25A3"/>
    <w:rsid w:val="00AA2720"/>
    <w:rsid w:val="00AA2AD5"/>
    <w:rsid w:val="00AA2E95"/>
    <w:rsid w:val="00AA31AD"/>
    <w:rsid w:val="00AA3514"/>
    <w:rsid w:val="00AA36C6"/>
    <w:rsid w:val="00AA3A3F"/>
    <w:rsid w:val="00AA4032"/>
    <w:rsid w:val="00AA4A4F"/>
    <w:rsid w:val="00AA4B21"/>
    <w:rsid w:val="00AA578A"/>
    <w:rsid w:val="00AA5EC2"/>
    <w:rsid w:val="00AA6145"/>
    <w:rsid w:val="00AA6163"/>
    <w:rsid w:val="00AA683D"/>
    <w:rsid w:val="00AA6A2B"/>
    <w:rsid w:val="00AA6D47"/>
    <w:rsid w:val="00AA71EC"/>
    <w:rsid w:val="00AA7238"/>
    <w:rsid w:val="00AA733D"/>
    <w:rsid w:val="00AA785C"/>
    <w:rsid w:val="00AA7C96"/>
    <w:rsid w:val="00AB0697"/>
    <w:rsid w:val="00AB0BE5"/>
    <w:rsid w:val="00AB11DE"/>
    <w:rsid w:val="00AB1465"/>
    <w:rsid w:val="00AB1579"/>
    <w:rsid w:val="00AB15AE"/>
    <w:rsid w:val="00AB15B4"/>
    <w:rsid w:val="00AB26B6"/>
    <w:rsid w:val="00AB2939"/>
    <w:rsid w:val="00AB3231"/>
    <w:rsid w:val="00AB34FA"/>
    <w:rsid w:val="00AB351F"/>
    <w:rsid w:val="00AB353A"/>
    <w:rsid w:val="00AB3C72"/>
    <w:rsid w:val="00AB3CBE"/>
    <w:rsid w:val="00AB3E65"/>
    <w:rsid w:val="00AB3EC4"/>
    <w:rsid w:val="00AB442E"/>
    <w:rsid w:val="00AB46D3"/>
    <w:rsid w:val="00AB4D03"/>
    <w:rsid w:val="00AB58AF"/>
    <w:rsid w:val="00AB5AC7"/>
    <w:rsid w:val="00AB5C29"/>
    <w:rsid w:val="00AB62D9"/>
    <w:rsid w:val="00AB6555"/>
    <w:rsid w:val="00AB6884"/>
    <w:rsid w:val="00AB6DFF"/>
    <w:rsid w:val="00AB79CB"/>
    <w:rsid w:val="00AB7B0E"/>
    <w:rsid w:val="00AB7C7E"/>
    <w:rsid w:val="00AB7F22"/>
    <w:rsid w:val="00AC0281"/>
    <w:rsid w:val="00AC03FC"/>
    <w:rsid w:val="00AC0435"/>
    <w:rsid w:val="00AC1A91"/>
    <w:rsid w:val="00AC1C45"/>
    <w:rsid w:val="00AC1CDB"/>
    <w:rsid w:val="00AC2004"/>
    <w:rsid w:val="00AC283D"/>
    <w:rsid w:val="00AC2C26"/>
    <w:rsid w:val="00AC2FB5"/>
    <w:rsid w:val="00AC330A"/>
    <w:rsid w:val="00AC335A"/>
    <w:rsid w:val="00AC3C34"/>
    <w:rsid w:val="00AC53C4"/>
    <w:rsid w:val="00AC5753"/>
    <w:rsid w:val="00AC57F6"/>
    <w:rsid w:val="00AC595C"/>
    <w:rsid w:val="00AC61CD"/>
    <w:rsid w:val="00AC6AC2"/>
    <w:rsid w:val="00AC6D1B"/>
    <w:rsid w:val="00AC79B5"/>
    <w:rsid w:val="00AC7ABB"/>
    <w:rsid w:val="00AC7EA3"/>
    <w:rsid w:val="00AC7EEE"/>
    <w:rsid w:val="00AD039B"/>
    <w:rsid w:val="00AD09EA"/>
    <w:rsid w:val="00AD0A65"/>
    <w:rsid w:val="00AD0A68"/>
    <w:rsid w:val="00AD0FC3"/>
    <w:rsid w:val="00AD14F6"/>
    <w:rsid w:val="00AD1BE3"/>
    <w:rsid w:val="00AD1DB1"/>
    <w:rsid w:val="00AD216D"/>
    <w:rsid w:val="00AD2696"/>
    <w:rsid w:val="00AD2936"/>
    <w:rsid w:val="00AD2FB2"/>
    <w:rsid w:val="00AD3739"/>
    <w:rsid w:val="00AD3DCB"/>
    <w:rsid w:val="00AD431E"/>
    <w:rsid w:val="00AD4678"/>
    <w:rsid w:val="00AD47DC"/>
    <w:rsid w:val="00AD4E17"/>
    <w:rsid w:val="00AD527B"/>
    <w:rsid w:val="00AD56D5"/>
    <w:rsid w:val="00AD5720"/>
    <w:rsid w:val="00AD5B74"/>
    <w:rsid w:val="00AD5E6B"/>
    <w:rsid w:val="00AD5ED9"/>
    <w:rsid w:val="00AD6702"/>
    <w:rsid w:val="00AD70EF"/>
    <w:rsid w:val="00AD71A4"/>
    <w:rsid w:val="00AD7435"/>
    <w:rsid w:val="00AD767C"/>
    <w:rsid w:val="00AD7853"/>
    <w:rsid w:val="00AD7888"/>
    <w:rsid w:val="00AE0148"/>
    <w:rsid w:val="00AE02C5"/>
    <w:rsid w:val="00AE0400"/>
    <w:rsid w:val="00AE0755"/>
    <w:rsid w:val="00AE07C7"/>
    <w:rsid w:val="00AE09CC"/>
    <w:rsid w:val="00AE14D5"/>
    <w:rsid w:val="00AE17AA"/>
    <w:rsid w:val="00AE19F4"/>
    <w:rsid w:val="00AE1B50"/>
    <w:rsid w:val="00AE2363"/>
    <w:rsid w:val="00AE239A"/>
    <w:rsid w:val="00AE2586"/>
    <w:rsid w:val="00AE27EA"/>
    <w:rsid w:val="00AE286B"/>
    <w:rsid w:val="00AE2A94"/>
    <w:rsid w:val="00AE3207"/>
    <w:rsid w:val="00AE32A4"/>
    <w:rsid w:val="00AE371D"/>
    <w:rsid w:val="00AE38A8"/>
    <w:rsid w:val="00AE3A76"/>
    <w:rsid w:val="00AE4359"/>
    <w:rsid w:val="00AE440F"/>
    <w:rsid w:val="00AE4CF3"/>
    <w:rsid w:val="00AE4CFA"/>
    <w:rsid w:val="00AE508A"/>
    <w:rsid w:val="00AE5406"/>
    <w:rsid w:val="00AE54C6"/>
    <w:rsid w:val="00AE58EE"/>
    <w:rsid w:val="00AE67D6"/>
    <w:rsid w:val="00AE6947"/>
    <w:rsid w:val="00AE69AA"/>
    <w:rsid w:val="00AE6FE0"/>
    <w:rsid w:val="00AE70A9"/>
    <w:rsid w:val="00AE70CC"/>
    <w:rsid w:val="00AE7864"/>
    <w:rsid w:val="00AF004F"/>
    <w:rsid w:val="00AF02A7"/>
    <w:rsid w:val="00AF0540"/>
    <w:rsid w:val="00AF0B91"/>
    <w:rsid w:val="00AF1149"/>
    <w:rsid w:val="00AF1506"/>
    <w:rsid w:val="00AF1B59"/>
    <w:rsid w:val="00AF26B2"/>
    <w:rsid w:val="00AF424E"/>
    <w:rsid w:val="00AF4737"/>
    <w:rsid w:val="00AF4C14"/>
    <w:rsid w:val="00AF54A6"/>
    <w:rsid w:val="00AF6211"/>
    <w:rsid w:val="00AF6335"/>
    <w:rsid w:val="00AF6D42"/>
    <w:rsid w:val="00AF6D60"/>
    <w:rsid w:val="00AF79C5"/>
    <w:rsid w:val="00B00611"/>
    <w:rsid w:val="00B00634"/>
    <w:rsid w:val="00B00B36"/>
    <w:rsid w:val="00B01383"/>
    <w:rsid w:val="00B01412"/>
    <w:rsid w:val="00B01F29"/>
    <w:rsid w:val="00B02059"/>
    <w:rsid w:val="00B020B8"/>
    <w:rsid w:val="00B02488"/>
    <w:rsid w:val="00B02713"/>
    <w:rsid w:val="00B02A5F"/>
    <w:rsid w:val="00B03072"/>
    <w:rsid w:val="00B0312C"/>
    <w:rsid w:val="00B03302"/>
    <w:rsid w:val="00B033A1"/>
    <w:rsid w:val="00B033AF"/>
    <w:rsid w:val="00B03504"/>
    <w:rsid w:val="00B039DF"/>
    <w:rsid w:val="00B03F2C"/>
    <w:rsid w:val="00B04365"/>
    <w:rsid w:val="00B0469E"/>
    <w:rsid w:val="00B04ACF"/>
    <w:rsid w:val="00B04D31"/>
    <w:rsid w:val="00B04D65"/>
    <w:rsid w:val="00B04DBE"/>
    <w:rsid w:val="00B0594D"/>
    <w:rsid w:val="00B05B1E"/>
    <w:rsid w:val="00B05D5B"/>
    <w:rsid w:val="00B05D91"/>
    <w:rsid w:val="00B0621D"/>
    <w:rsid w:val="00B066F7"/>
    <w:rsid w:val="00B068D0"/>
    <w:rsid w:val="00B069D3"/>
    <w:rsid w:val="00B074BC"/>
    <w:rsid w:val="00B077D3"/>
    <w:rsid w:val="00B07BE6"/>
    <w:rsid w:val="00B07D6C"/>
    <w:rsid w:val="00B07F3C"/>
    <w:rsid w:val="00B1057B"/>
    <w:rsid w:val="00B1075E"/>
    <w:rsid w:val="00B108FA"/>
    <w:rsid w:val="00B10E13"/>
    <w:rsid w:val="00B111F0"/>
    <w:rsid w:val="00B11847"/>
    <w:rsid w:val="00B11F1B"/>
    <w:rsid w:val="00B11FB4"/>
    <w:rsid w:val="00B12C2F"/>
    <w:rsid w:val="00B12DD1"/>
    <w:rsid w:val="00B131E1"/>
    <w:rsid w:val="00B136C6"/>
    <w:rsid w:val="00B13CE7"/>
    <w:rsid w:val="00B13EF6"/>
    <w:rsid w:val="00B1419D"/>
    <w:rsid w:val="00B1436B"/>
    <w:rsid w:val="00B14C4A"/>
    <w:rsid w:val="00B1524C"/>
    <w:rsid w:val="00B153A9"/>
    <w:rsid w:val="00B162FD"/>
    <w:rsid w:val="00B16B41"/>
    <w:rsid w:val="00B16D2C"/>
    <w:rsid w:val="00B1700B"/>
    <w:rsid w:val="00B173C0"/>
    <w:rsid w:val="00B175F9"/>
    <w:rsid w:val="00B17A68"/>
    <w:rsid w:val="00B17B75"/>
    <w:rsid w:val="00B200D6"/>
    <w:rsid w:val="00B202B6"/>
    <w:rsid w:val="00B2037B"/>
    <w:rsid w:val="00B203E4"/>
    <w:rsid w:val="00B204E0"/>
    <w:rsid w:val="00B20CB8"/>
    <w:rsid w:val="00B2187C"/>
    <w:rsid w:val="00B21C74"/>
    <w:rsid w:val="00B21D23"/>
    <w:rsid w:val="00B2250C"/>
    <w:rsid w:val="00B225F9"/>
    <w:rsid w:val="00B22B6D"/>
    <w:rsid w:val="00B230F3"/>
    <w:rsid w:val="00B24B4F"/>
    <w:rsid w:val="00B24C6D"/>
    <w:rsid w:val="00B24F2E"/>
    <w:rsid w:val="00B2508C"/>
    <w:rsid w:val="00B2521F"/>
    <w:rsid w:val="00B2552A"/>
    <w:rsid w:val="00B25AFF"/>
    <w:rsid w:val="00B260E8"/>
    <w:rsid w:val="00B2663F"/>
    <w:rsid w:val="00B26948"/>
    <w:rsid w:val="00B26973"/>
    <w:rsid w:val="00B2732E"/>
    <w:rsid w:val="00B277DE"/>
    <w:rsid w:val="00B27877"/>
    <w:rsid w:val="00B27941"/>
    <w:rsid w:val="00B30496"/>
    <w:rsid w:val="00B3090B"/>
    <w:rsid w:val="00B30BD7"/>
    <w:rsid w:val="00B30C9B"/>
    <w:rsid w:val="00B30CB2"/>
    <w:rsid w:val="00B30CF4"/>
    <w:rsid w:val="00B31071"/>
    <w:rsid w:val="00B3123F"/>
    <w:rsid w:val="00B316B8"/>
    <w:rsid w:val="00B3200A"/>
    <w:rsid w:val="00B326E2"/>
    <w:rsid w:val="00B32E9F"/>
    <w:rsid w:val="00B32F67"/>
    <w:rsid w:val="00B333A6"/>
    <w:rsid w:val="00B33612"/>
    <w:rsid w:val="00B33797"/>
    <w:rsid w:val="00B3389A"/>
    <w:rsid w:val="00B33E02"/>
    <w:rsid w:val="00B34048"/>
    <w:rsid w:val="00B3436F"/>
    <w:rsid w:val="00B345E2"/>
    <w:rsid w:val="00B34A51"/>
    <w:rsid w:val="00B353DE"/>
    <w:rsid w:val="00B357C3"/>
    <w:rsid w:val="00B3646E"/>
    <w:rsid w:val="00B3664B"/>
    <w:rsid w:val="00B36702"/>
    <w:rsid w:val="00B36797"/>
    <w:rsid w:val="00B3685C"/>
    <w:rsid w:val="00B370F7"/>
    <w:rsid w:val="00B37610"/>
    <w:rsid w:val="00B37DC9"/>
    <w:rsid w:val="00B37E89"/>
    <w:rsid w:val="00B40529"/>
    <w:rsid w:val="00B40546"/>
    <w:rsid w:val="00B405EF"/>
    <w:rsid w:val="00B40D4C"/>
    <w:rsid w:val="00B40EAF"/>
    <w:rsid w:val="00B4132F"/>
    <w:rsid w:val="00B41371"/>
    <w:rsid w:val="00B413F3"/>
    <w:rsid w:val="00B414E8"/>
    <w:rsid w:val="00B429FE"/>
    <w:rsid w:val="00B42C01"/>
    <w:rsid w:val="00B431A6"/>
    <w:rsid w:val="00B433CB"/>
    <w:rsid w:val="00B433DC"/>
    <w:rsid w:val="00B436AF"/>
    <w:rsid w:val="00B43C36"/>
    <w:rsid w:val="00B441CA"/>
    <w:rsid w:val="00B4488A"/>
    <w:rsid w:val="00B44933"/>
    <w:rsid w:val="00B44E72"/>
    <w:rsid w:val="00B45527"/>
    <w:rsid w:val="00B45625"/>
    <w:rsid w:val="00B4584A"/>
    <w:rsid w:val="00B45AC5"/>
    <w:rsid w:val="00B464BB"/>
    <w:rsid w:val="00B466EE"/>
    <w:rsid w:val="00B469DB"/>
    <w:rsid w:val="00B46DFA"/>
    <w:rsid w:val="00B471BB"/>
    <w:rsid w:val="00B4759D"/>
    <w:rsid w:val="00B47C4A"/>
    <w:rsid w:val="00B50416"/>
    <w:rsid w:val="00B5063E"/>
    <w:rsid w:val="00B51088"/>
    <w:rsid w:val="00B516DC"/>
    <w:rsid w:val="00B51948"/>
    <w:rsid w:val="00B51D07"/>
    <w:rsid w:val="00B51D4B"/>
    <w:rsid w:val="00B527F7"/>
    <w:rsid w:val="00B52958"/>
    <w:rsid w:val="00B52AEE"/>
    <w:rsid w:val="00B53C5F"/>
    <w:rsid w:val="00B53D03"/>
    <w:rsid w:val="00B54059"/>
    <w:rsid w:val="00B54528"/>
    <w:rsid w:val="00B54A63"/>
    <w:rsid w:val="00B54B2A"/>
    <w:rsid w:val="00B55247"/>
    <w:rsid w:val="00B55554"/>
    <w:rsid w:val="00B55582"/>
    <w:rsid w:val="00B55635"/>
    <w:rsid w:val="00B5570D"/>
    <w:rsid w:val="00B55A55"/>
    <w:rsid w:val="00B55C93"/>
    <w:rsid w:val="00B55E70"/>
    <w:rsid w:val="00B5644B"/>
    <w:rsid w:val="00B566A0"/>
    <w:rsid w:val="00B576D2"/>
    <w:rsid w:val="00B601B2"/>
    <w:rsid w:val="00B60231"/>
    <w:rsid w:val="00B602B8"/>
    <w:rsid w:val="00B604C7"/>
    <w:rsid w:val="00B60AC3"/>
    <w:rsid w:val="00B60E57"/>
    <w:rsid w:val="00B6122C"/>
    <w:rsid w:val="00B612AC"/>
    <w:rsid w:val="00B61AA4"/>
    <w:rsid w:val="00B61BC9"/>
    <w:rsid w:val="00B625B9"/>
    <w:rsid w:val="00B627EA"/>
    <w:rsid w:val="00B62B9F"/>
    <w:rsid w:val="00B62D5D"/>
    <w:rsid w:val="00B63DFA"/>
    <w:rsid w:val="00B64094"/>
    <w:rsid w:val="00B646EF"/>
    <w:rsid w:val="00B64809"/>
    <w:rsid w:val="00B64BA8"/>
    <w:rsid w:val="00B65B66"/>
    <w:rsid w:val="00B65C78"/>
    <w:rsid w:val="00B660A6"/>
    <w:rsid w:val="00B66398"/>
    <w:rsid w:val="00B665D3"/>
    <w:rsid w:val="00B66764"/>
    <w:rsid w:val="00B667B3"/>
    <w:rsid w:val="00B66AA5"/>
    <w:rsid w:val="00B671C6"/>
    <w:rsid w:val="00B67290"/>
    <w:rsid w:val="00B67AC7"/>
    <w:rsid w:val="00B67AE7"/>
    <w:rsid w:val="00B67AF6"/>
    <w:rsid w:val="00B70017"/>
    <w:rsid w:val="00B700A8"/>
    <w:rsid w:val="00B7018C"/>
    <w:rsid w:val="00B702DE"/>
    <w:rsid w:val="00B705B0"/>
    <w:rsid w:val="00B705DD"/>
    <w:rsid w:val="00B70907"/>
    <w:rsid w:val="00B70D1D"/>
    <w:rsid w:val="00B71593"/>
    <w:rsid w:val="00B715F0"/>
    <w:rsid w:val="00B71650"/>
    <w:rsid w:val="00B71EDA"/>
    <w:rsid w:val="00B7201E"/>
    <w:rsid w:val="00B72045"/>
    <w:rsid w:val="00B72B32"/>
    <w:rsid w:val="00B72B44"/>
    <w:rsid w:val="00B72D74"/>
    <w:rsid w:val="00B73D4E"/>
    <w:rsid w:val="00B7412D"/>
    <w:rsid w:val="00B74547"/>
    <w:rsid w:val="00B74796"/>
    <w:rsid w:val="00B74E09"/>
    <w:rsid w:val="00B752D1"/>
    <w:rsid w:val="00B757EB"/>
    <w:rsid w:val="00B7623B"/>
    <w:rsid w:val="00B7788B"/>
    <w:rsid w:val="00B809EF"/>
    <w:rsid w:val="00B81D68"/>
    <w:rsid w:val="00B81D70"/>
    <w:rsid w:val="00B8251D"/>
    <w:rsid w:val="00B82876"/>
    <w:rsid w:val="00B829E9"/>
    <w:rsid w:val="00B82A03"/>
    <w:rsid w:val="00B83D7E"/>
    <w:rsid w:val="00B83D8F"/>
    <w:rsid w:val="00B83E7A"/>
    <w:rsid w:val="00B83E85"/>
    <w:rsid w:val="00B84AF1"/>
    <w:rsid w:val="00B84C3E"/>
    <w:rsid w:val="00B8576A"/>
    <w:rsid w:val="00B85C88"/>
    <w:rsid w:val="00B85F3A"/>
    <w:rsid w:val="00B86A92"/>
    <w:rsid w:val="00B86ECF"/>
    <w:rsid w:val="00B871E8"/>
    <w:rsid w:val="00B8743B"/>
    <w:rsid w:val="00B8770D"/>
    <w:rsid w:val="00B87809"/>
    <w:rsid w:val="00B878EC"/>
    <w:rsid w:val="00B879E6"/>
    <w:rsid w:val="00B87BED"/>
    <w:rsid w:val="00B87C30"/>
    <w:rsid w:val="00B87D60"/>
    <w:rsid w:val="00B90248"/>
    <w:rsid w:val="00B90623"/>
    <w:rsid w:val="00B90D05"/>
    <w:rsid w:val="00B9128B"/>
    <w:rsid w:val="00B926F7"/>
    <w:rsid w:val="00B92E93"/>
    <w:rsid w:val="00B92F92"/>
    <w:rsid w:val="00B934CF"/>
    <w:rsid w:val="00B93AC4"/>
    <w:rsid w:val="00B94A9E"/>
    <w:rsid w:val="00B94B84"/>
    <w:rsid w:val="00B957AC"/>
    <w:rsid w:val="00B9595A"/>
    <w:rsid w:val="00B95D7D"/>
    <w:rsid w:val="00B960E8"/>
    <w:rsid w:val="00B96120"/>
    <w:rsid w:val="00B9665D"/>
    <w:rsid w:val="00B967D2"/>
    <w:rsid w:val="00B96B25"/>
    <w:rsid w:val="00B96B53"/>
    <w:rsid w:val="00BA0116"/>
    <w:rsid w:val="00BA03FB"/>
    <w:rsid w:val="00BA0967"/>
    <w:rsid w:val="00BA09ED"/>
    <w:rsid w:val="00BA0B35"/>
    <w:rsid w:val="00BA0F68"/>
    <w:rsid w:val="00BA1235"/>
    <w:rsid w:val="00BA1CF9"/>
    <w:rsid w:val="00BA1FF7"/>
    <w:rsid w:val="00BA2017"/>
    <w:rsid w:val="00BA23D1"/>
    <w:rsid w:val="00BA23FB"/>
    <w:rsid w:val="00BA3118"/>
    <w:rsid w:val="00BA3FAA"/>
    <w:rsid w:val="00BA4199"/>
    <w:rsid w:val="00BA4D52"/>
    <w:rsid w:val="00BA5463"/>
    <w:rsid w:val="00BA5CB1"/>
    <w:rsid w:val="00BA5DB0"/>
    <w:rsid w:val="00BA670A"/>
    <w:rsid w:val="00BA6B53"/>
    <w:rsid w:val="00BA704A"/>
    <w:rsid w:val="00BA706B"/>
    <w:rsid w:val="00BA7093"/>
    <w:rsid w:val="00BA7377"/>
    <w:rsid w:val="00BA7861"/>
    <w:rsid w:val="00BB0697"/>
    <w:rsid w:val="00BB0AE8"/>
    <w:rsid w:val="00BB0B10"/>
    <w:rsid w:val="00BB0DA7"/>
    <w:rsid w:val="00BB0DEE"/>
    <w:rsid w:val="00BB0FFB"/>
    <w:rsid w:val="00BB1698"/>
    <w:rsid w:val="00BB19D8"/>
    <w:rsid w:val="00BB304E"/>
    <w:rsid w:val="00BB3207"/>
    <w:rsid w:val="00BB32CD"/>
    <w:rsid w:val="00BB380A"/>
    <w:rsid w:val="00BB41DE"/>
    <w:rsid w:val="00BB43A1"/>
    <w:rsid w:val="00BB4BF3"/>
    <w:rsid w:val="00BB5169"/>
    <w:rsid w:val="00BB5F4F"/>
    <w:rsid w:val="00BB5F64"/>
    <w:rsid w:val="00BB6291"/>
    <w:rsid w:val="00BB6928"/>
    <w:rsid w:val="00BB6F15"/>
    <w:rsid w:val="00BB7687"/>
    <w:rsid w:val="00BB7906"/>
    <w:rsid w:val="00BC07AF"/>
    <w:rsid w:val="00BC096E"/>
    <w:rsid w:val="00BC0E10"/>
    <w:rsid w:val="00BC1ED8"/>
    <w:rsid w:val="00BC22AC"/>
    <w:rsid w:val="00BC25A8"/>
    <w:rsid w:val="00BC2C2C"/>
    <w:rsid w:val="00BC336B"/>
    <w:rsid w:val="00BC3426"/>
    <w:rsid w:val="00BC358F"/>
    <w:rsid w:val="00BC3E4F"/>
    <w:rsid w:val="00BC3E87"/>
    <w:rsid w:val="00BC3E9A"/>
    <w:rsid w:val="00BC40A1"/>
    <w:rsid w:val="00BC41A6"/>
    <w:rsid w:val="00BC41D2"/>
    <w:rsid w:val="00BC4976"/>
    <w:rsid w:val="00BC4A79"/>
    <w:rsid w:val="00BC5372"/>
    <w:rsid w:val="00BC5F0D"/>
    <w:rsid w:val="00BC61B8"/>
    <w:rsid w:val="00BC62E5"/>
    <w:rsid w:val="00BC6C9C"/>
    <w:rsid w:val="00BC7CB4"/>
    <w:rsid w:val="00BC7DD4"/>
    <w:rsid w:val="00BC7E7F"/>
    <w:rsid w:val="00BD0DFD"/>
    <w:rsid w:val="00BD10E0"/>
    <w:rsid w:val="00BD1348"/>
    <w:rsid w:val="00BD1A79"/>
    <w:rsid w:val="00BD1C93"/>
    <w:rsid w:val="00BD1D08"/>
    <w:rsid w:val="00BD2184"/>
    <w:rsid w:val="00BD2479"/>
    <w:rsid w:val="00BD2DEB"/>
    <w:rsid w:val="00BD2E6E"/>
    <w:rsid w:val="00BD3032"/>
    <w:rsid w:val="00BD3076"/>
    <w:rsid w:val="00BD31D7"/>
    <w:rsid w:val="00BD32EC"/>
    <w:rsid w:val="00BD3310"/>
    <w:rsid w:val="00BD3E7B"/>
    <w:rsid w:val="00BD4933"/>
    <w:rsid w:val="00BD4AD2"/>
    <w:rsid w:val="00BD4CC7"/>
    <w:rsid w:val="00BD4E5A"/>
    <w:rsid w:val="00BD4E78"/>
    <w:rsid w:val="00BD586C"/>
    <w:rsid w:val="00BD5C36"/>
    <w:rsid w:val="00BD62E3"/>
    <w:rsid w:val="00BD6442"/>
    <w:rsid w:val="00BD64E7"/>
    <w:rsid w:val="00BD6D8C"/>
    <w:rsid w:val="00BD7278"/>
    <w:rsid w:val="00BD7F93"/>
    <w:rsid w:val="00BE0390"/>
    <w:rsid w:val="00BE0BBD"/>
    <w:rsid w:val="00BE108F"/>
    <w:rsid w:val="00BE1316"/>
    <w:rsid w:val="00BE1AF5"/>
    <w:rsid w:val="00BE1E87"/>
    <w:rsid w:val="00BE2D93"/>
    <w:rsid w:val="00BE2DA9"/>
    <w:rsid w:val="00BE2E88"/>
    <w:rsid w:val="00BE2FCB"/>
    <w:rsid w:val="00BE34F1"/>
    <w:rsid w:val="00BE37E8"/>
    <w:rsid w:val="00BE3A40"/>
    <w:rsid w:val="00BE3B95"/>
    <w:rsid w:val="00BE3FB8"/>
    <w:rsid w:val="00BE4E6D"/>
    <w:rsid w:val="00BE5529"/>
    <w:rsid w:val="00BE5889"/>
    <w:rsid w:val="00BE6465"/>
    <w:rsid w:val="00BE6862"/>
    <w:rsid w:val="00BE6CCA"/>
    <w:rsid w:val="00BE6CE0"/>
    <w:rsid w:val="00BE6DDF"/>
    <w:rsid w:val="00BE71DB"/>
    <w:rsid w:val="00BE7A69"/>
    <w:rsid w:val="00BE7A9D"/>
    <w:rsid w:val="00BE7AC8"/>
    <w:rsid w:val="00BE7B99"/>
    <w:rsid w:val="00BF017F"/>
    <w:rsid w:val="00BF02FA"/>
    <w:rsid w:val="00BF0CAC"/>
    <w:rsid w:val="00BF0CAE"/>
    <w:rsid w:val="00BF1C66"/>
    <w:rsid w:val="00BF1CAE"/>
    <w:rsid w:val="00BF1D59"/>
    <w:rsid w:val="00BF275F"/>
    <w:rsid w:val="00BF28AD"/>
    <w:rsid w:val="00BF28ED"/>
    <w:rsid w:val="00BF2BC8"/>
    <w:rsid w:val="00BF2D48"/>
    <w:rsid w:val="00BF32D9"/>
    <w:rsid w:val="00BF332D"/>
    <w:rsid w:val="00BF35A8"/>
    <w:rsid w:val="00BF3786"/>
    <w:rsid w:val="00BF3944"/>
    <w:rsid w:val="00BF423E"/>
    <w:rsid w:val="00BF43D5"/>
    <w:rsid w:val="00BF47E0"/>
    <w:rsid w:val="00BF47F1"/>
    <w:rsid w:val="00BF4ACB"/>
    <w:rsid w:val="00BF4BBA"/>
    <w:rsid w:val="00BF57A9"/>
    <w:rsid w:val="00BF5982"/>
    <w:rsid w:val="00BF5CFE"/>
    <w:rsid w:val="00BF63A1"/>
    <w:rsid w:val="00BF6664"/>
    <w:rsid w:val="00BF69F3"/>
    <w:rsid w:val="00BF724A"/>
    <w:rsid w:val="00BF727F"/>
    <w:rsid w:val="00BF754E"/>
    <w:rsid w:val="00BF774A"/>
    <w:rsid w:val="00BF78E2"/>
    <w:rsid w:val="00C000C0"/>
    <w:rsid w:val="00C001F6"/>
    <w:rsid w:val="00C00D2B"/>
    <w:rsid w:val="00C00D4D"/>
    <w:rsid w:val="00C01030"/>
    <w:rsid w:val="00C010F3"/>
    <w:rsid w:val="00C01225"/>
    <w:rsid w:val="00C01A80"/>
    <w:rsid w:val="00C01CB4"/>
    <w:rsid w:val="00C023C5"/>
    <w:rsid w:val="00C028FE"/>
    <w:rsid w:val="00C02B6B"/>
    <w:rsid w:val="00C02F02"/>
    <w:rsid w:val="00C031CE"/>
    <w:rsid w:val="00C037F4"/>
    <w:rsid w:val="00C03D43"/>
    <w:rsid w:val="00C045B3"/>
    <w:rsid w:val="00C04A0A"/>
    <w:rsid w:val="00C0501A"/>
    <w:rsid w:val="00C05C3F"/>
    <w:rsid w:val="00C064B3"/>
    <w:rsid w:val="00C066FD"/>
    <w:rsid w:val="00C06FF5"/>
    <w:rsid w:val="00C077E0"/>
    <w:rsid w:val="00C07BA9"/>
    <w:rsid w:val="00C1042F"/>
    <w:rsid w:val="00C10A54"/>
    <w:rsid w:val="00C10FBD"/>
    <w:rsid w:val="00C1134E"/>
    <w:rsid w:val="00C1176A"/>
    <w:rsid w:val="00C11AF1"/>
    <w:rsid w:val="00C11E1B"/>
    <w:rsid w:val="00C11FE8"/>
    <w:rsid w:val="00C12928"/>
    <w:rsid w:val="00C12D74"/>
    <w:rsid w:val="00C134FA"/>
    <w:rsid w:val="00C13C03"/>
    <w:rsid w:val="00C145A1"/>
    <w:rsid w:val="00C145A5"/>
    <w:rsid w:val="00C14639"/>
    <w:rsid w:val="00C14768"/>
    <w:rsid w:val="00C14F0F"/>
    <w:rsid w:val="00C14FFE"/>
    <w:rsid w:val="00C1519E"/>
    <w:rsid w:val="00C1559E"/>
    <w:rsid w:val="00C15A7E"/>
    <w:rsid w:val="00C16107"/>
    <w:rsid w:val="00C16264"/>
    <w:rsid w:val="00C163C2"/>
    <w:rsid w:val="00C1690A"/>
    <w:rsid w:val="00C17D6F"/>
    <w:rsid w:val="00C1F62B"/>
    <w:rsid w:val="00C20761"/>
    <w:rsid w:val="00C20B66"/>
    <w:rsid w:val="00C21A68"/>
    <w:rsid w:val="00C21FAD"/>
    <w:rsid w:val="00C23062"/>
    <w:rsid w:val="00C232D2"/>
    <w:rsid w:val="00C23446"/>
    <w:rsid w:val="00C2354B"/>
    <w:rsid w:val="00C23614"/>
    <w:rsid w:val="00C236E4"/>
    <w:rsid w:val="00C239E2"/>
    <w:rsid w:val="00C23BFB"/>
    <w:rsid w:val="00C23C90"/>
    <w:rsid w:val="00C247B3"/>
    <w:rsid w:val="00C247E2"/>
    <w:rsid w:val="00C258B8"/>
    <w:rsid w:val="00C260AC"/>
    <w:rsid w:val="00C26749"/>
    <w:rsid w:val="00C272EC"/>
    <w:rsid w:val="00C2743A"/>
    <w:rsid w:val="00C277F7"/>
    <w:rsid w:val="00C27BEB"/>
    <w:rsid w:val="00C27C88"/>
    <w:rsid w:val="00C27CA6"/>
    <w:rsid w:val="00C27DAC"/>
    <w:rsid w:val="00C300DC"/>
    <w:rsid w:val="00C30213"/>
    <w:rsid w:val="00C3030B"/>
    <w:rsid w:val="00C3079A"/>
    <w:rsid w:val="00C30A80"/>
    <w:rsid w:val="00C31272"/>
    <w:rsid w:val="00C312C7"/>
    <w:rsid w:val="00C31977"/>
    <w:rsid w:val="00C31B03"/>
    <w:rsid w:val="00C31BAB"/>
    <w:rsid w:val="00C329EA"/>
    <w:rsid w:val="00C33359"/>
    <w:rsid w:val="00C3357F"/>
    <w:rsid w:val="00C339D4"/>
    <w:rsid w:val="00C3457B"/>
    <w:rsid w:val="00C34B7E"/>
    <w:rsid w:val="00C35573"/>
    <w:rsid w:val="00C360C9"/>
    <w:rsid w:val="00C36145"/>
    <w:rsid w:val="00C36FB3"/>
    <w:rsid w:val="00C37256"/>
    <w:rsid w:val="00C37395"/>
    <w:rsid w:val="00C375B9"/>
    <w:rsid w:val="00C3778B"/>
    <w:rsid w:val="00C37EC8"/>
    <w:rsid w:val="00C40CC4"/>
    <w:rsid w:val="00C40D92"/>
    <w:rsid w:val="00C40E2F"/>
    <w:rsid w:val="00C41198"/>
    <w:rsid w:val="00C4151C"/>
    <w:rsid w:val="00C420A2"/>
    <w:rsid w:val="00C42107"/>
    <w:rsid w:val="00C42DA1"/>
    <w:rsid w:val="00C42E84"/>
    <w:rsid w:val="00C43356"/>
    <w:rsid w:val="00C4356A"/>
    <w:rsid w:val="00C43C9E"/>
    <w:rsid w:val="00C43E4E"/>
    <w:rsid w:val="00C43FB2"/>
    <w:rsid w:val="00C44018"/>
    <w:rsid w:val="00C446C8"/>
    <w:rsid w:val="00C448CC"/>
    <w:rsid w:val="00C44BA2"/>
    <w:rsid w:val="00C450C5"/>
    <w:rsid w:val="00C4532A"/>
    <w:rsid w:val="00C45386"/>
    <w:rsid w:val="00C4545B"/>
    <w:rsid w:val="00C45582"/>
    <w:rsid w:val="00C455A5"/>
    <w:rsid w:val="00C45DE1"/>
    <w:rsid w:val="00C45E9B"/>
    <w:rsid w:val="00C4616F"/>
    <w:rsid w:val="00C4693F"/>
    <w:rsid w:val="00C472C4"/>
    <w:rsid w:val="00C4762F"/>
    <w:rsid w:val="00C47CCB"/>
    <w:rsid w:val="00C5066B"/>
    <w:rsid w:val="00C50AD0"/>
    <w:rsid w:val="00C50C20"/>
    <w:rsid w:val="00C50F40"/>
    <w:rsid w:val="00C510CC"/>
    <w:rsid w:val="00C5186C"/>
    <w:rsid w:val="00C51F81"/>
    <w:rsid w:val="00C52614"/>
    <w:rsid w:val="00C52B7A"/>
    <w:rsid w:val="00C52BCE"/>
    <w:rsid w:val="00C53550"/>
    <w:rsid w:val="00C537D5"/>
    <w:rsid w:val="00C53BC2"/>
    <w:rsid w:val="00C53EE9"/>
    <w:rsid w:val="00C54172"/>
    <w:rsid w:val="00C54349"/>
    <w:rsid w:val="00C54539"/>
    <w:rsid w:val="00C5479F"/>
    <w:rsid w:val="00C54878"/>
    <w:rsid w:val="00C54AFB"/>
    <w:rsid w:val="00C54B70"/>
    <w:rsid w:val="00C54C65"/>
    <w:rsid w:val="00C550BD"/>
    <w:rsid w:val="00C558E1"/>
    <w:rsid w:val="00C571B8"/>
    <w:rsid w:val="00C575E9"/>
    <w:rsid w:val="00C577BD"/>
    <w:rsid w:val="00C57856"/>
    <w:rsid w:val="00C578C3"/>
    <w:rsid w:val="00C57BA1"/>
    <w:rsid w:val="00C57BE4"/>
    <w:rsid w:val="00C57C48"/>
    <w:rsid w:val="00C600D1"/>
    <w:rsid w:val="00C60225"/>
    <w:rsid w:val="00C603A5"/>
    <w:rsid w:val="00C6112A"/>
    <w:rsid w:val="00C612FF"/>
    <w:rsid w:val="00C615BF"/>
    <w:rsid w:val="00C61A30"/>
    <w:rsid w:val="00C622FF"/>
    <w:rsid w:val="00C62551"/>
    <w:rsid w:val="00C62CC5"/>
    <w:rsid w:val="00C62E63"/>
    <w:rsid w:val="00C63EF5"/>
    <w:rsid w:val="00C63F69"/>
    <w:rsid w:val="00C643D1"/>
    <w:rsid w:val="00C64764"/>
    <w:rsid w:val="00C64B5F"/>
    <w:rsid w:val="00C651EF"/>
    <w:rsid w:val="00C659D3"/>
    <w:rsid w:val="00C66891"/>
    <w:rsid w:val="00C66F54"/>
    <w:rsid w:val="00C67185"/>
    <w:rsid w:val="00C6734D"/>
    <w:rsid w:val="00C704BE"/>
    <w:rsid w:val="00C70906"/>
    <w:rsid w:val="00C70B1E"/>
    <w:rsid w:val="00C70CF5"/>
    <w:rsid w:val="00C70DF0"/>
    <w:rsid w:val="00C70E43"/>
    <w:rsid w:val="00C70F90"/>
    <w:rsid w:val="00C71005"/>
    <w:rsid w:val="00C710D1"/>
    <w:rsid w:val="00C711EA"/>
    <w:rsid w:val="00C71363"/>
    <w:rsid w:val="00C7143F"/>
    <w:rsid w:val="00C71499"/>
    <w:rsid w:val="00C71863"/>
    <w:rsid w:val="00C721C1"/>
    <w:rsid w:val="00C72D3D"/>
    <w:rsid w:val="00C74DC4"/>
    <w:rsid w:val="00C75439"/>
    <w:rsid w:val="00C755F6"/>
    <w:rsid w:val="00C7567E"/>
    <w:rsid w:val="00C756BB"/>
    <w:rsid w:val="00C75F75"/>
    <w:rsid w:val="00C76343"/>
    <w:rsid w:val="00C764A8"/>
    <w:rsid w:val="00C76951"/>
    <w:rsid w:val="00C76D27"/>
    <w:rsid w:val="00C76FD4"/>
    <w:rsid w:val="00C77666"/>
    <w:rsid w:val="00C778CE"/>
    <w:rsid w:val="00C77D7C"/>
    <w:rsid w:val="00C77E92"/>
    <w:rsid w:val="00C8091E"/>
    <w:rsid w:val="00C80A59"/>
    <w:rsid w:val="00C80DDB"/>
    <w:rsid w:val="00C812CB"/>
    <w:rsid w:val="00C8143F"/>
    <w:rsid w:val="00C81DC8"/>
    <w:rsid w:val="00C82482"/>
    <w:rsid w:val="00C83097"/>
    <w:rsid w:val="00C83720"/>
    <w:rsid w:val="00C847AD"/>
    <w:rsid w:val="00C84A7C"/>
    <w:rsid w:val="00C84E1A"/>
    <w:rsid w:val="00C84E53"/>
    <w:rsid w:val="00C85003"/>
    <w:rsid w:val="00C850D8"/>
    <w:rsid w:val="00C8570F"/>
    <w:rsid w:val="00C859D6"/>
    <w:rsid w:val="00C85CDD"/>
    <w:rsid w:val="00C863D1"/>
    <w:rsid w:val="00C869CC"/>
    <w:rsid w:val="00C87016"/>
    <w:rsid w:val="00C90609"/>
    <w:rsid w:val="00C90952"/>
    <w:rsid w:val="00C90B31"/>
    <w:rsid w:val="00C911F4"/>
    <w:rsid w:val="00C912AC"/>
    <w:rsid w:val="00C91998"/>
    <w:rsid w:val="00C91A57"/>
    <w:rsid w:val="00C91F42"/>
    <w:rsid w:val="00C92426"/>
    <w:rsid w:val="00C92440"/>
    <w:rsid w:val="00C924D8"/>
    <w:rsid w:val="00C927D5"/>
    <w:rsid w:val="00C929B4"/>
    <w:rsid w:val="00C92F19"/>
    <w:rsid w:val="00C948E0"/>
    <w:rsid w:val="00C94A1C"/>
    <w:rsid w:val="00C95018"/>
    <w:rsid w:val="00C95D8C"/>
    <w:rsid w:val="00C95E1C"/>
    <w:rsid w:val="00C96A24"/>
    <w:rsid w:val="00C96BFE"/>
    <w:rsid w:val="00C9714A"/>
    <w:rsid w:val="00C97316"/>
    <w:rsid w:val="00C978AF"/>
    <w:rsid w:val="00C979C2"/>
    <w:rsid w:val="00C97B7E"/>
    <w:rsid w:val="00CA04CC"/>
    <w:rsid w:val="00CA0521"/>
    <w:rsid w:val="00CA0635"/>
    <w:rsid w:val="00CA0677"/>
    <w:rsid w:val="00CA0A6F"/>
    <w:rsid w:val="00CA158C"/>
    <w:rsid w:val="00CA18A3"/>
    <w:rsid w:val="00CA2444"/>
    <w:rsid w:val="00CA2469"/>
    <w:rsid w:val="00CA2744"/>
    <w:rsid w:val="00CA277A"/>
    <w:rsid w:val="00CA2992"/>
    <w:rsid w:val="00CA2BD8"/>
    <w:rsid w:val="00CA2D6C"/>
    <w:rsid w:val="00CA2F79"/>
    <w:rsid w:val="00CA35CB"/>
    <w:rsid w:val="00CA3649"/>
    <w:rsid w:val="00CA46BA"/>
    <w:rsid w:val="00CA5189"/>
    <w:rsid w:val="00CA528E"/>
    <w:rsid w:val="00CA5510"/>
    <w:rsid w:val="00CA582E"/>
    <w:rsid w:val="00CA5991"/>
    <w:rsid w:val="00CA7723"/>
    <w:rsid w:val="00CA77CF"/>
    <w:rsid w:val="00CA7B18"/>
    <w:rsid w:val="00CA7E70"/>
    <w:rsid w:val="00CB03F8"/>
    <w:rsid w:val="00CB043B"/>
    <w:rsid w:val="00CB0489"/>
    <w:rsid w:val="00CB04E4"/>
    <w:rsid w:val="00CB05C3"/>
    <w:rsid w:val="00CB0DA6"/>
    <w:rsid w:val="00CB10AB"/>
    <w:rsid w:val="00CB15A6"/>
    <w:rsid w:val="00CB1711"/>
    <w:rsid w:val="00CB1888"/>
    <w:rsid w:val="00CB1EAE"/>
    <w:rsid w:val="00CB2172"/>
    <w:rsid w:val="00CB22BE"/>
    <w:rsid w:val="00CB2704"/>
    <w:rsid w:val="00CB287F"/>
    <w:rsid w:val="00CB2D3C"/>
    <w:rsid w:val="00CB3021"/>
    <w:rsid w:val="00CB30E0"/>
    <w:rsid w:val="00CB3404"/>
    <w:rsid w:val="00CB340B"/>
    <w:rsid w:val="00CB387A"/>
    <w:rsid w:val="00CB3EFB"/>
    <w:rsid w:val="00CB4342"/>
    <w:rsid w:val="00CB5684"/>
    <w:rsid w:val="00CB57E0"/>
    <w:rsid w:val="00CB7049"/>
    <w:rsid w:val="00CB7883"/>
    <w:rsid w:val="00CB789C"/>
    <w:rsid w:val="00CB79C2"/>
    <w:rsid w:val="00CB79D6"/>
    <w:rsid w:val="00CC052B"/>
    <w:rsid w:val="00CC0AB8"/>
    <w:rsid w:val="00CC163A"/>
    <w:rsid w:val="00CC1A64"/>
    <w:rsid w:val="00CC1F6D"/>
    <w:rsid w:val="00CC20CB"/>
    <w:rsid w:val="00CC21FE"/>
    <w:rsid w:val="00CC24FA"/>
    <w:rsid w:val="00CC377D"/>
    <w:rsid w:val="00CC3A49"/>
    <w:rsid w:val="00CC4833"/>
    <w:rsid w:val="00CC51B0"/>
    <w:rsid w:val="00CC5221"/>
    <w:rsid w:val="00CC5A65"/>
    <w:rsid w:val="00CC5D8D"/>
    <w:rsid w:val="00CC60FC"/>
    <w:rsid w:val="00CC62FC"/>
    <w:rsid w:val="00CC6686"/>
    <w:rsid w:val="00CC6A16"/>
    <w:rsid w:val="00CC6B79"/>
    <w:rsid w:val="00CC6D80"/>
    <w:rsid w:val="00CC6FCC"/>
    <w:rsid w:val="00CC7035"/>
    <w:rsid w:val="00CC7D47"/>
    <w:rsid w:val="00CC7DB3"/>
    <w:rsid w:val="00CD000A"/>
    <w:rsid w:val="00CD070D"/>
    <w:rsid w:val="00CD0905"/>
    <w:rsid w:val="00CD1176"/>
    <w:rsid w:val="00CD1FB2"/>
    <w:rsid w:val="00CD2468"/>
    <w:rsid w:val="00CD2C7F"/>
    <w:rsid w:val="00CD2E5A"/>
    <w:rsid w:val="00CD35AD"/>
    <w:rsid w:val="00CD4251"/>
    <w:rsid w:val="00CD4556"/>
    <w:rsid w:val="00CD47B4"/>
    <w:rsid w:val="00CD4CC1"/>
    <w:rsid w:val="00CD5539"/>
    <w:rsid w:val="00CD56FD"/>
    <w:rsid w:val="00CD58B0"/>
    <w:rsid w:val="00CD5EF9"/>
    <w:rsid w:val="00CD5F7C"/>
    <w:rsid w:val="00CD6038"/>
    <w:rsid w:val="00CD62A2"/>
    <w:rsid w:val="00CD6D6B"/>
    <w:rsid w:val="00CD7219"/>
    <w:rsid w:val="00CD77C8"/>
    <w:rsid w:val="00CD7B60"/>
    <w:rsid w:val="00CE0117"/>
    <w:rsid w:val="00CE0A3B"/>
    <w:rsid w:val="00CE0FDE"/>
    <w:rsid w:val="00CE1243"/>
    <w:rsid w:val="00CE1B13"/>
    <w:rsid w:val="00CE1B1F"/>
    <w:rsid w:val="00CE1BF9"/>
    <w:rsid w:val="00CE1C1C"/>
    <w:rsid w:val="00CE1C47"/>
    <w:rsid w:val="00CE1C6A"/>
    <w:rsid w:val="00CE1FB0"/>
    <w:rsid w:val="00CE2740"/>
    <w:rsid w:val="00CE2AD3"/>
    <w:rsid w:val="00CE2CE6"/>
    <w:rsid w:val="00CE2FA4"/>
    <w:rsid w:val="00CE3135"/>
    <w:rsid w:val="00CE37D2"/>
    <w:rsid w:val="00CE4064"/>
    <w:rsid w:val="00CE40BD"/>
    <w:rsid w:val="00CE43E0"/>
    <w:rsid w:val="00CE46EA"/>
    <w:rsid w:val="00CE4F61"/>
    <w:rsid w:val="00CE5BF8"/>
    <w:rsid w:val="00CE6050"/>
    <w:rsid w:val="00CE67B4"/>
    <w:rsid w:val="00CE68BF"/>
    <w:rsid w:val="00CE6CFA"/>
    <w:rsid w:val="00CE6D4C"/>
    <w:rsid w:val="00CE6D9D"/>
    <w:rsid w:val="00CE6DC0"/>
    <w:rsid w:val="00CE73C4"/>
    <w:rsid w:val="00CE753B"/>
    <w:rsid w:val="00CE76A4"/>
    <w:rsid w:val="00CE76C2"/>
    <w:rsid w:val="00CE7B39"/>
    <w:rsid w:val="00CF001F"/>
    <w:rsid w:val="00CF00CE"/>
    <w:rsid w:val="00CF0504"/>
    <w:rsid w:val="00CF0809"/>
    <w:rsid w:val="00CF095E"/>
    <w:rsid w:val="00CF0A5E"/>
    <w:rsid w:val="00CF11FF"/>
    <w:rsid w:val="00CF1847"/>
    <w:rsid w:val="00CF1878"/>
    <w:rsid w:val="00CF1A6F"/>
    <w:rsid w:val="00CF1B50"/>
    <w:rsid w:val="00CF1E31"/>
    <w:rsid w:val="00CF278C"/>
    <w:rsid w:val="00CF2A0C"/>
    <w:rsid w:val="00CF2FBA"/>
    <w:rsid w:val="00CF3672"/>
    <w:rsid w:val="00CF3DEC"/>
    <w:rsid w:val="00CF3E73"/>
    <w:rsid w:val="00CF3FCB"/>
    <w:rsid w:val="00CF4057"/>
    <w:rsid w:val="00CF41BD"/>
    <w:rsid w:val="00CF479E"/>
    <w:rsid w:val="00CF4D19"/>
    <w:rsid w:val="00CF5142"/>
    <w:rsid w:val="00CF525C"/>
    <w:rsid w:val="00CF61E6"/>
    <w:rsid w:val="00CF69AD"/>
    <w:rsid w:val="00CF6A2A"/>
    <w:rsid w:val="00CF7543"/>
    <w:rsid w:val="00CF7D47"/>
    <w:rsid w:val="00D0024B"/>
    <w:rsid w:val="00D00656"/>
    <w:rsid w:val="00D00D0C"/>
    <w:rsid w:val="00D00F8E"/>
    <w:rsid w:val="00D018B1"/>
    <w:rsid w:val="00D018B7"/>
    <w:rsid w:val="00D01AC7"/>
    <w:rsid w:val="00D022D8"/>
    <w:rsid w:val="00D0247C"/>
    <w:rsid w:val="00D02719"/>
    <w:rsid w:val="00D030CD"/>
    <w:rsid w:val="00D03213"/>
    <w:rsid w:val="00D03273"/>
    <w:rsid w:val="00D0350D"/>
    <w:rsid w:val="00D03654"/>
    <w:rsid w:val="00D03973"/>
    <w:rsid w:val="00D039F5"/>
    <w:rsid w:val="00D03F6D"/>
    <w:rsid w:val="00D0436A"/>
    <w:rsid w:val="00D04E09"/>
    <w:rsid w:val="00D04F1D"/>
    <w:rsid w:val="00D056D0"/>
    <w:rsid w:val="00D05FC5"/>
    <w:rsid w:val="00D06312"/>
    <w:rsid w:val="00D071DB"/>
    <w:rsid w:val="00D074C6"/>
    <w:rsid w:val="00D07695"/>
    <w:rsid w:val="00D076F2"/>
    <w:rsid w:val="00D0778D"/>
    <w:rsid w:val="00D07946"/>
    <w:rsid w:val="00D07D5F"/>
    <w:rsid w:val="00D10085"/>
    <w:rsid w:val="00D101E8"/>
    <w:rsid w:val="00D10788"/>
    <w:rsid w:val="00D10A6E"/>
    <w:rsid w:val="00D10D8C"/>
    <w:rsid w:val="00D114E0"/>
    <w:rsid w:val="00D11C56"/>
    <w:rsid w:val="00D1234B"/>
    <w:rsid w:val="00D123FD"/>
    <w:rsid w:val="00D12C6F"/>
    <w:rsid w:val="00D13530"/>
    <w:rsid w:val="00D137AE"/>
    <w:rsid w:val="00D144EB"/>
    <w:rsid w:val="00D146AC"/>
    <w:rsid w:val="00D14A57"/>
    <w:rsid w:val="00D14CE1"/>
    <w:rsid w:val="00D1590C"/>
    <w:rsid w:val="00D16209"/>
    <w:rsid w:val="00D1646C"/>
    <w:rsid w:val="00D16B3E"/>
    <w:rsid w:val="00D16F08"/>
    <w:rsid w:val="00D17DBE"/>
    <w:rsid w:val="00D2063C"/>
    <w:rsid w:val="00D209D9"/>
    <w:rsid w:val="00D20C9C"/>
    <w:rsid w:val="00D20CFF"/>
    <w:rsid w:val="00D21639"/>
    <w:rsid w:val="00D217DE"/>
    <w:rsid w:val="00D2180A"/>
    <w:rsid w:val="00D21E37"/>
    <w:rsid w:val="00D21F50"/>
    <w:rsid w:val="00D2207E"/>
    <w:rsid w:val="00D220AB"/>
    <w:rsid w:val="00D229E3"/>
    <w:rsid w:val="00D22A45"/>
    <w:rsid w:val="00D22BFA"/>
    <w:rsid w:val="00D22C4A"/>
    <w:rsid w:val="00D23167"/>
    <w:rsid w:val="00D232BD"/>
    <w:rsid w:val="00D2428E"/>
    <w:rsid w:val="00D248C8"/>
    <w:rsid w:val="00D24FC1"/>
    <w:rsid w:val="00D2515D"/>
    <w:rsid w:val="00D2533E"/>
    <w:rsid w:val="00D25718"/>
    <w:rsid w:val="00D25E81"/>
    <w:rsid w:val="00D25F8A"/>
    <w:rsid w:val="00D25FB9"/>
    <w:rsid w:val="00D266DB"/>
    <w:rsid w:val="00D2670B"/>
    <w:rsid w:val="00D269A0"/>
    <w:rsid w:val="00D27216"/>
    <w:rsid w:val="00D27500"/>
    <w:rsid w:val="00D3005F"/>
    <w:rsid w:val="00D300E1"/>
    <w:rsid w:val="00D306F6"/>
    <w:rsid w:val="00D307B1"/>
    <w:rsid w:val="00D30A70"/>
    <w:rsid w:val="00D3140F"/>
    <w:rsid w:val="00D32475"/>
    <w:rsid w:val="00D326ED"/>
    <w:rsid w:val="00D329FC"/>
    <w:rsid w:val="00D32A02"/>
    <w:rsid w:val="00D32F73"/>
    <w:rsid w:val="00D330FF"/>
    <w:rsid w:val="00D3335D"/>
    <w:rsid w:val="00D3354F"/>
    <w:rsid w:val="00D3375C"/>
    <w:rsid w:val="00D338CE"/>
    <w:rsid w:val="00D33D11"/>
    <w:rsid w:val="00D33DBE"/>
    <w:rsid w:val="00D34726"/>
    <w:rsid w:val="00D34BEF"/>
    <w:rsid w:val="00D34C21"/>
    <w:rsid w:val="00D35584"/>
    <w:rsid w:val="00D3570A"/>
    <w:rsid w:val="00D36485"/>
    <w:rsid w:val="00D366D6"/>
    <w:rsid w:val="00D3788E"/>
    <w:rsid w:val="00D37A3F"/>
    <w:rsid w:val="00D37AC1"/>
    <w:rsid w:val="00D37CD7"/>
    <w:rsid w:val="00D40C07"/>
    <w:rsid w:val="00D40F89"/>
    <w:rsid w:val="00D41294"/>
    <w:rsid w:val="00D416CE"/>
    <w:rsid w:val="00D421E7"/>
    <w:rsid w:val="00D42998"/>
    <w:rsid w:val="00D429DE"/>
    <w:rsid w:val="00D42D83"/>
    <w:rsid w:val="00D42DB7"/>
    <w:rsid w:val="00D432A6"/>
    <w:rsid w:val="00D434AF"/>
    <w:rsid w:val="00D43C69"/>
    <w:rsid w:val="00D43E76"/>
    <w:rsid w:val="00D441CC"/>
    <w:rsid w:val="00D441F8"/>
    <w:rsid w:val="00D44383"/>
    <w:rsid w:val="00D444A3"/>
    <w:rsid w:val="00D449B3"/>
    <w:rsid w:val="00D44D76"/>
    <w:rsid w:val="00D45A9D"/>
    <w:rsid w:val="00D45FA2"/>
    <w:rsid w:val="00D46116"/>
    <w:rsid w:val="00D46345"/>
    <w:rsid w:val="00D47067"/>
    <w:rsid w:val="00D470A8"/>
    <w:rsid w:val="00D47388"/>
    <w:rsid w:val="00D47491"/>
    <w:rsid w:val="00D47DCE"/>
    <w:rsid w:val="00D47EB4"/>
    <w:rsid w:val="00D50106"/>
    <w:rsid w:val="00D509A8"/>
    <w:rsid w:val="00D50D05"/>
    <w:rsid w:val="00D51027"/>
    <w:rsid w:val="00D51BB0"/>
    <w:rsid w:val="00D51C77"/>
    <w:rsid w:val="00D52250"/>
    <w:rsid w:val="00D5233C"/>
    <w:rsid w:val="00D52892"/>
    <w:rsid w:val="00D52956"/>
    <w:rsid w:val="00D52D3A"/>
    <w:rsid w:val="00D53617"/>
    <w:rsid w:val="00D537C1"/>
    <w:rsid w:val="00D53A54"/>
    <w:rsid w:val="00D54179"/>
    <w:rsid w:val="00D54D52"/>
    <w:rsid w:val="00D57062"/>
    <w:rsid w:val="00D573C8"/>
    <w:rsid w:val="00D57A1D"/>
    <w:rsid w:val="00D605BF"/>
    <w:rsid w:val="00D607F2"/>
    <w:rsid w:val="00D60A08"/>
    <w:rsid w:val="00D60D06"/>
    <w:rsid w:val="00D60F89"/>
    <w:rsid w:val="00D615A8"/>
    <w:rsid w:val="00D6202D"/>
    <w:rsid w:val="00D62319"/>
    <w:rsid w:val="00D62973"/>
    <w:rsid w:val="00D62AF8"/>
    <w:rsid w:val="00D63247"/>
    <w:rsid w:val="00D63623"/>
    <w:rsid w:val="00D63A96"/>
    <w:rsid w:val="00D63BFF"/>
    <w:rsid w:val="00D63FAA"/>
    <w:rsid w:val="00D641B7"/>
    <w:rsid w:val="00D646F0"/>
    <w:rsid w:val="00D64C93"/>
    <w:rsid w:val="00D64DED"/>
    <w:rsid w:val="00D652F6"/>
    <w:rsid w:val="00D65E56"/>
    <w:rsid w:val="00D661E6"/>
    <w:rsid w:val="00D6710D"/>
    <w:rsid w:val="00D7056F"/>
    <w:rsid w:val="00D72593"/>
    <w:rsid w:val="00D72CFF"/>
    <w:rsid w:val="00D72E78"/>
    <w:rsid w:val="00D73012"/>
    <w:rsid w:val="00D73332"/>
    <w:rsid w:val="00D73673"/>
    <w:rsid w:val="00D73D15"/>
    <w:rsid w:val="00D73F24"/>
    <w:rsid w:val="00D74441"/>
    <w:rsid w:val="00D7521A"/>
    <w:rsid w:val="00D7542D"/>
    <w:rsid w:val="00D7548B"/>
    <w:rsid w:val="00D7623A"/>
    <w:rsid w:val="00D76444"/>
    <w:rsid w:val="00D76484"/>
    <w:rsid w:val="00D7687D"/>
    <w:rsid w:val="00D76DDA"/>
    <w:rsid w:val="00D76FA9"/>
    <w:rsid w:val="00D772C8"/>
    <w:rsid w:val="00D7769D"/>
    <w:rsid w:val="00D8040B"/>
    <w:rsid w:val="00D808CE"/>
    <w:rsid w:val="00D810F1"/>
    <w:rsid w:val="00D810FB"/>
    <w:rsid w:val="00D811B8"/>
    <w:rsid w:val="00D813C6"/>
    <w:rsid w:val="00D81913"/>
    <w:rsid w:val="00D82950"/>
    <w:rsid w:val="00D83053"/>
    <w:rsid w:val="00D83062"/>
    <w:rsid w:val="00D83092"/>
    <w:rsid w:val="00D84136"/>
    <w:rsid w:val="00D84936"/>
    <w:rsid w:val="00D84A32"/>
    <w:rsid w:val="00D84E12"/>
    <w:rsid w:val="00D84F74"/>
    <w:rsid w:val="00D85150"/>
    <w:rsid w:val="00D8579E"/>
    <w:rsid w:val="00D8593C"/>
    <w:rsid w:val="00D8597C"/>
    <w:rsid w:val="00D85C64"/>
    <w:rsid w:val="00D86019"/>
    <w:rsid w:val="00D860A5"/>
    <w:rsid w:val="00D86756"/>
    <w:rsid w:val="00D867D5"/>
    <w:rsid w:val="00D86B5E"/>
    <w:rsid w:val="00D8703F"/>
    <w:rsid w:val="00D87A42"/>
    <w:rsid w:val="00D87A8B"/>
    <w:rsid w:val="00D90323"/>
    <w:rsid w:val="00D919EC"/>
    <w:rsid w:val="00D91BB3"/>
    <w:rsid w:val="00D91CAF"/>
    <w:rsid w:val="00D92595"/>
    <w:rsid w:val="00D92969"/>
    <w:rsid w:val="00D92A48"/>
    <w:rsid w:val="00D92CA1"/>
    <w:rsid w:val="00D9318B"/>
    <w:rsid w:val="00D931A2"/>
    <w:rsid w:val="00D932F4"/>
    <w:rsid w:val="00D935E2"/>
    <w:rsid w:val="00D93AE4"/>
    <w:rsid w:val="00D93E3D"/>
    <w:rsid w:val="00D93EB7"/>
    <w:rsid w:val="00D94428"/>
    <w:rsid w:val="00D95174"/>
    <w:rsid w:val="00D95FC3"/>
    <w:rsid w:val="00D961E5"/>
    <w:rsid w:val="00D9692B"/>
    <w:rsid w:val="00D96C2D"/>
    <w:rsid w:val="00D97637"/>
    <w:rsid w:val="00D977B0"/>
    <w:rsid w:val="00D97AF9"/>
    <w:rsid w:val="00D97C57"/>
    <w:rsid w:val="00D97EE3"/>
    <w:rsid w:val="00DA10BB"/>
    <w:rsid w:val="00DA148F"/>
    <w:rsid w:val="00DA17C2"/>
    <w:rsid w:val="00DA1F30"/>
    <w:rsid w:val="00DA27B1"/>
    <w:rsid w:val="00DA299C"/>
    <w:rsid w:val="00DA2BB5"/>
    <w:rsid w:val="00DA2E28"/>
    <w:rsid w:val="00DA33BD"/>
    <w:rsid w:val="00DA34DF"/>
    <w:rsid w:val="00DA3BFE"/>
    <w:rsid w:val="00DA4CB8"/>
    <w:rsid w:val="00DA59CC"/>
    <w:rsid w:val="00DA5C52"/>
    <w:rsid w:val="00DA5CDF"/>
    <w:rsid w:val="00DA64C5"/>
    <w:rsid w:val="00DA6527"/>
    <w:rsid w:val="00DA680B"/>
    <w:rsid w:val="00DA68AC"/>
    <w:rsid w:val="00DA711E"/>
    <w:rsid w:val="00DA74D4"/>
    <w:rsid w:val="00DA7560"/>
    <w:rsid w:val="00DA76FA"/>
    <w:rsid w:val="00DA77FD"/>
    <w:rsid w:val="00DA7F3F"/>
    <w:rsid w:val="00DA7FEF"/>
    <w:rsid w:val="00DB001E"/>
    <w:rsid w:val="00DB00E2"/>
    <w:rsid w:val="00DB0BBD"/>
    <w:rsid w:val="00DB0EEF"/>
    <w:rsid w:val="00DB0FE5"/>
    <w:rsid w:val="00DB10FB"/>
    <w:rsid w:val="00DB128E"/>
    <w:rsid w:val="00DB134E"/>
    <w:rsid w:val="00DB19AF"/>
    <w:rsid w:val="00DB1C0B"/>
    <w:rsid w:val="00DB1CA8"/>
    <w:rsid w:val="00DB1EC5"/>
    <w:rsid w:val="00DB20F8"/>
    <w:rsid w:val="00DB2E6D"/>
    <w:rsid w:val="00DB2EE3"/>
    <w:rsid w:val="00DB382F"/>
    <w:rsid w:val="00DB3DCF"/>
    <w:rsid w:val="00DB413D"/>
    <w:rsid w:val="00DB4B21"/>
    <w:rsid w:val="00DB4DCB"/>
    <w:rsid w:val="00DB584B"/>
    <w:rsid w:val="00DB587B"/>
    <w:rsid w:val="00DB5AB6"/>
    <w:rsid w:val="00DB5F78"/>
    <w:rsid w:val="00DB68C6"/>
    <w:rsid w:val="00DB7379"/>
    <w:rsid w:val="00DB742E"/>
    <w:rsid w:val="00DB79B5"/>
    <w:rsid w:val="00DC0376"/>
    <w:rsid w:val="00DC0610"/>
    <w:rsid w:val="00DC114F"/>
    <w:rsid w:val="00DC1491"/>
    <w:rsid w:val="00DC1819"/>
    <w:rsid w:val="00DC1BEC"/>
    <w:rsid w:val="00DC24CB"/>
    <w:rsid w:val="00DC275D"/>
    <w:rsid w:val="00DC3582"/>
    <w:rsid w:val="00DC3BCC"/>
    <w:rsid w:val="00DC3C07"/>
    <w:rsid w:val="00DC4425"/>
    <w:rsid w:val="00DC46CA"/>
    <w:rsid w:val="00DC497A"/>
    <w:rsid w:val="00DC4D0E"/>
    <w:rsid w:val="00DC4D6C"/>
    <w:rsid w:val="00DC608A"/>
    <w:rsid w:val="00DC616A"/>
    <w:rsid w:val="00DC61C7"/>
    <w:rsid w:val="00DC7118"/>
    <w:rsid w:val="00DC72B5"/>
    <w:rsid w:val="00DC7403"/>
    <w:rsid w:val="00DC79AA"/>
    <w:rsid w:val="00DC7A41"/>
    <w:rsid w:val="00DC7BDF"/>
    <w:rsid w:val="00DC7F82"/>
    <w:rsid w:val="00DD02C0"/>
    <w:rsid w:val="00DD04F1"/>
    <w:rsid w:val="00DD08BF"/>
    <w:rsid w:val="00DD08D4"/>
    <w:rsid w:val="00DD0A6A"/>
    <w:rsid w:val="00DD0D08"/>
    <w:rsid w:val="00DD10CF"/>
    <w:rsid w:val="00DD11A3"/>
    <w:rsid w:val="00DD11E3"/>
    <w:rsid w:val="00DD14BA"/>
    <w:rsid w:val="00DD1FFE"/>
    <w:rsid w:val="00DD209D"/>
    <w:rsid w:val="00DD272B"/>
    <w:rsid w:val="00DD323D"/>
    <w:rsid w:val="00DD32CB"/>
    <w:rsid w:val="00DD32E4"/>
    <w:rsid w:val="00DD3B00"/>
    <w:rsid w:val="00DD3F9F"/>
    <w:rsid w:val="00DD4601"/>
    <w:rsid w:val="00DD4A6E"/>
    <w:rsid w:val="00DD4BF7"/>
    <w:rsid w:val="00DD5234"/>
    <w:rsid w:val="00DD52A7"/>
    <w:rsid w:val="00DD53F4"/>
    <w:rsid w:val="00DD57B3"/>
    <w:rsid w:val="00DD5DA8"/>
    <w:rsid w:val="00DD5FB5"/>
    <w:rsid w:val="00DD6383"/>
    <w:rsid w:val="00DD6A34"/>
    <w:rsid w:val="00DD7672"/>
    <w:rsid w:val="00DE083A"/>
    <w:rsid w:val="00DE0880"/>
    <w:rsid w:val="00DE0C74"/>
    <w:rsid w:val="00DE0EA0"/>
    <w:rsid w:val="00DE16F8"/>
    <w:rsid w:val="00DE1909"/>
    <w:rsid w:val="00DE1C74"/>
    <w:rsid w:val="00DE1DAD"/>
    <w:rsid w:val="00DE209E"/>
    <w:rsid w:val="00DE283E"/>
    <w:rsid w:val="00DE296E"/>
    <w:rsid w:val="00DE29FD"/>
    <w:rsid w:val="00DE2CFA"/>
    <w:rsid w:val="00DE2F97"/>
    <w:rsid w:val="00DE36E9"/>
    <w:rsid w:val="00DE3768"/>
    <w:rsid w:val="00DE3C0A"/>
    <w:rsid w:val="00DE40B0"/>
    <w:rsid w:val="00DE42ED"/>
    <w:rsid w:val="00DE44D9"/>
    <w:rsid w:val="00DE472E"/>
    <w:rsid w:val="00DE4853"/>
    <w:rsid w:val="00DE4AEC"/>
    <w:rsid w:val="00DE4CEE"/>
    <w:rsid w:val="00DE4F85"/>
    <w:rsid w:val="00DE4FF4"/>
    <w:rsid w:val="00DE5A4F"/>
    <w:rsid w:val="00DE5DA1"/>
    <w:rsid w:val="00DE687F"/>
    <w:rsid w:val="00DE73AF"/>
    <w:rsid w:val="00DE762F"/>
    <w:rsid w:val="00DE7A13"/>
    <w:rsid w:val="00DF0A62"/>
    <w:rsid w:val="00DF0EC4"/>
    <w:rsid w:val="00DF0F7A"/>
    <w:rsid w:val="00DF148B"/>
    <w:rsid w:val="00DF1534"/>
    <w:rsid w:val="00DF1773"/>
    <w:rsid w:val="00DF23CF"/>
    <w:rsid w:val="00DF27CF"/>
    <w:rsid w:val="00DF2A8A"/>
    <w:rsid w:val="00DF2B64"/>
    <w:rsid w:val="00DF2BB8"/>
    <w:rsid w:val="00DF324C"/>
    <w:rsid w:val="00DF32D0"/>
    <w:rsid w:val="00DF32F9"/>
    <w:rsid w:val="00DF3890"/>
    <w:rsid w:val="00DF3B92"/>
    <w:rsid w:val="00DF3D0C"/>
    <w:rsid w:val="00DF4A43"/>
    <w:rsid w:val="00DF4D81"/>
    <w:rsid w:val="00DF4E0F"/>
    <w:rsid w:val="00DF5EF3"/>
    <w:rsid w:val="00DF609B"/>
    <w:rsid w:val="00DF6980"/>
    <w:rsid w:val="00DF6F3A"/>
    <w:rsid w:val="00DF6F7B"/>
    <w:rsid w:val="00DF70A9"/>
    <w:rsid w:val="00DF7752"/>
    <w:rsid w:val="00DF77E6"/>
    <w:rsid w:val="00DF7CAC"/>
    <w:rsid w:val="00DF7E6F"/>
    <w:rsid w:val="00E000D1"/>
    <w:rsid w:val="00E012B0"/>
    <w:rsid w:val="00E01349"/>
    <w:rsid w:val="00E019D7"/>
    <w:rsid w:val="00E01B4F"/>
    <w:rsid w:val="00E01CDD"/>
    <w:rsid w:val="00E01FC3"/>
    <w:rsid w:val="00E02582"/>
    <w:rsid w:val="00E0258C"/>
    <w:rsid w:val="00E02A6B"/>
    <w:rsid w:val="00E03083"/>
    <w:rsid w:val="00E0309B"/>
    <w:rsid w:val="00E03982"/>
    <w:rsid w:val="00E039BE"/>
    <w:rsid w:val="00E041AC"/>
    <w:rsid w:val="00E042D0"/>
    <w:rsid w:val="00E047AC"/>
    <w:rsid w:val="00E04975"/>
    <w:rsid w:val="00E04F5E"/>
    <w:rsid w:val="00E055EB"/>
    <w:rsid w:val="00E05C36"/>
    <w:rsid w:val="00E05C98"/>
    <w:rsid w:val="00E06D2E"/>
    <w:rsid w:val="00E07473"/>
    <w:rsid w:val="00E07B06"/>
    <w:rsid w:val="00E07E22"/>
    <w:rsid w:val="00E105E8"/>
    <w:rsid w:val="00E1160F"/>
    <w:rsid w:val="00E120C4"/>
    <w:rsid w:val="00E1276A"/>
    <w:rsid w:val="00E128D7"/>
    <w:rsid w:val="00E12E13"/>
    <w:rsid w:val="00E12F12"/>
    <w:rsid w:val="00E1340B"/>
    <w:rsid w:val="00E1394A"/>
    <w:rsid w:val="00E13962"/>
    <w:rsid w:val="00E13D3C"/>
    <w:rsid w:val="00E13D79"/>
    <w:rsid w:val="00E13D83"/>
    <w:rsid w:val="00E13F54"/>
    <w:rsid w:val="00E144CF"/>
    <w:rsid w:val="00E14AE6"/>
    <w:rsid w:val="00E15FAD"/>
    <w:rsid w:val="00E160C3"/>
    <w:rsid w:val="00E162A7"/>
    <w:rsid w:val="00E162AC"/>
    <w:rsid w:val="00E1630B"/>
    <w:rsid w:val="00E163BB"/>
    <w:rsid w:val="00E1690D"/>
    <w:rsid w:val="00E16BF5"/>
    <w:rsid w:val="00E17307"/>
    <w:rsid w:val="00E17AAD"/>
    <w:rsid w:val="00E17DC0"/>
    <w:rsid w:val="00E17F1C"/>
    <w:rsid w:val="00E202F0"/>
    <w:rsid w:val="00E21061"/>
    <w:rsid w:val="00E22268"/>
    <w:rsid w:val="00E22269"/>
    <w:rsid w:val="00E22536"/>
    <w:rsid w:val="00E226E6"/>
    <w:rsid w:val="00E227DB"/>
    <w:rsid w:val="00E2296E"/>
    <w:rsid w:val="00E22FCF"/>
    <w:rsid w:val="00E232DE"/>
    <w:rsid w:val="00E237C7"/>
    <w:rsid w:val="00E253F2"/>
    <w:rsid w:val="00E2579C"/>
    <w:rsid w:val="00E2585D"/>
    <w:rsid w:val="00E259D2"/>
    <w:rsid w:val="00E25A13"/>
    <w:rsid w:val="00E25B0F"/>
    <w:rsid w:val="00E25E41"/>
    <w:rsid w:val="00E26571"/>
    <w:rsid w:val="00E266CF"/>
    <w:rsid w:val="00E26735"/>
    <w:rsid w:val="00E26C83"/>
    <w:rsid w:val="00E26E21"/>
    <w:rsid w:val="00E27138"/>
    <w:rsid w:val="00E27E88"/>
    <w:rsid w:val="00E3017F"/>
    <w:rsid w:val="00E313DE"/>
    <w:rsid w:val="00E3175F"/>
    <w:rsid w:val="00E3229F"/>
    <w:rsid w:val="00E3248F"/>
    <w:rsid w:val="00E325F6"/>
    <w:rsid w:val="00E329FE"/>
    <w:rsid w:val="00E32B1F"/>
    <w:rsid w:val="00E32B84"/>
    <w:rsid w:val="00E3349B"/>
    <w:rsid w:val="00E335AD"/>
    <w:rsid w:val="00E3395D"/>
    <w:rsid w:val="00E33B8A"/>
    <w:rsid w:val="00E33C76"/>
    <w:rsid w:val="00E340C1"/>
    <w:rsid w:val="00E3415A"/>
    <w:rsid w:val="00E34ACB"/>
    <w:rsid w:val="00E353D1"/>
    <w:rsid w:val="00E354B0"/>
    <w:rsid w:val="00E359DF"/>
    <w:rsid w:val="00E36507"/>
    <w:rsid w:val="00E36C83"/>
    <w:rsid w:val="00E3768F"/>
    <w:rsid w:val="00E37D52"/>
    <w:rsid w:val="00E37E18"/>
    <w:rsid w:val="00E4049D"/>
    <w:rsid w:val="00E40E16"/>
    <w:rsid w:val="00E417AF"/>
    <w:rsid w:val="00E41D62"/>
    <w:rsid w:val="00E41D92"/>
    <w:rsid w:val="00E4261A"/>
    <w:rsid w:val="00E42CDB"/>
    <w:rsid w:val="00E43359"/>
    <w:rsid w:val="00E442D9"/>
    <w:rsid w:val="00E44A01"/>
    <w:rsid w:val="00E455AF"/>
    <w:rsid w:val="00E45958"/>
    <w:rsid w:val="00E45971"/>
    <w:rsid w:val="00E46297"/>
    <w:rsid w:val="00E467AD"/>
    <w:rsid w:val="00E46B56"/>
    <w:rsid w:val="00E470B0"/>
    <w:rsid w:val="00E478ED"/>
    <w:rsid w:val="00E47B30"/>
    <w:rsid w:val="00E47C1C"/>
    <w:rsid w:val="00E50165"/>
    <w:rsid w:val="00E509E8"/>
    <w:rsid w:val="00E512BC"/>
    <w:rsid w:val="00E51301"/>
    <w:rsid w:val="00E51766"/>
    <w:rsid w:val="00E51CFD"/>
    <w:rsid w:val="00E52416"/>
    <w:rsid w:val="00E5267E"/>
    <w:rsid w:val="00E527AC"/>
    <w:rsid w:val="00E52935"/>
    <w:rsid w:val="00E52CF3"/>
    <w:rsid w:val="00E52DE9"/>
    <w:rsid w:val="00E533D8"/>
    <w:rsid w:val="00E53434"/>
    <w:rsid w:val="00E537C2"/>
    <w:rsid w:val="00E53D4F"/>
    <w:rsid w:val="00E5421F"/>
    <w:rsid w:val="00E5441B"/>
    <w:rsid w:val="00E545DA"/>
    <w:rsid w:val="00E5507B"/>
    <w:rsid w:val="00E55657"/>
    <w:rsid w:val="00E5621B"/>
    <w:rsid w:val="00E56456"/>
    <w:rsid w:val="00E57050"/>
    <w:rsid w:val="00E5783A"/>
    <w:rsid w:val="00E57918"/>
    <w:rsid w:val="00E607F3"/>
    <w:rsid w:val="00E61030"/>
    <w:rsid w:val="00E62708"/>
    <w:rsid w:val="00E62B68"/>
    <w:rsid w:val="00E62D75"/>
    <w:rsid w:val="00E632C6"/>
    <w:rsid w:val="00E6388C"/>
    <w:rsid w:val="00E63A1E"/>
    <w:rsid w:val="00E645CB"/>
    <w:rsid w:val="00E64674"/>
    <w:rsid w:val="00E646F0"/>
    <w:rsid w:val="00E647B1"/>
    <w:rsid w:val="00E647D3"/>
    <w:rsid w:val="00E64A14"/>
    <w:rsid w:val="00E64A7A"/>
    <w:rsid w:val="00E650CB"/>
    <w:rsid w:val="00E65236"/>
    <w:rsid w:val="00E656E0"/>
    <w:rsid w:val="00E65C4C"/>
    <w:rsid w:val="00E669AC"/>
    <w:rsid w:val="00E66C34"/>
    <w:rsid w:val="00E66F03"/>
    <w:rsid w:val="00E67A3D"/>
    <w:rsid w:val="00E70B18"/>
    <w:rsid w:val="00E70FE5"/>
    <w:rsid w:val="00E71B89"/>
    <w:rsid w:val="00E71C4A"/>
    <w:rsid w:val="00E71E24"/>
    <w:rsid w:val="00E72221"/>
    <w:rsid w:val="00E72308"/>
    <w:rsid w:val="00E72470"/>
    <w:rsid w:val="00E727C7"/>
    <w:rsid w:val="00E729F1"/>
    <w:rsid w:val="00E72E8E"/>
    <w:rsid w:val="00E73136"/>
    <w:rsid w:val="00E73165"/>
    <w:rsid w:val="00E7325D"/>
    <w:rsid w:val="00E74704"/>
    <w:rsid w:val="00E74B61"/>
    <w:rsid w:val="00E74EAC"/>
    <w:rsid w:val="00E7511C"/>
    <w:rsid w:val="00E753EF"/>
    <w:rsid w:val="00E755F5"/>
    <w:rsid w:val="00E75626"/>
    <w:rsid w:val="00E76382"/>
    <w:rsid w:val="00E768D8"/>
    <w:rsid w:val="00E76D03"/>
    <w:rsid w:val="00E774D5"/>
    <w:rsid w:val="00E7752E"/>
    <w:rsid w:val="00E77543"/>
    <w:rsid w:val="00E77BCE"/>
    <w:rsid w:val="00E80635"/>
    <w:rsid w:val="00E80B17"/>
    <w:rsid w:val="00E8168D"/>
    <w:rsid w:val="00E81A4E"/>
    <w:rsid w:val="00E81BAE"/>
    <w:rsid w:val="00E82018"/>
    <w:rsid w:val="00E82186"/>
    <w:rsid w:val="00E8229A"/>
    <w:rsid w:val="00E82363"/>
    <w:rsid w:val="00E824DD"/>
    <w:rsid w:val="00E8283D"/>
    <w:rsid w:val="00E8284F"/>
    <w:rsid w:val="00E82E38"/>
    <w:rsid w:val="00E8341C"/>
    <w:rsid w:val="00E83ECB"/>
    <w:rsid w:val="00E84655"/>
    <w:rsid w:val="00E846DD"/>
    <w:rsid w:val="00E84E44"/>
    <w:rsid w:val="00E84F80"/>
    <w:rsid w:val="00E85390"/>
    <w:rsid w:val="00E85613"/>
    <w:rsid w:val="00E8566F"/>
    <w:rsid w:val="00E8578A"/>
    <w:rsid w:val="00E85DA2"/>
    <w:rsid w:val="00E8631D"/>
    <w:rsid w:val="00E86906"/>
    <w:rsid w:val="00E870C4"/>
    <w:rsid w:val="00E872AF"/>
    <w:rsid w:val="00E87310"/>
    <w:rsid w:val="00E87937"/>
    <w:rsid w:val="00E87A75"/>
    <w:rsid w:val="00E87EBB"/>
    <w:rsid w:val="00E87EEC"/>
    <w:rsid w:val="00E87FDD"/>
    <w:rsid w:val="00E90A88"/>
    <w:rsid w:val="00E90E70"/>
    <w:rsid w:val="00E91792"/>
    <w:rsid w:val="00E918C7"/>
    <w:rsid w:val="00E921B9"/>
    <w:rsid w:val="00E921FE"/>
    <w:rsid w:val="00E927BB"/>
    <w:rsid w:val="00E92AB6"/>
    <w:rsid w:val="00E92B0F"/>
    <w:rsid w:val="00E92EEB"/>
    <w:rsid w:val="00E936F4"/>
    <w:rsid w:val="00E94B21"/>
    <w:rsid w:val="00E94D64"/>
    <w:rsid w:val="00E955AC"/>
    <w:rsid w:val="00E96959"/>
    <w:rsid w:val="00E96F0F"/>
    <w:rsid w:val="00E97268"/>
    <w:rsid w:val="00E973AD"/>
    <w:rsid w:val="00E97545"/>
    <w:rsid w:val="00E97995"/>
    <w:rsid w:val="00E97A95"/>
    <w:rsid w:val="00E97FF5"/>
    <w:rsid w:val="00EA046A"/>
    <w:rsid w:val="00EA0ED8"/>
    <w:rsid w:val="00EA0FE0"/>
    <w:rsid w:val="00EA1049"/>
    <w:rsid w:val="00EA132A"/>
    <w:rsid w:val="00EA152E"/>
    <w:rsid w:val="00EA1962"/>
    <w:rsid w:val="00EA1B6F"/>
    <w:rsid w:val="00EA1DA2"/>
    <w:rsid w:val="00EA1ED8"/>
    <w:rsid w:val="00EA2396"/>
    <w:rsid w:val="00EA2934"/>
    <w:rsid w:val="00EA2E4A"/>
    <w:rsid w:val="00EA2EE8"/>
    <w:rsid w:val="00EA3CD9"/>
    <w:rsid w:val="00EA476B"/>
    <w:rsid w:val="00EA4870"/>
    <w:rsid w:val="00EA49A7"/>
    <w:rsid w:val="00EA4A14"/>
    <w:rsid w:val="00EA4E42"/>
    <w:rsid w:val="00EA5080"/>
    <w:rsid w:val="00EA5249"/>
    <w:rsid w:val="00EA599E"/>
    <w:rsid w:val="00EA5A83"/>
    <w:rsid w:val="00EA5C1E"/>
    <w:rsid w:val="00EA666D"/>
    <w:rsid w:val="00EA6C4C"/>
    <w:rsid w:val="00EA70CF"/>
    <w:rsid w:val="00EA731F"/>
    <w:rsid w:val="00EA773D"/>
    <w:rsid w:val="00EA77FC"/>
    <w:rsid w:val="00EA7A7A"/>
    <w:rsid w:val="00EA7ACD"/>
    <w:rsid w:val="00EA7C13"/>
    <w:rsid w:val="00EA7E30"/>
    <w:rsid w:val="00EA7FDD"/>
    <w:rsid w:val="00EB006B"/>
    <w:rsid w:val="00EB0107"/>
    <w:rsid w:val="00EB01FE"/>
    <w:rsid w:val="00EB027A"/>
    <w:rsid w:val="00EB02CD"/>
    <w:rsid w:val="00EB0A02"/>
    <w:rsid w:val="00EB10CD"/>
    <w:rsid w:val="00EB11BB"/>
    <w:rsid w:val="00EB1234"/>
    <w:rsid w:val="00EB15D2"/>
    <w:rsid w:val="00EB1848"/>
    <w:rsid w:val="00EB1A0F"/>
    <w:rsid w:val="00EB2C27"/>
    <w:rsid w:val="00EB2FF4"/>
    <w:rsid w:val="00EB30EA"/>
    <w:rsid w:val="00EB319B"/>
    <w:rsid w:val="00EB34A7"/>
    <w:rsid w:val="00EB375D"/>
    <w:rsid w:val="00EB3831"/>
    <w:rsid w:val="00EB3C2A"/>
    <w:rsid w:val="00EB409D"/>
    <w:rsid w:val="00EB42B1"/>
    <w:rsid w:val="00EB47FF"/>
    <w:rsid w:val="00EB4BF0"/>
    <w:rsid w:val="00EB4F4C"/>
    <w:rsid w:val="00EB4F80"/>
    <w:rsid w:val="00EB5400"/>
    <w:rsid w:val="00EB68E2"/>
    <w:rsid w:val="00EB72DE"/>
    <w:rsid w:val="00EB757B"/>
    <w:rsid w:val="00EB7690"/>
    <w:rsid w:val="00EB7694"/>
    <w:rsid w:val="00EB771D"/>
    <w:rsid w:val="00EB7A07"/>
    <w:rsid w:val="00EC0344"/>
    <w:rsid w:val="00EC0587"/>
    <w:rsid w:val="00EC0DDE"/>
    <w:rsid w:val="00EC10DD"/>
    <w:rsid w:val="00EC1230"/>
    <w:rsid w:val="00EC1247"/>
    <w:rsid w:val="00EC134B"/>
    <w:rsid w:val="00EC19F0"/>
    <w:rsid w:val="00EC1B42"/>
    <w:rsid w:val="00EC1C98"/>
    <w:rsid w:val="00EC33DB"/>
    <w:rsid w:val="00EC38DA"/>
    <w:rsid w:val="00EC3C98"/>
    <w:rsid w:val="00EC4C70"/>
    <w:rsid w:val="00EC546C"/>
    <w:rsid w:val="00EC5711"/>
    <w:rsid w:val="00EC6485"/>
    <w:rsid w:val="00EC66AC"/>
    <w:rsid w:val="00EC75F4"/>
    <w:rsid w:val="00EC77C2"/>
    <w:rsid w:val="00EC7DD2"/>
    <w:rsid w:val="00ED070B"/>
    <w:rsid w:val="00ED0F10"/>
    <w:rsid w:val="00ED1923"/>
    <w:rsid w:val="00ED21D1"/>
    <w:rsid w:val="00ED22C2"/>
    <w:rsid w:val="00ED237B"/>
    <w:rsid w:val="00ED2753"/>
    <w:rsid w:val="00ED2864"/>
    <w:rsid w:val="00ED2C69"/>
    <w:rsid w:val="00ED333C"/>
    <w:rsid w:val="00ED37D2"/>
    <w:rsid w:val="00ED44A4"/>
    <w:rsid w:val="00ED45E5"/>
    <w:rsid w:val="00ED4FBC"/>
    <w:rsid w:val="00ED51AB"/>
    <w:rsid w:val="00ED5310"/>
    <w:rsid w:val="00ED60DF"/>
    <w:rsid w:val="00ED6112"/>
    <w:rsid w:val="00ED668C"/>
    <w:rsid w:val="00ED68B7"/>
    <w:rsid w:val="00ED7B36"/>
    <w:rsid w:val="00EE01A5"/>
    <w:rsid w:val="00EE02D0"/>
    <w:rsid w:val="00EE0D7A"/>
    <w:rsid w:val="00EE110B"/>
    <w:rsid w:val="00EE11EC"/>
    <w:rsid w:val="00EE200F"/>
    <w:rsid w:val="00EE247E"/>
    <w:rsid w:val="00EE2A61"/>
    <w:rsid w:val="00EE2ADD"/>
    <w:rsid w:val="00EE2EBB"/>
    <w:rsid w:val="00EE368C"/>
    <w:rsid w:val="00EE3B0B"/>
    <w:rsid w:val="00EE3EE7"/>
    <w:rsid w:val="00EE52E3"/>
    <w:rsid w:val="00EE5653"/>
    <w:rsid w:val="00EE570B"/>
    <w:rsid w:val="00EE585E"/>
    <w:rsid w:val="00EE5F0A"/>
    <w:rsid w:val="00EE611D"/>
    <w:rsid w:val="00EE65CB"/>
    <w:rsid w:val="00EE65ED"/>
    <w:rsid w:val="00EE68D0"/>
    <w:rsid w:val="00EE7099"/>
    <w:rsid w:val="00EE7482"/>
    <w:rsid w:val="00EE7552"/>
    <w:rsid w:val="00EE7E5C"/>
    <w:rsid w:val="00EF05C2"/>
    <w:rsid w:val="00EF0717"/>
    <w:rsid w:val="00EF0C56"/>
    <w:rsid w:val="00EF0CE7"/>
    <w:rsid w:val="00EF0F3D"/>
    <w:rsid w:val="00EF19DE"/>
    <w:rsid w:val="00EF1C6D"/>
    <w:rsid w:val="00EF2364"/>
    <w:rsid w:val="00EF2683"/>
    <w:rsid w:val="00EF2BD2"/>
    <w:rsid w:val="00EF32D6"/>
    <w:rsid w:val="00EF3922"/>
    <w:rsid w:val="00EF39DF"/>
    <w:rsid w:val="00EF3B29"/>
    <w:rsid w:val="00EF4C01"/>
    <w:rsid w:val="00EF4D46"/>
    <w:rsid w:val="00EF53EE"/>
    <w:rsid w:val="00EF55E2"/>
    <w:rsid w:val="00EF5941"/>
    <w:rsid w:val="00EF61D7"/>
    <w:rsid w:val="00EF6F92"/>
    <w:rsid w:val="00EF6FA9"/>
    <w:rsid w:val="00EF70A5"/>
    <w:rsid w:val="00EF7EB9"/>
    <w:rsid w:val="00F00C1F"/>
    <w:rsid w:val="00F012E5"/>
    <w:rsid w:val="00F01D35"/>
    <w:rsid w:val="00F01D4E"/>
    <w:rsid w:val="00F020C7"/>
    <w:rsid w:val="00F021C1"/>
    <w:rsid w:val="00F03540"/>
    <w:rsid w:val="00F03898"/>
    <w:rsid w:val="00F03966"/>
    <w:rsid w:val="00F03E1E"/>
    <w:rsid w:val="00F04304"/>
    <w:rsid w:val="00F05E56"/>
    <w:rsid w:val="00F05F57"/>
    <w:rsid w:val="00F07874"/>
    <w:rsid w:val="00F07B25"/>
    <w:rsid w:val="00F07FD3"/>
    <w:rsid w:val="00F10011"/>
    <w:rsid w:val="00F10019"/>
    <w:rsid w:val="00F10711"/>
    <w:rsid w:val="00F108E6"/>
    <w:rsid w:val="00F10934"/>
    <w:rsid w:val="00F112BB"/>
    <w:rsid w:val="00F115BD"/>
    <w:rsid w:val="00F1199E"/>
    <w:rsid w:val="00F12111"/>
    <w:rsid w:val="00F12619"/>
    <w:rsid w:val="00F132D5"/>
    <w:rsid w:val="00F141F4"/>
    <w:rsid w:val="00F1434B"/>
    <w:rsid w:val="00F1437B"/>
    <w:rsid w:val="00F14C58"/>
    <w:rsid w:val="00F14FAC"/>
    <w:rsid w:val="00F1611D"/>
    <w:rsid w:val="00F168D5"/>
    <w:rsid w:val="00F1795C"/>
    <w:rsid w:val="00F17F50"/>
    <w:rsid w:val="00F206C7"/>
    <w:rsid w:val="00F2073A"/>
    <w:rsid w:val="00F20BFE"/>
    <w:rsid w:val="00F20DA0"/>
    <w:rsid w:val="00F20E5C"/>
    <w:rsid w:val="00F21054"/>
    <w:rsid w:val="00F2105A"/>
    <w:rsid w:val="00F214AE"/>
    <w:rsid w:val="00F214FD"/>
    <w:rsid w:val="00F2200D"/>
    <w:rsid w:val="00F2212B"/>
    <w:rsid w:val="00F222E3"/>
    <w:rsid w:val="00F22752"/>
    <w:rsid w:val="00F22B35"/>
    <w:rsid w:val="00F22DC6"/>
    <w:rsid w:val="00F230DD"/>
    <w:rsid w:val="00F23451"/>
    <w:rsid w:val="00F23DB4"/>
    <w:rsid w:val="00F23DD2"/>
    <w:rsid w:val="00F23E22"/>
    <w:rsid w:val="00F240B0"/>
    <w:rsid w:val="00F2425B"/>
    <w:rsid w:val="00F24474"/>
    <w:rsid w:val="00F25160"/>
    <w:rsid w:val="00F25699"/>
    <w:rsid w:val="00F25D0B"/>
    <w:rsid w:val="00F25E6A"/>
    <w:rsid w:val="00F25E9B"/>
    <w:rsid w:val="00F2621B"/>
    <w:rsid w:val="00F26874"/>
    <w:rsid w:val="00F26A8D"/>
    <w:rsid w:val="00F26C76"/>
    <w:rsid w:val="00F26F79"/>
    <w:rsid w:val="00F275D5"/>
    <w:rsid w:val="00F275FD"/>
    <w:rsid w:val="00F3017C"/>
    <w:rsid w:val="00F30942"/>
    <w:rsid w:val="00F30E61"/>
    <w:rsid w:val="00F31312"/>
    <w:rsid w:val="00F3198D"/>
    <w:rsid w:val="00F31C70"/>
    <w:rsid w:val="00F31E96"/>
    <w:rsid w:val="00F32332"/>
    <w:rsid w:val="00F3273D"/>
    <w:rsid w:val="00F329CE"/>
    <w:rsid w:val="00F32BAB"/>
    <w:rsid w:val="00F32C04"/>
    <w:rsid w:val="00F33926"/>
    <w:rsid w:val="00F33CA6"/>
    <w:rsid w:val="00F33D9F"/>
    <w:rsid w:val="00F3403C"/>
    <w:rsid w:val="00F34797"/>
    <w:rsid w:val="00F34968"/>
    <w:rsid w:val="00F34973"/>
    <w:rsid w:val="00F34A88"/>
    <w:rsid w:val="00F34BCB"/>
    <w:rsid w:val="00F34D16"/>
    <w:rsid w:val="00F35078"/>
    <w:rsid w:val="00F3569A"/>
    <w:rsid w:val="00F35D02"/>
    <w:rsid w:val="00F35D20"/>
    <w:rsid w:val="00F35E07"/>
    <w:rsid w:val="00F360B9"/>
    <w:rsid w:val="00F3682E"/>
    <w:rsid w:val="00F36A54"/>
    <w:rsid w:val="00F36C32"/>
    <w:rsid w:val="00F37284"/>
    <w:rsid w:val="00F37671"/>
    <w:rsid w:val="00F37933"/>
    <w:rsid w:val="00F379F0"/>
    <w:rsid w:val="00F37AB8"/>
    <w:rsid w:val="00F37F83"/>
    <w:rsid w:val="00F40F20"/>
    <w:rsid w:val="00F414D2"/>
    <w:rsid w:val="00F42332"/>
    <w:rsid w:val="00F425EC"/>
    <w:rsid w:val="00F434A6"/>
    <w:rsid w:val="00F435F4"/>
    <w:rsid w:val="00F438EE"/>
    <w:rsid w:val="00F43A81"/>
    <w:rsid w:val="00F446D6"/>
    <w:rsid w:val="00F451BA"/>
    <w:rsid w:val="00F453DF"/>
    <w:rsid w:val="00F4576A"/>
    <w:rsid w:val="00F45A75"/>
    <w:rsid w:val="00F4624A"/>
    <w:rsid w:val="00F4641A"/>
    <w:rsid w:val="00F46F6F"/>
    <w:rsid w:val="00F473A3"/>
    <w:rsid w:val="00F47B5F"/>
    <w:rsid w:val="00F47D33"/>
    <w:rsid w:val="00F47F10"/>
    <w:rsid w:val="00F507A2"/>
    <w:rsid w:val="00F50CD8"/>
    <w:rsid w:val="00F5192B"/>
    <w:rsid w:val="00F521FD"/>
    <w:rsid w:val="00F529FA"/>
    <w:rsid w:val="00F52C0E"/>
    <w:rsid w:val="00F52E4B"/>
    <w:rsid w:val="00F53148"/>
    <w:rsid w:val="00F5350D"/>
    <w:rsid w:val="00F537C3"/>
    <w:rsid w:val="00F5398C"/>
    <w:rsid w:val="00F53D4A"/>
    <w:rsid w:val="00F5445B"/>
    <w:rsid w:val="00F5504E"/>
    <w:rsid w:val="00F56262"/>
    <w:rsid w:val="00F5645B"/>
    <w:rsid w:val="00F56BBD"/>
    <w:rsid w:val="00F573D9"/>
    <w:rsid w:val="00F57505"/>
    <w:rsid w:val="00F576E0"/>
    <w:rsid w:val="00F5771E"/>
    <w:rsid w:val="00F57814"/>
    <w:rsid w:val="00F57894"/>
    <w:rsid w:val="00F57C83"/>
    <w:rsid w:val="00F57E97"/>
    <w:rsid w:val="00F602C4"/>
    <w:rsid w:val="00F60C59"/>
    <w:rsid w:val="00F60F4A"/>
    <w:rsid w:val="00F61145"/>
    <w:rsid w:val="00F611B7"/>
    <w:rsid w:val="00F6161C"/>
    <w:rsid w:val="00F61817"/>
    <w:rsid w:val="00F61850"/>
    <w:rsid w:val="00F61B0A"/>
    <w:rsid w:val="00F61C74"/>
    <w:rsid w:val="00F61C89"/>
    <w:rsid w:val="00F6290C"/>
    <w:rsid w:val="00F6362C"/>
    <w:rsid w:val="00F63746"/>
    <w:rsid w:val="00F63934"/>
    <w:rsid w:val="00F6398B"/>
    <w:rsid w:val="00F64123"/>
    <w:rsid w:val="00F64BC8"/>
    <w:rsid w:val="00F64F25"/>
    <w:rsid w:val="00F65171"/>
    <w:rsid w:val="00F65686"/>
    <w:rsid w:val="00F65EC6"/>
    <w:rsid w:val="00F660E8"/>
    <w:rsid w:val="00F662AE"/>
    <w:rsid w:val="00F664BF"/>
    <w:rsid w:val="00F66EF6"/>
    <w:rsid w:val="00F67164"/>
    <w:rsid w:val="00F674A4"/>
    <w:rsid w:val="00F6751B"/>
    <w:rsid w:val="00F678EC"/>
    <w:rsid w:val="00F704FD"/>
    <w:rsid w:val="00F70808"/>
    <w:rsid w:val="00F70864"/>
    <w:rsid w:val="00F70883"/>
    <w:rsid w:val="00F709A3"/>
    <w:rsid w:val="00F7100E"/>
    <w:rsid w:val="00F71376"/>
    <w:rsid w:val="00F7202D"/>
    <w:rsid w:val="00F720A2"/>
    <w:rsid w:val="00F7228A"/>
    <w:rsid w:val="00F7238B"/>
    <w:rsid w:val="00F723E3"/>
    <w:rsid w:val="00F72922"/>
    <w:rsid w:val="00F72D2C"/>
    <w:rsid w:val="00F73490"/>
    <w:rsid w:val="00F73519"/>
    <w:rsid w:val="00F735F4"/>
    <w:rsid w:val="00F73E6D"/>
    <w:rsid w:val="00F73E70"/>
    <w:rsid w:val="00F74C9A"/>
    <w:rsid w:val="00F75C7C"/>
    <w:rsid w:val="00F75DF4"/>
    <w:rsid w:val="00F7645E"/>
    <w:rsid w:val="00F7657F"/>
    <w:rsid w:val="00F76DA9"/>
    <w:rsid w:val="00F77217"/>
    <w:rsid w:val="00F77F54"/>
    <w:rsid w:val="00F80C98"/>
    <w:rsid w:val="00F80CBC"/>
    <w:rsid w:val="00F81088"/>
    <w:rsid w:val="00F8195D"/>
    <w:rsid w:val="00F81B67"/>
    <w:rsid w:val="00F8235B"/>
    <w:rsid w:val="00F82BA8"/>
    <w:rsid w:val="00F82BE6"/>
    <w:rsid w:val="00F82E7A"/>
    <w:rsid w:val="00F83514"/>
    <w:rsid w:val="00F83618"/>
    <w:rsid w:val="00F8398E"/>
    <w:rsid w:val="00F844C6"/>
    <w:rsid w:val="00F84A4B"/>
    <w:rsid w:val="00F84CFE"/>
    <w:rsid w:val="00F84D84"/>
    <w:rsid w:val="00F84DF5"/>
    <w:rsid w:val="00F8539B"/>
    <w:rsid w:val="00F85864"/>
    <w:rsid w:val="00F85B08"/>
    <w:rsid w:val="00F85B29"/>
    <w:rsid w:val="00F863BA"/>
    <w:rsid w:val="00F8740C"/>
    <w:rsid w:val="00F87D29"/>
    <w:rsid w:val="00F87DDE"/>
    <w:rsid w:val="00F90449"/>
    <w:rsid w:val="00F90B46"/>
    <w:rsid w:val="00F90E3C"/>
    <w:rsid w:val="00F9106B"/>
    <w:rsid w:val="00F9198E"/>
    <w:rsid w:val="00F92378"/>
    <w:rsid w:val="00F92B4C"/>
    <w:rsid w:val="00F931FC"/>
    <w:rsid w:val="00F94B95"/>
    <w:rsid w:val="00F94FAE"/>
    <w:rsid w:val="00F95226"/>
    <w:rsid w:val="00F95AE6"/>
    <w:rsid w:val="00F95F10"/>
    <w:rsid w:val="00F960F0"/>
    <w:rsid w:val="00F964DA"/>
    <w:rsid w:val="00F96571"/>
    <w:rsid w:val="00F968F2"/>
    <w:rsid w:val="00F969AB"/>
    <w:rsid w:val="00F97226"/>
    <w:rsid w:val="00F9754D"/>
    <w:rsid w:val="00F976ED"/>
    <w:rsid w:val="00F97DEF"/>
    <w:rsid w:val="00FA0888"/>
    <w:rsid w:val="00FA08B4"/>
    <w:rsid w:val="00FA0D66"/>
    <w:rsid w:val="00FA0F7E"/>
    <w:rsid w:val="00FA0F82"/>
    <w:rsid w:val="00FA1819"/>
    <w:rsid w:val="00FA19FD"/>
    <w:rsid w:val="00FA1BCD"/>
    <w:rsid w:val="00FA21E8"/>
    <w:rsid w:val="00FA2389"/>
    <w:rsid w:val="00FA2733"/>
    <w:rsid w:val="00FA28A1"/>
    <w:rsid w:val="00FA2B5E"/>
    <w:rsid w:val="00FA2D0D"/>
    <w:rsid w:val="00FA2F63"/>
    <w:rsid w:val="00FA3606"/>
    <w:rsid w:val="00FA4206"/>
    <w:rsid w:val="00FA5581"/>
    <w:rsid w:val="00FA5C25"/>
    <w:rsid w:val="00FA5F2F"/>
    <w:rsid w:val="00FA63B5"/>
    <w:rsid w:val="00FA65BF"/>
    <w:rsid w:val="00FA66D0"/>
    <w:rsid w:val="00FA67D3"/>
    <w:rsid w:val="00FA6866"/>
    <w:rsid w:val="00FA6963"/>
    <w:rsid w:val="00FA6DF5"/>
    <w:rsid w:val="00FA70DC"/>
    <w:rsid w:val="00FA737F"/>
    <w:rsid w:val="00FA79A8"/>
    <w:rsid w:val="00FA7C1F"/>
    <w:rsid w:val="00FB0266"/>
    <w:rsid w:val="00FB0611"/>
    <w:rsid w:val="00FB0D04"/>
    <w:rsid w:val="00FB1610"/>
    <w:rsid w:val="00FB19D8"/>
    <w:rsid w:val="00FB1AC4"/>
    <w:rsid w:val="00FB2144"/>
    <w:rsid w:val="00FB2229"/>
    <w:rsid w:val="00FB22AD"/>
    <w:rsid w:val="00FB2681"/>
    <w:rsid w:val="00FB27A5"/>
    <w:rsid w:val="00FB2DEE"/>
    <w:rsid w:val="00FB36B2"/>
    <w:rsid w:val="00FB3D13"/>
    <w:rsid w:val="00FB3DDF"/>
    <w:rsid w:val="00FB4244"/>
    <w:rsid w:val="00FB47F4"/>
    <w:rsid w:val="00FB4960"/>
    <w:rsid w:val="00FB4B91"/>
    <w:rsid w:val="00FB4ECF"/>
    <w:rsid w:val="00FB5A47"/>
    <w:rsid w:val="00FB5D85"/>
    <w:rsid w:val="00FB6446"/>
    <w:rsid w:val="00FB64A3"/>
    <w:rsid w:val="00FB6D16"/>
    <w:rsid w:val="00FB7561"/>
    <w:rsid w:val="00FC036F"/>
    <w:rsid w:val="00FC0885"/>
    <w:rsid w:val="00FC1341"/>
    <w:rsid w:val="00FC2223"/>
    <w:rsid w:val="00FC24EE"/>
    <w:rsid w:val="00FC2989"/>
    <w:rsid w:val="00FC29CC"/>
    <w:rsid w:val="00FC3664"/>
    <w:rsid w:val="00FC3E06"/>
    <w:rsid w:val="00FC4125"/>
    <w:rsid w:val="00FC470A"/>
    <w:rsid w:val="00FC4F29"/>
    <w:rsid w:val="00FC536A"/>
    <w:rsid w:val="00FC5396"/>
    <w:rsid w:val="00FC5587"/>
    <w:rsid w:val="00FC5813"/>
    <w:rsid w:val="00FC594C"/>
    <w:rsid w:val="00FC5D8E"/>
    <w:rsid w:val="00FC5FAC"/>
    <w:rsid w:val="00FC6107"/>
    <w:rsid w:val="00FC6637"/>
    <w:rsid w:val="00FC67C4"/>
    <w:rsid w:val="00FC6883"/>
    <w:rsid w:val="00FC68F5"/>
    <w:rsid w:val="00FC6974"/>
    <w:rsid w:val="00FC6CCB"/>
    <w:rsid w:val="00FC6FE3"/>
    <w:rsid w:val="00FC7258"/>
    <w:rsid w:val="00FC7D2B"/>
    <w:rsid w:val="00FD0242"/>
    <w:rsid w:val="00FD0B6E"/>
    <w:rsid w:val="00FD0BD7"/>
    <w:rsid w:val="00FD0CD5"/>
    <w:rsid w:val="00FD1687"/>
    <w:rsid w:val="00FD1B8C"/>
    <w:rsid w:val="00FD1CBE"/>
    <w:rsid w:val="00FD1E0B"/>
    <w:rsid w:val="00FD221E"/>
    <w:rsid w:val="00FD3170"/>
    <w:rsid w:val="00FD353A"/>
    <w:rsid w:val="00FD35B4"/>
    <w:rsid w:val="00FD374E"/>
    <w:rsid w:val="00FD3883"/>
    <w:rsid w:val="00FD391C"/>
    <w:rsid w:val="00FD3D15"/>
    <w:rsid w:val="00FD3FC1"/>
    <w:rsid w:val="00FD432C"/>
    <w:rsid w:val="00FD4C65"/>
    <w:rsid w:val="00FD4E33"/>
    <w:rsid w:val="00FD4FBE"/>
    <w:rsid w:val="00FD534B"/>
    <w:rsid w:val="00FD58ED"/>
    <w:rsid w:val="00FD6389"/>
    <w:rsid w:val="00FD651F"/>
    <w:rsid w:val="00FD6A75"/>
    <w:rsid w:val="00FD7623"/>
    <w:rsid w:val="00FD7A10"/>
    <w:rsid w:val="00FD7A33"/>
    <w:rsid w:val="00FD7E3F"/>
    <w:rsid w:val="00FD7EC9"/>
    <w:rsid w:val="00FD7ED1"/>
    <w:rsid w:val="00FE0381"/>
    <w:rsid w:val="00FE111E"/>
    <w:rsid w:val="00FE12DC"/>
    <w:rsid w:val="00FE15D5"/>
    <w:rsid w:val="00FE1931"/>
    <w:rsid w:val="00FE1EB1"/>
    <w:rsid w:val="00FE2409"/>
    <w:rsid w:val="00FE269D"/>
    <w:rsid w:val="00FE3058"/>
    <w:rsid w:val="00FE4444"/>
    <w:rsid w:val="00FE4D17"/>
    <w:rsid w:val="00FE4F9A"/>
    <w:rsid w:val="00FE524A"/>
    <w:rsid w:val="00FE55A8"/>
    <w:rsid w:val="00FE5D0A"/>
    <w:rsid w:val="00FE5EDA"/>
    <w:rsid w:val="00FE5F8C"/>
    <w:rsid w:val="00FE612F"/>
    <w:rsid w:val="00FE68A5"/>
    <w:rsid w:val="00FE6F34"/>
    <w:rsid w:val="00FE7070"/>
    <w:rsid w:val="00FE7511"/>
    <w:rsid w:val="00FE7CC5"/>
    <w:rsid w:val="00FE7DB3"/>
    <w:rsid w:val="00FE7E56"/>
    <w:rsid w:val="00FF042C"/>
    <w:rsid w:val="00FF0FD2"/>
    <w:rsid w:val="00FF1D60"/>
    <w:rsid w:val="00FF1E28"/>
    <w:rsid w:val="00FF2635"/>
    <w:rsid w:val="00FF291F"/>
    <w:rsid w:val="00FF2CFC"/>
    <w:rsid w:val="00FF3319"/>
    <w:rsid w:val="00FF3852"/>
    <w:rsid w:val="00FF3AF9"/>
    <w:rsid w:val="00FF43BB"/>
    <w:rsid w:val="00FF45FD"/>
    <w:rsid w:val="00FF4ABF"/>
    <w:rsid w:val="00FF4D41"/>
    <w:rsid w:val="00FF5265"/>
    <w:rsid w:val="00FF57C0"/>
    <w:rsid w:val="00FF582D"/>
    <w:rsid w:val="00FF599C"/>
    <w:rsid w:val="00FF5C81"/>
    <w:rsid w:val="00FF5DB4"/>
    <w:rsid w:val="00FF657F"/>
    <w:rsid w:val="00FF675D"/>
    <w:rsid w:val="00FF6C79"/>
    <w:rsid w:val="00FF6E0A"/>
    <w:rsid w:val="00FF7326"/>
    <w:rsid w:val="00FF7343"/>
    <w:rsid w:val="0130B940"/>
    <w:rsid w:val="0140ED47"/>
    <w:rsid w:val="01425338"/>
    <w:rsid w:val="0144FDA6"/>
    <w:rsid w:val="0154FE14"/>
    <w:rsid w:val="01556503"/>
    <w:rsid w:val="0155BC15"/>
    <w:rsid w:val="0158DD2B"/>
    <w:rsid w:val="016E64BE"/>
    <w:rsid w:val="018C844E"/>
    <w:rsid w:val="0196DA84"/>
    <w:rsid w:val="01C81736"/>
    <w:rsid w:val="01D1A7CA"/>
    <w:rsid w:val="01D45B0D"/>
    <w:rsid w:val="01D5BCDE"/>
    <w:rsid w:val="01DB7FD3"/>
    <w:rsid w:val="01E78C51"/>
    <w:rsid w:val="02021C0E"/>
    <w:rsid w:val="021A6E6C"/>
    <w:rsid w:val="022330C9"/>
    <w:rsid w:val="023EB7A9"/>
    <w:rsid w:val="0248B753"/>
    <w:rsid w:val="0250335D"/>
    <w:rsid w:val="0252CCB5"/>
    <w:rsid w:val="02570792"/>
    <w:rsid w:val="025B4F18"/>
    <w:rsid w:val="02634153"/>
    <w:rsid w:val="0284937C"/>
    <w:rsid w:val="0298D6F9"/>
    <w:rsid w:val="02CEA358"/>
    <w:rsid w:val="02DB7135"/>
    <w:rsid w:val="02F651BA"/>
    <w:rsid w:val="02F8D823"/>
    <w:rsid w:val="031589EA"/>
    <w:rsid w:val="0326833C"/>
    <w:rsid w:val="033CE902"/>
    <w:rsid w:val="0350B6F7"/>
    <w:rsid w:val="036B9234"/>
    <w:rsid w:val="0383387A"/>
    <w:rsid w:val="038961DD"/>
    <w:rsid w:val="03910908"/>
    <w:rsid w:val="0399E6DC"/>
    <w:rsid w:val="039A8576"/>
    <w:rsid w:val="039D1EB5"/>
    <w:rsid w:val="03B6D777"/>
    <w:rsid w:val="03CD574A"/>
    <w:rsid w:val="03D203BC"/>
    <w:rsid w:val="03DB0624"/>
    <w:rsid w:val="03E39447"/>
    <w:rsid w:val="03FC402A"/>
    <w:rsid w:val="0434A7E8"/>
    <w:rsid w:val="04397996"/>
    <w:rsid w:val="04450E88"/>
    <w:rsid w:val="045FB117"/>
    <w:rsid w:val="0468AAAE"/>
    <w:rsid w:val="046FC49C"/>
    <w:rsid w:val="04922281"/>
    <w:rsid w:val="0493C284"/>
    <w:rsid w:val="0499EF9C"/>
    <w:rsid w:val="04D81C26"/>
    <w:rsid w:val="04F6F127"/>
    <w:rsid w:val="04F96F34"/>
    <w:rsid w:val="04FCB1D0"/>
    <w:rsid w:val="051E1090"/>
    <w:rsid w:val="0529E9C3"/>
    <w:rsid w:val="052E1230"/>
    <w:rsid w:val="05518B9B"/>
    <w:rsid w:val="0553F628"/>
    <w:rsid w:val="0561C913"/>
    <w:rsid w:val="056FD892"/>
    <w:rsid w:val="0571C5F1"/>
    <w:rsid w:val="0593C1EB"/>
    <w:rsid w:val="05ABD1DA"/>
    <w:rsid w:val="05B94198"/>
    <w:rsid w:val="05C81ED4"/>
    <w:rsid w:val="05CDACE3"/>
    <w:rsid w:val="05D84EA3"/>
    <w:rsid w:val="05E4D2D0"/>
    <w:rsid w:val="0621CDD6"/>
    <w:rsid w:val="063F44FB"/>
    <w:rsid w:val="0648D48F"/>
    <w:rsid w:val="0651D0EC"/>
    <w:rsid w:val="0663AA50"/>
    <w:rsid w:val="06725AA8"/>
    <w:rsid w:val="06878EED"/>
    <w:rsid w:val="06898B7F"/>
    <w:rsid w:val="06956C85"/>
    <w:rsid w:val="069B296D"/>
    <w:rsid w:val="06AF5549"/>
    <w:rsid w:val="06D530DD"/>
    <w:rsid w:val="06E78F79"/>
    <w:rsid w:val="06EBE233"/>
    <w:rsid w:val="06F1834A"/>
    <w:rsid w:val="07049E81"/>
    <w:rsid w:val="0717AB1A"/>
    <w:rsid w:val="072161FA"/>
    <w:rsid w:val="07226E11"/>
    <w:rsid w:val="0730BD9D"/>
    <w:rsid w:val="073C30D2"/>
    <w:rsid w:val="074BF629"/>
    <w:rsid w:val="0760C59A"/>
    <w:rsid w:val="0773AC30"/>
    <w:rsid w:val="077E2A90"/>
    <w:rsid w:val="078AAAA2"/>
    <w:rsid w:val="07A937F0"/>
    <w:rsid w:val="07B44B33"/>
    <w:rsid w:val="07DA1AD0"/>
    <w:rsid w:val="07DBDAEE"/>
    <w:rsid w:val="07F91B5A"/>
    <w:rsid w:val="08011194"/>
    <w:rsid w:val="080D3F6E"/>
    <w:rsid w:val="0812C169"/>
    <w:rsid w:val="08252163"/>
    <w:rsid w:val="08282C92"/>
    <w:rsid w:val="0829E703"/>
    <w:rsid w:val="082D7446"/>
    <w:rsid w:val="0839ED66"/>
    <w:rsid w:val="083B98EF"/>
    <w:rsid w:val="0843C666"/>
    <w:rsid w:val="0862226C"/>
    <w:rsid w:val="08649EC8"/>
    <w:rsid w:val="08688F64"/>
    <w:rsid w:val="086F4DDA"/>
    <w:rsid w:val="08726E8D"/>
    <w:rsid w:val="0880B5FD"/>
    <w:rsid w:val="088646C9"/>
    <w:rsid w:val="0895ADCB"/>
    <w:rsid w:val="089D5BE9"/>
    <w:rsid w:val="08A32C0F"/>
    <w:rsid w:val="08AB5C1F"/>
    <w:rsid w:val="08C2C9E5"/>
    <w:rsid w:val="08DE0DA1"/>
    <w:rsid w:val="08DF1CED"/>
    <w:rsid w:val="08E5CFAA"/>
    <w:rsid w:val="091C8647"/>
    <w:rsid w:val="092882D5"/>
    <w:rsid w:val="095FC402"/>
    <w:rsid w:val="09619C6E"/>
    <w:rsid w:val="0966C49C"/>
    <w:rsid w:val="0970B293"/>
    <w:rsid w:val="097AF28D"/>
    <w:rsid w:val="09A6DBEB"/>
    <w:rsid w:val="09E20267"/>
    <w:rsid w:val="09F5247A"/>
    <w:rsid w:val="09FAE74A"/>
    <w:rsid w:val="0A04C6F6"/>
    <w:rsid w:val="0A081E13"/>
    <w:rsid w:val="0A0ACFD7"/>
    <w:rsid w:val="0A0D2DF3"/>
    <w:rsid w:val="0A0EFAD3"/>
    <w:rsid w:val="0A106C42"/>
    <w:rsid w:val="0A13FD49"/>
    <w:rsid w:val="0A1E1140"/>
    <w:rsid w:val="0A1E2A12"/>
    <w:rsid w:val="0A2DE07B"/>
    <w:rsid w:val="0A3937A9"/>
    <w:rsid w:val="0A3D777D"/>
    <w:rsid w:val="0A4201C3"/>
    <w:rsid w:val="0A45001D"/>
    <w:rsid w:val="0A45BCF8"/>
    <w:rsid w:val="0A56E297"/>
    <w:rsid w:val="0A586AA9"/>
    <w:rsid w:val="0A61EA19"/>
    <w:rsid w:val="0A6CDAAD"/>
    <w:rsid w:val="0A75D6FF"/>
    <w:rsid w:val="0A8A8173"/>
    <w:rsid w:val="0A8BD29B"/>
    <w:rsid w:val="0AB9EDCA"/>
    <w:rsid w:val="0AC03A73"/>
    <w:rsid w:val="0ACEE885"/>
    <w:rsid w:val="0AE320BE"/>
    <w:rsid w:val="0AE66E51"/>
    <w:rsid w:val="0AE770C2"/>
    <w:rsid w:val="0AEAB2CA"/>
    <w:rsid w:val="0AFB915E"/>
    <w:rsid w:val="0B1562C4"/>
    <w:rsid w:val="0B18AFFB"/>
    <w:rsid w:val="0B2EA9C6"/>
    <w:rsid w:val="0B313B85"/>
    <w:rsid w:val="0B34B832"/>
    <w:rsid w:val="0B3F7AFE"/>
    <w:rsid w:val="0B424486"/>
    <w:rsid w:val="0B488927"/>
    <w:rsid w:val="0B4E906E"/>
    <w:rsid w:val="0B4EC012"/>
    <w:rsid w:val="0B51540F"/>
    <w:rsid w:val="0B5C0360"/>
    <w:rsid w:val="0B615F71"/>
    <w:rsid w:val="0B6E683B"/>
    <w:rsid w:val="0B787CF1"/>
    <w:rsid w:val="0B89C887"/>
    <w:rsid w:val="0BA3E5EC"/>
    <w:rsid w:val="0BB049B4"/>
    <w:rsid w:val="0BB3A0F9"/>
    <w:rsid w:val="0BB985CD"/>
    <w:rsid w:val="0BBF26A8"/>
    <w:rsid w:val="0BD0158A"/>
    <w:rsid w:val="0BF289C4"/>
    <w:rsid w:val="0BF584FB"/>
    <w:rsid w:val="0BFF3E35"/>
    <w:rsid w:val="0C154D66"/>
    <w:rsid w:val="0C1A11FD"/>
    <w:rsid w:val="0C1AE9EE"/>
    <w:rsid w:val="0C206AF1"/>
    <w:rsid w:val="0C2BB359"/>
    <w:rsid w:val="0C33638B"/>
    <w:rsid w:val="0C384736"/>
    <w:rsid w:val="0C3F991A"/>
    <w:rsid w:val="0C4438A5"/>
    <w:rsid w:val="0C44A21B"/>
    <w:rsid w:val="0C451445"/>
    <w:rsid w:val="0C7A386A"/>
    <w:rsid w:val="0C92E784"/>
    <w:rsid w:val="0CB1A0EE"/>
    <w:rsid w:val="0CB28C76"/>
    <w:rsid w:val="0CB582A8"/>
    <w:rsid w:val="0CD9F405"/>
    <w:rsid w:val="0CDBEA31"/>
    <w:rsid w:val="0CF18336"/>
    <w:rsid w:val="0CF2A1FD"/>
    <w:rsid w:val="0D06FE9F"/>
    <w:rsid w:val="0D0CEEAB"/>
    <w:rsid w:val="0D0EAB53"/>
    <w:rsid w:val="0D194FF2"/>
    <w:rsid w:val="0D2DC1F6"/>
    <w:rsid w:val="0D3724D1"/>
    <w:rsid w:val="0D3B101C"/>
    <w:rsid w:val="0D417254"/>
    <w:rsid w:val="0D4CBC3B"/>
    <w:rsid w:val="0D623A6B"/>
    <w:rsid w:val="0D6A2562"/>
    <w:rsid w:val="0D6EBFB8"/>
    <w:rsid w:val="0D847E9B"/>
    <w:rsid w:val="0D96217D"/>
    <w:rsid w:val="0DA680B8"/>
    <w:rsid w:val="0DA851DA"/>
    <w:rsid w:val="0DB37C1F"/>
    <w:rsid w:val="0DCC3E79"/>
    <w:rsid w:val="0DDF667E"/>
    <w:rsid w:val="0DEE3102"/>
    <w:rsid w:val="0DFC16D3"/>
    <w:rsid w:val="0E3891A8"/>
    <w:rsid w:val="0E4153CD"/>
    <w:rsid w:val="0E6A5904"/>
    <w:rsid w:val="0E778768"/>
    <w:rsid w:val="0E7E1374"/>
    <w:rsid w:val="0E8773A7"/>
    <w:rsid w:val="0E87BD2D"/>
    <w:rsid w:val="0EAAC312"/>
    <w:rsid w:val="0EE09F16"/>
    <w:rsid w:val="0EEAAAC9"/>
    <w:rsid w:val="0EEEE89C"/>
    <w:rsid w:val="0EF3BD24"/>
    <w:rsid w:val="0F134F01"/>
    <w:rsid w:val="0F1DB3CE"/>
    <w:rsid w:val="0F222F44"/>
    <w:rsid w:val="0F2D20E5"/>
    <w:rsid w:val="0F2D976C"/>
    <w:rsid w:val="0F44D1E7"/>
    <w:rsid w:val="0F621B8C"/>
    <w:rsid w:val="0F6B9DEF"/>
    <w:rsid w:val="0F776A35"/>
    <w:rsid w:val="0F989AE8"/>
    <w:rsid w:val="0FB3000A"/>
    <w:rsid w:val="0FCA4BC4"/>
    <w:rsid w:val="0FCDB3BF"/>
    <w:rsid w:val="0FEC53EF"/>
    <w:rsid w:val="100D6E53"/>
    <w:rsid w:val="1028C1B6"/>
    <w:rsid w:val="1041D201"/>
    <w:rsid w:val="1046CB99"/>
    <w:rsid w:val="105F5DA2"/>
    <w:rsid w:val="1072EF5A"/>
    <w:rsid w:val="107356E3"/>
    <w:rsid w:val="107E2411"/>
    <w:rsid w:val="107EB30D"/>
    <w:rsid w:val="1086B14D"/>
    <w:rsid w:val="10892D0F"/>
    <w:rsid w:val="108A3271"/>
    <w:rsid w:val="10B46702"/>
    <w:rsid w:val="10BB86F5"/>
    <w:rsid w:val="10BD35D5"/>
    <w:rsid w:val="10EDD1E2"/>
    <w:rsid w:val="10FA417A"/>
    <w:rsid w:val="11018BED"/>
    <w:rsid w:val="11153282"/>
    <w:rsid w:val="11187EA9"/>
    <w:rsid w:val="1131E1B6"/>
    <w:rsid w:val="113FE161"/>
    <w:rsid w:val="114DB530"/>
    <w:rsid w:val="117414D8"/>
    <w:rsid w:val="1176D3CE"/>
    <w:rsid w:val="1195402A"/>
    <w:rsid w:val="1195908E"/>
    <w:rsid w:val="119F9E59"/>
    <w:rsid w:val="11A44785"/>
    <w:rsid w:val="11B89617"/>
    <w:rsid w:val="11CEDC4C"/>
    <w:rsid w:val="11D48AD8"/>
    <w:rsid w:val="11DC4411"/>
    <w:rsid w:val="11EA0E34"/>
    <w:rsid w:val="11F653D8"/>
    <w:rsid w:val="120FE624"/>
    <w:rsid w:val="122C9BBF"/>
    <w:rsid w:val="12303ECB"/>
    <w:rsid w:val="1230A158"/>
    <w:rsid w:val="1237ACF9"/>
    <w:rsid w:val="12426A71"/>
    <w:rsid w:val="124A1748"/>
    <w:rsid w:val="124C4940"/>
    <w:rsid w:val="12648E9B"/>
    <w:rsid w:val="12671677"/>
    <w:rsid w:val="129184FD"/>
    <w:rsid w:val="1295F47E"/>
    <w:rsid w:val="12B314F6"/>
    <w:rsid w:val="12D82870"/>
    <w:rsid w:val="12F9CCFC"/>
    <w:rsid w:val="12FF4D4F"/>
    <w:rsid w:val="13103383"/>
    <w:rsid w:val="1313FAE9"/>
    <w:rsid w:val="131F7B8A"/>
    <w:rsid w:val="1322E193"/>
    <w:rsid w:val="1330B447"/>
    <w:rsid w:val="13333DCB"/>
    <w:rsid w:val="1342559D"/>
    <w:rsid w:val="135ABFA6"/>
    <w:rsid w:val="135BE5AF"/>
    <w:rsid w:val="138E2E6D"/>
    <w:rsid w:val="13A16E1B"/>
    <w:rsid w:val="13A9576C"/>
    <w:rsid w:val="13DC5952"/>
    <w:rsid w:val="13FD80D1"/>
    <w:rsid w:val="14164502"/>
    <w:rsid w:val="141F421B"/>
    <w:rsid w:val="1424742B"/>
    <w:rsid w:val="14280F7F"/>
    <w:rsid w:val="142DCC2B"/>
    <w:rsid w:val="144469A2"/>
    <w:rsid w:val="145D0DDF"/>
    <w:rsid w:val="145D7286"/>
    <w:rsid w:val="145F1491"/>
    <w:rsid w:val="14BDFB80"/>
    <w:rsid w:val="14C6B26D"/>
    <w:rsid w:val="14D3852B"/>
    <w:rsid w:val="14E42674"/>
    <w:rsid w:val="14F246F2"/>
    <w:rsid w:val="1508DBA3"/>
    <w:rsid w:val="150C53CA"/>
    <w:rsid w:val="15117A9D"/>
    <w:rsid w:val="151F3333"/>
    <w:rsid w:val="153792EA"/>
    <w:rsid w:val="153EE0E7"/>
    <w:rsid w:val="15400F18"/>
    <w:rsid w:val="1545A0F1"/>
    <w:rsid w:val="155814D2"/>
    <w:rsid w:val="1558B241"/>
    <w:rsid w:val="156DF674"/>
    <w:rsid w:val="1583475C"/>
    <w:rsid w:val="1585287B"/>
    <w:rsid w:val="1589CAD4"/>
    <w:rsid w:val="158A0C6D"/>
    <w:rsid w:val="15A63603"/>
    <w:rsid w:val="15C7772F"/>
    <w:rsid w:val="15D5926D"/>
    <w:rsid w:val="15D69527"/>
    <w:rsid w:val="1606DE1C"/>
    <w:rsid w:val="160FA2F6"/>
    <w:rsid w:val="161C2F71"/>
    <w:rsid w:val="162877E0"/>
    <w:rsid w:val="1628AFFD"/>
    <w:rsid w:val="1629D058"/>
    <w:rsid w:val="163F8B74"/>
    <w:rsid w:val="16671557"/>
    <w:rsid w:val="16857DE3"/>
    <w:rsid w:val="168BA783"/>
    <w:rsid w:val="16911D40"/>
    <w:rsid w:val="169683E1"/>
    <w:rsid w:val="169B2A32"/>
    <w:rsid w:val="16A1FE07"/>
    <w:rsid w:val="16B9C993"/>
    <w:rsid w:val="16F96245"/>
    <w:rsid w:val="1701AB64"/>
    <w:rsid w:val="170AAD77"/>
    <w:rsid w:val="170FA253"/>
    <w:rsid w:val="17156B7D"/>
    <w:rsid w:val="174A3F96"/>
    <w:rsid w:val="17562478"/>
    <w:rsid w:val="17767E4F"/>
    <w:rsid w:val="1781A29F"/>
    <w:rsid w:val="17CD59ED"/>
    <w:rsid w:val="17E90213"/>
    <w:rsid w:val="17EAAE91"/>
    <w:rsid w:val="17F041EB"/>
    <w:rsid w:val="17F8E6E8"/>
    <w:rsid w:val="180639A8"/>
    <w:rsid w:val="180E877C"/>
    <w:rsid w:val="1812DE71"/>
    <w:rsid w:val="18164A52"/>
    <w:rsid w:val="18295B03"/>
    <w:rsid w:val="182D03BC"/>
    <w:rsid w:val="184CF806"/>
    <w:rsid w:val="187993A2"/>
    <w:rsid w:val="18AE751F"/>
    <w:rsid w:val="18B14A0F"/>
    <w:rsid w:val="18B8F271"/>
    <w:rsid w:val="18C84B39"/>
    <w:rsid w:val="18D96F1F"/>
    <w:rsid w:val="18EA0C92"/>
    <w:rsid w:val="190029FE"/>
    <w:rsid w:val="190D4813"/>
    <w:rsid w:val="191868FA"/>
    <w:rsid w:val="191A3AEA"/>
    <w:rsid w:val="192430DD"/>
    <w:rsid w:val="1937F96A"/>
    <w:rsid w:val="19590AAB"/>
    <w:rsid w:val="196762EB"/>
    <w:rsid w:val="1968131F"/>
    <w:rsid w:val="196DB27C"/>
    <w:rsid w:val="1970F90C"/>
    <w:rsid w:val="197C3F5C"/>
    <w:rsid w:val="19983CEE"/>
    <w:rsid w:val="199B5036"/>
    <w:rsid w:val="19AC6B96"/>
    <w:rsid w:val="19AF12E5"/>
    <w:rsid w:val="19AF5332"/>
    <w:rsid w:val="19CC90DE"/>
    <w:rsid w:val="19D54D7F"/>
    <w:rsid w:val="19EE169D"/>
    <w:rsid w:val="19F7DE65"/>
    <w:rsid w:val="19F85BB6"/>
    <w:rsid w:val="1A0F1A4B"/>
    <w:rsid w:val="1A1137B8"/>
    <w:rsid w:val="1A1DD4AE"/>
    <w:rsid w:val="1A273FE3"/>
    <w:rsid w:val="1A2B3F43"/>
    <w:rsid w:val="1A3B02BB"/>
    <w:rsid w:val="1A582AD6"/>
    <w:rsid w:val="1A7F8157"/>
    <w:rsid w:val="1AA4911A"/>
    <w:rsid w:val="1AB76A96"/>
    <w:rsid w:val="1AC8A8D3"/>
    <w:rsid w:val="1ACD5D7E"/>
    <w:rsid w:val="1ADBE448"/>
    <w:rsid w:val="1AEB4879"/>
    <w:rsid w:val="1AF108EC"/>
    <w:rsid w:val="1AF6929D"/>
    <w:rsid w:val="1AF95240"/>
    <w:rsid w:val="1B016FF9"/>
    <w:rsid w:val="1B06B373"/>
    <w:rsid w:val="1B0CCAE1"/>
    <w:rsid w:val="1B18BD23"/>
    <w:rsid w:val="1B262C18"/>
    <w:rsid w:val="1B280533"/>
    <w:rsid w:val="1B2E0162"/>
    <w:rsid w:val="1B4472FD"/>
    <w:rsid w:val="1B6485D7"/>
    <w:rsid w:val="1B652611"/>
    <w:rsid w:val="1B660F4B"/>
    <w:rsid w:val="1B741A7C"/>
    <w:rsid w:val="1B7B5BEA"/>
    <w:rsid w:val="1B86C208"/>
    <w:rsid w:val="1B87FA1E"/>
    <w:rsid w:val="1B8E344C"/>
    <w:rsid w:val="1B931CF5"/>
    <w:rsid w:val="1BB02D12"/>
    <w:rsid w:val="1BC1AF70"/>
    <w:rsid w:val="1BEEA36F"/>
    <w:rsid w:val="1C25220E"/>
    <w:rsid w:val="1C2AF9C6"/>
    <w:rsid w:val="1C39E0DC"/>
    <w:rsid w:val="1C44265F"/>
    <w:rsid w:val="1C486E6E"/>
    <w:rsid w:val="1C4CF228"/>
    <w:rsid w:val="1C74FC59"/>
    <w:rsid w:val="1C8CA60F"/>
    <w:rsid w:val="1CA3B489"/>
    <w:rsid w:val="1CAB4762"/>
    <w:rsid w:val="1CC338A5"/>
    <w:rsid w:val="1CCF14B6"/>
    <w:rsid w:val="1CDDCE4B"/>
    <w:rsid w:val="1CEDC9CC"/>
    <w:rsid w:val="1D00CB9B"/>
    <w:rsid w:val="1D2CF157"/>
    <w:rsid w:val="1D487992"/>
    <w:rsid w:val="1D5B1FEE"/>
    <w:rsid w:val="1D62E005"/>
    <w:rsid w:val="1D708013"/>
    <w:rsid w:val="1D70E7B6"/>
    <w:rsid w:val="1D7306D0"/>
    <w:rsid w:val="1D790859"/>
    <w:rsid w:val="1D9934BD"/>
    <w:rsid w:val="1DD8B5C5"/>
    <w:rsid w:val="1DDD9699"/>
    <w:rsid w:val="1DE2FE0F"/>
    <w:rsid w:val="1DEA3C40"/>
    <w:rsid w:val="1DEA9A52"/>
    <w:rsid w:val="1E06771B"/>
    <w:rsid w:val="1E393612"/>
    <w:rsid w:val="1E3C1C38"/>
    <w:rsid w:val="1E56C6BF"/>
    <w:rsid w:val="1E6EB6A6"/>
    <w:rsid w:val="1E77A0D9"/>
    <w:rsid w:val="1E7ED0A6"/>
    <w:rsid w:val="1E80FDD4"/>
    <w:rsid w:val="1E8F22D8"/>
    <w:rsid w:val="1E8FFD98"/>
    <w:rsid w:val="1E91835B"/>
    <w:rsid w:val="1EA1CEA2"/>
    <w:rsid w:val="1EAB0174"/>
    <w:rsid w:val="1F0BCD1A"/>
    <w:rsid w:val="1F47B507"/>
    <w:rsid w:val="1F4C712C"/>
    <w:rsid w:val="1F4F6396"/>
    <w:rsid w:val="1F5CB6CA"/>
    <w:rsid w:val="1F624AF2"/>
    <w:rsid w:val="1F730A12"/>
    <w:rsid w:val="1F7D57FC"/>
    <w:rsid w:val="1F7DBB39"/>
    <w:rsid w:val="1F7F6D2A"/>
    <w:rsid w:val="1FAA22CF"/>
    <w:rsid w:val="1FAE5A94"/>
    <w:rsid w:val="1FBDC14F"/>
    <w:rsid w:val="1FE60257"/>
    <w:rsid w:val="1FFB8A23"/>
    <w:rsid w:val="202D77ED"/>
    <w:rsid w:val="202D9F8F"/>
    <w:rsid w:val="2051681D"/>
    <w:rsid w:val="205403D6"/>
    <w:rsid w:val="205AC908"/>
    <w:rsid w:val="2065CF89"/>
    <w:rsid w:val="206F14A3"/>
    <w:rsid w:val="207BE0C3"/>
    <w:rsid w:val="207FD7A9"/>
    <w:rsid w:val="20856BD4"/>
    <w:rsid w:val="209A80C7"/>
    <w:rsid w:val="20A12120"/>
    <w:rsid w:val="20B91FDB"/>
    <w:rsid w:val="20BB4ECB"/>
    <w:rsid w:val="20C14A36"/>
    <w:rsid w:val="20DDB852"/>
    <w:rsid w:val="20E6B727"/>
    <w:rsid w:val="20F16FF4"/>
    <w:rsid w:val="20F93B21"/>
    <w:rsid w:val="2133BFCB"/>
    <w:rsid w:val="2142BF55"/>
    <w:rsid w:val="21772E7F"/>
    <w:rsid w:val="2178CD21"/>
    <w:rsid w:val="21849AB9"/>
    <w:rsid w:val="218AC6E3"/>
    <w:rsid w:val="218B43B1"/>
    <w:rsid w:val="21BF8CC0"/>
    <w:rsid w:val="21C23970"/>
    <w:rsid w:val="21C6C0D1"/>
    <w:rsid w:val="22026D73"/>
    <w:rsid w:val="22275123"/>
    <w:rsid w:val="2230E040"/>
    <w:rsid w:val="22374DE5"/>
    <w:rsid w:val="226AF0F4"/>
    <w:rsid w:val="22753422"/>
    <w:rsid w:val="2276A523"/>
    <w:rsid w:val="228A4FE1"/>
    <w:rsid w:val="22989285"/>
    <w:rsid w:val="229C1E67"/>
    <w:rsid w:val="22A5CBAF"/>
    <w:rsid w:val="22AC8B9F"/>
    <w:rsid w:val="230EC5A7"/>
    <w:rsid w:val="230F5C4B"/>
    <w:rsid w:val="2311A846"/>
    <w:rsid w:val="2311F86A"/>
    <w:rsid w:val="2362A13C"/>
    <w:rsid w:val="2376FD6B"/>
    <w:rsid w:val="237909EA"/>
    <w:rsid w:val="23797220"/>
    <w:rsid w:val="23A11B50"/>
    <w:rsid w:val="23AFF900"/>
    <w:rsid w:val="2400A09A"/>
    <w:rsid w:val="2402BC7C"/>
    <w:rsid w:val="240D5C50"/>
    <w:rsid w:val="24111518"/>
    <w:rsid w:val="24112789"/>
    <w:rsid w:val="241ED3AD"/>
    <w:rsid w:val="2434F6DC"/>
    <w:rsid w:val="24516527"/>
    <w:rsid w:val="2455E06E"/>
    <w:rsid w:val="245662BC"/>
    <w:rsid w:val="24658198"/>
    <w:rsid w:val="247D9266"/>
    <w:rsid w:val="2482B0F5"/>
    <w:rsid w:val="249794EB"/>
    <w:rsid w:val="24C2E473"/>
    <w:rsid w:val="24DF0750"/>
    <w:rsid w:val="24F15412"/>
    <w:rsid w:val="24F85A2A"/>
    <w:rsid w:val="250BB92D"/>
    <w:rsid w:val="2519A2C0"/>
    <w:rsid w:val="25A3B68A"/>
    <w:rsid w:val="25A711DB"/>
    <w:rsid w:val="25C19978"/>
    <w:rsid w:val="25C2C2E0"/>
    <w:rsid w:val="25C31C48"/>
    <w:rsid w:val="25CB8957"/>
    <w:rsid w:val="25CCFC49"/>
    <w:rsid w:val="25D15FE2"/>
    <w:rsid w:val="2624FCF1"/>
    <w:rsid w:val="26511592"/>
    <w:rsid w:val="265EB4D4"/>
    <w:rsid w:val="267203F7"/>
    <w:rsid w:val="2692F9C3"/>
    <w:rsid w:val="26A0183C"/>
    <w:rsid w:val="26C78A75"/>
    <w:rsid w:val="26C88455"/>
    <w:rsid w:val="26D876FE"/>
    <w:rsid w:val="26E08978"/>
    <w:rsid w:val="26E7BBD9"/>
    <w:rsid w:val="26EB0899"/>
    <w:rsid w:val="270D25E7"/>
    <w:rsid w:val="27106F11"/>
    <w:rsid w:val="272C6A5A"/>
    <w:rsid w:val="272DB3A3"/>
    <w:rsid w:val="274DD2B0"/>
    <w:rsid w:val="27518A57"/>
    <w:rsid w:val="2755783D"/>
    <w:rsid w:val="275E6F90"/>
    <w:rsid w:val="27601475"/>
    <w:rsid w:val="2769FDF1"/>
    <w:rsid w:val="276A022D"/>
    <w:rsid w:val="2786A9AF"/>
    <w:rsid w:val="278B4007"/>
    <w:rsid w:val="278D866B"/>
    <w:rsid w:val="27A0E244"/>
    <w:rsid w:val="27ABB117"/>
    <w:rsid w:val="27C9B513"/>
    <w:rsid w:val="27D2A8E0"/>
    <w:rsid w:val="27E6D23E"/>
    <w:rsid w:val="2804F6CA"/>
    <w:rsid w:val="281BCF46"/>
    <w:rsid w:val="281D6112"/>
    <w:rsid w:val="282930B1"/>
    <w:rsid w:val="282D552B"/>
    <w:rsid w:val="28351445"/>
    <w:rsid w:val="285A5CB2"/>
    <w:rsid w:val="2879B475"/>
    <w:rsid w:val="287AE4AC"/>
    <w:rsid w:val="2883A8EB"/>
    <w:rsid w:val="2895EE7A"/>
    <w:rsid w:val="28971D01"/>
    <w:rsid w:val="2897C139"/>
    <w:rsid w:val="289C63CD"/>
    <w:rsid w:val="28A3CBEE"/>
    <w:rsid w:val="28BD88AB"/>
    <w:rsid w:val="28C4C0F2"/>
    <w:rsid w:val="28D1DD6F"/>
    <w:rsid w:val="28D937C9"/>
    <w:rsid w:val="28E20357"/>
    <w:rsid w:val="28E95AAB"/>
    <w:rsid w:val="28EB1B6B"/>
    <w:rsid w:val="2985FBC8"/>
    <w:rsid w:val="298CCBA6"/>
    <w:rsid w:val="298E99A6"/>
    <w:rsid w:val="29965596"/>
    <w:rsid w:val="299BA1C5"/>
    <w:rsid w:val="299FEEDD"/>
    <w:rsid w:val="29A13E36"/>
    <w:rsid w:val="29A9DB94"/>
    <w:rsid w:val="29B8EE4F"/>
    <w:rsid w:val="29CB8EC1"/>
    <w:rsid w:val="29D10A54"/>
    <w:rsid w:val="2A101835"/>
    <w:rsid w:val="2A1A1325"/>
    <w:rsid w:val="2A2C025E"/>
    <w:rsid w:val="2A2E8970"/>
    <w:rsid w:val="2A3798BD"/>
    <w:rsid w:val="2A385CA6"/>
    <w:rsid w:val="2A4AD287"/>
    <w:rsid w:val="2A51C7B4"/>
    <w:rsid w:val="2A60C329"/>
    <w:rsid w:val="2A77116B"/>
    <w:rsid w:val="2A7A1066"/>
    <w:rsid w:val="2A8322E6"/>
    <w:rsid w:val="2A89F76D"/>
    <w:rsid w:val="2A8D7C7C"/>
    <w:rsid w:val="2AB40405"/>
    <w:rsid w:val="2ACD8204"/>
    <w:rsid w:val="2AD19CFD"/>
    <w:rsid w:val="2AD76BCB"/>
    <w:rsid w:val="2AD852A7"/>
    <w:rsid w:val="2AE74778"/>
    <w:rsid w:val="2B0AC292"/>
    <w:rsid w:val="2B1245A4"/>
    <w:rsid w:val="2B1BFDA3"/>
    <w:rsid w:val="2B1E6D8E"/>
    <w:rsid w:val="2B3B9A4B"/>
    <w:rsid w:val="2B4019D3"/>
    <w:rsid w:val="2B508163"/>
    <w:rsid w:val="2B6BDC6A"/>
    <w:rsid w:val="2B746B88"/>
    <w:rsid w:val="2B7C212B"/>
    <w:rsid w:val="2BA128AF"/>
    <w:rsid w:val="2BA46FFC"/>
    <w:rsid w:val="2BB3C36B"/>
    <w:rsid w:val="2BC163E1"/>
    <w:rsid w:val="2BC5BFAB"/>
    <w:rsid w:val="2BDB70CB"/>
    <w:rsid w:val="2BDBAB16"/>
    <w:rsid w:val="2BF771D3"/>
    <w:rsid w:val="2C01A716"/>
    <w:rsid w:val="2C11B83D"/>
    <w:rsid w:val="2C158E28"/>
    <w:rsid w:val="2C186555"/>
    <w:rsid w:val="2C348855"/>
    <w:rsid w:val="2C7133BB"/>
    <w:rsid w:val="2C95E6A0"/>
    <w:rsid w:val="2C9B5E59"/>
    <w:rsid w:val="2C9E097C"/>
    <w:rsid w:val="2CBFA2EC"/>
    <w:rsid w:val="2CC45C07"/>
    <w:rsid w:val="2CC9E4C0"/>
    <w:rsid w:val="2CCFF91A"/>
    <w:rsid w:val="2CD7889E"/>
    <w:rsid w:val="2D1AB9B1"/>
    <w:rsid w:val="2D20B099"/>
    <w:rsid w:val="2D63759B"/>
    <w:rsid w:val="2D7C27A1"/>
    <w:rsid w:val="2D8DE23A"/>
    <w:rsid w:val="2D8F03ED"/>
    <w:rsid w:val="2D92A9E6"/>
    <w:rsid w:val="2DDC9C36"/>
    <w:rsid w:val="2DDDA1FE"/>
    <w:rsid w:val="2DE17AD1"/>
    <w:rsid w:val="2DF6FC31"/>
    <w:rsid w:val="2E04FB65"/>
    <w:rsid w:val="2E3BFAE0"/>
    <w:rsid w:val="2E440CC5"/>
    <w:rsid w:val="2E5598D5"/>
    <w:rsid w:val="2E5764A6"/>
    <w:rsid w:val="2E66C8D7"/>
    <w:rsid w:val="2E7AC82B"/>
    <w:rsid w:val="2E7DA89C"/>
    <w:rsid w:val="2E9BCF22"/>
    <w:rsid w:val="2EA01524"/>
    <w:rsid w:val="2EA1D6BE"/>
    <w:rsid w:val="2EC0F095"/>
    <w:rsid w:val="2ECFD4F8"/>
    <w:rsid w:val="2ED039C7"/>
    <w:rsid w:val="2EDC4149"/>
    <w:rsid w:val="2EECC38C"/>
    <w:rsid w:val="2EF7EF5E"/>
    <w:rsid w:val="2EFA12F0"/>
    <w:rsid w:val="2F0639D4"/>
    <w:rsid w:val="2F0A47BF"/>
    <w:rsid w:val="2F0DA970"/>
    <w:rsid w:val="2F10E9BD"/>
    <w:rsid w:val="2F167963"/>
    <w:rsid w:val="2F1C408A"/>
    <w:rsid w:val="2F1C54F2"/>
    <w:rsid w:val="2F2D87BE"/>
    <w:rsid w:val="2F47BE4A"/>
    <w:rsid w:val="2F69F435"/>
    <w:rsid w:val="2F83855B"/>
    <w:rsid w:val="2F9B0283"/>
    <w:rsid w:val="2FB2DD9C"/>
    <w:rsid w:val="2FBB7F11"/>
    <w:rsid w:val="2FC085D8"/>
    <w:rsid w:val="2FC943D5"/>
    <w:rsid w:val="2FCB7001"/>
    <w:rsid w:val="2FD6B3FE"/>
    <w:rsid w:val="2FFD4311"/>
    <w:rsid w:val="3024495B"/>
    <w:rsid w:val="30382E2C"/>
    <w:rsid w:val="3045259F"/>
    <w:rsid w:val="3048421D"/>
    <w:rsid w:val="304DEADB"/>
    <w:rsid w:val="30675367"/>
    <w:rsid w:val="306E3D20"/>
    <w:rsid w:val="308DDC3C"/>
    <w:rsid w:val="3099EBB0"/>
    <w:rsid w:val="30D8FFB1"/>
    <w:rsid w:val="30F36CE4"/>
    <w:rsid w:val="30F64F2C"/>
    <w:rsid w:val="31157496"/>
    <w:rsid w:val="311BC5FD"/>
    <w:rsid w:val="312CF509"/>
    <w:rsid w:val="31358982"/>
    <w:rsid w:val="315CB512"/>
    <w:rsid w:val="318B3F27"/>
    <w:rsid w:val="31A0B099"/>
    <w:rsid w:val="31A1677B"/>
    <w:rsid w:val="31BD7D74"/>
    <w:rsid w:val="31FC0C35"/>
    <w:rsid w:val="31FE2830"/>
    <w:rsid w:val="320B3C93"/>
    <w:rsid w:val="320DC49F"/>
    <w:rsid w:val="3210880C"/>
    <w:rsid w:val="322BECAE"/>
    <w:rsid w:val="3236F342"/>
    <w:rsid w:val="323BCE56"/>
    <w:rsid w:val="325736EF"/>
    <w:rsid w:val="3269BE52"/>
    <w:rsid w:val="326B2721"/>
    <w:rsid w:val="326CE382"/>
    <w:rsid w:val="3278B159"/>
    <w:rsid w:val="3283FC1E"/>
    <w:rsid w:val="328BC2B5"/>
    <w:rsid w:val="32AC65EE"/>
    <w:rsid w:val="32BE3C0C"/>
    <w:rsid w:val="32C3BCE3"/>
    <w:rsid w:val="32C6A14E"/>
    <w:rsid w:val="330DE72B"/>
    <w:rsid w:val="331A9978"/>
    <w:rsid w:val="331F9B85"/>
    <w:rsid w:val="3344E032"/>
    <w:rsid w:val="334A65B4"/>
    <w:rsid w:val="33578049"/>
    <w:rsid w:val="3359433D"/>
    <w:rsid w:val="335EED44"/>
    <w:rsid w:val="339D0992"/>
    <w:rsid w:val="33AEFA7B"/>
    <w:rsid w:val="33CDD267"/>
    <w:rsid w:val="33D4B22B"/>
    <w:rsid w:val="33F8DDFE"/>
    <w:rsid w:val="33FD4A60"/>
    <w:rsid w:val="3400755A"/>
    <w:rsid w:val="345DB656"/>
    <w:rsid w:val="345FC5EE"/>
    <w:rsid w:val="346FC1FF"/>
    <w:rsid w:val="3477F700"/>
    <w:rsid w:val="347A30CC"/>
    <w:rsid w:val="347A6A40"/>
    <w:rsid w:val="34840E79"/>
    <w:rsid w:val="3499DD4E"/>
    <w:rsid w:val="34A3E6A3"/>
    <w:rsid w:val="34A6345F"/>
    <w:rsid w:val="34AF99B0"/>
    <w:rsid w:val="34C2DFE9"/>
    <w:rsid w:val="34C30192"/>
    <w:rsid w:val="34C9388F"/>
    <w:rsid w:val="34E15AE1"/>
    <w:rsid w:val="34F03AD1"/>
    <w:rsid w:val="34F9032E"/>
    <w:rsid w:val="3504EAF3"/>
    <w:rsid w:val="351055AB"/>
    <w:rsid w:val="35285801"/>
    <w:rsid w:val="354DEFD5"/>
    <w:rsid w:val="355A4EE1"/>
    <w:rsid w:val="356D7326"/>
    <w:rsid w:val="35795F78"/>
    <w:rsid w:val="357D6252"/>
    <w:rsid w:val="3591B771"/>
    <w:rsid w:val="3594800A"/>
    <w:rsid w:val="35968754"/>
    <w:rsid w:val="35B03F54"/>
    <w:rsid w:val="35B5D6C5"/>
    <w:rsid w:val="35C38DD2"/>
    <w:rsid w:val="35E18E03"/>
    <w:rsid w:val="35FAFA87"/>
    <w:rsid w:val="3613EC74"/>
    <w:rsid w:val="361CB238"/>
    <w:rsid w:val="362004D2"/>
    <w:rsid w:val="366AAA94"/>
    <w:rsid w:val="366EB595"/>
    <w:rsid w:val="36755A8D"/>
    <w:rsid w:val="36856066"/>
    <w:rsid w:val="36A7AE52"/>
    <w:rsid w:val="36B9E0B6"/>
    <w:rsid w:val="36E5A39A"/>
    <w:rsid w:val="36F074D1"/>
    <w:rsid w:val="36F83587"/>
    <w:rsid w:val="3715901E"/>
    <w:rsid w:val="372388F2"/>
    <w:rsid w:val="372E1003"/>
    <w:rsid w:val="373150B0"/>
    <w:rsid w:val="373471F6"/>
    <w:rsid w:val="374568B2"/>
    <w:rsid w:val="376DF70B"/>
    <w:rsid w:val="377DB15B"/>
    <w:rsid w:val="37930C92"/>
    <w:rsid w:val="379D012A"/>
    <w:rsid w:val="37A5DFD9"/>
    <w:rsid w:val="37C53EC4"/>
    <w:rsid w:val="37CE0DBF"/>
    <w:rsid w:val="3810DBD9"/>
    <w:rsid w:val="38191FCB"/>
    <w:rsid w:val="381F81B1"/>
    <w:rsid w:val="382BF901"/>
    <w:rsid w:val="3832AE31"/>
    <w:rsid w:val="38379A60"/>
    <w:rsid w:val="384040BB"/>
    <w:rsid w:val="385DA3D6"/>
    <w:rsid w:val="385E9158"/>
    <w:rsid w:val="38682A32"/>
    <w:rsid w:val="387D9D50"/>
    <w:rsid w:val="3882A94F"/>
    <w:rsid w:val="38921509"/>
    <w:rsid w:val="38B553F7"/>
    <w:rsid w:val="38BC45A4"/>
    <w:rsid w:val="38C04EDF"/>
    <w:rsid w:val="38C094A6"/>
    <w:rsid w:val="38CBE968"/>
    <w:rsid w:val="38D1EF6C"/>
    <w:rsid w:val="38D7BFD3"/>
    <w:rsid w:val="38E08EDC"/>
    <w:rsid w:val="38EF49C2"/>
    <w:rsid w:val="39113F52"/>
    <w:rsid w:val="39168DCD"/>
    <w:rsid w:val="391D9DB0"/>
    <w:rsid w:val="3925B0E0"/>
    <w:rsid w:val="39325859"/>
    <w:rsid w:val="39582E69"/>
    <w:rsid w:val="39770A8C"/>
    <w:rsid w:val="397F3219"/>
    <w:rsid w:val="3981DA82"/>
    <w:rsid w:val="39B08F71"/>
    <w:rsid w:val="39BE6100"/>
    <w:rsid w:val="39C35D8F"/>
    <w:rsid w:val="39C4CC61"/>
    <w:rsid w:val="39C73034"/>
    <w:rsid w:val="39CBCDAF"/>
    <w:rsid w:val="39DB9028"/>
    <w:rsid w:val="39E5198A"/>
    <w:rsid w:val="3A075F90"/>
    <w:rsid w:val="3A0D1485"/>
    <w:rsid w:val="3A1FDC8B"/>
    <w:rsid w:val="3A20B86D"/>
    <w:rsid w:val="3A358F44"/>
    <w:rsid w:val="3A4AA927"/>
    <w:rsid w:val="3A5734C4"/>
    <w:rsid w:val="3A63BE76"/>
    <w:rsid w:val="3A7AB9E8"/>
    <w:rsid w:val="3ADD55FD"/>
    <w:rsid w:val="3AEBD909"/>
    <w:rsid w:val="3AFBFC00"/>
    <w:rsid w:val="3B03FBA5"/>
    <w:rsid w:val="3B0B0337"/>
    <w:rsid w:val="3B0B09C1"/>
    <w:rsid w:val="3B144748"/>
    <w:rsid w:val="3B438233"/>
    <w:rsid w:val="3B4849C1"/>
    <w:rsid w:val="3B5F9992"/>
    <w:rsid w:val="3B7A2C70"/>
    <w:rsid w:val="3B8CB1FF"/>
    <w:rsid w:val="3B918BDD"/>
    <w:rsid w:val="3B992FDB"/>
    <w:rsid w:val="3B99C9C0"/>
    <w:rsid w:val="3BA7302A"/>
    <w:rsid w:val="3BBA4F15"/>
    <w:rsid w:val="3BCBA9A9"/>
    <w:rsid w:val="3BDC4E03"/>
    <w:rsid w:val="3BE3D124"/>
    <w:rsid w:val="3C0F0EB3"/>
    <w:rsid w:val="3C2432F3"/>
    <w:rsid w:val="3C382C66"/>
    <w:rsid w:val="3C578FC5"/>
    <w:rsid w:val="3C74B5A0"/>
    <w:rsid w:val="3C85D150"/>
    <w:rsid w:val="3C915AC0"/>
    <w:rsid w:val="3C9DA0FC"/>
    <w:rsid w:val="3CB39C51"/>
    <w:rsid w:val="3CE66AAA"/>
    <w:rsid w:val="3CF073B5"/>
    <w:rsid w:val="3D06AD18"/>
    <w:rsid w:val="3D08BECE"/>
    <w:rsid w:val="3D10C294"/>
    <w:rsid w:val="3D15238A"/>
    <w:rsid w:val="3D1859F1"/>
    <w:rsid w:val="3D1ACBCB"/>
    <w:rsid w:val="3D2F1960"/>
    <w:rsid w:val="3D3DC1A8"/>
    <w:rsid w:val="3D5A5CEB"/>
    <w:rsid w:val="3D62B626"/>
    <w:rsid w:val="3D62DA17"/>
    <w:rsid w:val="3D683F96"/>
    <w:rsid w:val="3D6E0F75"/>
    <w:rsid w:val="3D849D51"/>
    <w:rsid w:val="3D8DA94E"/>
    <w:rsid w:val="3D9142F0"/>
    <w:rsid w:val="3D974EA7"/>
    <w:rsid w:val="3D9C9C1C"/>
    <w:rsid w:val="3DA21AD1"/>
    <w:rsid w:val="3DB459BA"/>
    <w:rsid w:val="3DC86AD5"/>
    <w:rsid w:val="3DEDA31B"/>
    <w:rsid w:val="3DF29738"/>
    <w:rsid w:val="3E0236A3"/>
    <w:rsid w:val="3E2C352F"/>
    <w:rsid w:val="3E33CA38"/>
    <w:rsid w:val="3E46638D"/>
    <w:rsid w:val="3E4CC553"/>
    <w:rsid w:val="3E628950"/>
    <w:rsid w:val="3E840094"/>
    <w:rsid w:val="3E8FD9DF"/>
    <w:rsid w:val="3E960A35"/>
    <w:rsid w:val="3EC70A50"/>
    <w:rsid w:val="3EC73D09"/>
    <w:rsid w:val="3EC8FCCC"/>
    <w:rsid w:val="3EC96D83"/>
    <w:rsid w:val="3EEF2E9D"/>
    <w:rsid w:val="3EF0CB2A"/>
    <w:rsid w:val="3EF20FA6"/>
    <w:rsid w:val="3F246ED3"/>
    <w:rsid w:val="3F248467"/>
    <w:rsid w:val="3F33433A"/>
    <w:rsid w:val="3F479C08"/>
    <w:rsid w:val="3F61DF40"/>
    <w:rsid w:val="3FA6D743"/>
    <w:rsid w:val="3FB64FC3"/>
    <w:rsid w:val="3FC5B5C3"/>
    <w:rsid w:val="3FCD27FD"/>
    <w:rsid w:val="3FD91FA4"/>
    <w:rsid w:val="400269BA"/>
    <w:rsid w:val="402C73F4"/>
    <w:rsid w:val="4055760B"/>
    <w:rsid w:val="406ECC11"/>
    <w:rsid w:val="406F7E18"/>
    <w:rsid w:val="4079403E"/>
    <w:rsid w:val="408E3EAE"/>
    <w:rsid w:val="408FD943"/>
    <w:rsid w:val="409C20BB"/>
    <w:rsid w:val="40A299AF"/>
    <w:rsid w:val="40A594F8"/>
    <w:rsid w:val="40B11A3D"/>
    <w:rsid w:val="40C9047A"/>
    <w:rsid w:val="40CCA706"/>
    <w:rsid w:val="40E235B2"/>
    <w:rsid w:val="40EB90DF"/>
    <w:rsid w:val="40F6557A"/>
    <w:rsid w:val="4104110A"/>
    <w:rsid w:val="4106BE0F"/>
    <w:rsid w:val="411768D4"/>
    <w:rsid w:val="411C10B2"/>
    <w:rsid w:val="412E1F56"/>
    <w:rsid w:val="4133BFA7"/>
    <w:rsid w:val="4133CB25"/>
    <w:rsid w:val="414B9F1D"/>
    <w:rsid w:val="4152F2E4"/>
    <w:rsid w:val="4160791B"/>
    <w:rsid w:val="41749EFC"/>
    <w:rsid w:val="4191D7FE"/>
    <w:rsid w:val="4195824E"/>
    <w:rsid w:val="4198FF5A"/>
    <w:rsid w:val="41AF5C3C"/>
    <w:rsid w:val="41B7F6DC"/>
    <w:rsid w:val="41C8D64D"/>
    <w:rsid w:val="41D62288"/>
    <w:rsid w:val="41DA61B9"/>
    <w:rsid w:val="41DD1ED5"/>
    <w:rsid w:val="41F17CC6"/>
    <w:rsid w:val="41F97753"/>
    <w:rsid w:val="42097C4F"/>
    <w:rsid w:val="424EC5AD"/>
    <w:rsid w:val="4261C28C"/>
    <w:rsid w:val="4263A7E0"/>
    <w:rsid w:val="428218BD"/>
    <w:rsid w:val="428DFDB5"/>
    <w:rsid w:val="429CC87F"/>
    <w:rsid w:val="42B57DFF"/>
    <w:rsid w:val="42D3446A"/>
    <w:rsid w:val="42E3A4E9"/>
    <w:rsid w:val="42EED4C3"/>
    <w:rsid w:val="42FB6BE1"/>
    <w:rsid w:val="42FFB12A"/>
    <w:rsid w:val="4332D56A"/>
    <w:rsid w:val="4345A342"/>
    <w:rsid w:val="435771B7"/>
    <w:rsid w:val="435B7D1C"/>
    <w:rsid w:val="4363BADB"/>
    <w:rsid w:val="43ABE05B"/>
    <w:rsid w:val="43B94BE6"/>
    <w:rsid w:val="43CC63B1"/>
    <w:rsid w:val="43D304D7"/>
    <w:rsid w:val="43D81160"/>
    <w:rsid w:val="43E58AC1"/>
    <w:rsid w:val="43E6EC0B"/>
    <w:rsid w:val="43EEB4FB"/>
    <w:rsid w:val="43F4F08C"/>
    <w:rsid w:val="4401A5AE"/>
    <w:rsid w:val="442F0F4F"/>
    <w:rsid w:val="44320C4D"/>
    <w:rsid w:val="44321B9C"/>
    <w:rsid w:val="44484F22"/>
    <w:rsid w:val="444C3E48"/>
    <w:rsid w:val="445C667C"/>
    <w:rsid w:val="4486D0BE"/>
    <w:rsid w:val="4488F132"/>
    <w:rsid w:val="4496D2DD"/>
    <w:rsid w:val="44B96A11"/>
    <w:rsid w:val="44BD8575"/>
    <w:rsid w:val="44C7F45A"/>
    <w:rsid w:val="44E230CA"/>
    <w:rsid w:val="44EDBDDF"/>
    <w:rsid w:val="44FC8593"/>
    <w:rsid w:val="44FF8B3C"/>
    <w:rsid w:val="4505FE3A"/>
    <w:rsid w:val="450C6A75"/>
    <w:rsid w:val="451EF5E6"/>
    <w:rsid w:val="4520302B"/>
    <w:rsid w:val="4534E3D2"/>
    <w:rsid w:val="45456A61"/>
    <w:rsid w:val="45659C09"/>
    <w:rsid w:val="45689518"/>
    <w:rsid w:val="4573E025"/>
    <w:rsid w:val="458DD2B2"/>
    <w:rsid w:val="45B920E9"/>
    <w:rsid w:val="45C0B157"/>
    <w:rsid w:val="45C9C69D"/>
    <w:rsid w:val="45CC75E0"/>
    <w:rsid w:val="45D92263"/>
    <w:rsid w:val="45E85931"/>
    <w:rsid w:val="45EE689A"/>
    <w:rsid w:val="45F1EA03"/>
    <w:rsid w:val="46015D83"/>
    <w:rsid w:val="4611AD01"/>
    <w:rsid w:val="461BA317"/>
    <w:rsid w:val="4648E945"/>
    <w:rsid w:val="4653BE37"/>
    <w:rsid w:val="4662E198"/>
    <w:rsid w:val="46640BED"/>
    <w:rsid w:val="466B64C9"/>
    <w:rsid w:val="4679F90F"/>
    <w:rsid w:val="468F1279"/>
    <w:rsid w:val="46936C9F"/>
    <w:rsid w:val="46A76052"/>
    <w:rsid w:val="46BB78F2"/>
    <w:rsid w:val="46C364DC"/>
    <w:rsid w:val="46C907A6"/>
    <w:rsid w:val="46C9CA7D"/>
    <w:rsid w:val="46D0428E"/>
    <w:rsid w:val="46F177EE"/>
    <w:rsid w:val="46F8208B"/>
    <w:rsid w:val="4705CAD1"/>
    <w:rsid w:val="4720B233"/>
    <w:rsid w:val="47279495"/>
    <w:rsid w:val="47726FE9"/>
    <w:rsid w:val="4779C1FE"/>
    <w:rsid w:val="47A09DFC"/>
    <w:rsid w:val="47AFD9EE"/>
    <w:rsid w:val="47B0443A"/>
    <w:rsid w:val="47B7B4E9"/>
    <w:rsid w:val="47BAA5A6"/>
    <w:rsid w:val="47BAB8D3"/>
    <w:rsid w:val="47BFB92D"/>
    <w:rsid w:val="47C2548C"/>
    <w:rsid w:val="47D499C3"/>
    <w:rsid w:val="47ECFC90"/>
    <w:rsid w:val="48036EFA"/>
    <w:rsid w:val="480992D4"/>
    <w:rsid w:val="4817DAE7"/>
    <w:rsid w:val="48359B98"/>
    <w:rsid w:val="4847DF80"/>
    <w:rsid w:val="489F7256"/>
    <w:rsid w:val="48A2DF35"/>
    <w:rsid w:val="48B2848D"/>
    <w:rsid w:val="48B4C7DF"/>
    <w:rsid w:val="48D336C1"/>
    <w:rsid w:val="48D4B0F1"/>
    <w:rsid w:val="48DD82F4"/>
    <w:rsid w:val="48E044FA"/>
    <w:rsid w:val="48EF0502"/>
    <w:rsid w:val="48EF2629"/>
    <w:rsid w:val="491BDCB8"/>
    <w:rsid w:val="4923CA99"/>
    <w:rsid w:val="4931CD96"/>
    <w:rsid w:val="493FAA10"/>
    <w:rsid w:val="494753BF"/>
    <w:rsid w:val="495D3BA5"/>
    <w:rsid w:val="498D5B32"/>
    <w:rsid w:val="4990CF58"/>
    <w:rsid w:val="49A2A541"/>
    <w:rsid w:val="49B1E6E0"/>
    <w:rsid w:val="49C10576"/>
    <w:rsid w:val="49D459F0"/>
    <w:rsid w:val="49D6522E"/>
    <w:rsid w:val="49DD0F91"/>
    <w:rsid w:val="49E7145B"/>
    <w:rsid w:val="49EB944B"/>
    <w:rsid w:val="49EFA6CE"/>
    <w:rsid w:val="49F6A7A7"/>
    <w:rsid w:val="4A000B50"/>
    <w:rsid w:val="4A09712A"/>
    <w:rsid w:val="4A12CB92"/>
    <w:rsid w:val="4A28FC92"/>
    <w:rsid w:val="4A2F4E10"/>
    <w:rsid w:val="4A3265A4"/>
    <w:rsid w:val="4A38F40B"/>
    <w:rsid w:val="4A54EB38"/>
    <w:rsid w:val="4A5DB5F5"/>
    <w:rsid w:val="4A8E2467"/>
    <w:rsid w:val="4AA1B271"/>
    <w:rsid w:val="4AA1F6F7"/>
    <w:rsid w:val="4ABB1CCA"/>
    <w:rsid w:val="4ABF150D"/>
    <w:rsid w:val="4AD33756"/>
    <w:rsid w:val="4ADDB10D"/>
    <w:rsid w:val="4AE5848E"/>
    <w:rsid w:val="4B074277"/>
    <w:rsid w:val="4B0A444B"/>
    <w:rsid w:val="4B14684C"/>
    <w:rsid w:val="4B2409BD"/>
    <w:rsid w:val="4B26334B"/>
    <w:rsid w:val="4B4246CD"/>
    <w:rsid w:val="4B5279E5"/>
    <w:rsid w:val="4B62839C"/>
    <w:rsid w:val="4B712A15"/>
    <w:rsid w:val="4B764B17"/>
    <w:rsid w:val="4B776BF0"/>
    <w:rsid w:val="4B7D0E43"/>
    <w:rsid w:val="4B8F087C"/>
    <w:rsid w:val="4B9A0E73"/>
    <w:rsid w:val="4BA1C5F2"/>
    <w:rsid w:val="4BA5EBAC"/>
    <w:rsid w:val="4BAF9C32"/>
    <w:rsid w:val="4BB3168D"/>
    <w:rsid w:val="4BBD163A"/>
    <w:rsid w:val="4BBD744B"/>
    <w:rsid w:val="4BD2D260"/>
    <w:rsid w:val="4BED8897"/>
    <w:rsid w:val="4C01E8F2"/>
    <w:rsid w:val="4C084E6D"/>
    <w:rsid w:val="4C0E5D8E"/>
    <w:rsid w:val="4C2106B5"/>
    <w:rsid w:val="4C3B5FCD"/>
    <w:rsid w:val="4C426E60"/>
    <w:rsid w:val="4C5AD40E"/>
    <w:rsid w:val="4C5DE7EE"/>
    <w:rsid w:val="4C5E70F6"/>
    <w:rsid w:val="4C947788"/>
    <w:rsid w:val="4CA87BC0"/>
    <w:rsid w:val="4CABFA36"/>
    <w:rsid w:val="4CAFB13B"/>
    <w:rsid w:val="4CB298EF"/>
    <w:rsid w:val="4CBA1E46"/>
    <w:rsid w:val="4CBA7BAE"/>
    <w:rsid w:val="4CBFED95"/>
    <w:rsid w:val="4CC5B621"/>
    <w:rsid w:val="4CDBEFD6"/>
    <w:rsid w:val="4CFC3588"/>
    <w:rsid w:val="4D21E3E4"/>
    <w:rsid w:val="4D7BCC61"/>
    <w:rsid w:val="4D83EFBE"/>
    <w:rsid w:val="4D9AEFD7"/>
    <w:rsid w:val="4DA4DDBC"/>
    <w:rsid w:val="4DAF1924"/>
    <w:rsid w:val="4DCE6782"/>
    <w:rsid w:val="4DDE29F8"/>
    <w:rsid w:val="4DE80688"/>
    <w:rsid w:val="4DF216F0"/>
    <w:rsid w:val="4E00EEA0"/>
    <w:rsid w:val="4E068036"/>
    <w:rsid w:val="4E0C1FF1"/>
    <w:rsid w:val="4E3277F7"/>
    <w:rsid w:val="4E370FD3"/>
    <w:rsid w:val="4E59DBA8"/>
    <w:rsid w:val="4E9328F3"/>
    <w:rsid w:val="4EA190BE"/>
    <w:rsid w:val="4ECC7DC2"/>
    <w:rsid w:val="4EDFA16B"/>
    <w:rsid w:val="4EE5D9E3"/>
    <w:rsid w:val="4F02F532"/>
    <w:rsid w:val="4F0A03EB"/>
    <w:rsid w:val="4F22A4E4"/>
    <w:rsid w:val="4F33445C"/>
    <w:rsid w:val="4F3599EA"/>
    <w:rsid w:val="4F6F8494"/>
    <w:rsid w:val="4F783C4C"/>
    <w:rsid w:val="4F8FA7D6"/>
    <w:rsid w:val="4F92C6A5"/>
    <w:rsid w:val="4FAFD659"/>
    <w:rsid w:val="4FC4E595"/>
    <w:rsid w:val="4FE10E10"/>
    <w:rsid w:val="4FEAAD87"/>
    <w:rsid w:val="4FF53D16"/>
    <w:rsid w:val="50086D44"/>
    <w:rsid w:val="504479D3"/>
    <w:rsid w:val="5076EC04"/>
    <w:rsid w:val="50770141"/>
    <w:rsid w:val="507A2492"/>
    <w:rsid w:val="5095E474"/>
    <w:rsid w:val="5098C654"/>
    <w:rsid w:val="509B2820"/>
    <w:rsid w:val="50AA29DF"/>
    <w:rsid w:val="50AB5EE4"/>
    <w:rsid w:val="50B8B713"/>
    <w:rsid w:val="50BCE83C"/>
    <w:rsid w:val="50CEB7A9"/>
    <w:rsid w:val="50CF14BD"/>
    <w:rsid w:val="50D84541"/>
    <w:rsid w:val="50E6BEB6"/>
    <w:rsid w:val="50F03BF7"/>
    <w:rsid w:val="50F308FA"/>
    <w:rsid w:val="51011A9F"/>
    <w:rsid w:val="510C7944"/>
    <w:rsid w:val="515E7573"/>
    <w:rsid w:val="5163DF2D"/>
    <w:rsid w:val="516BBB94"/>
    <w:rsid w:val="516D9166"/>
    <w:rsid w:val="516EEF23"/>
    <w:rsid w:val="5182A175"/>
    <w:rsid w:val="5197EE95"/>
    <w:rsid w:val="51B43F22"/>
    <w:rsid w:val="51C546A8"/>
    <w:rsid w:val="51C64E96"/>
    <w:rsid w:val="51D2FEA8"/>
    <w:rsid w:val="51EE1E06"/>
    <w:rsid w:val="51FA46DF"/>
    <w:rsid w:val="5200ADD7"/>
    <w:rsid w:val="5200CA8E"/>
    <w:rsid w:val="52017CDC"/>
    <w:rsid w:val="5209501A"/>
    <w:rsid w:val="5221759E"/>
    <w:rsid w:val="5221BFEC"/>
    <w:rsid w:val="522B0392"/>
    <w:rsid w:val="523FC287"/>
    <w:rsid w:val="524091DA"/>
    <w:rsid w:val="524DEF20"/>
    <w:rsid w:val="52514A1B"/>
    <w:rsid w:val="52686C79"/>
    <w:rsid w:val="5272FC33"/>
    <w:rsid w:val="527D8E0D"/>
    <w:rsid w:val="52904B0C"/>
    <w:rsid w:val="5295C580"/>
    <w:rsid w:val="529AA7C9"/>
    <w:rsid w:val="52AF1B3F"/>
    <w:rsid w:val="52BD1C17"/>
    <w:rsid w:val="52C76041"/>
    <w:rsid w:val="52D7E161"/>
    <w:rsid w:val="530B9F20"/>
    <w:rsid w:val="531212DD"/>
    <w:rsid w:val="53256F17"/>
    <w:rsid w:val="5338D64C"/>
    <w:rsid w:val="533F46EA"/>
    <w:rsid w:val="536F10D8"/>
    <w:rsid w:val="5380C423"/>
    <w:rsid w:val="538CD916"/>
    <w:rsid w:val="539B2246"/>
    <w:rsid w:val="53B3E454"/>
    <w:rsid w:val="53BD67F8"/>
    <w:rsid w:val="53BF6D0C"/>
    <w:rsid w:val="53E11490"/>
    <w:rsid w:val="53ED885D"/>
    <w:rsid w:val="53F008FA"/>
    <w:rsid w:val="53FB2526"/>
    <w:rsid w:val="540A4111"/>
    <w:rsid w:val="543211AE"/>
    <w:rsid w:val="543F29E0"/>
    <w:rsid w:val="5446E84E"/>
    <w:rsid w:val="5462A7CE"/>
    <w:rsid w:val="54791637"/>
    <w:rsid w:val="548F86A2"/>
    <w:rsid w:val="54AC3FAA"/>
    <w:rsid w:val="54B27D09"/>
    <w:rsid w:val="54B51D18"/>
    <w:rsid w:val="54E168E7"/>
    <w:rsid w:val="54E9F949"/>
    <w:rsid w:val="54EC2E61"/>
    <w:rsid w:val="54EE58D7"/>
    <w:rsid w:val="552B1939"/>
    <w:rsid w:val="5531D322"/>
    <w:rsid w:val="553B4CED"/>
    <w:rsid w:val="554BA4AD"/>
    <w:rsid w:val="555EB43D"/>
    <w:rsid w:val="5563358B"/>
    <w:rsid w:val="556A1E5E"/>
    <w:rsid w:val="557AE195"/>
    <w:rsid w:val="55905BE9"/>
    <w:rsid w:val="55948D73"/>
    <w:rsid w:val="55A82BCC"/>
    <w:rsid w:val="55B55009"/>
    <w:rsid w:val="55E2CD6B"/>
    <w:rsid w:val="55E40078"/>
    <w:rsid w:val="55EC54A1"/>
    <w:rsid w:val="55FAD04D"/>
    <w:rsid w:val="561C899D"/>
    <w:rsid w:val="5641288B"/>
    <w:rsid w:val="56497D78"/>
    <w:rsid w:val="564D39F8"/>
    <w:rsid w:val="565040E5"/>
    <w:rsid w:val="566BFB9F"/>
    <w:rsid w:val="5674077D"/>
    <w:rsid w:val="5684DD52"/>
    <w:rsid w:val="56889928"/>
    <w:rsid w:val="5695E22E"/>
    <w:rsid w:val="569776CE"/>
    <w:rsid w:val="569C58A4"/>
    <w:rsid w:val="56A1A6D4"/>
    <w:rsid w:val="56BD9396"/>
    <w:rsid w:val="56C33F00"/>
    <w:rsid w:val="56D81EB6"/>
    <w:rsid w:val="56E9378E"/>
    <w:rsid w:val="57022B2F"/>
    <w:rsid w:val="5723B250"/>
    <w:rsid w:val="5745F957"/>
    <w:rsid w:val="5766981C"/>
    <w:rsid w:val="576C3BD5"/>
    <w:rsid w:val="5788B38A"/>
    <w:rsid w:val="579C0803"/>
    <w:rsid w:val="57AC9232"/>
    <w:rsid w:val="57B13F0D"/>
    <w:rsid w:val="57D0801B"/>
    <w:rsid w:val="57F9FE12"/>
    <w:rsid w:val="57FB7273"/>
    <w:rsid w:val="5827B877"/>
    <w:rsid w:val="5850AA60"/>
    <w:rsid w:val="58570040"/>
    <w:rsid w:val="585CC632"/>
    <w:rsid w:val="586252ED"/>
    <w:rsid w:val="58645D39"/>
    <w:rsid w:val="58A37680"/>
    <w:rsid w:val="58B6B3CF"/>
    <w:rsid w:val="58B8876C"/>
    <w:rsid w:val="58C207B0"/>
    <w:rsid w:val="58C3503A"/>
    <w:rsid w:val="58C9ED41"/>
    <w:rsid w:val="58CA2342"/>
    <w:rsid w:val="58E31202"/>
    <w:rsid w:val="58EA749E"/>
    <w:rsid w:val="58ED0DAC"/>
    <w:rsid w:val="58F111A2"/>
    <w:rsid w:val="58FA1358"/>
    <w:rsid w:val="58FC1DD1"/>
    <w:rsid w:val="592540CC"/>
    <w:rsid w:val="592956B7"/>
    <w:rsid w:val="59317A21"/>
    <w:rsid w:val="593FFD8B"/>
    <w:rsid w:val="59407713"/>
    <w:rsid w:val="5940BA76"/>
    <w:rsid w:val="596D2242"/>
    <w:rsid w:val="59708F04"/>
    <w:rsid w:val="598F7D25"/>
    <w:rsid w:val="59972524"/>
    <w:rsid w:val="59A069A4"/>
    <w:rsid w:val="59BC659B"/>
    <w:rsid w:val="59C929AE"/>
    <w:rsid w:val="59CBD39A"/>
    <w:rsid w:val="59D7A6F2"/>
    <w:rsid w:val="59F73B78"/>
    <w:rsid w:val="5A044BF4"/>
    <w:rsid w:val="5A07DBA8"/>
    <w:rsid w:val="5A0BAA44"/>
    <w:rsid w:val="5A2BF10A"/>
    <w:rsid w:val="5A4029A9"/>
    <w:rsid w:val="5A42B596"/>
    <w:rsid w:val="5A467ED4"/>
    <w:rsid w:val="5A46D612"/>
    <w:rsid w:val="5A475094"/>
    <w:rsid w:val="5A4EE4CD"/>
    <w:rsid w:val="5A5148C1"/>
    <w:rsid w:val="5A6C0CBF"/>
    <w:rsid w:val="5A778791"/>
    <w:rsid w:val="5A931DE7"/>
    <w:rsid w:val="5A9BC0A0"/>
    <w:rsid w:val="5AA109CF"/>
    <w:rsid w:val="5AA3F2CB"/>
    <w:rsid w:val="5AB31E67"/>
    <w:rsid w:val="5AB7D96F"/>
    <w:rsid w:val="5ABB04BC"/>
    <w:rsid w:val="5AC87039"/>
    <w:rsid w:val="5AD59D31"/>
    <w:rsid w:val="5AFB4FDA"/>
    <w:rsid w:val="5B04D5CC"/>
    <w:rsid w:val="5B288FB6"/>
    <w:rsid w:val="5B4EE2C4"/>
    <w:rsid w:val="5B578EF9"/>
    <w:rsid w:val="5B79124C"/>
    <w:rsid w:val="5B9815EF"/>
    <w:rsid w:val="5B9E981B"/>
    <w:rsid w:val="5BA0F9A7"/>
    <w:rsid w:val="5BCEB55F"/>
    <w:rsid w:val="5BCEBCF9"/>
    <w:rsid w:val="5BD9634B"/>
    <w:rsid w:val="5BEA34C9"/>
    <w:rsid w:val="5BEBC27A"/>
    <w:rsid w:val="5BEBE5C5"/>
    <w:rsid w:val="5BFD276B"/>
    <w:rsid w:val="5C00C027"/>
    <w:rsid w:val="5C3C1EDE"/>
    <w:rsid w:val="5C3D5D9E"/>
    <w:rsid w:val="5C3DF114"/>
    <w:rsid w:val="5C3EBD8C"/>
    <w:rsid w:val="5C572689"/>
    <w:rsid w:val="5C6203BF"/>
    <w:rsid w:val="5C65CA69"/>
    <w:rsid w:val="5C6A0DDE"/>
    <w:rsid w:val="5C7DE1F1"/>
    <w:rsid w:val="5C81CAC8"/>
    <w:rsid w:val="5C88639F"/>
    <w:rsid w:val="5C8B4B59"/>
    <w:rsid w:val="5C965FC6"/>
    <w:rsid w:val="5C974B37"/>
    <w:rsid w:val="5C9BEA88"/>
    <w:rsid w:val="5CB3D6D9"/>
    <w:rsid w:val="5CBA2A78"/>
    <w:rsid w:val="5CC46A1E"/>
    <w:rsid w:val="5CC8765A"/>
    <w:rsid w:val="5CE3EB17"/>
    <w:rsid w:val="5CE8881F"/>
    <w:rsid w:val="5CF0E1A9"/>
    <w:rsid w:val="5D4A5F0A"/>
    <w:rsid w:val="5D5797EE"/>
    <w:rsid w:val="5D92AA48"/>
    <w:rsid w:val="5DA055ED"/>
    <w:rsid w:val="5DD16292"/>
    <w:rsid w:val="5DD356F7"/>
    <w:rsid w:val="5DD454F3"/>
    <w:rsid w:val="5DEFF6B8"/>
    <w:rsid w:val="5DF276B5"/>
    <w:rsid w:val="5DF2E9D2"/>
    <w:rsid w:val="5DF688F1"/>
    <w:rsid w:val="5DF922F9"/>
    <w:rsid w:val="5E097442"/>
    <w:rsid w:val="5E1474E5"/>
    <w:rsid w:val="5E343B7F"/>
    <w:rsid w:val="5E3DA93A"/>
    <w:rsid w:val="5E3F5B3E"/>
    <w:rsid w:val="5E580541"/>
    <w:rsid w:val="5E5A979D"/>
    <w:rsid w:val="5E6F4FD3"/>
    <w:rsid w:val="5E74727D"/>
    <w:rsid w:val="5E78D0AE"/>
    <w:rsid w:val="5E99873D"/>
    <w:rsid w:val="5EA2912D"/>
    <w:rsid w:val="5EA7A975"/>
    <w:rsid w:val="5EB07300"/>
    <w:rsid w:val="5EBB9973"/>
    <w:rsid w:val="5EC38032"/>
    <w:rsid w:val="5ED29F6F"/>
    <w:rsid w:val="5ED98D7C"/>
    <w:rsid w:val="5EE335DA"/>
    <w:rsid w:val="5F38067F"/>
    <w:rsid w:val="5F617CA4"/>
    <w:rsid w:val="5F64927A"/>
    <w:rsid w:val="5F6851FF"/>
    <w:rsid w:val="5F6B9F7C"/>
    <w:rsid w:val="5F6D8EC7"/>
    <w:rsid w:val="5FA6ACD8"/>
    <w:rsid w:val="5FA71616"/>
    <w:rsid w:val="5FAF7242"/>
    <w:rsid w:val="5FBCB96F"/>
    <w:rsid w:val="5FC059CD"/>
    <w:rsid w:val="5FDB4E29"/>
    <w:rsid w:val="5FE245BF"/>
    <w:rsid w:val="5FE98F51"/>
    <w:rsid w:val="60009B8A"/>
    <w:rsid w:val="60027C79"/>
    <w:rsid w:val="601E73AD"/>
    <w:rsid w:val="602A1D24"/>
    <w:rsid w:val="6036CACB"/>
    <w:rsid w:val="605BC64F"/>
    <w:rsid w:val="606D6382"/>
    <w:rsid w:val="6087C39D"/>
    <w:rsid w:val="60922717"/>
    <w:rsid w:val="60940A29"/>
    <w:rsid w:val="6094FCA6"/>
    <w:rsid w:val="609A48C8"/>
    <w:rsid w:val="60CB2226"/>
    <w:rsid w:val="60D00B98"/>
    <w:rsid w:val="60D210D3"/>
    <w:rsid w:val="60DB213B"/>
    <w:rsid w:val="60EDC4B6"/>
    <w:rsid w:val="60F392CA"/>
    <w:rsid w:val="616EFFF0"/>
    <w:rsid w:val="618190D2"/>
    <w:rsid w:val="6190A8F7"/>
    <w:rsid w:val="61A50911"/>
    <w:rsid w:val="61B7EA95"/>
    <w:rsid w:val="61BA1975"/>
    <w:rsid w:val="61BB35EA"/>
    <w:rsid w:val="61EF8B3B"/>
    <w:rsid w:val="6201C427"/>
    <w:rsid w:val="62165510"/>
    <w:rsid w:val="6235E6C3"/>
    <w:rsid w:val="6237F2FF"/>
    <w:rsid w:val="624998EA"/>
    <w:rsid w:val="62544599"/>
    <w:rsid w:val="626402D3"/>
    <w:rsid w:val="6267C1F8"/>
    <w:rsid w:val="62871B7C"/>
    <w:rsid w:val="6289980B"/>
    <w:rsid w:val="628F6C62"/>
    <w:rsid w:val="62970A44"/>
    <w:rsid w:val="62A65C12"/>
    <w:rsid w:val="62ABEE1F"/>
    <w:rsid w:val="62B5A357"/>
    <w:rsid w:val="62C28380"/>
    <w:rsid w:val="62D645B5"/>
    <w:rsid w:val="62E4526C"/>
    <w:rsid w:val="62E4CD06"/>
    <w:rsid w:val="630506ED"/>
    <w:rsid w:val="63284E14"/>
    <w:rsid w:val="6328636D"/>
    <w:rsid w:val="6337038A"/>
    <w:rsid w:val="633757C1"/>
    <w:rsid w:val="63527D4A"/>
    <w:rsid w:val="635327A0"/>
    <w:rsid w:val="63648E76"/>
    <w:rsid w:val="637991FF"/>
    <w:rsid w:val="6383DC0E"/>
    <w:rsid w:val="638D7A24"/>
    <w:rsid w:val="63930351"/>
    <w:rsid w:val="639AEF34"/>
    <w:rsid w:val="639C1376"/>
    <w:rsid w:val="63D7C11E"/>
    <w:rsid w:val="63E0F154"/>
    <w:rsid w:val="63E3E85E"/>
    <w:rsid w:val="63F87D26"/>
    <w:rsid w:val="63F9C551"/>
    <w:rsid w:val="63FD9CA6"/>
    <w:rsid w:val="63FE93D4"/>
    <w:rsid w:val="640BB566"/>
    <w:rsid w:val="6412C8E0"/>
    <w:rsid w:val="6413CB27"/>
    <w:rsid w:val="6417D6B2"/>
    <w:rsid w:val="64353EFD"/>
    <w:rsid w:val="64764513"/>
    <w:rsid w:val="6492B268"/>
    <w:rsid w:val="649369B1"/>
    <w:rsid w:val="649A9395"/>
    <w:rsid w:val="649C3712"/>
    <w:rsid w:val="64B1F1B3"/>
    <w:rsid w:val="64B60D94"/>
    <w:rsid w:val="64B9EE82"/>
    <w:rsid w:val="64E01A65"/>
    <w:rsid w:val="64F15154"/>
    <w:rsid w:val="64F1FF7F"/>
    <w:rsid w:val="64F773DF"/>
    <w:rsid w:val="650676E9"/>
    <w:rsid w:val="65205885"/>
    <w:rsid w:val="6522211E"/>
    <w:rsid w:val="652746AC"/>
    <w:rsid w:val="653BA535"/>
    <w:rsid w:val="65499186"/>
    <w:rsid w:val="6556B566"/>
    <w:rsid w:val="655B6629"/>
    <w:rsid w:val="6562EF4F"/>
    <w:rsid w:val="6567FFAA"/>
    <w:rsid w:val="656B35E9"/>
    <w:rsid w:val="65709978"/>
    <w:rsid w:val="657BA772"/>
    <w:rsid w:val="657E1B12"/>
    <w:rsid w:val="65A3A5F7"/>
    <w:rsid w:val="65C898C4"/>
    <w:rsid w:val="65F7E79B"/>
    <w:rsid w:val="664ACBED"/>
    <w:rsid w:val="664CD639"/>
    <w:rsid w:val="664FB24B"/>
    <w:rsid w:val="665BE71A"/>
    <w:rsid w:val="66737F12"/>
    <w:rsid w:val="667A7435"/>
    <w:rsid w:val="667C3128"/>
    <w:rsid w:val="668F4A66"/>
    <w:rsid w:val="669E16F9"/>
    <w:rsid w:val="66C6EB0C"/>
    <w:rsid w:val="66F33E7A"/>
    <w:rsid w:val="67215497"/>
    <w:rsid w:val="6724FCF7"/>
    <w:rsid w:val="672AA61F"/>
    <w:rsid w:val="674A37CC"/>
    <w:rsid w:val="6751A93A"/>
    <w:rsid w:val="6757F53A"/>
    <w:rsid w:val="67913C5B"/>
    <w:rsid w:val="679340E5"/>
    <w:rsid w:val="679B0C31"/>
    <w:rsid w:val="67B3391C"/>
    <w:rsid w:val="67C6200B"/>
    <w:rsid w:val="67FEA25C"/>
    <w:rsid w:val="68028931"/>
    <w:rsid w:val="680DC225"/>
    <w:rsid w:val="6812E638"/>
    <w:rsid w:val="6831C036"/>
    <w:rsid w:val="683CF396"/>
    <w:rsid w:val="68462367"/>
    <w:rsid w:val="684DE0AA"/>
    <w:rsid w:val="68595235"/>
    <w:rsid w:val="68602A6E"/>
    <w:rsid w:val="6868E347"/>
    <w:rsid w:val="686D4E69"/>
    <w:rsid w:val="687A16BE"/>
    <w:rsid w:val="687F271A"/>
    <w:rsid w:val="6887ED11"/>
    <w:rsid w:val="68957965"/>
    <w:rsid w:val="6896EA36"/>
    <w:rsid w:val="68A90DBA"/>
    <w:rsid w:val="692173BC"/>
    <w:rsid w:val="6926E49D"/>
    <w:rsid w:val="6934C73F"/>
    <w:rsid w:val="693DBA29"/>
    <w:rsid w:val="69590D10"/>
    <w:rsid w:val="695A0703"/>
    <w:rsid w:val="6963B5A7"/>
    <w:rsid w:val="69728414"/>
    <w:rsid w:val="6980BC3A"/>
    <w:rsid w:val="6982105B"/>
    <w:rsid w:val="69827DC2"/>
    <w:rsid w:val="6982F4A8"/>
    <w:rsid w:val="6988BAF6"/>
    <w:rsid w:val="69B840C0"/>
    <w:rsid w:val="69C7A83D"/>
    <w:rsid w:val="69CB1D30"/>
    <w:rsid w:val="69D7D6AD"/>
    <w:rsid w:val="69E1C243"/>
    <w:rsid w:val="69E5EC67"/>
    <w:rsid w:val="69EA2679"/>
    <w:rsid w:val="69FC21DD"/>
    <w:rsid w:val="6A0AED84"/>
    <w:rsid w:val="6A1C642F"/>
    <w:rsid w:val="6A22F684"/>
    <w:rsid w:val="6A280255"/>
    <w:rsid w:val="6A42ED14"/>
    <w:rsid w:val="6A560BAC"/>
    <w:rsid w:val="6A57AA70"/>
    <w:rsid w:val="6A712383"/>
    <w:rsid w:val="6A8760D1"/>
    <w:rsid w:val="6A8A3C58"/>
    <w:rsid w:val="6A8AE5AD"/>
    <w:rsid w:val="6A9CB272"/>
    <w:rsid w:val="6AA6BE84"/>
    <w:rsid w:val="6AA9BF64"/>
    <w:rsid w:val="6AAAEAA6"/>
    <w:rsid w:val="6AB5580D"/>
    <w:rsid w:val="6ABC0488"/>
    <w:rsid w:val="6AFCF767"/>
    <w:rsid w:val="6AFEB45D"/>
    <w:rsid w:val="6B21C614"/>
    <w:rsid w:val="6B2D8650"/>
    <w:rsid w:val="6B5D0D5C"/>
    <w:rsid w:val="6B677F51"/>
    <w:rsid w:val="6B799D6C"/>
    <w:rsid w:val="6BA9091C"/>
    <w:rsid w:val="6BAEBA82"/>
    <w:rsid w:val="6BC385B2"/>
    <w:rsid w:val="6BCBF6BF"/>
    <w:rsid w:val="6BE14679"/>
    <w:rsid w:val="6BF39273"/>
    <w:rsid w:val="6BF575A3"/>
    <w:rsid w:val="6C0CB4EE"/>
    <w:rsid w:val="6C12E111"/>
    <w:rsid w:val="6C184D10"/>
    <w:rsid w:val="6C2285E2"/>
    <w:rsid w:val="6C576D4E"/>
    <w:rsid w:val="6C68D194"/>
    <w:rsid w:val="6C7A4D80"/>
    <w:rsid w:val="6C8A064F"/>
    <w:rsid w:val="6C99B699"/>
    <w:rsid w:val="6C9D6EDF"/>
    <w:rsid w:val="6C9F0A29"/>
    <w:rsid w:val="6CC80704"/>
    <w:rsid w:val="6CCD7112"/>
    <w:rsid w:val="6CD3D013"/>
    <w:rsid w:val="6CD52CEA"/>
    <w:rsid w:val="6CE20D62"/>
    <w:rsid w:val="6D041A31"/>
    <w:rsid w:val="6D052104"/>
    <w:rsid w:val="6D1CEA95"/>
    <w:rsid w:val="6D331696"/>
    <w:rsid w:val="6D4340FF"/>
    <w:rsid w:val="6D4F075F"/>
    <w:rsid w:val="6D5D908D"/>
    <w:rsid w:val="6D5FC4FE"/>
    <w:rsid w:val="6D637960"/>
    <w:rsid w:val="6D68C11D"/>
    <w:rsid w:val="6D6DF2AF"/>
    <w:rsid w:val="6D6EB15F"/>
    <w:rsid w:val="6D7BB2A6"/>
    <w:rsid w:val="6D7E2C43"/>
    <w:rsid w:val="6D899553"/>
    <w:rsid w:val="6DA35B83"/>
    <w:rsid w:val="6DA5EB31"/>
    <w:rsid w:val="6DB3804F"/>
    <w:rsid w:val="6DB55508"/>
    <w:rsid w:val="6DBA824C"/>
    <w:rsid w:val="6DC68B8F"/>
    <w:rsid w:val="6DDDB89B"/>
    <w:rsid w:val="6E020BE8"/>
    <w:rsid w:val="6E02FEFD"/>
    <w:rsid w:val="6E2EFF56"/>
    <w:rsid w:val="6E3D64EA"/>
    <w:rsid w:val="6E41ED03"/>
    <w:rsid w:val="6E4C0E7C"/>
    <w:rsid w:val="6E4FB46F"/>
    <w:rsid w:val="6E65C8D0"/>
    <w:rsid w:val="6E731E45"/>
    <w:rsid w:val="6E7C542D"/>
    <w:rsid w:val="6E821DCB"/>
    <w:rsid w:val="6E8BD638"/>
    <w:rsid w:val="6E8FDA5D"/>
    <w:rsid w:val="6E937BD0"/>
    <w:rsid w:val="6EACE4FE"/>
    <w:rsid w:val="6EBB4889"/>
    <w:rsid w:val="6EC1FF39"/>
    <w:rsid w:val="6EE7A167"/>
    <w:rsid w:val="6EF629C5"/>
    <w:rsid w:val="6F011858"/>
    <w:rsid w:val="6F14915C"/>
    <w:rsid w:val="6F214FB4"/>
    <w:rsid w:val="6F25D96F"/>
    <w:rsid w:val="6F4A4C71"/>
    <w:rsid w:val="6F571A59"/>
    <w:rsid w:val="6F72BBE6"/>
    <w:rsid w:val="6F8D79D7"/>
    <w:rsid w:val="6FA8F40E"/>
    <w:rsid w:val="6FE49442"/>
    <w:rsid w:val="6FEAE24D"/>
    <w:rsid w:val="6FF4E48D"/>
    <w:rsid w:val="6FFA1838"/>
    <w:rsid w:val="6FFDA810"/>
    <w:rsid w:val="70138A24"/>
    <w:rsid w:val="701EDE86"/>
    <w:rsid w:val="70447D75"/>
    <w:rsid w:val="7061C76E"/>
    <w:rsid w:val="7061F519"/>
    <w:rsid w:val="70732F60"/>
    <w:rsid w:val="707DBC66"/>
    <w:rsid w:val="707EAA0B"/>
    <w:rsid w:val="708A04C7"/>
    <w:rsid w:val="70ABD91B"/>
    <w:rsid w:val="70B2DDB3"/>
    <w:rsid w:val="70BBBBD8"/>
    <w:rsid w:val="70BC3198"/>
    <w:rsid w:val="70C510BD"/>
    <w:rsid w:val="70D1B502"/>
    <w:rsid w:val="70D47E93"/>
    <w:rsid w:val="70DCCE0C"/>
    <w:rsid w:val="71083FA2"/>
    <w:rsid w:val="7114E241"/>
    <w:rsid w:val="7115024E"/>
    <w:rsid w:val="71160F62"/>
    <w:rsid w:val="712226FB"/>
    <w:rsid w:val="712E817F"/>
    <w:rsid w:val="712EB48B"/>
    <w:rsid w:val="713C659A"/>
    <w:rsid w:val="71425E42"/>
    <w:rsid w:val="71447F75"/>
    <w:rsid w:val="7154A915"/>
    <w:rsid w:val="71595D00"/>
    <w:rsid w:val="715D7EDD"/>
    <w:rsid w:val="7182CB27"/>
    <w:rsid w:val="71AEF1CB"/>
    <w:rsid w:val="71B767D4"/>
    <w:rsid w:val="71BC7CA7"/>
    <w:rsid w:val="71DAC870"/>
    <w:rsid w:val="71DCABF4"/>
    <w:rsid w:val="71F1D7A5"/>
    <w:rsid w:val="72019D5D"/>
    <w:rsid w:val="72167EDB"/>
    <w:rsid w:val="7222E71D"/>
    <w:rsid w:val="7250B0D6"/>
    <w:rsid w:val="7254201B"/>
    <w:rsid w:val="725F790C"/>
    <w:rsid w:val="72727235"/>
    <w:rsid w:val="729AE88A"/>
    <w:rsid w:val="72AB7A68"/>
    <w:rsid w:val="730926CE"/>
    <w:rsid w:val="7313DF99"/>
    <w:rsid w:val="732437AB"/>
    <w:rsid w:val="732BF0B9"/>
    <w:rsid w:val="734528F9"/>
    <w:rsid w:val="734CBE9D"/>
    <w:rsid w:val="735BD275"/>
    <w:rsid w:val="736A4640"/>
    <w:rsid w:val="736D742C"/>
    <w:rsid w:val="7390AF05"/>
    <w:rsid w:val="73A0F101"/>
    <w:rsid w:val="73AEB333"/>
    <w:rsid w:val="73CA0FA3"/>
    <w:rsid w:val="73D56161"/>
    <w:rsid w:val="73EAE06D"/>
    <w:rsid w:val="73FC8FAF"/>
    <w:rsid w:val="74013304"/>
    <w:rsid w:val="7415607C"/>
    <w:rsid w:val="7429E248"/>
    <w:rsid w:val="742FBF93"/>
    <w:rsid w:val="74660A41"/>
    <w:rsid w:val="746BA8AA"/>
    <w:rsid w:val="74A4E316"/>
    <w:rsid w:val="74A8AA13"/>
    <w:rsid w:val="74D8AE93"/>
    <w:rsid w:val="74F0542B"/>
    <w:rsid w:val="74F9E512"/>
    <w:rsid w:val="75013CBF"/>
    <w:rsid w:val="750E3C05"/>
    <w:rsid w:val="7527D609"/>
    <w:rsid w:val="753D25DC"/>
    <w:rsid w:val="757D7D8A"/>
    <w:rsid w:val="758F86AD"/>
    <w:rsid w:val="759177D4"/>
    <w:rsid w:val="759D6D22"/>
    <w:rsid w:val="75B21703"/>
    <w:rsid w:val="75B2C7AE"/>
    <w:rsid w:val="75C354E1"/>
    <w:rsid w:val="75EE2D59"/>
    <w:rsid w:val="75F62150"/>
    <w:rsid w:val="76162E4E"/>
    <w:rsid w:val="76183592"/>
    <w:rsid w:val="76192964"/>
    <w:rsid w:val="76274218"/>
    <w:rsid w:val="7628EE1C"/>
    <w:rsid w:val="763339FA"/>
    <w:rsid w:val="763A4ED9"/>
    <w:rsid w:val="76541DFC"/>
    <w:rsid w:val="76544957"/>
    <w:rsid w:val="76554B01"/>
    <w:rsid w:val="7656BD5C"/>
    <w:rsid w:val="766A4EE2"/>
    <w:rsid w:val="766E4826"/>
    <w:rsid w:val="767933BE"/>
    <w:rsid w:val="7689C7A7"/>
    <w:rsid w:val="7692A263"/>
    <w:rsid w:val="769860CD"/>
    <w:rsid w:val="76A840BA"/>
    <w:rsid w:val="76C1656C"/>
    <w:rsid w:val="76D3A131"/>
    <w:rsid w:val="76EB366A"/>
    <w:rsid w:val="76F02ECA"/>
    <w:rsid w:val="7700BBBA"/>
    <w:rsid w:val="7701A895"/>
    <w:rsid w:val="770B75F6"/>
    <w:rsid w:val="77339B4E"/>
    <w:rsid w:val="774BAAFB"/>
    <w:rsid w:val="776FC846"/>
    <w:rsid w:val="778B237A"/>
    <w:rsid w:val="77996864"/>
    <w:rsid w:val="77A49089"/>
    <w:rsid w:val="77A93932"/>
    <w:rsid w:val="77AAA8DC"/>
    <w:rsid w:val="77B45B2F"/>
    <w:rsid w:val="77C9BF09"/>
    <w:rsid w:val="77D59124"/>
    <w:rsid w:val="77E0F377"/>
    <w:rsid w:val="77F44DD7"/>
    <w:rsid w:val="77F4C3BC"/>
    <w:rsid w:val="780E5EA0"/>
    <w:rsid w:val="7820801C"/>
    <w:rsid w:val="782A67C3"/>
    <w:rsid w:val="783ED651"/>
    <w:rsid w:val="7844A91F"/>
    <w:rsid w:val="784D25F1"/>
    <w:rsid w:val="786C5D5A"/>
    <w:rsid w:val="787AEB47"/>
    <w:rsid w:val="7896CBEB"/>
    <w:rsid w:val="789A37A1"/>
    <w:rsid w:val="78C31538"/>
    <w:rsid w:val="78CDEAF2"/>
    <w:rsid w:val="78DE2544"/>
    <w:rsid w:val="78E97DA7"/>
    <w:rsid w:val="78F03FA6"/>
    <w:rsid w:val="792C8163"/>
    <w:rsid w:val="793AF719"/>
    <w:rsid w:val="794AF96E"/>
    <w:rsid w:val="79888152"/>
    <w:rsid w:val="79AC0AC6"/>
    <w:rsid w:val="79E13FCE"/>
    <w:rsid w:val="79E4C001"/>
    <w:rsid w:val="79EE6EAB"/>
    <w:rsid w:val="7A05950F"/>
    <w:rsid w:val="7A0B8CEF"/>
    <w:rsid w:val="7A1A0B67"/>
    <w:rsid w:val="7A1CE241"/>
    <w:rsid w:val="7A265AD9"/>
    <w:rsid w:val="7A31B035"/>
    <w:rsid w:val="7A3814D5"/>
    <w:rsid w:val="7A4A80DA"/>
    <w:rsid w:val="7A51EC6E"/>
    <w:rsid w:val="7A85AD2E"/>
    <w:rsid w:val="7AAADBE3"/>
    <w:rsid w:val="7AE6ED00"/>
    <w:rsid w:val="7AE9F69C"/>
    <w:rsid w:val="7AFBA774"/>
    <w:rsid w:val="7B02A4A7"/>
    <w:rsid w:val="7B02DD32"/>
    <w:rsid w:val="7B0CB1E0"/>
    <w:rsid w:val="7B12295A"/>
    <w:rsid w:val="7B1FA2ED"/>
    <w:rsid w:val="7B3DF72B"/>
    <w:rsid w:val="7B433B00"/>
    <w:rsid w:val="7B44FA91"/>
    <w:rsid w:val="7B4A18FD"/>
    <w:rsid w:val="7B6D0153"/>
    <w:rsid w:val="7B72A1DE"/>
    <w:rsid w:val="7B814CA7"/>
    <w:rsid w:val="7B84C6B3"/>
    <w:rsid w:val="7BBFB0A3"/>
    <w:rsid w:val="7BC80A3F"/>
    <w:rsid w:val="7BC8A219"/>
    <w:rsid w:val="7BD349E1"/>
    <w:rsid w:val="7BD50F8D"/>
    <w:rsid w:val="7BD622E6"/>
    <w:rsid w:val="7BDC9BA8"/>
    <w:rsid w:val="7C1DC6CE"/>
    <w:rsid w:val="7C1E30FF"/>
    <w:rsid w:val="7C2174FA"/>
    <w:rsid w:val="7C22BAE6"/>
    <w:rsid w:val="7C2996A1"/>
    <w:rsid w:val="7C32489B"/>
    <w:rsid w:val="7C395B64"/>
    <w:rsid w:val="7C3C6897"/>
    <w:rsid w:val="7C612922"/>
    <w:rsid w:val="7C74EF3E"/>
    <w:rsid w:val="7C905622"/>
    <w:rsid w:val="7C95D218"/>
    <w:rsid w:val="7CA3C9AE"/>
    <w:rsid w:val="7CB011DD"/>
    <w:rsid w:val="7CB94AD6"/>
    <w:rsid w:val="7CB9FD7E"/>
    <w:rsid w:val="7CC91C78"/>
    <w:rsid w:val="7CCE5700"/>
    <w:rsid w:val="7CFEE6C1"/>
    <w:rsid w:val="7D05BFE2"/>
    <w:rsid w:val="7D0FE2FC"/>
    <w:rsid w:val="7D11256C"/>
    <w:rsid w:val="7D1FC978"/>
    <w:rsid w:val="7D2F1370"/>
    <w:rsid w:val="7D36D62B"/>
    <w:rsid w:val="7D44D33E"/>
    <w:rsid w:val="7D46DE4E"/>
    <w:rsid w:val="7D79B39E"/>
    <w:rsid w:val="7D9CDD1D"/>
    <w:rsid w:val="7DB5A3AC"/>
    <w:rsid w:val="7DB60CC9"/>
    <w:rsid w:val="7DBDCEFB"/>
    <w:rsid w:val="7DBFD75C"/>
    <w:rsid w:val="7DD145E1"/>
    <w:rsid w:val="7DDBE7A6"/>
    <w:rsid w:val="7DE32784"/>
    <w:rsid w:val="7DE725A9"/>
    <w:rsid w:val="7DFBA958"/>
    <w:rsid w:val="7E12BAFD"/>
    <w:rsid w:val="7E17DDD8"/>
    <w:rsid w:val="7E1C5EEE"/>
    <w:rsid w:val="7E5FB587"/>
    <w:rsid w:val="7E80F242"/>
    <w:rsid w:val="7E814995"/>
    <w:rsid w:val="7E83DA46"/>
    <w:rsid w:val="7E841ECD"/>
    <w:rsid w:val="7E868AC1"/>
    <w:rsid w:val="7EB43BE3"/>
    <w:rsid w:val="7EE9D7D5"/>
    <w:rsid w:val="7EF51B42"/>
    <w:rsid w:val="7EFA55E5"/>
    <w:rsid w:val="7EFB607F"/>
    <w:rsid w:val="7F0E8F03"/>
    <w:rsid w:val="7F11176D"/>
    <w:rsid w:val="7F14CE03"/>
    <w:rsid w:val="7F16CC73"/>
    <w:rsid w:val="7F211FD9"/>
    <w:rsid w:val="7F3B42EF"/>
    <w:rsid w:val="7F4471E0"/>
    <w:rsid w:val="7F4FDCF0"/>
    <w:rsid w:val="7F610FFF"/>
    <w:rsid w:val="7F73307D"/>
    <w:rsid w:val="7F73C70E"/>
    <w:rsid w:val="7F7400B1"/>
    <w:rsid w:val="7F7D6F11"/>
    <w:rsid w:val="7F89E327"/>
    <w:rsid w:val="7FA97A7A"/>
    <w:rsid w:val="7FE6E30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8C"/>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Summary box,Table Gridbeth,RTI AMCP Table,new style,ASD Table,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3"/>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UnresolvedMention">
    <w:name w:val="Unresolved Mention"/>
    <w:basedOn w:val="DefaultParagraphFont"/>
    <w:uiPriority w:val="99"/>
    <w:unhideWhenUsed/>
    <w:rsid w:val="00BB0FFB"/>
    <w:rPr>
      <w:color w:val="605E5C"/>
      <w:shd w:val="clear" w:color="auto" w:fill="E1DFDD"/>
    </w:rPr>
  </w:style>
  <w:style w:type="table" w:customStyle="1" w:styleId="TableGrid11">
    <w:name w:val="Table Grid11"/>
    <w:basedOn w:val="TableNormal"/>
    <w:uiPriority w:val="59"/>
    <w:rsid w:val="00E03083"/>
    <w:pPr>
      <w:spacing w:after="240" w:line="240" w:lineRule="auto"/>
      <w:ind w:left="720" w:hanging="3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07730"/>
    <w:rPr>
      <w:color w:val="2B579A"/>
      <w:shd w:val="clear" w:color="auto" w:fill="E1DFDD"/>
    </w:rPr>
  </w:style>
  <w:style w:type="paragraph" w:customStyle="1" w:styleId="EndNoteBibliographyTitle">
    <w:name w:val="EndNote Bibliography Title"/>
    <w:basedOn w:val="Normal"/>
    <w:link w:val="EndNoteBibliographyTitleChar"/>
    <w:rsid w:val="004F6E7C"/>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4F6E7C"/>
    <w:rPr>
      <w:rFonts w:ascii="Calibri" w:eastAsia="Calibri" w:hAnsi="Calibri" w:cs="Calibri"/>
      <w:noProof/>
      <w:lang w:val="en-US"/>
    </w:rPr>
  </w:style>
  <w:style w:type="paragraph" w:customStyle="1" w:styleId="EndNoteBibliography">
    <w:name w:val="EndNote Bibliography"/>
    <w:basedOn w:val="Normal"/>
    <w:link w:val="EndNoteBibliographyChar"/>
    <w:rsid w:val="004F6E7C"/>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4F6E7C"/>
    <w:rPr>
      <w:rFonts w:ascii="Calibri" w:eastAsia="Calibri" w:hAnsi="Calibri" w:cs="Calibri"/>
      <w:noProof/>
      <w:lang w:val="en-US"/>
    </w:rPr>
  </w:style>
  <w:style w:type="character" w:customStyle="1" w:styleId="normaltextrun">
    <w:name w:val="normaltextrun"/>
    <w:basedOn w:val="DefaultParagraphFont"/>
    <w:rsid w:val="00F05E56"/>
  </w:style>
  <w:style w:type="paragraph" w:customStyle="1" w:styleId="Default">
    <w:name w:val="Default"/>
    <w:rsid w:val="0096049E"/>
    <w:pPr>
      <w:autoSpaceDE w:val="0"/>
      <w:autoSpaceDN w:val="0"/>
      <w:adjustRightInd w:val="0"/>
      <w:spacing w:after="0" w:line="240" w:lineRule="auto"/>
    </w:pPr>
    <w:rPr>
      <w:rFonts w:ascii="Calibri" w:hAnsi="Calibri" w:cs="Calibri"/>
      <w:color w:val="000000"/>
      <w:sz w:val="24"/>
      <w:szCs w:val="24"/>
    </w:rPr>
  </w:style>
  <w:style w:type="paragraph" w:customStyle="1" w:styleId="pf0">
    <w:name w:val="pf0"/>
    <w:basedOn w:val="Normal"/>
    <w:rsid w:val="00D2163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D21639"/>
    <w:rPr>
      <w:rFonts w:ascii="Segoe UI" w:hAnsi="Segoe UI" w:cs="Segoe UI" w:hint="default"/>
      <w:sz w:val="18"/>
      <w:szCs w:val="18"/>
    </w:rPr>
  </w:style>
  <w:style w:type="paragraph" w:customStyle="1" w:styleId="paragraph">
    <w:name w:val="paragraph"/>
    <w:basedOn w:val="Normal"/>
    <w:rsid w:val="005F689E"/>
    <w:pPr>
      <w:spacing w:before="100" w:beforeAutospacing="1" w:after="100" w:afterAutospacing="1" w:line="240" w:lineRule="auto"/>
    </w:pPr>
    <w:rPr>
      <w:rFonts w:ascii="Aptos" w:eastAsia="Times New Roman" w:hAnsi="Aptos" w:cs="Aptos"/>
      <w:sz w:val="24"/>
      <w:szCs w:val="24"/>
      <w:lang w:eastAsia="en-AU"/>
    </w:rPr>
  </w:style>
  <w:style w:type="character" w:customStyle="1" w:styleId="eop">
    <w:name w:val="eop"/>
    <w:basedOn w:val="DefaultParagraphFont"/>
    <w:rsid w:val="005F689E"/>
  </w:style>
  <w:style w:type="character" w:customStyle="1" w:styleId="wacimagecontainer">
    <w:name w:val="wacimagecontainer"/>
    <w:basedOn w:val="DefaultParagraphFont"/>
    <w:rsid w:val="00D772C8"/>
  </w:style>
  <w:style w:type="paragraph" w:styleId="EndnoteText">
    <w:name w:val="endnote text"/>
    <w:basedOn w:val="Normal"/>
    <w:link w:val="EndnoteTextChar"/>
    <w:uiPriority w:val="99"/>
    <w:semiHidden/>
    <w:unhideWhenUsed/>
    <w:rsid w:val="005322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22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322E7"/>
    <w:rPr>
      <w:vertAlign w:val="superscript"/>
    </w:rPr>
  </w:style>
  <w:style w:type="paragraph" w:styleId="FootnoteText">
    <w:name w:val="footnote text"/>
    <w:basedOn w:val="Normal"/>
    <w:link w:val="FootnoteTextChar"/>
    <w:uiPriority w:val="99"/>
    <w:semiHidden/>
    <w:unhideWhenUsed/>
    <w:rsid w:val="005322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22E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322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1736">
      <w:bodyDiv w:val="1"/>
      <w:marLeft w:val="0"/>
      <w:marRight w:val="0"/>
      <w:marTop w:val="0"/>
      <w:marBottom w:val="0"/>
      <w:divBdr>
        <w:top w:val="none" w:sz="0" w:space="0" w:color="auto"/>
        <w:left w:val="none" w:sz="0" w:space="0" w:color="auto"/>
        <w:bottom w:val="none" w:sz="0" w:space="0" w:color="auto"/>
        <w:right w:val="none" w:sz="0" w:space="0" w:color="auto"/>
      </w:divBdr>
    </w:div>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215892436">
      <w:bodyDiv w:val="1"/>
      <w:marLeft w:val="0"/>
      <w:marRight w:val="0"/>
      <w:marTop w:val="0"/>
      <w:marBottom w:val="0"/>
      <w:divBdr>
        <w:top w:val="none" w:sz="0" w:space="0" w:color="auto"/>
        <w:left w:val="none" w:sz="0" w:space="0" w:color="auto"/>
        <w:bottom w:val="none" w:sz="0" w:space="0" w:color="auto"/>
        <w:right w:val="none" w:sz="0" w:space="0" w:color="auto"/>
      </w:divBdr>
    </w:div>
    <w:div w:id="314457202">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477110691">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592975808">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932319844">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074546064">
      <w:bodyDiv w:val="1"/>
      <w:marLeft w:val="0"/>
      <w:marRight w:val="0"/>
      <w:marTop w:val="0"/>
      <w:marBottom w:val="0"/>
      <w:divBdr>
        <w:top w:val="none" w:sz="0" w:space="0" w:color="auto"/>
        <w:left w:val="none" w:sz="0" w:space="0" w:color="auto"/>
        <w:bottom w:val="none" w:sz="0" w:space="0" w:color="auto"/>
        <w:right w:val="none" w:sz="0" w:space="0" w:color="auto"/>
      </w:divBdr>
    </w:div>
    <w:div w:id="1140801743">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411345339">
      <w:bodyDiv w:val="1"/>
      <w:marLeft w:val="0"/>
      <w:marRight w:val="0"/>
      <w:marTop w:val="0"/>
      <w:marBottom w:val="0"/>
      <w:divBdr>
        <w:top w:val="none" w:sz="0" w:space="0" w:color="auto"/>
        <w:left w:val="none" w:sz="0" w:space="0" w:color="auto"/>
        <w:bottom w:val="none" w:sz="0" w:space="0" w:color="auto"/>
        <w:right w:val="none" w:sz="0" w:space="0" w:color="auto"/>
      </w:divBdr>
    </w:div>
    <w:div w:id="1474063400">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06308895">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34349723">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 w:id="2118061057">
      <w:bodyDiv w:val="1"/>
      <w:marLeft w:val="0"/>
      <w:marRight w:val="0"/>
      <w:marTop w:val="0"/>
      <w:marBottom w:val="0"/>
      <w:divBdr>
        <w:top w:val="none" w:sz="0" w:space="0" w:color="auto"/>
        <w:left w:val="none" w:sz="0" w:space="0" w:color="auto"/>
        <w:bottom w:val="none" w:sz="0" w:space="0" w:color="auto"/>
        <w:right w:val="none" w:sz="0" w:space="0" w:color="auto"/>
      </w:divBdr>
    </w:div>
    <w:div w:id="2132897733">
      <w:bodyDiv w:val="1"/>
      <w:marLeft w:val="0"/>
      <w:marRight w:val="0"/>
      <w:marTop w:val="0"/>
      <w:marBottom w:val="0"/>
      <w:divBdr>
        <w:top w:val="none" w:sz="0" w:space="0" w:color="auto"/>
        <w:left w:val="none" w:sz="0" w:space="0" w:color="auto"/>
        <w:bottom w:val="none" w:sz="0" w:space="0" w:color="auto"/>
        <w:right w:val="none" w:sz="0" w:space="0" w:color="auto"/>
      </w:divBdr>
      <w:divsChild>
        <w:div w:id="65804460">
          <w:marLeft w:val="0"/>
          <w:marRight w:val="0"/>
          <w:marTop w:val="0"/>
          <w:marBottom w:val="0"/>
          <w:divBdr>
            <w:top w:val="none" w:sz="0" w:space="0" w:color="auto"/>
            <w:left w:val="none" w:sz="0" w:space="0" w:color="auto"/>
            <w:bottom w:val="none" w:sz="0" w:space="0" w:color="auto"/>
            <w:right w:val="none" w:sz="0" w:space="0" w:color="auto"/>
          </w:divBdr>
        </w:div>
        <w:div w:id="819538241">
          <w:marLeft w:val="0"/>
          <w:marRight w:val="0"/>
          <w:marTop w:val="0"/>
          <w:marBottom w:val="0"/>
          <w:divBdr>
            <w:top w:val="none" w:sz="0" w:space="0" w:color="auto"/>
            <w:left w:val="none" w:sz="0" w:space="0" w:color="auto"/>
            <w:bottom w:val="none" w:sz="0" w:space="0" w:color="auto"/>
            <w:right w:val="none" w:sz="0" w:space="0" w:color="auto"/>
          </w:divBdr>
        </w:div>
        <w:div w:id="874150288">
          <w:marLeft w:val="0"/>
          <w:marRight w:val="0"/>
          <w:marTop w:val="0"/>
          <w:marBottom w:val="0"/>
          <w:divBdr>
            <w:top w:val="none" w:sz="0" w:space="0" w:color="auto"/>
            <w:left w:val="none" w:sz="0" w:space="0" w:color="auto"/>
            <w:bottom w:val="none" w:sz="0" w:space="0" w:color="auto"/>
            <w:right w:val="none" w:sz="0" w:space="0" w:color="auto"/>
          </w:divBdr>
          <w:divsChild>
            <w:div w:id="1717968719">
              <w:marLeft w:val="0"/>
              <w:marRight w:val="0"/>
              <w:marTop w:val="30"/>
              <w:marBottom w:val="30"/>
              <w:divBdr>
                <w:top w:val="none" w:sz="0" w:space="0" w:color="auto"/>
                <w:left w:val="none" w:sz="0" w:space="0" w:color="auto"/>
                <w:bottom w:val="none" w:sz="0" w:space="0" w:color="auto"/>
                <w:right w:val="none" w:sz="0" w:space="0" w:color="auto"/>
              </w:divBdr>
              <w:divsChild>
                <w:div w:id="1163859119">
                  <w:marLeft w:val="0"/>
                  <w:marRight w:val="0"/>
                  <w:marTop w:val="0"/>
                  <w:marBottom w:val="0"/>
                  <w:divBdr>
                    <w:top w:val="none" w:sz="0" w:space="0" w:color="auto"/>
                    <w:left w:val="none" w:sz="0" w:space="0" w:color="auto"/>
                    <w:bottom w:val="none" w:sz="0" w:space="0" w:color="auto"/>
                    <w:right w:val="none" w:sz="0" w:space="0" w:color="auto"/>
                  </w:divBdr>
                  <w:divsChild>
                    <w:div w:id="1191844230">
                      <w:marLeft w:val="0"/>
                      <w:marRight w:val="0"/>
                      <w:marTop w:val="0"/>
                      <w:marBottom w:val="0"/>
                      <w:divBdr>
                        <w:top w:val="none" w:sz="0" w:space="0" w:color="auto"/>
                        <w:left w:val="none" w:sz="0" w:space="0" w:color="auto"/>
                        <w:bottom w:val="none" w:sz="0" w:space="0" w:color="auto"/>
                        <w:right w:val="none" w:sz="0" w:space="0" w:color="auto"/>
                      </w:divBdr>
                    </w:div>
                  </w:divsChild>
                </w:div>
                <w:div w:id="1188251177">
                  <w:marLeft w:val="0"/>
                  <w:marRight w:val="0"/>
                  <w:marTop w:val="0"/>
                  <w:marBottom w:val="0"/>
                  <w:divBdr>
                    <w:top w:val="none" w:sz="0" w:space="0" w:color="auto"/>
                    <w:left w:val="none" w:sz="0" w:space="0" w:color="auto"/>
                    <w:bottom w:val="none" w:sz="0" w:space="0" w:color="auto"/>
                    <w:right w:val="none" w:sz="0" w:space="0" w:color="auto"/>
                  </w:divBdr>
                  <w:divsChild>
                    <w:div w:id="307705421">
                      <w:marLeft w:val="0"/>
                      <w:marRight w:val="0"/>
                      <w:marTop w:val="0"/>
                      <w:marBottom w:val="0"/>
                      <w:divBdr>
                        <w:top w:val="none" w:sz="0" w:space="0" w:color="auto"/>
                        <w:left w:val="none" w:sz="0" w:space="0" w:color="auto"/>
                        <w:bottom w:val="none" w:sz="0" w:space="0" w:color="auto"/>
                        <w:right w:val="none" w:sz="0" w:space="0" w:color="auto"/>
                      </w:divBdr>
                    </w:div>
                  </w:divsChild>
                </w:div>
                <w:div w:id="1843743369">
                  <w:marLeft w:val="0"/>
                  <w:marRight w:val="0"/>
                  <w:marTop w:val="0"/>
                  <w:marBottom w:val="0"/>
                  <w:divBdr>
                    <w:top w:val="none" w:sz="0" w:space="0" w:color="auto"/>
                    <w:left w:val="none" w:sz="0" w:space="0" w:color="auto"/>
                    <w:bottom w:val="none" w:sz="0" w:space="0" w:color="auto"/>
                    <w:right w:val="none" w:sz="0" w:space="0" w:color="auto"/>
                  </w:divBdr>
                  <w:divsChild>
                    <w:div w:id="52508108">
                      <w:marLeft w:val="0"/>
                      <w:marRight w:val="0"/>
                      <w:marTop w:val="0"/>
                      <w:marBottom w:val="0"/>
                      <w:divBdr>
                        <w:top w:val="none" w:sz="0" w:space="0" w:color="auto"/>
                        <w:left w:val="none" w:sz="0" w:space="0" w:color="auto"/>
                        <w:bottom w:val="none" w:sz="0" w:space="0" w:color="auto"/>
                        <w:right w:val="none" w:sz="0" w:space="0" w:color="auto"/>
                      </w:divBdr>
                    </w:div>
                    <w:div w:id="202450963">
                      <w:marLeft w:val="0"/>
                      <w:marRight w:val="0"/>
                      <w:marTop w:val="0"/>
                      <w:marBottom w:val="0"/>
                      <w:divBdr>
                        <w:top w:val="none" w:sz="0" w:space="0" w:color="auto"/>
                        <w:left w:val="none" w:sz="0" w:space="0" w:color="auto"/>
                        <w:bottom w:val="none" w:sz="0" w:space="0" w:color="auto"/>
                        <w:right w:val="none" w:sz="0" w:space="0" w:color="auto"/>
                      </w:divBdr>
                    </w:div>
                    <w:div w:id="158499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5999">
          <w:marLeft w:val="0"/>
          <w:marRight w:val="0"/>
          <w:marTop w:val="0"/>
          <w:marBottom w:val="0"/>
          <w:divBdr>
            <w:top w:val="none" w:sz="0" w:space="0" w:color="auto"/>
            <w:left w:val="none" w:sz="0" w:space="0" w:color="auto"/>
            <w:bottom w:val="none" w:sz="0" w:space="0" w:color="auto"/>
            <w:right w:val="none" w:sz="0" w:space="0" w:color="auto"/>
          </w:divBdr>
        </w:div>
        <w:div w:id="1284800027">
          <w:marLeft w:val="0"/>
          <w:marRight w:val="0"/>
          <w:marTop w:val="0"/>
          <w:marBottom w:val="0"/>
          <w:divBdr>
            <w:top w:val="none" w:sz="0" w:space="0" w:color="auto"/>
            <w:left w:val="none" w:sz="0" w:space="0" w:color="auto"/>
            <w:bottom w:val="none" w:sz="0" w:space="0" w:color="auto"/>
            <w:right w:val="none" w:sz="0" w:space="0" w:color="auto"/>
          </w:divBdr>
          <w:divsChild>
            <w:div w:id="220674834">
              <w:marLeft w:val="0"/>
              <w:marRight w:val="0"/>
              <w:marTop w:val="30"/>
              <w:marBottom w:val="30"/>
              <w:divBdr>
                <w:top w:val="none" w:sz="0" w:space="0" w:color="auto"/>
                <w:left w:val="none" w:sz="0" w:space="0" w:color="auto"/>
                <w:bottom w:val="none" w:sz="0" w:space="0" w:color="auto"/>
                <w:right w:val="none" w:sz="0" w:space="0" w:color="auto"/>
              </w:divBdr>
              <w:divsChild>
                <w:div w:id="1192763779">
                  <w:marLeft w:val="0"/>
                  <w:marRight w:val="0"/>
                  <w:marTop w:val="0"/>
                  <w:marBottom w:val="0"/>
                  <w:divBdr>
                    <w:top w:val="none" w:sz="0" w:space="0" w:color="auto"/>
                    <w:left w:val="none" w:sz="0" w:space="0" w:color="auto"/>
                    <w:bottom w:val="none" w:sz="0" w:space="0" w:color="auto"/>
                    <w:right w:val="none" w:sz="0" w:space="0" w:color="auto"/>
                  </w:divBdr>
                  <w:divsChild>
                    <w:div w:id="251016918">
                      <w:marLeft w:val="0"/>
                      <w:marRight w:val="0"/>
                      <w:marTop w:val="0"/>
                      <w:marBottom w:val="0"/>
                      <w:divBdr>
                        <w:top w:val="none" w:sz="0" w:space="0" w:color="auto"/>
                        <w:left w:val="none" w:sz="0" w:space="0" w:color="auto"/>
                        <w:bottom w:val="none" w:sz="0" w:space="0" w:color="auto"/>
                        <w:right w:val="none" w:sz="0" w:space="0" w:color="auto"/>
                      </w:divBdr>
                    </w:div>
                  </w:divsChild>
                </w:div>
                <w:div w:id="1697075789">
                  <w:marLeft w:val="0"/>
                  <w:marRight w:val="0"/>
                  <w:marTop w:val="0"/>
                  <w:marBottom w:val="0"/>
                  <w:divBdr>
                    <w:top w:val="none" w:sz="0" w:space="0" w:color="auto"/>
                    <w:left w:val="none" w:sz="0" w:space="0" w:color="auto"/>
                    <w:bottom w:val="none" w:sz="0" w:space="0" w:color="auto"/>
                    <w:right w:val="none" w:sz="0" w:space="0" w:color="auto"/>
                  </w:divBdr>
                  <w:divsChild>
                    <w:div w:id="490829651">
                      <w:marLeft w:val="0"/>
                      <w:marRight w:val="0"/>
                      <w:marTop w:val="0"/>
                      <w:marBottom w:val="0"/>
                      <w:divBdr>
                        <w:top w:val="none" w:sz="0" w:space="0" w:color="auto"/>
                        <w:left w:val="none" w:sz="0" w:space="0" w:color="auto"/>
                        <w:bottom w:val="none" w:sz="0" w:space="0" w:color="auto"/>
                        <w:right w:val="none" w:sz="0" w:space="0" w:color="auto"/>
                      </w:divBdr>
                    </w:div>
                  </w:divsChild>
                </w:div>
                <w:div w:id="1880244102">
                  <w:marLeft w:val="0"/>
                  <w:marRight w:val="0"/>
                  <w:marTop w:val="0"/>
                  <w:marBottom w:val="0"/>
                  <w:divBdr>
                    <w:top w:val="none" w:sz="0" w:space="0" w:color="auto"/>
                    <w:left w:val="none" w:sz="0" w:space="0" w:color="auto"/>
                    <w:bottom w:val="none" w:sz="0" w:space="0" w:color="auto"/>
                    <w:right w:val="none" w:sz="0" w:space="0" w:color="auto"/>
                  </w:divBdr>
                  <w:divsChild>
                    <w:div w:id="618727894">
                      <w:marLeft w:val="0"/>
                      <w:marRight w:val="0"/>
                      <w:marTop w:val="0"/>
                      <w:marBottom w:val="0"/>
                      <w:divBdr>
                        <w:top w:val="none" w:sz="0" w:space="0" w:color="auto"/>
                        <w:left w:val="none" w:sz="0" w:space="0" w:color="auto"/>
                        <w:bottom w:val="none" w:sz="0" w:space="0" w:color="auto"/>
                        <w:right w:val="none" w:sz="0" w:space="0" w:color="auto"/>
                      </w:divBdr>
                    </w:div>
                    <w:div w:id="1090812150">
                      <w:marLeft w:val="0"/>
                      <w:marRight w:val="0"/>
                      <w:marTop w:val="0"/>
                      <w:marBottom w:val="0"/>
                      <w:divBdr>
                        <w:top w:val="none" w:sz="0" w:space="0" w:color="auto"/>
                        <w:left w:val="none" w:sz="0" w:space="0" w:color="auto"/>
                        <w:bottom w:val="none" w:sz="0" w:space="0" w:color="auto"/>
                        <w:right w:val="none" w:sz="0" w:space="0" w:color="auto"/>
                      </w:divBdr>
                    </w:div>
                    <w:div w:id="15218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28858">
          <w:marLeft w:val="0"/>
          <w:marRight w:val="0"/>
          <w:marTop w:val="0"/>
          <w:marBottom w:val="0"/>
          <w:divBdr>
            <w:top w:val="none" w:sz="0" w:space="0" w:color="auto"/>
            <w:left w:val="none" w:sz="0" w:space="0" w:color="auto"/>
            <w:bottom w:val="none" w:sz="0" w:space="0" w:color="auto"/>
            <w:right w:val="none" w:sz="0" w:space="0" w:color="auto"/>
          </w:divBdr>
        </w:div>
        <w:div w:id="1632054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xtmc.net/IHC_Based_Assays/Claudin_18_2_IHC_Kit.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9F8A7-1C8B-45E3-B2C1-4D7C2314B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11189</Words>
  <Characters>63782</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74822</CharactersWithSpaces>
  <SharedDoc>false</SharedDoc>
  <HLinks>
    <vt:vector size="12" baseType="variant">
      <vt:variant>
        <vt:i4>1900616</vt:i4>
      </vt:variant>
      <vt:variant>
        <vt:i4>162</vt:i4>
      </vt:variant>
      <vt:variant>
        <vt:i4>0</vt:i4>
      </vt:variant>
      <vt:variant>
        <vt:i4>5</vt:i4>
      </vt:variant>
      <vt:variant>
        <vt:lpwstr>https://www.medxtmc.net/IHC_Based_Assays/Claudin_18_2_IHC_Kit.shtml</vt:lpwstr>
      </vt:variant>
      <vt:variant>
        <vt:lpwstr/>
      </vt:variant>
      <vt:variant>
        <vt:i4>8192022</vt:i4>
      </vt:variant>
      <vt:variant>
        <vt:i4>0</vt:i4>
      </vt:variant>
      <vt:variant>
        <vt:i4>0</vt:i4>
      </vt:variant>
      <vt:variant>
        <vt:i4>5</vt:i4>
      </vt:variant>
      <vt:variant>
        <vt:lpwstr>https://healthgov.sharepoint.com/:w:/r/sites/D365-HPP-Site/core_evaluationcase/EV004758/Department Related Documents/Older versions/JB1767 Pre-Ratified PICO _discussant_chair review.docx?d=w7c8d1247dd634c7584fbc93466ceb22b&amp;csf=1&amp;web=1&amp;e=ocP0pY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1767 PICO</dc:title>
  <dc:subject/>
  <dc:creator/>
  <cp:keywords/>
  <dc:description/>
  <cp:lastModifiedBy/>
  <cp:revision>1</cp:revision>
  <dcterms:created xsi:type="dcterms:W3CDTF">2024-07-19T00:39:00Z</dcterms:created>
  <dcterms:modified xsi:type="dcterms:W3CDTF">2024-07-19T05:02:00Z</dcterms:modified>
</cp:coreProperties>
</file>