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Layout w:type="fixed"/>
        <w:tblCellMar>
          <w:left w:w="0" w:type="dxa"/>
          <w:right w:w="0" w:type="dxa"/>
        </w:tblCellMar>
        <w:tblLook w:val="0000" w:firstRow="0" w:lastRow="0" w:firstColumn="0" w:lastColumn="0" w:noHBand="0" w:noVBand="0"/>
      </w:tblPr>
      <w:tblGrid>
        <w:gridCol w:w="4253"/>
        <w:gridCol w:w="4678"/>
      </w:tblGrid>
      <w:tr w:rsidR="0048417A" w:rsidRPr="004D57B3">
        <w:trPr>
          <w:cantSplit/>
          <w:trHeight w:hRule="exact" w:val="3969"/>
        </w:trPr>
        <w:tc>
          <w:tcPr>
            <w:tcW w:w="4253" w:type="dxa"/>
            <w:vAlign w:val="bottom"/>
          </w:tcPr>
          <w:p w:rsidR="0048417A" w:rsidRPr="009E5C5B" w:rsidRDefault="0048417A" w:rsidP="00836B55">
            <w:pPr>
              <w:pStyle w:val="TOC9"/>
            </w:pPr>
            <w:bookmarkStart w:id="0" w:name="_Ref283280524"/>
            <w:bookmarkStart w:id="1" w:name="_Ref283298372"/>
          </w:p>
        </w:tc>
        <w:tc>
          <w:tcPr>
            <w:tcW w:w="4678" w:type="dxa"/>
            <w:vAlign w:val="bottom"/>
          </w:tcPr>
          <w:p w:rsidR="0048417A" w:rsidRPr="004D57B3" w:rsidRDefault="0048417A" w:rsidP="00836B55">
            <w:pPr>
              <w:pStyle w:val="PublicationTitle"/>
            </w:pPr>
            <w:r>
              <w:t>C</w:t>
            </w:r>
            <w:r w:rsidRPr="004D57B3">
              <w:t>apsule endoscopy for the diagnosis of suspected small bowel Crohn’s disease</w:t>
            </w:r>
          </w:p>
        </w:tc>
      </w:tr>
      <w:tr w:rsidR="0048417A" w:rsidRPr="004D57B3">
        <w:trPr>
          <w:cantSplit/>
          <w:trHeight w:hRule="exact" w:val="425"/>
        </w:trPr>
        <w:tc>
          <w:tcPr>
            <w:tcW w:w="4253" w:type="dxa"/>
            <w:vAlign w:val="bottom"/>
          </w:tcPr>
          <w:p w:rsidR="0048417A" w:rsidRPr="004D57B3" w:rsidRDefault="0048417A"/>
        </w:tc>
        <w:tc>
          <w:tcPr>
            <w:tcW w:w="4678" w:type="dxa"/>
            <w:vAlign w:val="bottom"/>
          </w:tcPr>
          <w:p w:rsidR="0048417A" w:rsidRPr="004D57B3" w:rsidRDefault="0048417A" w:rsidP="00836B55">
            <w:pPr>
              <w:pStyle w:val="Heading1"/>
            </w:pPr>
          </w:p>
          <w:p w:rsidR="0048417A" w:rsidRPr="004D57B3" w:rsidRDefault="0048417A">
            <w:pPr>
              <w:rPr>
                <w:b/>
                <w:i/>
              </w:rPr>
            </w:pPr>
          </w:p>
        </w:tc>
      </w:tr>
      <w:tr w:rsidR="0048417A" w:rsidRPr="004D57B3">
        <w:trPr>
          <w:cantSplit/>
          <w:trHeight w:hRule="exact" w:val="2132"/>
        </w:trPr>
        <w:tc>
          <w:tcPr>
            <w:tcW w:w="4253" w:type="dxa"/>
            <w:vAlign w:val="center"/>
          </w:tcPr>
          <w:p w:rsidR="0048417A" w:rsidRPr="004D57B3" w:rsidRDefault="0048417A">
            <w:pPr>
              <w:pStyle w:val="Date"/>
            </w:pPr>
          </w:p>
        </w:tc>
        <w:tc>
          <w:tcPr>
            <w:tcW w:w="4678" w:type="dxa"/>
            <w:vAlign w:val="center"/>
          </w:tcPr>
          <w:p w:rsidR="0048417A" w:rsidRPr="00196462" w:rsidRDefault="0048417A" w:rsidP="00836B55">
            <w:pPr>
              <w:pStyle w:val="Date"/>
              <w:rPr>
                <w:rFonts w:cs="Arial"/>
              </w:rPr>
            </w:pPr>
          </w:p>
          <w:p w:rsidR="0048417A" w:rsidRPr="004D57B3" w:rsidRDefault="0048417A" w:rsidP="00836B55">
            <w:pPr>
              <w:pStyle w:val="Date"/>
              <w:rPr>
                <w:rFonts w:cs="Arial"/>
              </w:rPr>
            </w:pPr>
            <w:r>
              <w:rPr>
                <w:rFonts w:cs="Arial"/>
              </w:rPr>
              <w:t>July</w:t>
            </w:r>
            <w:r w:rsidRPr="00196462">
              <w:rPr>
                <w:rFonts w:cs="Arial"/>
              </w:rPr>
              <w:t xml:space="preserve"> 2011 </w:t>
            </w:r>
            <w:r w:rsidRPr="004D57B3">
              <w:rPr>
                <w:rFonts w:cs="Arial"/>
              </w:rPr>
              <w:t xml:space="preserve"> </w:t>
            </w:r>
          </w:p>
        </w:tc>
      </w:tr>
      <w:tr w:rsidR="0048417A" w:rsidRPr="004D57B3">
        <w:trPr>
          <w:cantSplit/>
          <w:trHeight w:hRule="exact" w:val="2543"/>
        </w:trPr>
        <w:tc>
          <w:tcPr>
            <w:tcW w:w="4253" w:type="dxa"/>
          </w:tcPr>
          <w:p w:rsidR="0048417A" w:rsidRPr="004D57B3" w:rsidRDefault="0048417A"/>
        </w:tc>
        <w:tc>
          <w:tcPr>
            <w:tcW w:w="4678" w:type="dxa"/>
          </w:tcPr>
          <w:p w:rsidR="0048417A" w:rsidRPr="004D57B3" w:rsidRDefault="0048417A">
            <w:pPr>
              <w:ind w:right="113"/>
              <w:jc w:val="right"/>
              <w:rPr>
                <w:i/>
              </w:rPr>
            </w:pPr>
          </w:p>
        </w:tc>
      </w:tr>
      <w:tr w:rsidR="0048417A" w:rsidRPr="004D57B3">
        <w:trPr>
          <w:cantSplit/>
          <w:trHeight w:hRule="exact" w:val="4536"/>
        </w:trPr>
        <w:tc>
          <w:tcPr>
            <w:tcW w:w="4253" w:type="dxa"/>
          </w:tcPr>
          <w:p w:rsidR="0048417A" w:rsidRPr="004D57B3" w:rsidRDefault="0048417A">
            <w:pPr>
              <w:pStyle w:val="Sub-title"/>
            </w:pPr>
          </w:p>
        </w:tc>
        <w:tc>
          <w:tcPr>
            <w:tcW w:w="4678" w:type="dxa"/>
          </w:tcPr>
          <w:p w:rsidR="001B636E" w:rsidRPr="004D57B3" w:rsidRDefault="0048417A" w:rsidP="001B636E">
            <w:pPr>
              <w:pStyle w:val="Sub-title"/>
            </w:pPr>
            <w:r w:rsidRPr="004D57B3">
              <w:rPr>
                <w:b w:val="0"/>
              </w:rPr>
              <w:t>MSAC application no 1146</w:t>
            </w:r>
          </w:p>
          <w:p w:rsidR="0048417A" w:rsidRPr="004D57B3" w:rsidRDefault="0048417A">
            <w:pPr>
              <w:pStyle w:val="Sub-title"/>
              <w:rPr>
                <w:i/>
              </w:rPr>
            </w:pPr>
            <w:r w:rsidRPr="004D57B3">
              <w:t>Assessment report</w:t>
            </w:r>
          </w:p>
        </w:tc>
      </w:tr>
    </w:tbl>
    <w:p w:rsidR="0048417A" w:rsidRPr="004D57B3" w:rsidRDefault="0048417A"/>
    <w:p w:rsidR="0048417A" w:rsidRPr="004D57B3" w:rsidRDefault="0048417A" w:rsidP="00836B55">
      <w:pPr>
        <w:autoSpaceDE w:val="0"/>
        <w:autoSpaceDN w:val="0"/>
        <w:adjustRightInd w:val="0"/>
        <w:spacing w:after="0"/>
        <w:ind w:left="0"/>
        <w:rPr>
          <w:b/>
          <w:bCs/>
          <w:color w:val="000000"/>
          <w:sz w:val="20"/>
          <w:lang w:eastAsia="zh-TW"/>
        </w:rPr>
      </w:pPr>
      <w:r w:rsidRPr="004D57B3">
        <w:br w:type="page"/>
      </w:r>
      <w:r w:rsidRPr="004D57B3">
        <w:rPr>
          <w:b/>
          <w:bCs/>
          <w:color w:val="000000"/>
          <w:sz w:val="20"/>
          <w:lang w:eastAsia="zh-TW"/>
        </w:rPr>
        <w:lastRenderedPageBreak/>
        <w:t>© Commonwealth of Australia 2011</w:t>
      </w:r>
    </w:p>
    <w:p w:rsidR="0048417A" w:rsidRPr="004D57B3" w:rsidRDefault="0048417A" w:rsidP="00836B55">
      <w:pPr>
        <w:autoSpaceDE w:val="0"/>
        <w:autoSpaceDN w:val="0"/>
        <w:adjustRightInd w:val="0"/>
        <w:spacing w:after="0"/>
        <w:ind w:left="0"/>
        <w:rPr>
          <w:b/>
          <w:bCs/>
          <w:color w:val="000000"/>
          <w:sz w:val="20"/>
          <w:lang w:eastAsia="zh-TW"/>
        </w:rPr>
      </w:pPr>
    </w:p>
    <w:p w:rsidR="0048417A" w:rsidRPr="004D57B3" w:rsidRDefault="0048417A" w:rsidP="00836B55">
      <w:pPr>
        <w:autoSpaceDE w:val="0"/>
        <w:autoSpaceDN w:val="0"/>
        <w:adjustRightInd w:val="0"/>
        <w:spacing w:after="0"/>
        <w:ind w:left="0"/>
        <w:rPr>
          <w:b/>
          <w:bCs/>
          <w:color w:val="000000"/>
          <w:sz w:val="20"/>
          <w:lang w:eastAsia="zh-TW"/>
        </w:rPr>
      </w:pPr>
      <w:r w:rsidRPr="004D57B3">
        <w:rPr>
          <w:b/>
          <w:bCs/>
          <w:color w:val="000000"/>
          <w:sz w:val="20"/>
          <w:lang w:eastAsia="zh-TW"/>
        </w:rPr>
        <w:t xml:space="preserve">ISBN (Online) </w:t>
      </w:r>
      <w:r w:rsidRPr="006E23E7">
        <w:rPr>
          <w:b/>
          <w:bCs/>
          <w:color w:val="000000"/>
          <w:sz w:val="20"/>
          <w:lang w:eastAsia="zh-TW"/>
        </w:rPr>
        <w:t>978-1-74241-519-2</w:t>
      </w:r>
    </w:p>
    <w:p w:rsidR="0048417A" w:rsidRPr="004D57B3" w:rsidRDefault="0048417A" w:rsidP="00836B55">
      <w:pPr>
        <w:autoSpaceDE w:val="0"/>
        <w:autoSpaceDN w:val="0"/>
        <w:adjustRightInd w:val="0"/>
        <w:spacing w:after="0"/>
        <w:ind w:left="0"/>
        <w:rPr>
          <w:b/>
          <w:bCs/>
          <w:color w:val="000000"/>
          <w:sz w:val="20"/>
          <w:lang w:eastAsia="zh-TW"/>
        </w:rPr>
      </w:pPr>
    </w:p>
    <w:p w:rsidR="0048417A" w:rsidRPr="004D57B3" w:rsidRDefault="0048417A" w:rsidP="00836B55">
      <w:pPr>
        <w:autoSpaceDE w:val="0"/>
        <w:autoSpaceDN w:val="0"/>
        <w:adjustRightInd w:val="0"/>
        <w:spacing w:after="0"/>
        <w:ind w:left="0"/>
        <w:rPr>
          <w:b/>
          <w:bCs/>
          <w:color w:val="000000"/>
          <w:sz w:val="20"/>
          <w:lang w:eastAsia="zh-TW"/>
        </w:rPr>
      </w:pPr>
      <w:r w:rsidRPr="004D57B3">
        <w:rPr>
          <w:b/>
          <w:bCs/>
          <w:color w:val="000000"/>
          <w:sz w:val="20"/>
          <w:lang w:eastAsia="zh-TW"/>
        </w:rPr>
        <w:t xml:space="preserve">ISSN (Online) </w:t>
      </w:r>
      <w:r w:rsidRPr="006E23E7">
        <w:rPr>
          <w:b/>
          <w:bCs/>
          <w:color w:val="000000"/>
          <w:sz w:val="20"/>
          <w:lang w:eastAsia="zh-TW"/>
        </w:rPr>
        <w:t>1443-7139</w:t>
      </w:r>
    </w:p>
    <w:p w:rsidR="0048417A" w:rsidRPr="004D57B3" w:rsidRDefault="0048417A" w:rsidP="00836B55">
      <w:pPr>
        <w:autoSpaceDE w:val="0"/>
        <w:autoSpaceDN w:val="0"/>
        <w:adjustRightInd w:val="0"/>
        <w:spacing w:after="0"/>
        <w:ind w:left="0"/>
        <w:rPr>
          <w:b/>
          <w:bCs/>
          <w:color w:val="000000"/>
          <w:sz w:val="20"/>
          <w:lang w:eastAsia="zh-TW"/>
        </w:rPr>
      </w:pPr>
    </w:p>
    <w:p w:rsidR="0048417A" w:rsidRPr="004D57B3" w:rsidRDefault="0048417A" w:rsidP="00836B55">
      <w:pPr>
        <w:autoSpaceDE w:val="0"/>
        <w:autoSpaceDN w:val="0"/>
        <w:adjustRightInd w:val="0"/>
        <w:spacing w:after="0"/>
        <w:ind w:left="0"/>
        <w:rPr>
          <w:b/>
          <w:bCs/>
          <w:color w:val="000000"/>
          <w:sz w:val="20"/>
          <w:lang w:eastAsia="zh-TW"/>
        </w:rPr>
      </w:pPr>
      <w:r w:rsidRPr="004D57B3">
        <w:rPr>
          <w:b/>
          <w:bCs/>
          <w:color w:val="000000"/>
          <w:sz w:val="20"/>
          <w:lang w:eastAsia="zh-TW"/>
        </w:rPr>
        <w:t>Internet sites</w:t>
      </w:r>
    </w:p>
    <w:p w:rsidR="0048417A" w:rsidRPr="004D57B3" w:rsidRDefault="0048417A" w:rsidP="00836B55">
      <w:pPr>
        <w:autoSpaceDE w:val="0"/>
        <w:autoSpaceDN w:val="0"/>
        <w:adjustRightInd w:val="0"/>
        <w:spacing w:after="0"/>
        <w:ind w:left="0"/>
        <w:rPr>
          <w:rFonts w:cs="Garamond"/>
          <w:color w:val="000000"/>
          <w:sz w:val="20"/>
          <w:lang w:eastAsia="zh-TW"/>
        </w:rPr>
      </w:pPr>
      <w:r w:rsidRPr="006E23E7">
        <w:rPr>
          <w:rFonts w:cs="Garamond"/>
          <w:color w:val="000000"/>
          <w:sz w:val="20"/>
          <w:lang w:eastAsia="zh-TW"/>
        </w:rPr>
        <w:t>©</w:t>
      </w:r>
      <w:r>
        <w:rPr>
          <w:rFonts w:cs="Garamond"/>
          <w:color w:val="000000"/>
          <w:sz w:val="20"/>
          <w:lang w:eastAsia="zh-TW"/>
        </w:rPr>
        <w:t xml:space="preserve"> </w:t>
      </w:r>
      <w:r w:rsidRPr="004D57B3">
        <w:rPr>
          <w:rFonts w:cs="Garamond"/>
          <w:color w:val="000000"/>
          <w:sz w:val="20"/>
          <w:lang w:eastAsia="zh-TW"/>
        </w:rPr>
        <w:t xml:space="preserve">Commonwealth of Australia 2011 </w:t>
      </w:r>
    </w:p>
    <w:p w:rsidR="0048417A" w:rsidRPr="00F77211" w:rsidRDefault="0048417A" w:rsidP="00836B55">
      <w:pPr>
        <w:autoSpaceDE w:val="0"/>
        <w:autoSpaceDN w:val="0"/>
        <w:adjustRightInd w:val="0"/>
        <w:spacing w:after="0"/>
        <w:ind w:left="0"/>
        <w:rPr>
          <w:rFonts w:cs="Garamond"/>
          <w:color w:val="000000"/>
          <w:sz w:val="18"/>
          <w:lang w:eastAsia="zh-TW"/>
        </w:rPr>
      </w:pPr>
      <w:r w:rsidRPr="00F77211">
        <w:rPr>
          <w:rFonts w:cs="Garamond"/>
          <w:color w:val="000000"/>
          <w:sz w:val="18"/>
          <w:lang w:eastAsia="zh-TW"/>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77211">
        <w:rPr>
          <w:rFonts w:cs="Garamond"/>
          <w:i/>
          <w:iCs/>
          <w:color w:val="000000"/>
          <w:sz w:val="18"/>
          <w:lang w:eastAsia="zh-TW"/>
        </w:rPr>
        <w:t xml:space="preserve">Copyright Act 1968 </w:t>
      </w:r>
      <w:r w:rsidRPr="00F77211">
        <w:rPr>
          <w:rFonts w:cs="Garamond"/>
          <w:color w:val="000000"/>
          <w:sz w:val="18"/>
          <w:lang w:eastAsia="zh-TW"/>
        </w:rPr>
        <w:t>or allowed by this copyright notice</w:t>
      </w:r>
      <w:r w:rsidRPr="00F77211">
        <w:rPr>
          <w:rFonts w:cs="Garamond"/>
          <w:i/>
          <w:iCs/>
          <w:color w:val="000000"/>
          <w:sz w:val="18"/>
          <w:lang w:eastAsia="zh-TW"/>
        </w:rPr>
        <w:t xml:space="preserve">, </w:t>
      </w:r>
      <w:r w:rsidRPr="00F77211">
        <w:rPr>
          <w:rFonts w:cs="Garamond"/>
          <w:color w:val="000000"/>
          <w:sz w:val="18"/>
          <w:lang w:eastAsia="zh-TW"/>
        </w:rPr>
        <w:t>all other rights are reserved and</w:t>
      </w:r>
      <w:r w:rsidRPr="00F77211">
        <w:rPr>
          <w:rFonts w:cs="Garamond"/>
          <w:i/>
          <w:iCs/>
          <w:color w:val="000000"/>
          <w:sz w:val="18"/>
          <w:lang w:eastAsia="zh-TW"/>
        </w:rPr>
        <w:t xml:space="preserve"> </w:t>
      </w:r>
      <w:r w:rsidRPr="00F77211">
        <w:rPr>
          <w:rFonts w:cs="Garamond"/>
          <w:color w:val="000000"/>
          <w:sz w:val="18"/>
          <w:lang w:eastAsia="zh-TW"/>
        </w:rPr>
        <w:t xml:space="preserve">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Communications Branch, Department of Health and Ageing, GPO Box 9848, Canberra ACT 2601, or via e-mail to </w:t>
      </w:r>
      <w:hyperlink r:id="rId9" w:history="1">
        <w:r w:rsidRPr="00F77211">
          <w:rPr>
            <w:rStyle w:val="Hyperlink"/>
            <w:rFonts w:cs="Garamond"/>
            <w:sz w:val="18"/>
            <w:lang w:eastAsia="zh-TW"/>
          </w:rPr>
          <w:t>copyright@health.gov.au</w:t>
        </w:r>
      </w:hyperlink>
      <w:r w:rsidRPr="00F77211">
        <w:rPr>
          <w:rFonts w:cs="Garamond"/>
          <w:color w:val="000000"/>
          <w:sz w:val="18"/>
          <w:lang w:eastAsia="zh-TW"/>
        </w:rPr>
        <w:t>.</w:t>
      </w:r>
    </w:p>
    <w:p w:rsidR="0048417A" w:rsidRPr="004D57B3" w:rsidRDefault="0048417A" w:rsidP="00836B55">
      <w:pPr>
        <w:autoSpaceDE w:val="0"/>
        <w:autoSpaceDN w:val="0"/>
        <w:adjustRightInd w:val="0"/>
        <w:spacing w:after="0"/>
        <w:ind w:left="0"/>
        <w:rPr>
          <w:rFonts w:cs="Garamond"/>
          <w:color w:val="000000"/>
          <w:sz w:val="20"/>
          <w:lang w:eastAsia="zh-TW"/>
        </w:rPr>
      </w:pPr>
    </w:p>
    <w:p w:rsidR="0048417A" w:rsidRPr="004D57B3" w:rsidRDefault="0048417A" w:rsidP="00836B55">
      <w:pPr>
        <w:autoSpaceDE w:val="0"/>
        <w:autoSpaceDN w:val="0"/>
        <w:adjustRightInd w:val="0"/>
        <w:spacing w:after="0"/>
        <w:ind w:left="0"/>
        <w:rPr>
          <w:rFonts w:cs="Garamond"/>
          <w:color w:val="1B1B1B"/>
          <w:sz w:val="20"/>
          <w:lang w:eastAsia="zh-TW"/>
        </w:rPr>
      </w:pPr>
      <w:r w:rsidRPr="004D57B3">
        <w:rPr>
          <w:rFonts w:cs="Garamond"/>
          <w:color w:val="000000"/>
          <w:sz w:val="20"/>
          <w:lang w:eastAsia="zh-TW"/>
        </w:rPr>
        <w:t>Electronic copies of the report can be obtained from the Medical Service Advisory Committee’s Internet site at</w:t>
      </w:r>
      <w:r w:rsidRPr="004D57B3">
        <w:rPr>
          <w:rFonts w:cs="Garamond"/>
          <w:sz w:val="20"/>
          <w:lang w:eastAsia="zh-TW"/>
        </w:rPr>
        <w:t xml:space="preserve"> </w:t>
      </w:r>
      <w:hyperlink r:id="rId10" w:tooltip="This link goes to the Medical Services Advisory Committee website" w:history="1">
        <w:r w:rsidRPr="004D57B3">
          <w:rPr>
            <w:rStyle w:val="Hyperlink"/>
            <w:rFonts w:cs="Garamond"/>
            <w:sz w:val="20"/>
            <w:lang w:eastAsia="zh-TW"/>
          </w:rPr>
          <w:t>http://www.msac.gov.au/</w:t>
        </w:r>
      </w:hyperlink>
    </w:p>
    <w:p w:rsidR="0048417A" w:rsidRDefault="0048417A" w:rsidP="00836B55">
      <w:pPr>
        <w:autoSpaceDE w:val="0"/>
        <w:autoSpaceDN w:val="0"/>
        <w:adjustRightInd w:val="0"/>
        <w:spacing w:after="0"/>
        <w:ind w:left="0"/>
        <w:rPr>
          <w:rFonts w:cs="Garamond"/>
          <w:color w:val="000000"/>
          <w:sz w:val="20"/>
          <w:lang w:eastAsia="zh-TW"/>
        </w:rPr>
      </w:pPr>
    </w:p>
    <w:p w:rsidR="0048417A" w:rsidRPr="004D57B3" w:rsidRDefault="0048417A" w:rsidP="00836B55">
      <w:pPr>
        <w:autoSpaceDE w:val="0"/>
        <w:autoSpaceDN w:val="0"/>
        <w:adjustRightInd w:val="0"/>
        <w:spacing w:after="0"/>
        <w:ind w:left="0"/>
        <w:rPr>
          <w:rFonts w:cs="Garamond"/>
          <w:color w:val="000000"/>
          <w:sz w:val="20"/>
          <w:lang w:eastAsia="zh-TW"/>
        </w:rPr>
      </w:pPr>
      <w:r w:rsidRPr="004D57B3">
        <w:rPr>
          <w:rFonts w:cs="Garamond"/>
          <w:color w:val="000000"/>
          <w:sz w:val="20"/>
          <w:lang w:eastAsia="zh-TW"/>
        </w:rPr>
        <w:t>Enquiries about the content of the report should be directed to the above address.</w:t>
      </w:r>
    </w:p>
    <w:p w:rsidR="0048417A" w:rsidRPr="004D57B3" w:rsidRDefault="0048417A" w:rsidP="00836B55">
      <w:pPr>
        <w:autoSpaceDE w:val="0"/>
        <w:autoSpaceDN w:val="0"/>
        <w:adjustRightInd w:val="0"/>
        <w:spacing w:after="0"/>
        <w:ind w:left="0"/>
        <w:rPr>
          <w:rFonts w:cs="Garamond"/>
          <w:color w:val="000000"/>
          <w:sz w:val="20"/>
          <w:lang w:eastAsia="zh-TW"/>
        </w:rPr>
      </w:pPr>
    </w:p>
    <w:p w:rsidR="0048417A" w:rsidRPr="004D57B3" w:rsidRDefault="0048417A" w:rsidP="00836B55">
      <w:pPr>
        <w:autoSpaceDE w:val="0"/>
        <w:autoSpaceDN w:val="0"/>
        <w:adjustRightInd w:val="0"/>
        <w:spacing w:after="0"/>
        <w:ind w:left="0"/>
        <w:rPr>
          <w:rFonts w:cs="Garamond"/>
          <w:color w:val="000000"/>
          <w:sz w:val="20"/>
          <w:lang w:eastAsia="zh-TW"/>
        </w:rPr>
      </w:pPr>
      <w:r w:rsidRPr="004D57B3">
        <w:rPr>
          <w:rFonts w:cs="Garamond"/>
          <w:color w:val="000000"/>
          <w:sz w:val="20"/>
          <w:lang w:eastAsia="zh-TW"/>
        </w:rPr>
        <w:t>The Medical Services Advisory Committee (MSAC) is an independent committee which has been established to provide advice to the Minister for Health and Ageing on the strength of evidence available on new and existing medical technologies and procedures in terms of their safety, effectiveness and cost-effectiveness. This advice will help to inform government decisions about which medical services should attract funding under Medicare.</w:t>
      </w:r>
    </w:p>
    <w:p w:rsidR="0048417A" w:rsidRPr="004D57B3" w:rsidRDefault="0048417A" w:rsidP="00836B55">
      <w:pPr>
        <w:autoSpaceDE w:val="0"/>
        <w:autoSpaceDN w:val="0"/>
        <w:adjustRightInd w:val="0"/>
        <w:spacing w:after="0"/>
        <w:ind w:left="0"/>
        <w:rPr>
          <w:rFonts w:cs="Garamond"/>
          <w:color w:val="000000"/>
          <w:sz w:val="20"/>
          <w:lang w:eastAsia="zh-TW"/>
        </w:rPr>
      </w:pPr>
    </w:p>
    <w:p w:rsidR="0048417A" w:rsidRPr="00F77211" w:rsidRDefault="0048417A" w:rsidP="00836B55">
      <w:pPr>
        <w:autoSpaceDE w:val="0"/>
        <w:autoSpaceDN w:val="0"/>
        <w:adjustRightInd w:val="0"/>
        <w:spacing w:after="0"/>
        <w:ind w:left="0"/>
        <w:rPr>
          <w:rFonts w:cs="Garamond-Bold"/>
          <w:b/>
          <w:bCs/>
          <w:color w:val="000000"/>
          <w:sz w:val="20"/>
          <w:u w:val="single"/>
          <w:lang w:eastAsia="zh-TW"/>
        </w:rPr>
      </w:pPr>
      <w:r w:rsidRPr="00F77211">
        <w:rPr>
          <w:rFonts w:cs="Garamond-Bold"/>
          <w:b/>
          <w:bCs/>
          <w:color w:val="000000"/>
          <w:sz w:val="20"/>
          <w:u w:val="single"/>
          <w:lang w:eastAsia="zh-TW"/>
        </w:rPr>
        <w:t>MSAC’s advice does not necessarily reflect the views of all individuals who participated in the MSAC evaluation.</w:t>
      </w:r>
    </w:p>
    <w:p w:rsidR="0048417A" w:rsidRPr="004D57B3" w:rsidRDefault="0048417A" w:rsidP="00836B55">
      <w:pPr>
        <w:autoSpaceDE w:val="0"/>
        <w:autoSpaceDN w:val="0"/>
        <w:adjustRightInd w:val="0"/>
        <w:spacing w:after="0"/>
        <w:ind w:left="0"/>
        <w:rPr>
          <w:rFonts w:cs="Garamond-Bold"/>
          <w:b/>
          <w:bCs/>
          <w:color w:val="000000"/>
          <w:sz w:val="20"/>
          <w:lang w:eastAsia="zh-TW"/>
        </w:rPr>
      </w:pPr>
    </w:p>
    <w:p w:rsidR="0048417A" w:rsidRDefault="0048417A" w:rsidP="00652A93">
      <w:pPr>
        <w:spacing w:after="0"/>
        <w:ind w:left="0"/>
        <w:rPr>
          <w:rFonts w:ascii="Times New Roman" w:hAnsi="Times New Roman"/>
          <w:noProof/>
          <w:color w:val="1F497D"/>
          <w:sz w:val="20"/>
        </w:rPr>
      </w:pPr>
      <w:r w:rsidRPr="004D57B3">
        <w:rPr>
          <w:sz w:val="20"/>
        </w:rPr>
        <w:t xml:space="preserve">This report was prepared by Heather Gilbert, Samara Lewis and </w:t>
      </w:r>
      <w:proofErr w:type="spellStart"/>
      <w:r w:rsidRPr="004D57B3">
        <w:rPr>
          <w:sz w:val="20"/>
        </w:rPr>
        <w:t>Merel</w:t>
      </w:r>
      <w:proofErr w:type="spellEnd"/>
      <w:r w:rsidRPr="004D57B3">
        <w:rPr>
          <w:sz w:val="20"/>
        </w:rPr>
        <w:t xml:space="preserve"> </w:t>
      </w:r>
      <w:proofErr w:type="spellStart"/>
      <w:r w:rsidRPr="004D57B3">
        <w:rPr>
          <w:sz w:val="20"/>
        </w:rPr>
        <w:t>Kimman</w:t>
      </w:r>
      <w:proofErr w:type="spellEnd"/>
      <w:r w:rsidRPr="004D57B3">
        <w:rPr>
          <w:sz w:val="20"/>
        </w:rPr>
        <w:t xml:space="preserve"> from the NHMRC Clinical Trials Centre with the assistance of an Advisory Panel of experts. The report was commissioned by the Department of Health and Ageing on behalf of MSAC. It was edited by </w:t>
      </w:r>
      <w:r w:rsidRPr="004D57B3">
        <w:rPr>
          <w:noProof/>
          <w:color w:val="000000"/>
          <w:sz w:val="20"/>
        </w:rPr>
        <w:t>Louise Scahill of WordFix</w:t>
      </w:r>
      <w:r w:rsidRPr="004D57B3">
        <w:rPr>
          <w:noProof/>
          <w:color w:val="000080"/>
          <w:sz w:val="20"/>
        </w:rPr>
        <w:t>.</w:t>
      </w:r>
    </w:p>
    <w:p w:rsidR="0048417A" w:rsidRDefault="0048417A" w:rsidP="00652A93">
      <w:pPr>
        <w:spacing w:after="0"/>
        <w:ind w:left="0"/>
        <w:rPr>
          <w:rFonts w:cs="Humanist521BT-Roman"/>
          <w:color w:val="231F20"/>
          <w:sz w:val="20"/>
        </w:rPr>
      </w:pPr>
    </w:p>
    <w:p w:rsidR="0048417A" w:rsidRPr="00652A93" w:rsidRDefault="0048417A" w:rsidP="00652A93">
      <w:pPr>
        <w:spacing w:after="0"/>
        <w:ind w:left="0"/>
        <w:rPr>
          <w:rFonts w:ascii="Times New Roman" w:hAnsi="Times New Roman"/>
          <w:noProof/>
          <w:color w:val="1F497D"/>
          <w:sz w:val="20"/>
        </w:rPr>
      </w:pPr>
      <w:r w:rsidRPr="004D57B3">
        <w:rPr>
          <w:rFonts w:cs="Humanist521BT-Roman"/>
          <w:color w:val="231F20"/>
          <w:sz w:val="20"/>
        </w:rPr>
        <w:t>This report should be referenced as follows:</w:t>
      </w:r>
    </w:p>
    <w:p w:rsidR="0048417A" w:rsidRPr="004D57B3" w:rsidRDefault="0048417A" w:rsidP="00652A93">
      <w:pPr>
        <w:autoSpaceDE w:val="0"/>
        <w:autoSpaceDN w:val="0"/>
        <w:adjustRightInd w:val="0"/>
        <w:spacing w:after="0"/>
        <w:ind w:left="0"/>
        <w:rPr>
          <w:rFonts w:cs="Humanist521BT-Roman"/>
          <w:color w:val="231F20"/>
          <w:sz w:val="20"/>
        </w:rPr>
      </w:pPr>
      <w:r w:rsidRPr="004D57B3">
        <w:rPr>
          <w:rFonts w:cs="Humanist521BT-Roman"/>
          <w:color w:val="231F20"/>
          <w:sz w:val="20"/>
        </w:rPr>
        <w:t>Gilbert</w:t>
      </w:r>
      <w:r>
        <w:rPr>
          <w:rFonts w:cs="Humanist521BT-Roman"/>
          <w:color w:val="231F20"/>
          <w:sz w:val="20"/>
        </w:rPr>
        <w:t>,</w:t>
      </w:r>
      <w:r w:rsidRPr="004D57B3">
        <w:rPr>
          <w:rFonts w:cs="Humanist521BT-Roman"/>
          <w:color w:val="231F20"/>
          <w:sz w:val="20"/>
        </w:rPr>
        <w:t xml:space="preserve"> H, Lewis</w:t>
      </w:r>
      <w:r>
        <w:rPr>
          <w:rFonts w:cs="Humanist521BT-Roman"/>
          <w:color w:val="231F20"/>
          <w:sz w:val="20"/>
        </w:rPr>
        <w:t>,</w:t>
      </w:r>
      <w:r w:rsidRPr="004D57B3">
        <w:rPr>
          <w:rFonts w:cs="Humanist521BT-Roman"/>
          <w:color w:val="231F20"/>
          <w:sz w:val="20"/>
        </w:rPr>
        <w:t xml:space="preserve"> S, </w:t>
      </w:r>
      <w:proofErr w:type="spellStart"/>
      <w:r w:rsidRPr="004D57B3">
        <w:rPr>
          <w:rFonts w:cs="Humanist521BT-Roman"/>
          <w:color w:val="231F20"/>
          <w:sz w:val="20"/>
        </w:rPr>
        <w:t>Kimman</w:t>
      </w:r>
      <w:proofErr w:type="spellEnd"/>
      <w:r>
        <w:rPr>
          <w:rFonts w:cs="Humanist521BT-Roman"/>
          <w:color w:val="231F20"/>
          <w:sz w:val="20"/>
        </w:rPr>
        <w:t>,</w:t>
      </w:r>
      <w:r w:rsidRPr="004D57B3">
        <w:rPr>
          <w:rFonts w:cs="Humanist521BT-Roman"/>
          <w:color w:val="231F20"/>
          <w:sz w:val="20"/>
        </w:rPr>
        <w:t xml:space="preserve"> M (2011). </w:t>
      </w:r>
      <w:proofErr w:type="gramStart"/>
      <w:r>
        <w:rPr>
          <w:rFonts w:cs="Humanist521BT-Roman"/>
          <w:i/>
          <w:color w:val="231F20"/>
          <w:sz w:val="20"/>
        </w:rPr>
        <w:t>C</w:t>
      </w:r>
      <w:r w:rsidRPr="004D57B3">
        <w:rPr>
          <w:rFonts w:cs="Humanist521BT-Roman"/>
          <w:i/>
          <w:color w:val="231F20"/>
          <w:sz w:val="20"/>
        </w:rPr>
        <w:t>apsule endoscopy for the diagnosis of suspected small bowel Crohn’s disease.</w:t>
      </w:r>
      <w:proofErr w:type="gramEnd"/>
      <w:r w:rsidRPr="004D57B3">
        <w:rPr>
          <w:rFonts w:cs="Humanist521BT-Roman"/>
          <w:i/>
          <w:color w:val="231F20"/>
          <w:sz w:val="20"/>
        </w:rPr>
        <w:t xml:space="preserve"> </w:t>
      </w:r>
      <w:proofErr w:type="gramStart"/>
      <w:r w:rsidRPr="004D57B3">
        <w:rPr>
          <w:rFonts w:cs="Humanist521BT-Roman"/>
          <w:color w:val="231F20"/>
          <w:sz w:val="20"/>
        </w:rPr>
        <w:t>MSAC</w:t>
      </w:r>
      <w:r w:rsidRPr="004D57B3">
        <w:rPr>
          <w:rFonts w:cs="Humanist521BT-Roman"/>
          <w:i/>
          <w:color w:val="231F20"/>
          <w:sz w:val="20"/>
        </w:rPr>
        <w:t xml:space="preserve"> </w:t>
      </w:r>
      <w:r w:rsidRPr="004D57B3">
        <w:rPr>
          <w:rFonts w:cs="Humanist521BT-Roman"/>
          <w:color w:val="231F20"/>
          <w:sz w:val="20"/>
        </w:rPr>
        <w:t>Application 1146</w:t>
      </w:r>
      <w:r w:rsidRPr="004D57B3">
        <w:rPr>
          <w:rFonts w:cs="Humanist521BT-Italic"/>
          <w:iCs/>
          <w:color w:val="231F20"/>
          <w:sz w:val="20"/>
        </w:rPr>
        <w:t>.</w:t>
      </w:r>
      <w:proofErr w:type="gramEnd"/>
      <w:r w:rsidRPr="004D57B3">
        <w:rPr>
          <w:rFonts w:cs="Humanist521BT-Italic"/>
          <w:iCs/>
          <w:color w:val="231F20"/>
          <w:sz w:val="20"/>
        </w:rPr>
        <w:t xml:space="preserve"> </w:t>
      </w:r>
      <w:proofErr w:type="gramStart"/>
      <w:r w:rsidRPr="004D57B3">
        <w:rPr>
          <w:rFonts w:cs="Humanist521BT-Italic"/>
          <w:iCs/>
          <w:color w:val="231F20"/>
          <w:sz w:val="20"/>
        </w:rPr>
        <w:t>Assessment Report</w:t>
      </w:r>
      <w:r w:rsidRPr="004D57B3">
        <w:rPr>
          <w:rFonts w:cs="Humanist521BT-Roman"/>
          <w:color w:val="231F20"/>
          <w:sz w:val="20"/>
        </w:rPr>
        <w:t>.</w:t>
      </w:r>
      <w:proofErr w:type="gramEnd"/>
      <w:r w:rsidRPr="004D57B3">
        <w:rPr>
          <w:rFonts w:cs="Humanist521BT-Roman"/>
          <w:color w:val="231F20"/>
          <w:sz w:val="20"/>
        </w:rPr>
        <w:t xml:space="preserve"> </w:t>
      </w:r>
      <w:proofErr w:type="gramStart"/>
      <w:r w:rsidRPr="004D57B3">
        <w:rPr>
          <w:rFonts w:cs="Humanist521BT-Roman"/>
          <w:color w:val="231F20"/>
          <w:sz w:val="20"/>
        </w:rPr>
        <w:t>Commonwealth of Australia, Canberra, ACT.</w:t>
      </w:r>
      <w:proofErr w:type="gramEnd"/>
    </w:p>
    <w:p w:rsidR="0048417A" w:rsidRPr="004D57B3" w:rsidRDefault="0048417A" w:rsidP="00836B55">
      <w:pPr>
        <w:autoSpaceDE w:val="0"/>
        <w:autoSpaceDN w:val="0"/>
        <w:adjustRightInd w:val="0"/>
        <w:spacing w:after="0"/>
        <w:ind w:left="0"/>
        <w:rPr>
          <w:rFonts w:cs="Humanist521BT-Roman"/>
          <w:color w:val="231F20"/>
          <w:sz w:val="20"/>
        </w:rPr>
      </w:pPr>
    </w:p>
    <w:p w:rsidR="0048417A" w:rsidRPr="006E23E7" w:rsidRDefault="0048417A" w:rsidP="00836B55">
      <w:pPr>
        <w:autoSpaceDE w:val="0"/>
        <w:autoSpaceDN w:val="0"/>
        <w:adjustRightInd w:val="0"/>
        <w:spacing w:after="0"/>
        <w:ind w:left="0"/>
        <w:rPr>
          <w:rFonts w:cs="Garamond"/>
          <w:b/>
          <w:color w:val="000000"/>
          <w:sz w:val="20"/>
          <w:lang w:eastAsia="zh-TW"/>
        </w:rPr>
        <w:sectPr w:rsidR="0048417A" w:rsidRPr="006E23E7" w:rsidSect="00836B55">
          <w:footerReference w:type="even" r:id="rId11"/>
          <w:footerReference w:type="default" r:id="rId12"/>
          <w:pgSz w:w="11906" w:h="16838"/>
          <w:pgMar w:top="1440" w:right="1440" w:bottom="1440" w:left="1440" w:header="708" w:footer="708" w:gutter="0"/>
          <w:cols w:space="708"/>
          <w:docGrid w:linePitch="360"/>
        </w:sectPr>
      </w:pPr>
      <w:r w:rsidRPr="006E23E7">
        <w:rPr>
          <w:rFonts w:cs="Garamond"/>
          <w:b/>
          <w:color w:val="000000"/>
          <w:sz w:val="20"/>
          <w:lang w:eastAsia="zh-TW"/>
        </w:rPr>
        <w:t xml:space="preserve">Publication approval number: </w:t>
      </w:r>
      <w:r>
        <w:rPr>
          <w:rFonts w:cs="Garamond"/>
          <w:b/>
          <w:color w:val="000000"/>
          <w:sz w:val="20"/>
          <w:lang w:eastAsia="zh-TW"/>
        </w:rPr>
        <w:t>D0465</w:t>
      </w:r>
    </w:p>
    <w:p w:rsidR="0048417A" w:rsidRPr="004D57B3" w:rsidRDefault="0048417A" w:rsidP="00836B55">
      <w:pPr>
        <w:autoSpaceDE w:val="0"/>
        <w:autoSpaceDN w:val="0"/>
        <w:adjustRightInd w:val="0"/>
        <w:spacing w:after="0"/>
        <w:ind w:left="0"/>
        <w:rPr>
          <w:i/>
          <w:sz w:val="12"/>
        </w:rPr>
      </w:pPr>
    </w:p>
    <w:p w:rsidR="0048417A" w:rsidRPr="004D57B3" w:rsidRDefault="0048417A" w:rsidP="00836B55">
      <w:pPr>
        <w:pStyle w:val="Heading1"/>
      </w:pPr>
      <w:bookmarkStart w:id="2" w:name="_Toc192054741"/>
      <w:bookmarkStart w:id="3" w:name="_Toc206489930"/>
      <w:bookmarkStart w:id="4" w:name="_Toc206494639"/>
      <w:bookmarkStart w:id="5" w:name="_Ref282073885"/>
      <w:bookmarkStart w:id="6" w:name="_Ref284578902"/>
      <w:bookmarkStart w:id="7" w:name="_Toc296517858"/>
      <w:r w:rsidRPr="004D57B3">
        <w:lastRenderedPageBreak/>
        <w:t>Contents</w:t>
      </w:r>
      <w:bookmarkEnd w:id="2"/>
      <w:bookmarkEnd w:id="3"/>
      <w:bookmarkEnd w:id="4"/>
      <w:bookmarkEnd w:id="5"/>
      <w:bookmarkEnd w:id="6"/>
      <w:bookmarkEnd w:id="7"/>
    </w:p>
    <w:p w:rsidR="0048417A" w:rsidRDefault="0048417A">
      <w:pPr>
        <w:pStyle w:val="TOC1"/>
        <w:rPr>
          <w:rFonts w:ascii="Calibri" w:hAnsi="Calibri"/>
          <w:b w:val="0"/>
          <w:sz w:val="22"/>
          <w:szCs w:val="22"/>
        </w:rPr>
      </w:pPr>
      <w:r w:rsidRPr="004D57B3">
        <w:fldChar w:fldCharType="begin"/>
      </w:r>
      <w:r w:rsidRPr="004D57B3">
        <w:instrText xml:space="preserve"> TOC \o "1-2" \h \z \u </w:instrText>
      </w:r>
      <w:r w:rsidRPr="004D57B3">
        <w:fldChar w:fldCharType="separate"/>
      </w:r>
      <w:hyperlink w:anchor="_Toc296517858" w:history="1">
        <w:r w:rsidRPr="00CC7094">
          <w:rPr>
            <w:rStyle w:val="Hyperlink"/>
          </w:rPr>
          <w:t>Contents</w:t>
        </w:r>
        <w:r>
          <w:rPr>
            <w:webHidden/>
          </w:rPr>
          <w:tab/>
        </w:r>
        <w:r>
          <w:rPr>
            <w:webHidden/>
          </w:rPr>
          <w:fldChar w:fldCharType="begin"/>
        </w:r>
        <w:r>
          <w:rPr>
            <w:webHidden/>
          </w:rPr>
          <w:instrText xml:space="preserve"> PAGEREF _Toc296517858 \h </w:instrText>
        </w:r>
        <w:r>
          <w:rPr>
            <w:webHidden/>
          </w:rPr>
        </w:r>
        <w:r>
          <w:rPr>
            <w:webHidden/>
          </w:rPr>
          <w:fldChar w:fldCharType="separate"/>
        </w:r>
        <w:r>
          <w:rPr>
            <w:webHidden/>
          </w:rPr>
          <w:t>3</w:t>
        </w:r>
        <w:r>
          <w:rPr>
            <w:webHidden/>
          </w:rPr>
          <w:fldChar w:fldCharType="end"/>
        </w:r>
      </w:hyperlink>
    </w:p>
    <w:p w:rsidR="0048417A" w:rsidRDefault="00B81800">
      <w:pPr>
        <w:pStyle w:val="TOC1"/>
        <w:rPr>
          <w:rFonts w:ascii="Calibri" w:hAnsi="Calibri"/>
          <w:b w:val="0"/>
          <w:sz w:val="22"/>
          <w:szCs w:val="22"/>
        </w:rPr>
      </w:pPr>
      <w:hyperlink w:anchor="_Toc296517859" w:history="1">
        <w:r w:rsidR="0048417A" w:rsidRPr="00CC7094">
          <w:rPr>
            <w:rStyle w:val="Hyperlink"/>
          </w:rPr>
          <w:t>Executive summary</w:t>
        </w:r>
        <w:r w:rsidR="0048417A">
          <w:rPr>
            <w:webHidden/>
          </w:rPr>
          <w:tab/>
        </w:r>
        <w:r w:rsidR="0048417A">
          <w:rPr>
            <w:webHidden/>
          </w:rPr>
          <w:fldChar w:fldCharType="begin"/>
        </w:r>
        <w:r w:rsidR="0048417A">
          <w:rPr>
            <w:webHidden/>
          </w:rPr>
          <w:instrText xml:space="preserve"> PAGEREF _Toc296517859 \h </w:instrText>
        </w:r>
        <w:r w:rsidR="0048417A">
          <w:rPr>
            <w:webHidden/>
          </w:rPr>
        </w:r>
        <w:r w:rsidR="0048417A">
          <w:rPr>
            <w:webHidden/>
          </w:rPr>
          <w:fldChar w:fldCharType="separate"/>
        </w:r>
        <w:r w:rsidR="0048417A">
          <w:rPr>
            <w:webHidden/>
          </w:rPr>
          <w:t>vii</w:t>
        </w:r>
        <w:r w:rsidR="0048417A">
          <w:rPr>
            <w:webHidden/>
          </w:rPr>
          <w:fldChar w:fldCharType="end"/>
        </w:r>
      </w:hyperlink>
    </w:p>
    <w:p w:rsidR="0048417A" w:rsidRDefault="00B81800">
      <w:pPr>
        <w:pStyle w:val="TOC2"/>
        <w:rPr>
          <w:rFonts w:ascii="Calibri" w:hAnsi="Calibri"/>
          <w:sz w:val="22"/>
          <w:szCs w:val="22"/>
        </w:rPr>
      </w:pPr>
      <w:hyperlink w:anchor="_Toc296517860" w:history="1">
        <w:r w:rsidR="0048417A" w:rsidRPr="00CC7094">
          <w:rPr>
            <w:rStyle w:val="Hyperlink"/>
          </w:rPr>
          <w:t>The procedure</w:t>
        </w:r>
        <w:r w:rsidR="0048417A">
          <w:rPr>
            <w:webHidden/>
          </w:rPr>
          <w:tab/>
        </w:r>
        <w:r w:rsidR="0048417A">
          <w:rPr>
            <w:webHidden/>
          </w:rPr>
          <w:fldChar w:fldCharType="begin"/>
        </w:r>
        <w:r w:rsidR="0048417A">
          <w:rPr>
            <w:webHidden/>
          </w:rPr>
          <w:instrText xml:space="preserve"> PAGEREF _Toc296517860 \h </w:instrText>
        </w:r>
        <w:r w:rsidR="0048417A">
          <w:rPr>
            <w:webHidden/>
          </w:rPr>
        </w:r>
        <w:r w:rsidR="0048417A">
          <w:rPr>
            <w:webHidden/>
          </w:rPr>
          <w:fldChar w:fldCharType="separate"/>
        </w:r>
        <w:r w:rsidR="0048417A">
          <w:rPr>
            <w:webHidden/>
          </w:rPr>
          <w:t>vii</w:t>
        </w:r>
        <w:r w:rsidR="0048417A">
          <w:rPr>
            <w:webHidden/>
          </w:rPr>
          <w:fldChar w:fldCharType="end"/>
        </w:r>
      </w:hyperlink>
    </w:p>
    <w:p w:rsidR="0048417A" w:rsidRDefault="00B81800">
      <w:pPr>
        <w:pStyle w:val="TOC2"/>
        <w:rPr>
          <w:rFonts w:ascii="Calibri" w:hAnsi="Calibri"/>
          <w:sz w:val="22"/>
          <w:szCs w:val="22"/>
        </w:rPr>
      </w:pPr>
      <w:hyperlink w:anchor="_Toc296517861" w:history="1">
        <w:r w:rsidR="0048417A" w:rsidRPr="00CC7094">
          <w:rPr>
            <w:rStyle w:val="Hyperlink"/>
          </w:rPr>
          <w:t>Medical Services Advisory Committee – role and approach</w:t>
        </w:r>
        <w:r w:rsidR="0048417A">
          <w:rPr>
            <w:webHidden/>
          </w:rPr>
          <w:tab/>
        </w:r>
        <w:r w:rsidR="0048417A">
          <w:rPr>
            <w:webHidden/>
          </w:rPr>
          <w:fldChar w:fldCharType="begin"/>
        </w:r>
        <w:r w:rsidR="0048417A">
          <w:rPr>
            <w:webHidden/>
          </w:rPr>
          <w:instrText xml:space="preserve"> PAGEREF _Toc296517861 \h </w:instrText>
        </w:r>
        <w:r w:rsidR="0048417A">
          <w:rPr>
            <w:webHidden/>
          </w:rPr>
        </w:r>
        <w:r w:rsidR="0048417A">
          <w:rPr>
            <w:webHidden/>
          </w:rPr>
          <w:fldChar w:fldCharType="separate"/>
        </w:r>
        <w:r w:rsidR="0048417A">
          <w:rPr>
            <w:webHidden/>
          </w:rPr>
          <w:t>vii</w:t>
        </w:r>
        <w:r w:rsidR="0048417A">
          <w:rPr>
            <w:webHidden/>
          </w:rPr>
          <w:fldChar w:fldCharType="end"/>
        </w:r>
      </w:hyperlink>
    </w:p>
    <w:p w:rsidR="0048417A" w:rsidRDefault="00B81800">
      <w:pPr>
        <w:pStyle w:val="TOC2"/>
        <w:rPr>
          <w:rFonts w:ascii="Calibri" w:hAnsi="Calibri"/>
          <w:sz w:val="22"/>
          <w:szCs w:val="22"/>
        </w:rPr>
      </w:pPr>
      <w:hyperlink w:anchor="_Toc296517862" w:history="1">
        <w:r w:rsidR="0048417A" w:rsidRPr="00CC7094">
          <w:rPr>
            <w:rStyle w:val="Hyperlink"/>
          </w:rPr>
          <w:t>Assessment of capsule endoscopy</w:t>
        </w:r>
        <w:r w:rsidR="0048417A">
          <w:rPr>
            <w:webHidden/>
          </w:rPr>
          <w:tab/>
        </w:r>
        <w:r w:rsidR="0048417A">
          <w:rPr>
            <w:webHidden/>
          </w:rPr>
          <w:fldChar w:fldCharType="begin"/>
        </w:r>
        <w:r w:rsidR="0048417A">
          <w:rPr>
            <w:webHidden/>
          </w:rPr>
          <w:instrText xml:space="preserve"> PAGEREF _Toc296517862 \h </w:instrText>
        </w:r>
        <w:r w:rsidR="0048417A">
          <w:rPr>
            <w:webHidden/>
          </w:rPr>
        </w:r>
        <w:r w:rsidR="0048417A">
          <w:rPr>
            <w:webHidden/>
          </w:rPr>
          <w:fldChar w:fldCharType="separate"/>
        </w:r>
        <w:r w:rsidR="0048417A">
          <w:rPr>
            <w:webHidden/>
          </w:rPr>
          <w:t>vii</w:t>
        </w:r>
        <w:r w:rsidR="0048417A">
          <w:rPr>
            <w:webHidden/>
          </w:rPr>
          <w:fldChar w:fldCharType="end"/>
        </w:r>
      </w:hyperlink>
    </w:p>
    <w:p w:rsidR="0048417A" w:rsidRDefault="00B81800">
      <w:pPr>
        <w:pStyle w:val="TOC1"/>
        <w:rPr>
          <w:rFonts w:ascii="Calibri" w:hAnsi="Calibri"/>
          <w:b w:val="0"/>
          <w:sz w:val="22"/>
          <w:szCs w:val="22"/>
        </w:rPr>
      </w:pPr>
      <w:hyperlink w:anchor="_Toc296517863" w:history="1">
        <w:r w:rsidR="0048417A" w:rsidRPr="00CC7094">
          <w:rPr>
            <w:rStyle w:val="Hyperlink"/>
          </w:rPr>
          <w:t>Introduction</w:t>
        </w:r>
        <w:r w:rsidR="0048417A">
          <w:rPr>
            <w:webHidden/>
          </w:rPr>
          <w:tab/>
        </w:r>
        <w:r w:rsidR="0048417A">
          <w:rPr>
            <w:webHidden/>
          </w:rPr>
          <w:fldChar w:fldCharType="begin"/>
        </w:r>
        <w:r w:rsidR="0048417A">
          <w:rPr>
            <w:webHidden/>
          </w:rPr>
          <w:instrText xml:space="preserve"> PAGEREF _Toc296517863 \h </w:instrText>
        </w:r>
        <w:r w:rsidR="0048417A">
          <w:rPr>
            <w:webHidden/>
          </w:rPr>
        </w:r>
        <w:r w:rsidR="0048417A">
          <w:rPr>
            <w:webHidden/>
          </w:rPr>
          <w:fldChar w:fldCharType="separate"/>
        </w:r>
        <w:r w:rsidR="0048417A">
          <w:rPr>
            <w:webHidden/>
          </w:rPr>
          <w:t>17</w:t>
        </w:r>
        <w:r w:rsidR="0048417A">
          <w:rPr>
            <w:webHidden/>
          </w:rPr>
          <w:fldChar w:fldCharType="end"/>
        </w:r>
      </w:hyperlink>
    </w:p>
    <w:p w:rsidR="0048417A" w:rsidRDefault="00B81800">
      <w:pPr>
        <w:pStyle w:val="TOC1"/>
        <w:rPr>
          <w:rFonts w:ascii="Calibri" w:hAnsi="Calibri"/>
          <w:b w:val="0"/>
          <w:sz w:val="22"/>
          <w:szCs w:val="22"/>
        </w:rPr>
      </w:pPr>
      <w:hyperlink w:anchor="_Toc296517864" w:history="1">
        <w:r w:rsidR="0048417A" w:rsidRPr="00CC7094">
          <w:rPr>
            <w:rStyle w:val="Hyperlink"/>
          </w:rPr>
          <w:t>Background</w:t>
        </w:r>
        <w:r w:rsidR="0048417A">
          <w:rPr>
            <w:webHidden/>
          </w:rPr>
          <w:tab/>
        </w:r>
        <w:r w:rsidR="0048417A">
          <w:rPr>
            <w:webHidden/>
          </w:rPr>
          <w:fldChar w:fldCharType="begin"/>
        </w:r>
        <w:r w:rsidR="0048417A">
          <w:rPr>
            <w:webHidden/>
          </w:rPr>
          <w:instrText xml:space="preserve"> PAGEREF _Toc296517864 \h </w:instrText>
        </w:r>
        <w:r w:rsidR="0048417A">
          <w:rPr>
            <w:webHidden/>
          </w:rPr>
        </w:r>
        <w:r w:rsidR="0048417A">
          <w:rPr>
            <w:webHidden/>
          </w:rPr>
          <w:fldChar w:fldCharType="separate"/>
        </w:r>
        <w:r w:rsidR="0048417A">
          <w:rPr>
            <w:webHidden/>
          </w:rPr>
          <w:t>18</w:t>
        </w:r>
        <w:r w:rsidR="0048417A">
          <w:rPr>
            <w:webHidden/>
          </w:rPr>
          <w:fldChar w:fldCharType="end"/>
        </w:r>
      </w:hyperlink>
    </w:p>
    <w:p w:rsidR="0048417A" w:rsidRDefault="00B81800">
      <w:pPr>
        <w:pStyle w:val="TOC2"/>
        <w:rPr>
          <w:rFonts w:ascii="Calibri" w:hAnsi="Calibri"/>
          <w:sz w:val="22"/>
          <w:szCs w:val="22"/>
        </w:rPr>
      </w:pPr>
      <w:hyperlink w:anchor="_Toc296517865" w:history="1">
        <w:r w:rsidR="0048417A" w:rsidRPr="00CC7094">
          <w:rPr>
            <w:rStyle w:val="Hyperlink"/>
            <w:bCs/>
          </w:rPr>
          <w:t>Capsule endoscopy</w:t>
        </w:r>
        <w:r w:rsidR="0048417A">
          <w:rPr>
            <w:webHidden/>
          </w:rPr>
          <w:tab/>
        </w:r>
        <w:r w:rsidR="0048417A">
          <w:rPr>
            <w:webHidden/>
          </w:rPr>
          <w:fldChar w:fldCharType="begin"/>
        </w:r>
        <w:r w:rsidR="0048417A">
          <w:rPr>
            <w:webHidden/>
          </w:rPr>
          <w:instrText xml:space="preserve"> PAGEREF _Toc296517865 \h </w:instrText>
        </w:r>
        <w:r w:rsidR="0048417A">
          <w:rPr>
            <w:webHidden/>
          </w:rPr>
        </w:r>
        <w:r w:rsidR="0048417A">
          <w:rPr>
            <w:webHidden/>
          </w:rPr>
          <w:fldChar w:fldCharType="separate"/>
        </w:r>
        <w:r w:rsidR="0048417A">
          <w:rPr>
            <w:webHidden/>
          </w:rPr>
          <w:t>18</w:t>
        </w:r>
        <w:r w:rsidR="0048417A">
          <w:rPr>
            <w:webHidden/>
          </w:rPr>
          <w:fldChar w:fldCharType="end"/>
        </w:r>
      </w:hyperlink>
    </w:p>
    <w:p w:rsidR="0048417A" w:rsidRDefault="00B81800">
      <w:pPr>
        <w:pStyle w:val="TOC2"/>
        <w:rPr>
          <w:rFonts w:ascii="Calibri" w:hAnsi="Calibri"/>
          <w:sz w:val="22"/>
          <w:szCs w:val="22"/>
        </w:rPr>
      </w:pPr>
      <w:hyperlink w:anchor="_Toc296517866" w:history="1">
        <w:r w:rsidR="0048417A" w:rsidRPr="00CC7094">
          <w:rPr>
            <w:rStyle w:val="Hyperlink"/>
            <w:bCs/>
          </w:rPr>
          <w:t>The test</w:t>
        </w:r>
        <w:r w:rsidR="0048417A">
          <w:rPr>
            <w:webHidden/>
          </w:rPr>
          <w:tab/>
        </w:r>
        <w:r w:rsidR="0048417A">
          <w:rPr>
            <w:webHidden/>
          </w:rPr>
          <w:fldChar w:fldCharType="begin"/>
        </w:r>
        <w:r w:rsidR="0048417A">
          <w:rPr>
            <w:webHidden/>
          </w:rPr>
          <w:instrText xml:space="preserve"> PAGEREF _Toc296517866 \h </w:instrText>
        </w:r>
        <w:r w:rsidR="0048417A">
          <w:rPr>
            <w:webHidden/>
          </w:rPr>
        </w:r>
        <w:r w:rsidR="0048417A">
          <w:rPr>
            <w:webHidden/>
          </w:rPr>
          <w:fldChar w:fldCharType="separate"/>
        </w:r>
        <w:r w:rsidR="0048417A">
          <w:rPr>
            <w:webHidden/>
          </w:rPr>
          <w:t>18</w:t>
        </w:r>
        <w:r w:rsidR="0048417A">
          <w:rPr>
            <w:webHidden/>
          </w:rPr>
          <w:fldChar w:fldCharType="end"/>
        </w:r>
      </w:hyperlink>
    </w:p>
    <w:p w:rsidR="0048417A" w:rsidRDefault="00B81800">
      <w:pPr>
        <w:pStyle w:val="TOC2"/>
        <w:rPr>
          <w:rFonts w:ascii="Calibri" w:hAnsi="Calibri"/>
          <w:sz w:val="22"/>
          <w:szCs w:val="22"/>
        </w:rPr>
      </w:pPr>
      <w:hyperlink w:anchor="_Toc296517867" w:history="1">
        <w:r w:rsidR="0048417A" w:rsidRPr="00CC7094">
          <w:rPr>
            <w:rStyle w:val="Hyperlink"/>
          </w:rPr>
          <w:t>Intended purpose</w:t>
        </w:r>
        <w:r w:rsidR="0048417A">
          <w:rPr>
            <w:webHidden/>
          </w:rPr>
          <w:tab/>
        </w:r>
        <w:r w:rsidR="0048417A">
          <w:rPr>
            <w:webHidden/>
          </w:rPr>
          <w:fldChar w:fldCharType="begin"/>
        </w:r>
        <w:r w:rsidR="0048417A">
          <w:rPr>
            <w:webHidden/>
          </w:rPr>
          <w:instrText xml:space="preserve"> PAGEREF _Toc296517867 \h </w:instrText>
        </w:r>
        <w:r w:rsidR="0048417A">
          <w:rPr>
            <w:webHidden/>
          </w:rPr>
        </w:r>
        <w:r w:rsidR="0048417A">
          <w:rPr>
            <w:webHidden/>
          </w:rPr>
          <w:fldChar w:fldCharType="separate"/>
        </w:r>
        <w:r w:rsidR="0048417A">
          <w:rPr>
            <w:webHidden/>
          </w:rPr>
          <w:t>19</w:t>
        </w:r>
        <w:r w:rsidR="0048417A">
          <w:rPr>
            <w:webHidden/>
          </w:rPr>
          <w:fldChar w:fldCharType="end"/>
        </w:r>
      </w:hyperlink>
    </w:p>
    <w:p w:rsidR="0048417A" w:rsidRDefault="00B81800">
      <w:pPr>
        <w:pStyle w:val="TOC2"/>
        <w:rPr>
          <w:rFonts w:ascii="Calibri" w:hAnsi="Calibri"/>
          <w:sz w:val="22"/>
          <w:szCs w:val="22"/>
        </w:rPr>
      </w:pPr>
      <w:hyperlink w:anchor="_Toc296517868" w:history="1">
        <w:r w:rsidR="0048417A" w:rsidRPr="00CC7094">
          <w:rPr>
            <w:rStyle w:val="Hyperlink"/>
          </w:rPr>
          <w:t>Crohn’s disease</w:t>
        </w:r>
        <w:r w:rsidR="0048417A">
          <w:rPr>
            <w:webHidden/>
          </w:rPr>
          <w:tab/>
        </w:r>
        <w:r w:rsidR="0048417A">
          <w:rPr>
            <w:webHidden/>
          </w:rPr>
          <w:fldChar w:fldCharType="begin"/>
        </w:r>
        <w:r w:rsidR="0048417A">
          <w:rPr>
            <w:webHidden/>
          </w:rPr>
          <w:instrText xml:space="preserve"> PAGEREF _Toc296517868 \h </w:instrText>
        </w:r>
        <w:r w:rsidR="0048417A">
          <w:rPr>
            <w:webHidden/>
          </w:rPr>
        </w:r>
        <w:r w:rsidR="0048417A">
          <w:rPr>
            <w:webHidden/>
          </w:rPr>
          <w:fldChar w:fldCharType="separate"/>
        </w:r>
        <w:r w:rsidR="0048417A">
          <w:rPr>
            <w:webHidden/>
          </w:rPr>
          <w:t>19</w:t>
        </w:r>
        <w:r w:rsidR="0048417A">
          <w:rPr>
            <w:webHidden/>
          </w:rPr>
          <w:fldChar w:fldCharType="end"/>
        </w:r>
      </w:hyperlink>
    </w:p>
    <w:p w:rsidR="0048417A" w:rsidRDefault="00B81800">
      <w:pPr>
        <w:pStyle w:val="TOC2"/>
        <w:rPr>
          <w:rFonts w:ascii="Calibri" w:hAnsi="Calibri"/>
          <w:sz w:val="22"/>
          <w:szCs w:val="22"/>
        </w:rPr>
      </w:pPr>
      <w:hyperlink w:anchor="_Toc296517869" w:history="1">
        <w:r w:rsidR="0048417A" w:rsidRPr="00CC7094">
          <w:rPr>
            <w:rStyle w:val="Hyperlink"/>
            <w:bCs/>
          </w:rPr>
          <w:t>Clinical need</w:t>
        </w:r>
        <w:r w:rsidR="0048417A">
          <w:rPr>
            <w:webHidden/>
          </w:rPr>
          <w:tab/>
        </w:r>
        <w:r w:rsidR="0048417A">
          <w:rPr>
            <w:webHidden/>
          </w:rPr>
          <w:fldChar w:fldCharType="begin"/>
        </w:r>
        <w:r w:rsidR="0048417A">
          <w:rPr>
            <w:webHidden/>
          </w:rPr>
          <w:instrText xml:space="preserve"> PAGEREF _Toc296517869 \h </w:instrText>
        </w:r>
        <w:r w:rsidR="0048417A">
          <w:rPr>
            <w:webHidden/>
          </w:rPr>
        </w:r>
        <w:r w:rsidR="0048417A">
          <w:rPr>
            <w:webHidden/>
          </w:rPr>
          <w:fldChar w:fldCharType="separate"/>
        </w:r>
        <w:r w:rsidR="0048417A">
          <w:rPr>
            <w:webHidden/>
          </w:rPr>
          <w:t>22</w:t>
        </w:r>
        <w:r w:rsidR="0048417A">
          <w:rPr>
            <w:webHidden/>
          </w:rPr>
          <w:fldChar w:fldCharType="end"/>
        </w:r>
      </w:hyperlink>
    </w:p>
    <w:p w:rsidR="0048417A" w:rsidRDefault="00B81800">
      <w:pPr>
        <w:pStyle w:val="TOC2"/>
        <w:rPr>
          <w:rFonts w:ascii="Calibri" w:hAnsi="Calibri"/>
          <w:sz w:val="22"/>
          <w:szCs w:val="22"/>
        </w:rPr>
      </w:pPr>
      <w:hyperlink w:anchor="_Toc296517870" w:history="1">
        <w:r w:rsidR="0048417A" w:rsidRPr="00CC7094">
          <w:rPr>
            <w:rStyle w:val="Hyperlink"/>
          </w:rPr>
          <w:t>Existing tests</w:t>
        </w:r>
        <w:r w:rsidR="0048417A">
          <w:rPr>
            <w:webHidden/>
          </w:rPr>
          <w:tab/>
        </w:r>
        <w:r w:rsidR="0048417A">
          <w:rPr>
            <w:webHidden/>
          </w:rPr>
          <w:fldChar w:fldCharType="begin"/>
        </w:r>
        <w:r w:rsidR="0048417A">
          <w:rPr>
            <w:webHidden/>
          </w:rPr>
          <w:instrText xml:space="preserve"> PAGEREF _Toc296517870 \h </w:instrText>
        </w:r>
        <w:r w:rsidR="0048417A">
          <w:rPr>
            <w:webHidden/>
          </w:rPr>
        </w:r>
        <w:r w:rsidR="0048417A">
          <w:rPr>
            <w:webHidden/>
          </w:rPr>
          <w:fldChar w:fldCharType="separate"/>
        </w:r>
        <w:r w:rsidR="0048417A">
          <w:rPr>
            <w:webHidden/>
          </w:rPr>
          <w:t>25</w:t>
        </w:r>
        <w:r w:rsidR="0048417A">
          <w:rPr>
            <w:webHidden/>
          </w:rPr>
          <w:fldChar w:fldCharType="end"/>
        </w:r>
      </w:hyperlink>
    </w:p>
    <w:p w:rsidR="0048417A" w:rsidRDefault="00B81800">
      <w:pPr>
        <w:pStyle w:val="TOC2"/>
        <w:rPr>
          <w:rFonts w:ascii="Calibri" w:hAnsi="Calibri"/>
          <w:sz w:val="22"/>
          <w:szCs w:val="22"/>
        </w:rPr>
      </w:pPr>
      <w:hyperlink w:anchor="_Toc296517871" w:history="1">
        <w:r w:rsidR="0048417A" w:rsidRPr="00CC7094">
          <w:rPr>
            <w:rStyle w:val="Hyperlink"/>
          </w:rPr>
          <w:t>Methodological considerations</w:t>
        </w:r>
        <w:r w:rsidR="0048417A">
          <w:rPr>
            <w:webHidden/>
          </w:rPr>
          <w:tab/>
        </w:r>
        <w:r w:rsidR="0048417A">
          <w:rPr>
            <w:webHidden/>
          </w:rPr>
          <w:fldChar w:fldCharType="begin"/>
        </w:r>
        <w:r w:rsidR="0048417A">
          <w:rPr>
            <w:webHidden/>
          </w:rPr>
          <w:instrText xml:space="preserve"> PAGEREF _Toc296517871 \h </w:instrText>
        </w:r>
        <w:r w:rsidR="0048417A">
          <w:rPr>
            <w:webHidden/>
          </w:rPr>
        </w:r>
        <w:r w:rsidR="0048417A">
          <w:rPr>
            <w:webHidden/>
          </w:rPr>
          <w:fldChar w:fldCharType="separate"/>
        </w:r>
        <w:r w:rsidR="0048417A">
          <w:rPr>
            <w:webHidden/>
          </w:rPr>
          <w:t>26</w:t>
        </w:r>
        <w:r w:rsidR="0048417A">
          <w:rPr>
            <w:webHidden/>
          </w:rPr>
          <w:fldChar w:fldCharType="end"/>
        </w:r>
      </w:hyperlink>
    </w:p>
    <w:p w:rsidR="0048417A" w:rsidRDefault="00B81800">
      <w:pPr>
        <w:pStyle w:val="TOC2"/>
        <w:rPr>
          <w:rFonts w:ascii="Calibri" w:hAnsi="Calibri"/>
          <w:sz w:val="22"/>
          <w:szCs w:val="22"/>
        </w:rPr>
      </w:pPr>
      <w:hyperlink w:anchor="_Toc296517872" w:history="1">
        <w:r w:rsidR="0048417A" w:rsidRPr="00CC7094">
          <w:rPr>
            <w:rStyle w:val="Hyperlink"/>
          </w:rPr>
          <w:t>Marketing status of the technology</w:t>
        </w:r>
        <w:r w:rsidR="0048417A">
          <w:rPr>
            <w:webHidden/>
          </w:rPr>
          <w:tab/>
        </w:r>
        <w:r w:rsidR="0048417A">
          <w:rPr>
            <w:webHidden/>
          </w:rPr>
          <w:fldChar w:fldCharType="begin"/>
        </w:r>
        <w:r w:rsidR="0048417A">
          <w:rPr>
            <w:webHidden/>
          </w:rPr>
          <w:instrText xml:space="preserve"> PAGEREF _Toc296517872 \h </w:instrText>
        </w:r>
        <w:r w:rsidR="0048417A">
          <w:rPr>
            <w:webHidden/>
          </w:rPr>
        </w:r>
        <w:r w:rsidR="0048417A">
          <w:rPr>
            <w:webHidden/>
          </w:rPr>
          <w:fldChar w:fldCharType="separate"/>
        </w:r>
        <w:r w:rsidR="0048417A">
          <w:rPr>
            <w:webHidden/>
          </w:rPr>
          <w:t>27</w:t>
        </w:r>
        <w:r w:rsidR="0048417A">
          <w:rPr>
            <w:webHidden/>
          </w:rPr>
          <w:fldChar w:fldCharType="end"/>
        </w:r>
      </w:hyperlink>
    </w:p>
    <w:p w:rsidR="0048417A" w:rsidRDefault="00B81800">
      <w:pPr>
        <w:pStyle w:val="TOC2"/>
        <w:rPr>
          <w:rFonts w:ascii="Calibri" w:hAnsi="Calibri"/>
          <w:sz w:val="22"/>
          <w:szCs w:val="22"/>
        </w:rPr>
      </w:pPr>
      <w:hyperlink w:anchor="_Toc296517873" w:history="1">
        <w:r w:rsidR="0048417A" w:rsidRPr="00CC7094">
          <w:rPr>
            <w:rStyle w:val="Hyperlink"/>
            <w:bCs/>
          </w:rPr>
          <w:t>Current arrangements for public reimbursement</w:t>
        </w:r>
        <w:r w:rsidR="0048417A">
          <w:rPr>
            <w:webHidden/>
          </w:rPr>
          <w:tab/>
        </w:r>
        <w:r w:rsidR="0048417A">
          <w:rPr>
            <w:webHidden/>
          </w:rPr>
          <w:fldChar w:fldCharType="begin"/>
        </w:r>
        <w:r w:rsidR="0048417A">
          <w:rPr>
            <w:webHidden/>
          </w:rPr>
          <w:instrText xml:space="preserve"> PAGEREF _Toc296517873 \h </w:instrText>
        </w:r>
        <w:r w:rsidR="0048417A">
          <w:rPr>
            <w:webHidden/>
          </w:rPr>
        </w:r>
        <w:r w:rsidR="0048417A">
          <w:rPr>
            <w:webHidden/>
          </w:rPr>
          <w:fldChar w:fldCharType="separate"/>
        </w:r>
        <w:r w:rsidR="0048417A">
          <w:rPr>
            <w:webHidden/>
          </w:rPr>
          <w:t>27</w:t>
        </w:r>
        <w:r w:rsidR="0048417A">
          <w:rPr>
            <w:webHidden/>
          </w:rPr>
          <w:fldChar w:fldCharType="end"/>
        </w:r>
      </w:hyperlink>
    </w:p>
    <w:p w:rsidR="0048417A" w:rsidRDefault="00B81800">
      <w:pPr>
        <w:pStyle w:val="TOC1"/>
        <w:rPr>
          <w:rFonts w:ascii="Calibri" w:hAnsi="Calibri"/>
          <w:b w:val="0"/>
          <w:sz w:val="22"/>
          <w:szCs w:val="22"/>
        </w:rPr>
      </w:pPr>
      <w:hyperlink w:anchor="_Toc296517874" w:history="1">
        <w:r w:rsidR="0048417A" w:rsidRPr="00CC7094">
          <w:rPr>
            <w:rStyle w:val="Hyperlink"/>
          </w:rPr>
          <w:t>Approach to assessment</w:t>
        </w:r>
        <w:r w:rsidR="0048417A">
          <w:rPr>
            <w:webHidden/>
          </w:rPr>
          <w:tab/>
        </w:r>
        <w:r w:rsidR="0048417A">
          <w:rPr>
            <w:webHidden/>
          </w:rPr>
          <w:fldChar w:fldCharType="begin"/>
        </w:r>
        <w:r w:rsidR="0048417A">
          <w:rPr>
            <w:webHidden/>
          </w:rPr>
          <w:instrText xml:space="preserve"> PAGEREF _Toc296517874 \h </w:instrText>
        </w:r>
        <w:r w:rsidR="0048417A">
          <w:rPr>
            <w:webHidden/>
          </w:rPr>
        </w:r>
        <w:r w:rsidR="0048417A">
          <w:rPr>
            <w:webHidden/>
          </w:rPr>
          <w:fldChar w:fldCharType="separate"/>
        </w:r>
        <w:r w:rsidR="0048417A">
          <w:rPr>
            <w:webHidden/>
          </w:rPr>
          <w:t>29</w:t>
        </w:r>
        <w:r w:rsidR="0048417A">
          <w:rPr>
            <w:webHidden/>
          </w:rPr>
          <w:fldChar w:fldCharType="end"/>
        </w:r>
      </w:hyperlink>
    </w:p>
    <w:p w:rsidR="0048417A" w:rsidRDefault="00B81800">
      <w:pPr>
        <w:pStyle w:val="TOC2"/>
        <w:rPr>
          <w:rFonts w:ascii="Calibri" w:hAnsi="Calibri"/>
          <w:sz w:val="22"/>
          <w:szCs w:val="22"/>
        </w:rPr>
      </w:pPr>
      <w:hyperlink w:anchor="_Toc296517875" w:history="1">
        <w:r w:rsidR="0048417A" w:rsidRPr="00CC7094">
          <w:rPr>
            <w:rStyle w:val="Hyperlink"/>
          </w:rPr>
          <w:t>Objective</w:t>
        </w:r>
        <w:r w:rsidR="0048417A">
          <w:rPr>
            <w:webHidden/>
          </w:rPr>
          <w:tab/>
        </w:r>
        <w:r w:rsidR="0048417A">
          <w:rPr>
            <w:webHidden/>
          </w:rPr>
          <w:fldChar w:fldCharType="begin"/>
        </w:r>
        <w:r w:rsidR="0048417A">
          <w:rPr>
            <w:webHidden/>
          </w:rPr>
          <w:instrText xml:space="preserve"> PAGEREF _Toc296517875 \h </w:instrText>
        </w:r>
        <w:r w:rsidR="0048417A">
          <w:rPr>
            <w:webHidden/>
          </w:rPr>
        </w:r>
        <w:r w:rsidR="0048417A">
          <w:rPr>
            <w:webHidden/>
          </w:rPr>
          <w:fldChar w:fldCharType="separate"/>
        </w:r>
        <w:r w:rsidR="0048417A">
          <w:rPr>
            <w:webHidden/>
          </w:rPr>
          <w:t>29</w:t>
        </w:r>
        <w:r w:rsidR="0048417A">
          <w:rPr>
            <w:webHidden/>
          </w:rPr>
          <w:fldChar w:fldCharType="end"/>
        </w:r>
      </w:hyperlink>
    </w:p>
    <w:p w:rsidR="0048417A" w:rsidRDefault="00B81800">
      <w:pPr>
        <w:pStyle w:val="TOC2"/>
        <w:rPr>
          <w:rFonts w:ascii="Calibri" w:hAnsi="Calibri"/>
          <w:sz w:val="22"/>
          <w:szCs w:val="22"/>
        </w:rPr>
      </w:pPr>
      <w:hyperlink w:anchor="_Toc296517876" w:history="1">
        <w:r w:rsidR="0048417A" w:rsidRPr="00CC7094">
          <w:rPr>
            <w:rStyle w:val="Hyperlink"/>
          </w:rPr>
          <w:t>Research question</w:t>
        </w:r>
        <w:r w:rsidR="0048417A">
          <w:rPr>
            <w:webHidden/>
          </w:rPr>
          <w:tab/>
        </w:r>
        <w:r w:rsidR="0048417A">
          <w:rPr>
            <w:webHidden/>
          </w:rPr>
          <w:fldChar w:fldCharType="begin"/>
        </w:r>
        <w:r w:rsidR="0048417A">
          <w:rPr>
            <w:webHidden/>
          </w:rPr>
          <w:instrText xml:space="preserve"> PAGEREF _Toc296517876 \h </w:instrText>
        </w:r>
        <w:r w:rsidR="0048417A">
          <w:rPr>
            <w:webHidden/>
          </w:rPr>
        </w:r>
        <w:r w:rsidR="0048417A">
          <w:rPr>
            <w:webHidden/>
          </w:rPr>
          <w:fldChar w:fldCharType="separate"/>
        </w:r>
        <w:r w:rsidR="0048417A">
          <w:rPr>
            <w:webHidden/>
          </w:rPr>
          <w:t>29</w:t>
        </w:r>
        <w:r w:rsidR="0048417A">
          <w:rPr>
            <w:webHidden/>
          </w:rPr>
          <w:fldChar w:fldCharType="end"/>
        </w:r>
      </w:hyperlink>
    </w:p>
    <w:p w:rsidR="0048417A" w:rsidRDefault="00B81800">
      <w:pPr>
        <w:pStyle w:val="TOC2"/>
        <w:rPr>
          <w:rFonts w:ascii="Calibri" w:hAnsi="Calibri"/>
          <w:sz w:val="22"/>
          <w:szCs w:val="22"/>
        </w:rPr>
      </w:pPr>
      <w:hyperlink w:anchor="_Toc296517877" w:history="1">
        <w:r w:rsidR="0048417A" w:rsidRPr="00CC7094">
          <w:rPr>
            <w:rStyle w:val="Hyperlink"/>
            <w:bCs/>
          </w:rPr>
          <w:t>Clinical decision pathway</w:t>
        </w:r>
        <w:r w:rsidR="0048417A">
          <w:rPr>
            <w:webHidden/>
          </w:rPr>
          <w:tab/>
        </w:r>
        <w:r w:rsidR="0048417A">
          <w:rPr>
            <w:webHidden/>
          </w:rPr>
          <w:fldChar w:fldCharType="begin"/>
        </w:r>
        <w:r w:rsidR="0048417A">
          <w:rPr>
            <w:webHidden/>
          </w:rPr>
          <w:instrText xml:space="preserve"> PAGEREF _Toc296517877 \h </w:instrText>
        </w:r>
        <w:r w:rsidR="0048417A">
          <w:rPr>
            <w:webHidden/>
          </w:rPr>
        </w:r>
        <w:r w:rsidR="0048417A">
          <w:rPr>
            <w:webHidden/>
          </w:rPr>
          <w:fldChar w:fldCharType="separate"/>
        </w:r>
        <w:r w:rsidR="0048417A">
          <w:rPr>
            <w:webHidden/>
          </w:rPr>
          <w:t>31</w:t>
        </w:r>
        <w:r w:rsidR="0048417A">
          <w:rPr>
            <w:webHidden/>
          </w:rPr>
          <w:fldChar w:fldCharType="end"/>
        </w:r>
      </w:hyperlink>
    </w:p>
    <w:p w:rsidR="0048417A" w:rsidRDefault="00B81800">
      <w:pPr>
        <w:pStyle w:val="TOC2"/>
        <w:rPr>
          <w:rFonts w:ascii="Calibri" w:hAnsi="Calibri"/>
          <w:sz w:val="22"/>
          <w:szCs w:val="22"/>
        </w:rPr>
      </w:pPr>
      <w:hyperlink w:anchor="_Toc296517878" w:history="1">
        <w:r w:rsidR="0048417A" w:rsidRPr="00CC7094">
          <w:rPr>
            <w:rStyle w:val="Hyperlink"/>
            <w:bCs/>
          </w:rPr>
          <w:t>Comparator</w:t>
        </w:r>
        <w:r w:rsidR="0048417A">
          <w:rPr>
            <w:webHidden/>
          </w:rPr>
          <w:tab/>
        </w:r>
        <w:r w:rsidR="0048417A">
          <w:rPr>
            <w:webHidden/>
          </w:rPr>
          <w:fldChar w:fldCharType="begin"/>
        </w:r>
        <w:r w:rsidR="0048417A">
          <w:rPr>
            <w:webHidden/>
          </w:rPr>
          <w:instrText xml:space="preserve"> PAGEREF _Toc296517878 \h </w:instrText>
        </w:r>
        <w:r w:rsidR="0048417A">
          <w:rPr>
            <w:webHidden/>
          </w:rPr>
        </w:r>
        <w:r w:rsidR="0048417A">
          <w:rPr>
            <w:webHidden/>
          </w:rPr>
          <w:fldChar w:fldCharType="separate"/>
        </w:r>
        <w:r w:rsidR="0048417A">
          <w:rPr>
            <w:webHidden/>
          </w:rPr>
          <w:t>32</w:t>
        </w:r>
        <w:r w:rsidR="0048417A">
          <w:rPr>
            <w:webHidden/>
          </w:rPr>
          <w:fldChar w:fldCharType="end"/>
        </w:r>
      </w:hyperlink>
    </w:p>
    <w:p w:rsidR="0048417A" w:rsidRDefault="00B81800">
      <w:pPr>
        <w:pStyle w:val="TOC2"/>
        <w:rPr>
          <w:rFonts w:ascii="Calibri" w:hAnsi="Calibri"/>
          <w:sz w:val="22"/>
          <w:szCs w:val="22"/>
        </w:rPr>
      </w:pPr>
      <w:hyperlink w:anchor="_Toc296517879" w:history="1">
        <w:r w:rsidR="0048417A" w:rsidRPr="00CC7094">
          <w:rPr>
            <w:rStyle w:val="Hyperlink"/>
            <w:bCs/>
          </w:rPr>
          <w:t>The reference standard</w:t>
        </w:r>
        <w:r w:rsidR="0048417A">
          <w:rPr>
            <w:webHidden/>
          </w:rPr>
          <w:tab/>
        </w:r>
        <w:r w:rsidR="0048417A">
          <w:rPr>
            <w:webHidden/>
          </w:rPr>
          <w:fldChar w:fldCharType="begin"/>
        </w:r>
        <w:r w:rsidR="0048417A">
          <w:rPr>
            <w:webHidden/>
          </w:rPr>
          <w:instrText xml:space="preserve"> PAGEREF _Toc296517879 \h </w:instrText>
        </w:r>
        <w:r w:rsidR="0048417A">
          <w:rPr>
            <w:webHidden/>
          </w:rPr>
        </w:r>
        <w:r w:rsidR="0048417A">
          <w:rPr>
            <w:webHidden/>
          </w:rPr>
          <w:fldChar w:fldCharType="separate"/>
        </w:r>
        <w:r w:rsidR="0048417A">
          <w:rPr>
            <w:webHidden/>
          </w:rPr>
          <w:t>32</w:t>
        </w:r>
        <w:r w:rsidR="0048417A">
          <w:rPr>
            <w:webHidden/>
          </w:rPr>
          <w:fldChar w:fldCharType="end"/>
        </w:r>
      </w:hyperlink>
    </w:p>
    <w:p w:rsidR="0048417A" w:rsidRDefault="00B81800">
      <w:pPr>
        <w:pStyle w:val="TOC2"/>
        <w:rPr>
          <w:rFonts w:ascii="Calibri" w:hAnsi="Calibri"/>
          <w:sz w:val="22"/>
          <w:szCs w:val="22"/>
        </w:rPr>
      </w:pPr>
      <w:hyperlink w:anchor="_Toc296517880" w:history="1">
        <w:r w:rsidR="0048417A" w:rsidRPr="00CC7094">
          <w:rPr>
            <w:rStyle w:val="Hyperlink"/>
          </w:rPr>
          <w:t>Diagnostic assessment framework</w:t>
        </w:r>
        <w:r w:rsidR="0048417A">
          <w:rPr>
            <w:webHidden/>
          </w:rPr>
          <w:tab/>
        </w:r>
        <w:r w:rsidR="0048417A">
          <w:rPr>
            <w:webHidden/>
          </w:rPr>
          <w:fldChar w:fldCharType="begin"/>
        </w:r>
        <w:r w:rsidR="0048417A">
          <w:rPr>
            <w:webHidden/>
          </w:rPr>
          <w:instrText xml:space="preserve"> PAGEREF _Toc296517880 \h </w:instrText>
        </w:r>
        <w:r w:rsidR="0048417A">
          <w:rPr>
            <w:webHidden/>
          </w:rPr>
        </w:r>
        <w:r w:rsidR="0048417A">
          <w:rPr>
            <w:webHidden/>
          </w:rPr>
          <w:fldChar w:fldCharType="separate"/>
        </w:r>
        <w:r w:rsidR="0048417A">
          <w:rPr>
            <w:webHidden/>
          </w:rPr>
          <w:t>32</w:t>
        </w:r>
        <w:r w:rsidR="0048417A">
          <w:rPr>
            <w:webHidden/>
          </w:rPr>
          <w:fldChar w:fldCharType="end"/>
        </w:r>
      </w:hyperlink>
    </w:p>
    <w:p w:rsidR="0048417A" w:rsidRDefault="00B81800">
      <w:pPr>
        <w:pStyle w:val="TOC2"/>
        <w:rPr>
          <w:rFonts w:ascii="Calibri" w:hAnsi="Calibri"/>
          <w:sz w:val="22"/>
          <w:szCs w:val="22"/>
        </w:rPr>
      </w:pPr>
      <w:hyperlink w:anchor="_Toc296517881" w:history="1">
        <w:r w:rsidR="0048417A" w:rsidRPr="00CC7094">
          <w:rPr>
            <w:rStyle w:val="Hyperlink"/>
          </w:rPr>
          <w:t>Review of the literature</w:t>
        </w:r>
        <w:r w:rsidR="0048417A">
          <w:rPr>
            <w:webHidden/>
          </w:rPr>
          <w:tab/>
        </w:r>
        <w:r w:rsidR="0048417A">
          <w:rPr>
            <w:webHidden/>
          </w:rPr>
          <w:fldChar w:fldCharType="begin"/>
        </w:r>
        <w:r w:rsidR="0048417A">
          <w:rPr>
            <w:webHidden/>
          </w:rPr>
          <w:instrText xml:space="preserve"> PAGEREF _Toc296517881 \h </w:instrText>
        </w:r>
        <w:r w:rsidR="0048417A">
          <w:rPr>
            <w:webHidden/>
          </w:rPr>
        </w:r>
        <w:r w:rsidR="0048417A">
          <w:rPr>
            <w:webHidden/>
          </w:rPr>
          <w:fldChar w:fldCharType="separate"/>
        </w:r>
        <w:r w:rsidR="0048417A">
          <w:rPr>
            <w:webHidden/>
          </w:rPr>
          <w:t>33</w:t>
        </w:r>
        <w:r w:rsidR="0048417A">
          <w:rPr>
            <w:webHidden/>
          </w:rPr>
          <w:fldChar w:fldCharType="end"/>
        </w:r>
      </w:hyperlink>
    </w:p>
    <w:p w:rsidR="0048417A" w:rsidRDefault="00B81800">
      <w:pPr>
        <w:pStyle w:val="TOC2"/>
        <w:rPr>
          <w:rFonts w:ascii="Calibri" w:hAnsi="Calibri"/>
          <w:sz w:val="22"/>
          <w:szCs w:val="22"/>
        </w:rPr>
      </w:pPr>
      <w:hyperlink w:anchor="_Toc296517882" w:history="1">
        <w:r w:rsidR="0048417A" w:rsidRPr="00CC7094">
          <w:rPr>
            <w:rStyle w:val="Hyperlink"/>
          </w:rPr>
          <w:t>Appraisal of the evidence</w:t>
        </w:r>
        <w:r w:rsidR="0048417A">
          <w:rPr>
            <w:webHidden/>
          </w:rPr>
          <w:tab/>
        </w:r>
        <w:r w:rsidR="0048417A">
          <w:rPr>
            <w:webHidden/>
          </w:rPr>
          <w:fldChar w:fldCharType="begin"/>
        </w:r>
        <w:r w:rsidR="0048417A">
          <w:rPr>
            <w:webHidden/>
          </w:rPr>
          <w:instrText xml:space="preserve"> PAGEREF _Toc296517882 \h </w:instrText>
        </w:r>
        <w:r w:rsidR="0048417A">
          <w:rPr>
            <w:webHidden/>
          </w:rPr>
        </w:r>
        <w:r w:rsidR="0048417A">
          <w:rPr>
            <w:webHidden/>
          </w:rPr>
          <w:fldChar w:fldCharType="separate"/>
        </w:r>
        <w:r w:rsidR="0048417A">
          <w:rPr>
            <w:webHidden/>
          </w:rPr>
          <w:t>39</w:t>
        </w:r>
        <w:r w:rsidR="0048417A">
          <w:rPr>
            <w:webHidden/>
          </w:rPr>
          <w:fldChar w:fldCharType="end"/>
        </w:r>
      </w:hyperlink>
    </w:p>
    <w:p w:rsidR="0048417A" w:rsidRDefault="00B81800">
      <w:pPr>
        <w:pStyle w:val="TOC2"/>
        <w:rPr>
          <w:rFonts w:ascii="Calibri" w:hAnsi="Calibri"/>
          <w:sz w:val="22"/>
          <w:szCs w:val="22"/>
        </w:rPr>
      </w:pPr>
      <w:hyperlink w:anchor="_Toc296517883" w:history="1">
        <w:r w:rsidR="0048417A" w:rsidRPr="00CC7094">
          <w:rPr>
            <w:rStyle w:val="Hyperlink"/>
            <w:lang w:val="en-US"/>
          </w:rPr>
          <w:t>Assessment of the body of evidence</w:t>
        </w:r>
        <w:r w:rsidR="0048417A">
          <w:rPr>
            <w:webHidden/>
          </w:rPr>
          <w:tab/>
        </w:r>
        <w:r w:rsidR="0048417A">
          <w:rPr>
            <w:webHidden/>
          </w:rPr>
          <w:fldChar w:fldCharType="begin"/>
        </w:r>
        <w:r w:rsidR="0048417A">
          <w:rPr>
            <w:webHidden/>
          </w:rPr>
          <w:instrText xml:space="preserve"> PAGEREF _Toc296517883 \h </w:instrText>
        </w:r>
        <w:r w:rsidR="0048417A">
          <w:rPr>
            <w:webHidden/>
          </w:rPr>
        </w:r>
        <w:r w:rsidR="0048417A">
          <w:rPr>
            <w:webHidden/>
          </w:rPr>
          <w:fldChar w:fldCharType="separate"/>
        </w:r>
        <w:r w:rsidR="0048417A">
          <w:rPr>
            <w:webHidden/>
          </w:rPr>
          <w:t>44</w:t>
        </w:r>
        <w:r w:rsidR="0048417A">
          <w:rPr>
            <w:webHidden/>
          </w:rPr>
          <w:fldChar w:fldCharType="end"/>
        </w:r>
      </w:hyperlink>
    </w:p>
    <w:p w:rsidR="0048417A" w:rsidRDefault="00B81800">
      <w:pPr>
        <w:pStyle w:val="TOC2"/>
        <w:rPr>
          <w:rFonts w:ascii="Calibri" w:hAnsi="Calibri"/>
          <w:sz w:val="22"/>
          <w:szCs w:val="22"/>
        </w:rPr>
      </w:pPr>
      <w:hyperlink w:anchor="_Toc296517884" w:history="1">
        <w:r w:rsidR="0048417A" w:rsidRPr="00CC7094">
          <w:rPr>
            <w:rStyle w:val="Hyperlink"/>
          </w:rPr>
          <w:t>Expert advice</w:t>
        </w:r>
        <w:r w:rsidR="0048417A">
          <w:rPr>
            <w:webHidden/>
          </w:rPr>
          <w:tab/>
        </w:r>
        <w:r w:rsidR="0048417A">
          <w:rPr>
            <w:webHidden/>
          </w:rPr>
          <w:fldChar w:fldCharType="begin"/>
        </w:r>
        <w:r w:rsidR="0048417A">
          <w:rPr>
            <w:webHidden/>
          </w:rPr>
          <w:instrText xml:space="preserve"> PAGEREF _Toc296517884 \h </w:instrText>
        </w:r>
        <w:r w:rsidR="0048417A">
          <w:rPr>
            <w:webHidden/>
          </w:rPr>
        </w:r>
        <w:r w:rsidR="0048417A">
          <w:rPr>
            <w:webHidden/>
          </w:rPr>
          <w:fldChar w:fldCharType="separate"/>
        </w:r>
        <w:r w:rsidR="0048417A">
          <w:rPr>
            <w:webHidden/>
          </w:rPr>
          <w:t>45</w:t>
        </w:r>
        <w:r w:rsidR="0048417A">
          <w:rPr>
            <w:webHidden/>
          </w:rPr>
          <w:fldChar w:fldCharType="end"/>
        </w:r>
      </w:hyperlink>
    </w:p>
    <w:p w:rsidR="0048417A" w:rsidRDefault="00B81800">
      <w:pPr>
        <w:pStyle w:val="TOC1"/>
        <w:rPr>
          <w:rFonts w:ascii="Calibri" w:hAnsi="Calibri"/>
          <w:b w:val="0"/>
          <w:sz w:val="22"/>
          <w:szCs w:val="22"/>
        </w:rPr>
      </w:pPr>
      <w:hyperlink w:anchor="_Toc296517885" w:history="1">
        <w:r w:rsidR="0048417A" w:rsidRPr="00CC7094">
          <w:rPr>
            <w:rStyle w:val="Hyperlink"/>
          </w:rPr>
          <w:t>Results of assessment</w:t>
        </w:r>
        <w:r w:rsidR="0048417A">
          <w:rPr>
            <w:webHidden/>
          </w:rPr>
          <w:tab/>
        </w:r>
        <w:r w:rsidR="0048417A">
          <w:rPr>
            <w:webHidden/>
          </w:rPr>
          <w:fldChar w:fldCharType="begin"/>
        </w:r>
        <w:r w:rsidR="0048417A">
          <w:rPr>
            <w:webHidden/>
          </w:rPr>
          <w:instrText xml:space="preserve"> PAGEREF _Toc296517885 \h </w:instrText>
        </w:r>
        <w:r w:rsidR="0048417A">
          <w:rPr>
            <w:webHidden/>
          </w:rPr>
        </w:r>
        <w:r w:rsidR="0048417A">
          <w:rPr>
            <w:webHidden/>
          </w:rPr>
          <w:fldChar w:fldCharType="separate"/>
        </w:r>
        <w:r w:rsidR="0048417A">
          <w:rPr>
            <w:webHidden/>
          </w:rPr>
          <w:t>46</w:t>
        </w:r>
        <w:r w:rsidR="0048417A">
          <w:rPr>
            <w:webHidden/>
          </w:rPr>
          <w:fldChar w:fldCharType="end"/>
        </w:r>
      </w:hyperlink>
    </w:p>
    <w:p w:rsidR="0048417A" w:rsidRDefault="00B81800">
      <w:pPr>
        <w:pStyle w:val="TOC2"/>
        <w:rPr>
          <w:rFonts w:ascii="Calibri" w:hAnsi="Calibri"/>
          <w:sz w:val="22"/>
          <w:szCs w:val="22"/>
        </w:rPr>
      </w:pPr>
      <w:hyperlink w:anchor="_Toc296517886" w:history="1">
        <w:r w:rsidR="0048417A" w:rsidRPr="00CC7094">
          <w:rPr>
            <w:rStyle w:val="Hyperlink"/>
          </w:rPr>
          <w:t>Capsule endoscopy</w:t>
        </w:r>
        <w:r w:rsidR="0048417A">
          <w:rPr>
            <w:webHidden/>
          </w:rPr>
          <w:tab/>
        </w:r>
        <w:r w:rsidR="0048417A">
          <w:rPr>
            <w:webHidden/>
          </w:rPr>
          <w:fldChar w:fldCharType="begin"/>
        </w:r>
        <w:r w:rsidR="0048417A">
          <w:rPr>
            <w:webHidden/>
          </w:rPr>
          <w:instrText xml:space="preserve"> PAGEREF _Toc296517886 \h </w:instrText>
        </w:r>
        <w:r w:rsidR="0048417A">
          <w:rPr>
            <w:webHidden/>
          </w:rPr>
        </w:r>
        <w:r w:rsidR="0048417A">
          <w:rPr>
            <w:webHidden/>
          </w:rPr>
          <w:fldChar w:fldCharType="separate"/>
        </w:r>
        <w:r w:rsidR="0048417A">
          <w:rPr>
            <w:webHidden/>
          </w:rPr>
          <w:t>46</w:t>
        </w:r>
        <w:r w:rsidR="0048417A">
          <w:rPr>
            <w:webHidden/>
          </w:rPr>
          <w:fldChar w:fldCharType="end"/>
        </w:r>
      </w:hyperlink>
    </w:p>
    <w:p w:rsidR="0048417A" w:rsidRDefault="00B81800">
      <w:pPr>
        <w:pStyle w:val="TOC2"/>
        <w:rPr>
          <w:rFonts w:ascii="Calibri" w:hAnsi="Calibri"/>
          <w:sz w:val="22"/>
          <w:szCs w:val="22"/>
        </w:rPr>
      </w:pPr>
      <w:hyperlink w:anchor="_Toc296517887" w:history="1">
        <w:r w:rsidR="0048417A" w:rsidRPr="00CC7094">
          <w:rPr>
            <w:rStyle w:val="Hyperlink"/>
            <w:bCs/>
          </w:rPr>
          <w:t>Is it safe?</w:t>
        </w:r>
        <w:r w:rsidR="0048417A">
          <w:rPr>
            <w:webHidden/>
          </w:rPr>
          <w:tab/>
        </w:r>
        <w:r w:rsidR="0048417A">
          <w:rPr>
            <w:webHidden/>
          </w:rPr>
          <w:fldChar w:fldCharType="begin"/>
        </w:r>
        <w:r w:rsidR="0048417A">
          <w:rPr>
            <w:webHidden/>
          </w:rPr>
          <w:instrText xml:space="preserve"> PAGEREF _Toc296517887 \h </w:instrText>
        </w:r>
        <w:r w:rsidR="0048417A">
          <w:rPr>
            <w:webHidden/>
          </w:rPr>
        </w:r>
        <w:r w:rsidR="0048417A">
          <w:rPr>
            <w:webHidden/>
          </w:rPr>
          <w:fldChar w:fldCharType="separate"/>
        </w:r>
        <w:r w:rsidR="0048417A">
          <w:rPr>
            <w:webHidden/>
          </w:rPr>
          <w:t>46</w:t>
        </w:r>
        <w:r w:rsidR="0048417A">
          <w:rPr>
            <w:webHidden/>
          </w:rPr>
          <w:fldChar w:fldCharType="end"/>
        </w:r>
      </w:hyperlink>
    </w:p>
    <w:p w:rsidR="0048417A" w:rsidRDefault="00B81800">
      <w:pPr>
        <w:pStyle w:val="TOC2"/>
        <w:rPr>
          <w:rFonts w:ascii="Calibri" w:hAnsi="Calibri"/>
          <w:sz w:val="22"/>
          <w:szCs w:val="22"/>
        </w:rPr>
      </w:pPr>
      <w:hyperlink w:anchor="_Toc296517888" w:history="1">
        <w:r w:rsidR="0048417A" w:rsidRPr="00CC7094">
          <w:rPr>
            <w:rStyle w:val="Hyperlink"/>
          </w:rPr>
          <w:t>Is it effective?</w:t>
        </w:r>
        <w:r w:rsidR="0048417A">
          <w:rPr>
            <w:webHidden/>
          </w:rPr>
          <w:tab/>
        </w:r>
        <w:r w:rsidR="0048417A">
          <w:rPr>
            <w:webHidden/>
          </w:rPr>
          <w:fldChar w:fldCharType="begin"/>
        </w:r>
        <w:r w:rsidR="0048417A">
          <w:rPr>
            <w:webHidden/>
          </w:rPr>
          <w:instrText xml:space="preserve"> PAGEREF _Toc296517888 \h </w:instrText>
        </w:r>
        <w:r w:rsidR="0048417A">
          <w:rPr>
            <w:webHidden/>
          </w:rPr>
        </w:r>
        <w:r w:rsidR="0048417A">
          <w:rPr>
            <w:webHidden/>
          </w:rPr>
          <w:fldChar w:fldCharType="separate"/>
        </w:r>
        <w:r w:rsidR="0048417A">
          <w:rPr>
            <w:webHidden/>
          </w:rPr>
          <w:t>50</w:t>
        </w:r>
        <w:r w:rsidR="0048417A">
          <w:rPr>
            <w:webHidden/>
          </w:rPr>
          <w:fldChar w:fldCharType="end"/>
        </w:r>
      </w:hyperlink>
    </w:p>
    <w:p w:rsidR="0048417A" w:rsidRDefault="00B81800">
      <w:pPr>
        <w:pStyle w:val="TOC1"/>
        <w:rPr>
          <w:rFonts w:ascii="Calibri" w:hAnsi="Calibri"/>
          <w:b w:val="0"/>
          <w:sz w:val="22"/>
          <w:szCs w:val="22"/>
        </w:rPr>
      </w:pPr>
      <w:hyperlink w:anchor="_Toc296517889" w:history="1">
        <w:r w:rsidR="0048417A" w:rsidRPr="00CC7094">
          <w:rPr>
            <w:rStyle w:val="Hyperlink"/>
          </w:rPr>
          <w:t>Other relevant considerations</w:t>
        </w:r>
        <w:r w:rsidR="0048417A">
          <w:rPr>
            <w:webHidden/>
          </w:rPr>
          <w:tab/>
        </w:r>
        <w:r w:rsidR="0048417A">
          <w:rPr>
            <w:webHidden/>
          </w:rPr>
          <w:fldChar w:fldCharType="begin"/>
        </w:r>
        <w:r w:rsidR="0048417A">
          <w:rPr>
            <w:webHidden/>
          </w:rPr>
          <w:instrText xml:space="preserve"> PAGEREF _Toc296517889 \h </w:instrText>
        </w:r>
        <w:r w:rsidR="0048417A">
          <w:rPr>
            <w:webHidden/>
          </w:rPr>
        </w:r>
        <w:r w:rsidR="0048417A">
          <w:rPr>
            <w:webHidden/>
          </w:rPr>
          <w:fldChar w:fldCharType="separate"/>
        </w:r>
        <w:r w:rsidR="0048417A">
          <w:rPr>
            <w:webHidden/>
          </w:rPr>
          <w:t>63</w:t>
        </w:r>
        <w:r w:rsidR="0048417A">
          <w:rPr>
            <w:webHidden/>
          </w:rPr>
          <w:fldChar w:fldCharType="end"/>
        </w:r>
      </w:hyperlink>
    </w:p>
    <w:p w:rsidR="0048417A" w:rsidRDefault="00B81800">
      <w:pPr>
        <w:pStyle w:val="TOC2"/>
        <w:rPr>
          <w:rFonts w:ascii="Calibri" w:hAnsi="Calibri"/>
          <w:sz w:val="22"/>
          <w:szCs w:val="22"/>
        </w:rPr>
      </w:pPr>
      <w:hyperlink w:anchor="_Toc296517890" w:history="1">
        <w:r w:rsidR="0048417A" w:rsidRPr="00CC7094">
          <w:rPr>
            <w:rStyle w:val="Hyperlink"/>
          </w:rPr>
          <w:t>Ongoing clinical trials</w:t>
        </w:r>
        <w:r w:rsidR="0048417A">
          <w:rPr>
            <w:webHidden/>
          </w:rPr>
          <w:tab/>
        </w:r>
        <w:r w:rsidR="0048417A">
          <w:rPr>
            <w:webHidden/>
          </w:rPr>
          <w:fldChar w:fldCharType="begin"/>
        </w:r>
        <w:r w:rsidR="0048417A">
          <w:rPr>
            <w:webHidden/>
          </w:rPr>
          <w:instrText xml:space="preserve"> PAGEREF _Toc296517890 \h </w:instrText>
        </w:r>
        <w:r w:rsidR="0048417A">
          <w:rPr>
            <w:webHidden/>
          </w:rPr>
        </w:r>
        <w:r w:rsidR="0048417A">
          <w:rPr>
            <w:webHidden/>
          </w:rPr>
          <w:fldChar w:fldCharType="separate"/>
        </w:r>
        <w:r w:rsidR="0048417A">
          <w:rPr>
            <w:webHidden/>
          </w:rPr>
          <w:t>63</w:t>
        </w:r>
        <w:r w:rsidR="0048417A">
          <w:rPr>
            <w:webHidden/>
          </w:rPr>
          <w:fldChar w:fldCharType="end"/>
        </w:r>
      </w:hyperlink>
    </w:p>
    <w:p w:rsidR="0048417A" w:rsidRDefault="00B81800">
      <w:pPr>
        <w:pStyle w:val="TOC2"/>
        <w:rPr>
          <w:rFonts w:ascii="Calibri" w:hAnsi="Calibri"/>
          <w:sz w:val="22"/>
          <w:szCs w:val="22"/>
        </w:rPr>
      </w:pPr>
      <w:hyperlink w:anchor="_Toc296517891" w:history="1">
        <w:r w:rsidR="0048417A" w:rsidRPr="00CC7094">
          <w:rPr>
            <w:rStyle w:val="Hyperlink"/>
          </w:rPr>
          <w:t>Expert opinion</w:t>
        </w:r>
        <w:r w:rsidR="0048417A">
          <w:rPr>
            <w:webHidden/>
          </w:rPr>
          <w:tab/>
        </w:r>
        <w:r w:rsidR="0048417A">
          <w:rPr>
            <w:webHidden/>
          </w:rPr>
          <w:fldChar w:fldCharType="begin"/>
        </w:r>
        <w:r w:rsidR="0048417A">
          <w:rPr>
            <w:webHidden/>
          </w:rPr>
          <w:instrText xml:space="preserve"> PAGEREF _Toc296517891 \h </w:instrText>
        </w:r>
        <w:r w:rsidR="0048417A">
          <w:rPr>
            <w:webHidden/>
          </w:rPr>
        </w:r>
        <w:r w:rsidR="0048417A">
          <w:rPr>
            <w:webHidden/>
          </w:rPr>
          <w:fldChar w:fldCharType="separate"/>
        </w:r>
        <w:r w:rsidR="0048417A">
          <w:rPr>
            <w:webHidden/>
          </w:rPr>
          <w:t>63</w:t>
        </w:r>
        <w:r w:rsidR="0048417A">
          <w:rPr>
            <w:webHidden/>
          </w:rPr>
          <w:fldChar w:fldCharType="end"/>
        </w:r>
      </w:hyperlink>
    </w:p>
    <w:p w:rsidR="0048417A" w:rsidRDefault="00B81800">
      <w:pPr>
        <w:pStyle w:val="TOC1"/>
        <w:rPr>
          <w:rFonts w:ascii="Calibri" w:hAnsi="Calibri"/>
          <w:b w:val="0"/>
          <w:sz w:val="22"/>
          <w:szCs w:val="22"/>
        </w:rPr>
      </w:pPr>
      <w:hyperlink w:anchor="_Toc296517892" w:history="1">
        <w:r w:rsidR="0048417A" w:rsidRPr="00CC7094">
          <w:rPr>
            <w:rStyle w:val="Hyperlink"/>
          </w:rPr>
          <w:t>What are the economic considerations?</w:t>
        </w:r>
        <w:r w:rsidR="0048417A">
          <w:rPr>
            <w:webHidden/>
          </w:rPr>
          <w:tab/>
        </w:r>
        <w:r w:rsidR="0048417A">
          <w:rPr>
            <w:webHidden/>
          </w:rPr>
          <w:fldChar w:fldCharType="begin"/>
        </w:r>
        <w:r w:rsidR="0048417A">
          <w:rPr>
            <w:webHidden/>
          </w:rPr>
          <w:instrText xml:space="preserve"> PAGEREF _Toc296517892 \h </w:instrText>
        </w:r>
        <w:r w:rsidR="0048417A">
          <w:rPr>
            <w:webHidden/>
          </w:rPr>
        </w:r>
        <w:r w:rsidR="0048417A">
          <w:rPr>
            <w:webHidden/>
          </w:rPr>
          <w:fldChar w:fldCharType="separate"/>
        </w:r>
        <w:r w:rsidR="0048417A">
          <w:rPr>
            <w:webHidden/>
          </w:rPr>
          <w:t>64</w:t>
        </w:r>
        <w:r w:rsidR="0048417A">
          <w:rPr>
            <w:webHidden/>
          </w:rPr>
          <w:fldChar w:fldCharType="end"/>
        </w:r>
      </w:hyperlink>
    </w:p>
    <w:p w:rsidR="0048417A" w:rsidRDefault="00B81800">
      <w:pPr>
        <w:pStyle w:val="TOC2"/>
        <w:rPr>
          <w:rFonts w:ascii="Calibri" w:hAnsi="Calibri"/>
          <w:sz w:val="22"/>
          <w:szCs w:val="22"/>
        </w:rPr>
      </w:pPr>
      <w:hyperlink w:anchor="_Toc296517893" w:history="1">
        <w:r w:rsidR="0048417A" w:rsidRPr="00CC7094">
          <w:rPr>
            <w:rStyle w:val="Hyperlink"/>
          </w:rPr>
          <w:t>Economic evaluation</w:t>
        </w:r>
        <w:r w:rsidR="0048417A">
          <w:rPr>
            <w:webHidden/>
          </w:rPr>
          <w:tab/>
        </w:r>
        <w:r w:rsidR="0048417A">
          <w:rPr>
            <w:webHidden/>
          </w:rPr>
          <w:fldChar w:fldCharType="begin"/>
        </w:r>
        <w:r w:rsidR="0048417A">
          <w:rPr>
            <w:webHidden/>
          </w:rPr>
          <w:instrText xml:space="preserve"> PAGEREF _Toc296517893 \h </w:instrText>
        </w:r>
        <w:r w:rsidR="0048417A">
          <w:rPr>
            <w:webHidden/>
          </w:rPr>
        </w:r>
        <w:r w:rsidR="0048417A">
          <w:rPr>
            <w:webHidden/>
          </w:rPr>
          <w:fldChar w:fldCharType="separate"/>
        </w:r>
        <w:r w:rsidR="0048417A">
          <w:rPr>
            <w:webHidden/>
          </w:rPr>
          <w:t>64</w:t>
        </w:r>
        <w:r w:rsidR="0048417A">
          <w:rPr>
            <w:webHidden/>
          </w:rPr>
          <w:fldChar w:fldCharType="end"/>
        </w:r>
      </w:hyperlink>
    </w:p>
    <w:p w:rsidR="0048417A" w:rsidRDefault="00B81800">
      <w:pPr>
        <w:pStyle w:val="TOC2"/>
        <w:rPr>
          <w:rFonts w:ascii="Calibri" w:hAnsi="Calibri"/>
          <w:sz w:val="22"/>
          <w:szCs w:val="22"/>
        </w:rPr>
      </w:pPr>
      <w:hyperlink w:anchor="_Toc296517894" w:history="1">
        <w:r w:rsidR="0048417A" w:rsidRPr="00CC7094">
          <w:rPr>
            <w:rStyle w:val="Hyperlink"/>
          </w:rPr>
          <w:t>Estimation of the financial implications of the introduction of capsule endoscopy</w:t>
        </w:r>
        <w:r w:rsidR="0048417A">
          <w:rPr>
            <w:webHidden/>
          </w:rPr>
          <w:tab/>
        </w:r>
        <w:r w:rsidR="0048417A">
          <w:rPr>
            <w:webHidden/>
          </w:rPr>
          <w:fldChar w:fldCharType="begin"/>
        </w:r>
        <w:r w:rsidR="0048417A">
          <w:rPr>
            <w:webHidden/>
          </w:rPr>
          <w:instrText xml:space="preserve"> PAGEREF _Toc296517894 \h </w:instrText>
        </w:r>
        <w:r w:rsidR="0048417A">
          <w:rPr>
            <w:webHidden/>
          </w:rPr>
        </w:r>
        <w:r w:rsidR="0048417A">
          <w:rPr>
            <w:webHidden/>
          </w:rPr>
          <w:fldChar w:fldCharType="separate"/>
        </w:r>
        <w:r w:rsidR="0048417A">
          <w:rPr>
            <w:webHidden/>
          </w:rPr>
          <w:t>71</w:t>
        </w:r>
        <w:r w:rsidR="0048417A">
          <w:rPr>
            <w:webHidden/>
          </w:rPr>
          <w:fldChar w:fldCharType="end"/>
        </w:r>
      </w:hyperlink>
    </w:p>
    <w:p w:rsidR="0048417A" w:rsidRDefault="00B81800">
      <w:pPr>
        <w:pStyle w:val="TOC1"/>
        <w:rPr>
          <w:rFonts w:ascii="Calibri" w:hAnsi="Calibri"/>
          <w:b w:val="0"/>
          <w:sz w:val="22"/>
          <w:szCs w:val="22"/>
        </w:rPr>
      </w:pPr>
      <w:hyperlink w:anchor="_Toc296517895" w:history="1">
        <w:r w:rsidR="0048417A" w:rsidRPr="00CC7094">
          <w:rPr>
            <w:rStyle w:val="Hyperlink"/>
          </w:rPr>
          <w:t>Discussion</w:t>
        </w:r>
        <w:r w:rsidR="0048417A">
          <w:rPr>
            <w:webHidden/>
          </w:rPr>
          <w:tab/>
        </w:r>
        <w:r w:rsidR="0048417A">
          <w:rPr>
            <w:webHidden/>
          </w:rPr>
          <w:fldChar w:fldCharType="begin"/>
        </w:r>
        <w:r w:rsidR="0048417A">
          <w:rPr>
            <w:webHidden/>
          </w:rPr>
          <w:instrText xml:space="preserve"> PAGEREF _Toc296517895 \h </w:instrText>
        </w:r>
        <w:r w:rsidR="0048417A">
          <w:rPr>
            <w:webHidden/>
          </w:rPr>
        </w:r>
        <w:r w:rsidR="0048417A">
          <w:rPr>
            <w:webHidden/>
          </w:rPr>
          <w:fldChar w:fldCharType="separate"/>
        </w:r>
        <w:r w:rsidR="0048417A">
          <w:rPr>
            <w:webHidden/>
          </w:rPr>
          <w:t>73</w:t>
        </w:r>
        <w:r w:rsidR="0048417A">
          <w:rPr>
            <w:webHidden/>
          </w:rPr>
          <w:fldChar w:fldCharType="end"/>
        </w:r>
      </w:hyperlink>
    </w:p>
    <w:p w:rsidR="0048417A" w:rsidRDefault="00B81800">
      <w:pPr>
        <w:pStyle w:val="TOC2"/>
        <w:rPr>
          <w:rFonts w:ascii="Calibri" w:hAnsi="Calibri"/>
          <w:sz w:val="22"/>
          <w:szCs w:val="22"/>
        </w:rPr>
      </w:pPr>
      <w:hyperlink w:anchor="_Toc296517896" w:history="1">
        <w:r w:rsidR="0048417A" w:rsidRPr="00CC7094">
          <w:rPr>
            <w:rStyle w:val="Hyperlink"/>
          </w:rPr>
          <w:t>Is it safe?</w:t>
        </w:r>
        <w:r w:rsidR="0048417A">
          <w:rPr>
            <w:webHidden/>
          </w:rPr>
          <w:tab/>
        </w:r>
        <w:r w:rsidR="0048417A">
          <w:rPr>
            <w:webHidden/>
          </w:rPr>
          <w:fldChar w:fldCharType="begin"/>
        </w:r>
        <w:r w:rsidR="0048417A">
          <w:rPr>
            <w:webHidden/>
          </w:rPr>
          <w:instrText xml:space="preserve"> PAGEREF _Toc296517896 \h </w:instrText>
        </w:r>
        <w:r w:rsidR="0048417A">
          <w:rPr>
            <w:webHidden/>
          </w:rPr>
        </w:r>
        <w:r w:rsidR="0048417A">
          <w:rPr>
            <w:webHidden/>
          </w:rPr>
          <w:fldChar w:fldCharType="separate"/>
        </w:r>
        <w:r w:rsidR="0048417A">
          <w:rPr>
            <w:webHidden/>
          </w:rPr>
          <w:t>73</w:t>
        </w:r>
        <w:r w:rsidR="0048417A">
          <w:rPr>
            <w:webHidden/>
          </w:rPr>
          <w:fldChar w:fldCharType="end"/>
        </w:r>
      </w:hyperlink>
    </w:p>
    <w:p w:rsidR="0048417A" w:rsidRDefault="00B81800">
      <w:pPr>
        <w:pStyle w:val="TOC2"/>
        <w:rPr>
          <w:rFonts w:ascii="Calibri" w:hAnsi="Calibri"/>
          <w:sz w:val="22"/>
          <w:szCs w:val="22"/>
        </w:rPr>
      </w:pPr>
      <w:hyperlink w:anchor="_Toc296517897" w:history="1">
        <w:r w:rsidR="0048417A" w:rsidRPr="00CC7094">
          <w:rPr>
            <w:rStyle w:val="Hyperlink"/>
          </w:rPr>
          <w:t>Is it effective?</w:t>
        </w:r>
        <w:r w:rsidR="0048417A">
          <w:rPr>
            <w:webHidden/>
          </w:rPr>
          <w:tab/>
        </w:r>
        <w:r w:rsidR="0048417A">
          <w:rPr>
            <w:webHidden/>
          </w:rPr>
          <w:fldChar w:fldCharType="begin"/>
        </w:r>
        <w:r w:rsidR="0048417A">
          <w:rPr>
            <w:webHidden/>
          </w:rPr>
          <w:instrText xml:space="preserve"> PAGEREF _Toc296517897 \h </w:instrText>
        </w:r>
        <w:r w:rsidR="0048417A">
          <w:rPr>
            <w:webHidden/>
          </w:rPr>
        </w:r>
        <w:r w:rsidR="0048417A">
          <w:rPr>
            <w:webHidden/>
          </w:rPr>
          <w:fldChar w:fldCharType="separate"/>
        </w:r>
        <w:r w:rsidR="0048417A">
          <w:rPr>
            <w:webHidden/>
          </w:rPr>
          <w:t>73</w:t>
        </w:r>
        <w:r w:rsidR="0048417A">
          <w:rPr>
            <w:webHidden/>
          </w:rPr>
          <w:fldChar w:fldCharType="end"/>
        </w:r>
      </w:hyperlink>
    </w:p>
    <w:p w:rsidR="0048417A" w:rsidRDefault="00B81800">
      <w:pPr>
        <w:pStyle w:val="TOC2"/>
        <w:rPr>
          <w:rFonts w:ascii="Calibri" w:hAnsi="Calibri"/>
          <w:sz w:val="22"/>
          <w:szCs w:val="22"/>
        </w:rPr>
      </w:pPr>
      <w:hyperlink w:anchor="_Toc296517898" w:history="1">
        <w:r w:rsidR="0048417A" w:rsidRPr="00CC7094">
          <w:rPr>
            <w:rStyle w:val="Hyperlink"/>
          </w:rPr>
          <w:t>What are the economic considerations?</w:t>
        </w:r>
        <w:r w:rsidR="0048417A">
          <w:rPr>
            <w:webHidden/>
          </w:rPr>
          <w:tab/>
        </w:r>
        <w:r w:rsidR="0048417A">
          <w:rPr>
            <w:webHidden/>
          </w:rPr>
          <w:fldChar w:fldCharType="begin"/>
        </w:r>
        <w:r w:rsidR="0048417A">
          <w:rPr>
            <w:webHidden/>
          </w:rPr>
          <w:instrText xml:space="preserve"> PAGEREF _Toc296517898 \h </w:instrText>
        </w:r>
        <w:r w:rsidR="0048417A">
          <w:rPr>
            <w:webHidden/>
          </w:rPr>
        </w:r>
        <w:r w:rsidR="0048417A">
          <w:rPr>
            <w:webHidden/>
          </w:rPr>
          <w:fldChar w:fldCharType="separate"/>
        </w:r>
        <w:r w:rsidR="0048417A">
          <w:rPr>
            <w:webHidden/>
          </w:rPr>
          <w:t>75</w:t>
        </w:r>
        <w:r w:rsidR="0048417A">
          <w:rPr>
            <w:webHidden/>
          </w:rPr>
          <w:fldChar w:fldCharType="end"/>
        </w:r>
      </w:hyperlink>
    </w:p>
    <w:p w:rsidR="0048417A" w:rsidRDefault="00B81800">
      <w:pPr>
        <w:pStyle w:val="TOC1"/>
        <w:rPr>
          <w:rFonts w:ascii="Calibri" w:hAnsi="Calibri"/>
          <w:b w:val="0"/>
          <w:sz w:val="22"/>
          <w:szCs w:val="22"/>
        </w:rPr>
      </w:pPr>
      <w:hyperlink w:anchor="_Toc296517899" w:history="1">
        <w:r w:rsidR="0048417A" w:rsidRPr="00CC7094">
          <w:rPr>
            <w:rStyle w:val="Hyperlink"/>
          </w:rPr>
          <w:t>Conclusions</w:t>
        </w:r>
        <w:r w:rsidR="0048417A">
          <w:rPr>
            <w:webHidden/>
          </w:rPr>
          <w:tab/>
        </w:r>
        <w:r w:rsidR="0048417A">
          <w:rPr>
            <w:webHidden/>
          </w:rPr>
          <w:fldChar w:fldCharType="begin"/>
        </w:r>
        <w:r w:rsidR="0048417A">
          <w:rPr>
            <w:webHidden/>
          </w:rPr>
          <w:instrText xml:space="preserve"> PAGEREF _Toc296517899 \h </w:instrText>
        </w:r>
        <w:r w:rsidR="0048417A">
          <w:rPr>
            <w:webHidden/>
          </w:rPr>
        </w:r>
        <w:r w:rsidR="0048417A">
          <w:rPr>
            <w:webHidden/>
          </w:rPr>
          <w:fldChar w:fldCharType="separate"/>
        </w:r>
        <w:r w:rsidR="0048417A">
          <w:rPr>
            <w:webHidden/>
          </w:rPr>
          <w:t>76</w:t>
        </w:r>
        <w:r w:rsidR="0048417A">
          <w:rPr>
            <w:webHidden/>
          </w:rPr>
          <w:fldChar w:fldCharType="end"/>
        </w:r>
      </w:hyperlink>
    </w:p>
    <w:p w:rsidR="0048417A" w:rsidRDefault="00B81800">
      <w:pPr>
        <w:pStyle w:val="TOC1"/>
        <w:tabs>
          <w:tab w:val="left" w:pos="2145"/>
        </w:tabs>
        <w:rPr>
          <w:rFonts w:ascii="Calibri" w:hAnsi="Calibri"/>
          <w:b w:val="0"/>
          <w:sz w:val="22"/>
          <w:szCs w:val="22"/>
        </w:rPr>
      </w:pPr>
      <w:hyperlink w:anchor="_Toc296517900" w:history="1">
        <w:r w:rsidR="0048417A" w:rsidRPr="00CC7094">
          <w:rPr>
            <w:rStyle w:val="Hyperlink"/>
            <w:bCs/>
          </w:rPr>
          <w:t>Appendix A</w:t>
        </w:r>
        <w:r w:rsidR="0048417A">
          <w:rPr>
            <w:rFonts w:ascii="Calibri" w:hAnsi="Calibri"/>
            <w:b w:val="0"/>
            <w:sz w:val="22"/>
            <w:szCs w:val="22"/>
          </w:rPr>
          <w:tab/>
        </w:r>
        <w:r w:rsidR="0048417A" w:rsidRPr="00CC7094">
          <w:rPr>
            <w:rStyle w:val="Hyperlink"/>
            <w:bCs/>
          </w:rPr>
          <w:t>MSAC terms of reference and membership</w:t>
        </w:r>
        <w:r w:rsidR="0048417A">
          <w:rPr>
            <w:webHidden/>
          </w:rPr>
          <w:tab/>
        </w:r>
        <w:r w:rsidR="0048417A">
          <w:rPr>
            <w:webHidden/>
          </w:rPr>
          <w:fldChar w:fldCharType="begin"/>
        </w:r>
        <w:r w:rsidR="0048417A">
          <w:rPr>
            <w:webHidden/>
          </w:rPr>
          <w:instrText xml:space="preserve"> PAGEREF _Toc296517900 \h </w:instrText>
        </w:r>
        <w:r w:rsidR="0048417A">
          <w:rPr>
            <w:webHidden/>
          </w:rPr>
        </w:r>
        <w:r w:rsidR="0048417A">
          <w:rPr>
            <w:webHidden/>
          </w:rPr>
          <w:fldChar w:fldCharType="separate"/>
        </w:r>
        <w:r w:rsidR="0048417A">
          <w:rPr>
            <w:webHidden/>
          </w:rPr>
          <w:t>77</w:t>
        </w:r>
        <w:r w:rsidR="0048417A">
          <w:rPr>
            <w:webHidden/>
          </w:rPr>
          <w:fldChar w:fldCharType="end"/>
        </w:r>
      </w:hyperlink>
    </w:p>
    <w:p w:rsidR="0048417A" w:rsidRDefault="00B81800">
      <w:pPr>
        <w:pStyle w:val="TOC1"/>
        <w:tabs>
          <w:tab w:val="left" w:pos="2150"/>
        </w:tabs>
        <w:rPr>
          <w:rFonts w:ascii="Calibri" w:hAnsi="Calibri"/>
          <w:b w:val="0"/>
          <w:sz w:val="22"/>
          <w:szCs w:val="22"/>
        </w:rPr>
      </w:pPr>
      <w:hyperlink w:anchor="_Toc296517901" w:history="1">
        <w:r w:rsidR="0048417A" w:rsidRPr="00CC7094">
          <w:rPr>
            <w:rStyle w:val="Hyperlink"/>
            <w:bCs/>
          </w:rPr>
          <w:t>Appendix B</w:t>
        </w:r>
        <w:r w:rsidR="0048417A">
          <w:rPr>
            <w:rFonts w:ascii="Calibri" w:hAnsi="Calibri"/>
            <w:b w:val="0"/>
            <w:sz w:val="22"/>
            <w:szCs w:val="22"/>
          </w:rPr>
          <w:tab/>
        </w:r>
        <w:r w:rsidR="0048417A" w:rsidRPr="00CC7094">
          <w:rPr>
            <w:rStyle w:val="Hyperlink"/>
            <w:bCs/>
          </w:rPr>
          <w:t xml:space="preserve"> Advisory Panel and Evaluators</w:t>
        </w:r>
        <w:r w:rsidR="0048417A">
          <w:rPr>
            <w:webHidden/>
          </w:rPr>
          <w:tab/>
        </w:r>
        <w:r w:rsidR="0048417A">
          <w:rPr>
            <w:webHidden/>
          </w:rPr>
          <w:fldChar w:fldCharType="begin"/>
        </w:r>
        <w:r w:rsidR="0048417A">
          <w:rPr>
            <w:webHidden/>
          </w:rPr>
          <w:instrText xml:space="preserve"> PAGEREF _Toc296517901 \h </w:instrText>
        </w:r>
        <w:r w:rsidR="0048417A">
          <w:rPr>
            <w:webHidden/>
          </w:rPr>
        </w:r>
        <w:r w:rsidR="0048417A">
          <w:rPr>
            <w:webHidden/>
          </w:rPr>
          <w:fldChar w:fldCharType="separate"/>
        </w:r>
        <w:r w:rsidR="0048417A">
          <w:rPr>
            <w:webHidden/>
          </w:rPr>
          <w:t>79</w:t>
        </w:r>
        <w:r w:rsidR="0048417A">
          <w:rPr>
            <w:webHidden/>
          </w:rPr>
          <w:fldChar w:fldCharType="end"/>
        </w:r>
      </w:hyperlink>
    </w:p>
    <w:p w:rsidR="0048417A" w:rsidRDefault="00B81800">
      <w:pPr>
        <w:pStyle w:val="TOC2"/>
        <w:rPr>
          <w:rFonts w:ascii="Calibri" w:hAnsi="Calibri"/>
          <w:sz w:val="22"/>
          <w:szCs w:val="22"/>
        </w:rPr>
      </w:pPr>
      <w:hyperlink w:anchor="_Toc296517902" w:history="1">
        <w:r w:rsidR="0048417A" w:rsidRPr="00CC7094">
          <w:rPr>
            <w:rStyle w:val="Hyperlink"/>
          </w:rPr>
          <w:t>Advisory Panel – Capsule endoscopy for suspected small bowel Crohn’s disease No. 1146</w:t>
        </w:r>
        <w:r w:rsidR="0048417A">
          <w:rPr>
            <w:webHidden/>
          </w:rPr>
          <w:tab/>
        </w:r>
        <w:r w:rsidR="0048417A">
          <w:rPr>
            <w:webHidden/>
          </w:rPr>
          <w:fldChar w:fldCharType="begin"/>
        </w:r>
        <w:r w:rsidR="0048417A">
          <w:rPr>
            <w:webHidden/>
          </w:rPr>
          <w:instrText xml:space="preserve"> PAGEREF _Toc296517902 \h </w:instrText>
        </w:r>
        <w:r w:rsidR="0048417A">
          <w:rPr>
            <w:webHidden/>
          </w:rPr>
        </w:r>
        <w:r w:rsidR="0048417A">
          <w:rPr>
            <w:webHidden/>
          </w:rPr>
          <w:fldChar w:fldCharType="separate"/>
        </w:r>
        <w:r w:rsidR="0048417A">
          <w:rPr>
            <w:webHidden/>
          </w:rPr>
          <w:t>79</w:t>
        </w:r>
        <w:r w:rsidR="0048417A">
          <w:rPr>
            <w:webHidden/>
          </w:rPr>
          <w:fldChar w:fldCharType="end"/>
        </w:r>
      </w:hyperlink>
    </w:p>
    <w:p w:rsidR="0048417A" w:rsidRDefault="00B81800">
      <w:pPr>
        <w:pStyle w:val="TOC2"/>
        <w:rPr>
          <w:rFonts w:ascii="Calibri" w:hAnsi="Calibri"/>
          <w:sz w:val="22"/>
          <w:szCs w:val="22"/>
        </w:rPr>
      </w:pPr>
      <w:hyperlink w:anchor="_Toc296517903" w:history="1">
        <w:r w:rsidR="0048417A" w:rsidRPr="00CC7094">
          <w:rPr>
            <w:rStyle w:val="Hyperlink"/>
          </w:rPr>
          <w:t>Evaluation Sub-committee input</w:t>
        </w:r>
        <w:r w:rsidR="0048417A">
          <w:rPr>
            <w:webHidden/>
          </w:rPr>
          <w:tab/>
        </w:r>
        <w:r w:rsidR="0048417A">
          <w:rPr>
            <w:webHidden/>
          </w:rPr>
          <w:fldChar w:fldCharType="begin"/>
        </w:r>
        <w:r w:rsidR="0048417A">
          <w:rPr>
            <w:webHidden/>
          </w:rPr>
          <w:instrText xml:space="preserve"> PAGEREF _Toc296517903 \h </w:instrText>
        </w:r>
        <w:r w:rsidR="0048417A">
          <w:rPr>
            <w:webHidden/>
          </w:rPr>
        </w:r>
        <w:r w:rsidR="0048417A">
          <w:rPr>
            <w:webHidden/>
          </w:rPr>
          <w:fldChar w:fldCharType="separate"/>
        </w:r>
        <w:r w:rsidR="0048417A">
          <w:rPr>
            <w:webHidden/>
          </w:rPr>
          <w:t>79</w:t>
        </w:r>
        <w:r w:rsidR="0048417A">
          <w:rPr>
            <w:webHidden/>
          </w:rPr>
          <w:fldChar w:fldCharType="end"/>
        </w:r>
      </w:hyperlink>
    </w:p>
    <w:p w:rsidR="0048417A" w:rsidRDefault="00B81800">
      <w:pPr>
        <w:pStyle w:val="TOC2"/>
        <w:rPr>
          <w:rFonts w:ascii="Calibri" w:hAnsi="Calibri"/>
          <w:sz w:val="22"/>
          <w:szCs w:val="22"/>
        </w:rPr>
      </w:pPr>
      <w:hyperlink w:anchor="_Toc296517904" w:history="1">
        <w:r w:rsidR="0048417A" w:rsidRPr="00CC7094">
          <w:rPr>
            <w:rStyle w:val="Hyperlink"/>
          </w:rPr>
          <w:t>Evaluators</w:t>
        </w:r>
        <w:r w:rsidR="0048417A">
          <w:rPr>
            <w:webHidden/>
          </w:rPr>
          <w:tab/>
        </w:r>
        <w:r w:rsidR="0048417A">
          <w:rPr>
            <w:webHidden/>
          </w:rPr>
          <w:fldChar w:fldCharType="begin"/>
        </w:r>
        <w:r w:rsidR="0048417A">
          <w:rPr>
            <w:webHidden/>
          </w:rPr>
          <w:instrText xml:space="preserve"> PAGEREF _Toc296517904 \h </w:instrText>
        </w:r>
        <w:r w:rsidR="0048417A">
          <w:rPr>
            <w:webHidden/>
          </w:rPr>
        </w:r>
        <w:r w:rsidR="0048417A">
          <w:rPr>
            <w:webHidden/>
          </w:rPr>
          <w:fldChar w:fldCharType="separate"/>
        </w:r>
        <w:r w:rsidR="0048417A">
          <w:rPr>
            <w:webHidden/>
          </w:rPr>
          <w:t>79</w:t>
        </w:r>
        <w:r w:rsidR="0048417A">
          <w:rPr>
            <w:webHidden/>
          </w:rPr>
          <w:fldChar w:fldCharType="end"/>
        </w:r>
      </w:hyperlink>
    </w:p>
    <w:p w:rsidR="0048417A" w:rsidRDefault="00B81800">
      <w:pPr>
        <w:pStyle w:val="TOC1"/>
        <w:tabs>
          <w:tab w:val="left" w:pos="2150"/>
        </w:tabs>
        <w:rPr>
          <w:rFonts w:ascii="Calibri" w:hAnsi="Calibri"/>
          <w:b w:val="0"/>
          <w:sz w:val="22"/>
          <w:szCs w:val="22"/>
        </w:rPr>
      </w:pPr>
      <w:hyperlink w:anchor="_Toc296517905" w:history="1">
        <w:r w:rsidR="0048417A" w:rsidRPr="00CC7094">
          <w:rPr>
            <w:rStyle w:val="Hyperlink"/>
            <w:bCs/>
          </w:rPr>
          <w:t>Appendix C</w:t>
        </w:r>
        <w:r w:rsidR="0048417A">
          <w:rPr>
            <w:rFonts w:ascii="Calibri" w:hAnsi="Calibri"/>
            <w:b w:val="0"/>
            <w:sz w:val="22"/>
            <w:szCs w:val="22"/>
          </w:rPr>
          <w:tab/>
        </w:r>
        <w:r w:rsidR="0048417A" w:rsidRPr="00CC7094">
          <w:rPr>
            <w:rStyle w:val="Hyperlink"/>
            <w:bCs/>
          </w:rPr>
          <w:t>Electronic databases</w:t>
        </w:r>
        <w:r w:rsidR="0048417A">
          <w:rPr>
            <w:webHidden/>
          </w:rPr>
          <w:tab/>
        </w:r>
        <w:r w:rsidR="0048417A">
          <w:rPr>
            <w:webHidden/>
          </w:rPr>
          <w:fldChar w:fldCharType="begin"/>
        </w:r>
        <w:r w:rsidR="0048417A">
          <w:rPr>
            <w:webHidden/>
          </w:rPr>
          <w:instrText xml:space="preserve"> PAGEREF _Toc296517905 \h </w:instrText>
        </w:r>
        <w:r w:rsidR="0048417A">
          <w:rPr>
            <w:webHidden/>
          </w:rPr>
        </w:r>
        <w:r w:rsidR="0048417A">
          <w:rPr>
            <w:webHidden/>
          </w:rPr>
          <w:fldChar w:fldCharType="separate"/>
        </w:r>
        <w:r w:rsidR="0048417A">
          <w:rPr>
            <w:webHidden/>
          </w:rPr>
          <w:t>80</w:t>
        </w:r>
        <w:r w:rsidR="0048417A">
          <w:rPr>
            <w:webHidden/>
          </w:rPr>
          <w:fldChar w:fldCharType="end"/>
        </w:r>
      </w:hyperlink>
    </w:p>
    <w:p w:rsidR="0048417A" w:rsidRDefault="00B81800">
      <w:pPr>
        <w:pStyle w:val="TOC1"/>
        <w:tabs>
          <w:tab w:val="left" w:pos="2175"/>
        </w:tabs>
        <w:rPr>
          <w:rFonts w:ascii="Calibri" w:hAnsi="Calibri"/>
          <w:b w:val="0"/>
          <w:sz w:val="22"/>
          <w:szCs w:val="22"/>
        </w:rPr>
      </w:pPr>
      <w:hyperlink w:anchor="_Toc296517906" w:history="1">
        <w:r w:rsidR="0048417A" w:rsidRPr="00CC7094">
          <w:rPr>
            <w:rStyle w:val="Hyperlink"/>
            <w:bCs/>
          </w:rPr>
          <w:t>Appendix D</w:t>
        </w:r>
        <w:r w:rsidR="0048417A">
          <w:rPr>
            <w:rFonts w:ascii="Calibri" w:hAnsi="Calibri"/>
            <w:b w:val="0"/>
            <w:sz w:val="22"/>
            <w:szCs w:val="22"/>
          </w:rPr>
          <w:tab/>
        </w:r>
        <w:r w:rsidR="0048417A" w:rsidRPr="00CC7094">
          <w:rPr>
            <w:rStyle w:val="Hyperlink"/>
            <w:bCs/>
          </w:rPr>
          <w:t>Studies included in the review</w:t>
        </w:r>
        <w:r w:rsidR="0048417A">
          <w:rPr>
            <w:webHidden/>
          </w:rPr>
          <w:tab/>
        </w:r>
        <w:r w:rsidR="0048417A">
          <w:rPr>
            <w:webHidden/>
          </w:rPr>
          <w:fldChar w:fldCharType="begin"/>
        </w:r>
        <w:r w:rsidR="0048417A">
          <w:rPr>
            <w:webHidden/>
          </w:rPr>
          <w:instrText xml:space="preserve"> PAGEREF _Toc296517906 \h </w:instrText>
        </w:r>
        <w:r w:rsidR="0048417A">
          <w:rPr>
            <w:webHidden/>
          </w:rPr>
        </w:r>
        <w:r w:rsidR="0048417A">
          <w:rPr>
            <w:webHidden/>
          </w:rPr>
          <w:fldChar w:fldCharType="separate"/>
        </w:r>
        <w:r w:rsidR="0048417A">
          <w:rPr>
            <w:webHidden/>
          </w:rPr>
          <w:t>84</w:t>
        </w:r>
        <w:r w:rsidR="0048417A">
          <w:rPr>
            <w:webHidden/>
          </w:rPr>
          <w:fldChar w:fldCharType="end"/>
        </w:r>
      </w:hyperlink>
    </w:p>
    <w:p w:rsidR="0048417A" w:rsidRDefault="00B81800">
      <w:pPr>
        <w:pStyle w:val="TOC2"/>
        <w:rPr>
          <w:rFonts w:ascii="Calibri" w:hAnsi="Calibri"/>
          <w:sz w:val="22"/>
          <w:szCs w:val="22"/>
        </w:rPr>
      </w:pPr>
      <w:hyperlink w:anchor="_Toc296517907" w:history="1">
        <w:r w:rsidR="0048417A" w:rsidRPr="00CC7094">
          <w:rPr>
            <w:rStyle w:val="Hyperlink"/>
            <w:bCs/>
          </w:rPr>
          <w:t>Systematic reviews and HTA reports</w:t>
        </w:r>
        <w:r w:rsidR="0048417A">
          <w:rPr>
            <w:webHidden/>
          </w:rPr>
          <w:tab/>
        </w:r>
        <w:r w:rsidR="0048417A">
          <w:rPr>
            <w:webHidden/>
          </w:rPr>
          <w:fldChar w:fldCharType="begin"/>
        </w:r>
        <w:r w:rsidR="0048417A">
          <w:rPr>
            <w:webHidden/>
          </w:rPr>
          <w:instrText xml:space="preserve"> PAGEREF _Toc296517907 \h </w:instrText>
        </w:r>
        <w:r w:rsidR="0048417A">
          <w:rPr>
            <w:webHidden/>
          </w:rPr>
        </w:r>
        <w:r w:rsidR="0048417A">
          <w:rPr>
            <w:webHidden/>
          </w:rPr>
          <w:fldChar w:fldCharType="separate"/>
        </w:r>
        <w:r w:rsidR="0048417A">
          <w:rPr>
            <w:webHidden/>
          </w:rPr>
          <w:t>84</w:t>
        </w:r>
        <w:r w:rsidR="0048417A">
          <w:rPr>
            <w:webHidden/>
          </w:rPr>
          <w:fldChar w:fldCharType="end"/>
        </w:r>
      </w:hyperlink>
    </w:p>
    <w:p w:rsidR="0048417A" w:rsidRDefault="00B81800">
      <w:pPr>
        <w:pStyle w:val="TOC2"/>
        <w:rPr>
          <w:rFonts w:ascii="Calibri" w:hAnsi="Calibri"/>
          <w:sz w:val="22"/>
          <w:szCs w:val="22"/>
        </w:rPr>
      </w:pPr>
      <w:hyperlink w:anchor="_Toc296517908" w:history="1">
        <w:r w:rsidR="0048417A" w:rsidRPr="00CC7094">
          <w:rPr>
            <w:rStyle w:val="Hyperlink"/>
            <w:bCs/>
          </w:rPr>
          <w:t>Primary studies</w:t>
        </w:r>
        <w:r w:rsidR="0048417A">
          <w:rPr>
            <w:webHidden/>
          </w:rPr>
          <w:tab/>
        </w:r>
        <w:r w:rsidR="0048417A">
          <w:rPr>
            <w:webHidden/>
          </w:rPr>
          <w:fldChar w:fldCharType="begin"/>
        </w:r>
        <w:r w:rsidR="0048417A">
          <w:rPr>
            <w:webHidden/>
          </w:rPr>
          <w:instrText xml:space="preserve"> PAGEREF _Toc296517908 \h </w:instrText>
        </w:r>
        <w:r w:rsidR="0048417A">
          <w:rPr>
            <w:webHidden/>
          </w:rPr>
        </w:r>
        <w:r w:rsidR="0048417A">
          <w:rPr>
            <w:webHidden/>
          </w:rPr>
          <w:fldChar w:fldCharType="separate"/>
        </w:r>
        <w:r w:rsidR="0048417A">
          <w:rPr>
            <w:webHidden/>
          </w:rPr>
          <w:t>89</w:t>
        </w:r>
        <w:r w:rsidR="0048417A">
          <w:rPr>
            <w:webHidden/>
          </w:rPr>
          <w:fldChar w:fldCharType="end"/>
        </w:r>
      </w:hyperlink>
    </w:p>
    <w:p w:rsidR="0048417A" w:rsidRDefault="00B81800">
      <w:pPr>
        <w:pStyle w:val="TOC2"/>
        <w:rPr>
          <w:rFonts w:ascii="Calibri" w:hAnsi="Calibri"/>
          <w:sz w:val="22"/>
          <w:szCs w:val="22"/>
        </w:rPr>
      </w:pPr>
      <w:hyperlink w:anchor="_Toc296517909" w:history="1">
        <w:r w:rsidR="0048417A" w:rsidRPr="00CC7094">
          <w:rPr>
            <w:rStyle w:val="Hyperlink"/>
            <w:bCs/>
          </w:rPr>
          <w:t>Study profiles of included studies on accuracy</w:t>
        </w:r>
        <w:r w:rsidR="0048417A">
          <w:rPr>
            <w:webHidden/>
          </w:rPr>
          <w:tab/>
        </w:r>
        <w:r w:rsidR="0048417A">
          <w:rPr>
            <w:webHidden/>
          </w:rPr>
          <w:fldChar w:fldCharType="begin"/>
        </w:r>
        <w:r w:rsidR="0048417A">
          <w:rPr>
            <w:webHidden/>
          </w:rPr>
          <w:instrText xml:space="preserve"> PAGEREF _Toc296517909 \h </w:instrText>
        </w:r>
        <w:r w:rsidR="0048417A">
          <w:rPr>
            <w:webHidden/>
          </w:rPr>
        </w:r>
        <w:r w:rsidR="0048417A">
          <w:rPr>
            <w:webHidden/>
          </w:rPr>
          <w:fldChar w:fldCharType="separate"/>
        </w:r>
        <w:r w:rsidR="0048417A">
          <w:rPr>
            <w:webHidden/>
          </w:rPr>
          <w:t>90</w:t>
        </w:r>
        <w:r w:rsidR="0048417A">
          <w:rPr>
            <w:webHidden/>
          </w:rPr>
          <w:fldChar w:fldCharType="end"/>
        </w:r>
      </w:hyperlink>
    </w:p>
    <w:p w:rsidR="0048417A" w:rsidRDefault="00B81800">
      <w:pPr>
        <w:pStyle w:val="TOC2"/>
        <w:rPr>
          <w:rFonts w:ascii="Calibri" w:hAnsi="Calibri"/>
          <w:sz w:val="22"/>
          <w:szCs w:val="22"/>
        </w:rPr>
      </w:pPr>
      <w:hyperlink w:anchor="_Toc296517910" w:history="1">
        <w:r w:rsidR="0048417A" w:rsidRPr="00CC7094">
          <w:rPr>
            <w:rStyle w:val="Hyperlink"/>
            <w:bCs/>
          </w:rPr>
          <w:t>Study profiles of included studies on diagnostic yield</w:t>
        </w:r>
        <w:r w:rsidR="0048417A">
          <w:rPr>
            <w:webHidden/>
          </w:rPr>
          <w:tab/>
        </w:r>
        <w:r w:rsidR="0048417A">
          <w:rPr>
            <w:webHidden/>
          </w:rPr>
          <w:fldChar w:fldCharType="begin"/>
        </w:r>
        <w:r w:rsidR="0048417A">
          <w:rPr>
            <w:webHidden/>
          </w:rPr>
          <w:instrText xml:space="preserve"> PAGEREF _Toc296517910 \h </w:instrText>
        </w:r>
        <w:r w:rsidR="0048417A">
          <w:rPr>
            <w:webHidden/>
          </w:rPr>
        </w:r>
        <w:r w:rsidR="0048417A">
          <w:rPr>
            <w:webHidden/>
          </w:rPr>
          <w:fldChar w:fldCharType="separate"/>
        </w:r>
        <w:r w:rsidR="0048417A">
          <w:rPr>
            <w:webHidden/>
          </w:rPr>
          <w:t>102</w:t>
        </w:r>
        <w:r w:rsidR="0048417A">
          <w:rPr>
            <w:webHidden/>
          </w:rPr>
          <w:fldChar w:fldCharType="end"/>
        </w:r>
      </w:hyperlink>
    </w:p>
    <w:p w:rsidR="0048417A" w:rsidRDefault="00B81800">
      <w:pPr>
        <w:pStyle w:val="TOC2"/>
        <w:rPr>
          <w:rFonts w:ascii="Calibri" w:hAnsi="Calibri"/>
          <w:sz w:val="22"/>
          <w:szCs w:val="22"/>
        </w:rPr>
      </w:pPr>
      <w:hyperlink w:anchor="_Toc296517911" w:history="1">
        <w:r w:rsidR="0048417A" w:rsidRPr="00CC7094">
          <w:rPr>
            <w:rStyle w:val="Hyperlink"/>
          </w:rPr>
          <w:t>Study profiles of included studies on safety</w:t>
        </w:r>
        <w:r w:rsidR="0048417A">
          <w:rPr>
            <w:webHidden/>
          </w:rPr>
          <w:tab/>
        </w:r>
        <w:r w:rsidR="0048417A">
          <w:rPr>
            <w:webHidden/>
          </w:rPr>
          <w:fldChar w:fldCharType="begin"/>
        </w:r>
        <w:r w:rsidR="0048417A">
          <w:rPr>
            <w:webHidden/>
          </w:rPr>
          <w:instrText xml:space="preserve"> PAGEREF _Toc296517911 \h </w:instrText>
        </w:r>
        <w:r w:rsidR="0048417A">
          <w:rPr>
            <w:webHidden/>
          </w:rPr>
        </w:r>
        <w:r w:rsidR="0048417A">
          <w:rPr>
            <w:webHidden/>
          </w:rPr>
          <w:fldChar w:fldCharType="separate"/>
        </w:r>
        <w:r w:rsidR="0048417A">
          <w:rPr>
            <w:webHidden/>
          </w:rPr>
          <w:t>119</w:t>
        </w:r>
        <w:r w:rsidR="0048417A">
          <w:rPr>
            <w:webHidden/>
          </w:rPr>
          <w:fldChar w:fldCharType="end"/>
        </w:r>
      </w:hyperlink>
    </w:p>
    <w:p w:rsidR="0048417A" w:rsidRDefault="00B81800">
      <w:pPr>
        <w:pStyle w:val="TOC1"/>
        <w:tabs>
          <w:tab w:val="left" w:pos="2158"/>
        </w:tabs>
        <w:rPr>
          <w:rFonts w:ascii="Calibri" w:hAnsi="Calibri"/>
          <w:b w:val="0"/>
          <w:sz w:val="22"/>
          <w:szCs w:val="22"/>
        </w:rPr>
      </w:pPr>
      <w:hyperlink w:anchor="_Toc296517912" w:history="1">
        <w:r w:rsidR="0048417A" w:rsidRPr="00CC7094">
          <w:rPr>
            <w:rStyle w:val="Hyperlink"/>
          </w:rPr>
          <w:t>Appendix E</w:t>
        </w:r>
        <w:r w:rsidR="0048417A">
          <w:rPr>
            <w:rFonts w:ascii="Calibri" w:hAnsi="Calibri"/>
            <w:b w:val="0"/>
            <w:sz w:val="22"/>
            <w:szCs w:val="22"/>
          </w:rPr>
          <w:tab/>
        </w:r>
        <w:r w:rsidR="0048417A" w:rsidRPr="00CC7094">
          <w:rPr>
            <w:rStyle w:val="Hyperlink"/>
          </w:rPr>
          <w:t>Excluded studies</w:t>
        </w:r>
        <w:r w:rsidR="0048417A">
          <w:rPr>
            <w:webHidden/>
          </w:rPr>
          <w:tab/>
        </w:r>
        <w:r w:rsidR="0048417A">
          <w:rPr>
            <w:webHidden/>
          </w:rPr>
          <w:fldChar w:fldCharType="begin"/>
        </w:r>
        <w:r w:rsidR="0048417A">
          <w:rPr>
            <w:webHidden/>
          </w:rPr>
          <w:instrText xml:space="preserve"> PAGEREF _Toc296517912 \h </w:instrText>
        </w:r>
        <w:r w:rsidR="0048417A">
          <w:rPr>
            <w:webHidden/>
          </w:rPr>
        </w:r>
        <w:r w:rsidR="0048417A">
          <w:rPr>
            <w:webHidden/>
          </w:rPr>
          <w:fldChar w:fldCharType="separate"/>
        </w:r>
        <w:r w:rsidR="0048417A">
          <w:rPr>
            <w:webHidden/>
          </w:rPr>
          <w:t>120</w:t>
        </w:r>
        <w:r w:rsidR="0048417A">
          <w:rPr>
            <w:webHidden/>
          </w:rPr>
          <w:fldChar w:fldCharType="end"/>
        </w:r>
      </w:hyperlink>
    </w:p>
    <w:p w:rsidR="0048417A" w:rsidRDefault="00B81800">
      <w:pPr>
        <w:pStyle w:val="TOC1"/>
        <w:tabs>
          <w:tab w:val="left" w:pos="2135"/>
        </w:tabs>
        <w:rPr>
          <w:rFonts w:ascii="Calibri" w:hAnsi="Calibri"/>
          <w:b w:val="0"/>
          <w:sz w:val="22"/>
          <w:szCs w:val="22"/>
        </w:rPr>
      </w:pPr>
      <w:hyperlink w:anchor="_Toc296517913" w:history="1">
        <w:r w:rsidR="0048417A" w:rsidRPr="00CC7094">
          <w:rPr>
            <w:rStyle w:val="Hyperlink"/>
          </w:rPr>
          <w:t>Appendix F</w:t>
        </w:r>
        <w:r w:rsidR="0048417A">
          <w:rPr>
            <w:rFonts w:ascii="Calibri" w:hAnsi="Calibri"/>
            <w:b w:val="0"/>
            <w:sz w:val="22"/>
            <w:szCs w:val="22"/>
          </w:rPr>
          <w:tab/>
        </w:r>
        <w:r w:rsidR="0048417A" w:rsidRPr="00CC7094">
          <w:rPr>
            <w:rStyle w:val="Hyperlink"/>
          </w:rPr>
          <w:t>Ongoing studies</w:t>
        </w:r>
        <w:r w:rsidR="0048417A">
          <w:rPr>
            <w:webHidden/>
          </w:rPr>
          <w:tab/>
        </w:r>
        <w:r w:rsidR="0048417A">
          <w:rPr>
            <w:webHidden/>
          </w:rPr>
          <w:fldChar w:fldCharType="begin"/>
        </w:r>
        <w:r w:rsidR="0048417A">
          <w:rPr>
            <w:webHidden/>
          </w:rPr>
          <w:instrText xml:space="preserve"> PAGEREF _Toc296517913 \h </w:instrText>
        </w:r>
        <w:r w:rsidR="0048417A">
          <w:rPr>
            <w:webHidden/>
          </w:rPr>
        </w:r>
        <w:r w:rsidR="0048417A">
          <w:rPr>
            <w:webHidden/>
          </w:rPr>
          <w:fldChar w:fldCharType="separate"/>
        </w:r>
        <w:r w:rsidR="0048417A">
          <w:rPr>
            <w:webHidden/>
          </w:rPr>
          <w:t>129</w:t>
        </w:r>
        <w:r w:rsidR="0048417A">
          <w:rPr>
            <w:webHidden/>
          </w:rPr>
          <w:fldChar w:fldCharType="end"/>
        </w:r>
      </w:hyperlink>
    </w:p>
    <w:p w:rsidR="0048417A" w:rsidRDefault="00B81800">
      <w:pPr>
        <w:pStyle w:val="TOC1"/>
        <w:rPr>
          <w:rFonts w:ascii="Calibri" w:hAnsi="Calibri"/>
          <w:b w:val="0"/>
          <w:sz w:val="22"/>
          <w:szCs w:val="22"/>
        </w:rPr>
      </w:pPr>
      <w:hyperlink w:anchor="_Toc296517914" w:history="1">
        <w:r w:rsidR="0048417A" w:rsidRPr="00CC7094">
          <w:rPr>
            <w:rStyle w:val="Hyperlink"/>
          </w:rPr>
          <w:t>Glossary and abbreviations</w:t>
        </w:r>
        <w:r w:rsidR="0048417A">
          <w:rPr>
            <w:webHidden/>
          </w:rPr>
          <w:tab/>
        </w:r>
        <w:r w:rsidR="0048417A">
          <w:rPr>
            <w:webHidden/>
          </w:rPr>
          <w:fldChar w:fldCharType="begin"/>
        </w:r>
        <w:r w:rsidR="0048417A">
          <w:rPr>
            <w:webHidden/>
          </w:rPr>
          <w:instrText xml:space="preserve"> PAGEREF _Toc296517914 \h </w:instrText>
        </w:r>
        <w:r w:rsidR="0048417A">
          <w:rPr>
            <w:webHidden/>
          </w:rPr>
        </w:r>
        <w:r w:rsidR="0048417A">
          <w:rPr>
            <w:webHidden/>
          </w:rPr>
          <w:fldChar w:fldCharType="separate"/>
        </w:r>
        <w:r w:rsidR="0048417A">
          <w:rPr>
            <w:webHidden/>
          </w:rPr>
          <w:t>130</w:t>
        </w:r>
        <w:r w:rsidR="0048417A">
          <w:rPr>
            <w:webHidden/>
          </w:rPr>
          <w:fldChar w:fldCharType="end"/>
        </w:r>
      </w:hyperlink>
    </w:p>
    <w:p w:rsidR="0048417A" w:rsidRDefault="00B81800">
      <w:pPr>
        <w:pStyle w:val="TOC1"/>
        <w:rPr>
          <w:rFonts w:ascii="Calibri" w:hAnsi="Calibri"/>
          <w:b w:val="0"/>
          <w:sz w:val="22"/>
          <w:szCs w:val="22"/>
        </w:rPr>
      </w:pPr>
      <w:hyperlink w:anchor="_Toc296517915" w:history="1">
        <w:r w:rsidR="0048417A" w:rsidRPr="00CC7094">
          <w:rPr>
            <w:rStyle w:val="Hyperlink"/>
          </w:rPr>
          <w:t>References</w:t>
        </w:r>
        <w:r w:rsidR="0048417A">
          <w:rPr>
            <w:webHidden/>
          </w:rPr>
          <w:tab/>
        </w:r>
        <w:r w:rsidR="0048417A">
          <w:rPr>
            <w:webHidden/>
          </w:rPr>
          <w:fldChar w:fldCharType="begin"/>
        </w:r>
        <w:r w:rsidR="0048417A">
          <w:rPr>
            <w:webHidden/>
          </w:rPr>
          <w:instrText xml:space="preserve"> PAGEREF _Toc296517915 \h </w:instrText>
        </w:r>
        <w:r w:rsidR="0048417A">
          <w:rPr>
            <w:webHidden/>
          </w:rPr>
        </w:r>
        <w:r w:rsidR="0048417A">
          <w:rPr>
            <w:webHidden/>
          </w:rPr>
          <w:fldChar w:fldCharType="separate"/>
        </w:r>
        <w:r w:rsidR="0048417A">
          <w:rPr>
            <w:webHidden/>
          </w:rPr>
          <w:t>133</w:t>
        </w:r>
        <w:r w:rsidR="0048417A">
          <w:rPr>
            <w:webHidden/>
          </w:rPr>
          <w:fldChar w:fldCharType="end"/>
        </w:r>
      </w:hyperlink>
    </w:p>
    <w:p w:rsidR="0048417A" w:rsidRPr="004D57B3" w:rsidRDefault="0048417A" w:rsidP="00836B55">
      <w:pPr>
        <w:pStyle w:val="Heading2a"/>
      </w:pPr>
      <w:r w:rsidRPr="004D57B3">
        <w:fldChar w:fldCharType="end"/>
      </w:r>
      <w:r w:rsidRPr="004D57B3">
        <w:br w:type="page"/>
      </w:r>
      <w:r w:rsidRPr="004D57B3">
        <w:lastRenderedPageBreak/>
        <w:t>Tables</w:t>
      </w:r>
    </w:p>
    <w:p w:rsidR="0048417A" w:rsidRDefault="0048417A">
      <w:pPr>
        <w:pStyle w:val="TableofFigures"/>
        <w:rPr>
          <w:rFonts w:ascii="Calibri" w:hAnsi="Calibri"/>
          <w:sz w:val="22"/>
          <w:szCs w:val="22"/>
        </w:rPr>
      </w:pPr>
      <w:r w:rsidRPr="004D57B3">
        <w:fldChar w:fldCharType="begin"/>
      </w:r>
      <w:r w:rsidRPr="004D57B3">
        <w:instrText xml:space="preserve"> TOC \h \z \c "Table" </w:instrText>
      </w:r>
      <w:r w:rsidRPr="004D57B3">
        <w:fldChar w:fldCharType="separate"/>
      </w:r>
      <w:hyperlink w:anchor="_Toc291859563" w:history="1">
        <w:r w:rsidRPr="00F65F00">
          <w:rPr>
            <w:rStyle w:val="Hyperlink"/>
          </w:rPr>
          <w:t>Table 1</w:t>
        </w:r>
        <w:r>
          <w:rPr>
            <w:rFonts w:ascii="Calibri" w:hAnsi="Calibri"/>
            <w:sz w:val="22"/>
            <w:szCs w:val="22"/>
          </w:rPr>
          <w:tab/>
        </w:r>
        <w:r w:rsidRPr="00F65F00">
          <w:rPr>
            <w:rStyle w:val="Hyperlink"/>
          </w:rPr>
          <w:t>MBS and PBS items associated with capsule endoscopy for small bowel Crohn’s disease</w:t>
        </w:r>
        <w:r>
          <w:rPr>
            <w:webHidden/>
          </w:rPr>
          <w:tab/>
        </w:r>
        <w:r>
          <w:rPr>
            <w:webHidden/>
          </w:rPr>
          <w:fldChar w:fldCharType="begin"/>
        </w:r>
        <w:r>
          <w:rPr>
            <w:webHidden/>
          </w:rPr>
          <w:instrText xml:space="preserve"> PAGEREF _Toc291859563 \h </w:instrText>
        </w:r>
        <w:r>
          <w:rPr>
            <w:webHidden/>
          </w:rPr>
        </w:r>
        <w:r>
          <w:rPr>
            <w:webHidden/>
          </w:rPr>
          <w:fldChar w:fldCharType="separate"/>
        </w:r>
        <w:r>
          <w:rPr>
            <w:webHidden/>
          </w:rPr>
          <w:t>viii</w:t>
        </w:r>
        <w:r>
          <w:rPr>
            <w:webHidden/>
          </w:rPr>
          <w:fldChar w:fldCharType="end"/>
        </w:r>
      </w:hyperlink>
    </w:p>
    <w:p w:rsidR="0048417A" w:rsidRDefault="00B81800">
      <w:pPr>
        <w:pStyle w:val="TableofFigures"/>
        <w:rPr>
          <w:rFonts w:ascii="Calibri" w:hAnsi="Calibri"/>
          <w:sz w:val="22"/>
          <w:szCs w:val="22"/>
        </w:rPr>
      </w:pPr>
      <w:hyperlink w:anchor="_Toc291859564" w:history="1">
        <w:r w:rsidR="0048417A" w:rsidRPr="00F65F00">
          <w:rPr>
            <w:rStyle w:val="Hyperlink"/>
          </w:rPr>
          <w:t>Table 2</w:t>
        </w:r>
        <w:r w:rsidR="0048417A">
          <w:rPr>
            <w:rFonts w:ascii="Calibri" w:hAnsi="Calibri"/>
            <w:sz w:val="22"/>
            <w:szCs w:val="22"/>
          </w:rPr>
          <w:tab/>
        </w:r>
        <w:r w:rsidR="0048417A" w:rsidRPr="00F65F00">
          <w:rPr>
            <w:rStyle w:val="Hyperlink"/>
          </w:rPr>
          <w:t>Proposed MBS item descriptor</w:t>
        </w:r>
        <w:r w:rsidR="0048417A">
          <w:rPr>
            <w:webHidden/>
          </w:rPr>
          <w:tab/>
        </w:r>
        <w:r w:rsidR="0048417A">
          <w:rPr>
            <w:webHidden/>
          </w:rPr>
          <w:fldChar w:fldCharType="begin"/>
        </w:r>
        <w:r w:rsidR="0048417A">
          <w:rPr>
            <w:webHidden/>
          </w:rPr>
          <w:instrText xml:space="preserve"> PAGEREF _Toc291859564 \h </w:instrText>
        </w:r>
        <w:r w:rsidR="0048417A">
          <w:rPr>
            <w:webHidden/>
          </w:rPr>
        </w:r>
        <w:r w:rsidR="0048417A">
          <w:rPr>
            <w:webHidden/>
          </w:rPr>
          <w:fldChar w:fldCharType="separate"/>
        </w:r>
        <w:r w:rsidR="0048417A">
          <w:rPr>
            <w:webHidden/>
          </w:rPr>
          <w:t>ix</w:t>
        </w:r>
        <w:r w:rsidR="0048417A">
          <w:rPr>
            <w:webHidden/>
          </w:rPr>
          <w:fldChar w:fldCharType="end"/>
        </w:r>
      </w:hyperlink>
    </w:p>
    <w:p w:rsidR="0048417A" w:rsidRDefault="00B81800">
      <w:pPr>
        <w:pStyle w:val="TableofFigures"/>
        <w:rPr>
          <w:rFonts w:ascii="Calibri" w:hAnsi="Calibri"/>
          <w:sz w:val="22"/>
          <w:szCs w:val="22"/>
        </w:rPr>
      </w:pPr>
      <w:hyperlink w:anchor="_Toc291859565" w:history="1">
        <w:r w:rsidR="0048417A" w:rsidRPr="00F65F00">
          <w:rPr>
            <w:rStyle w:val="Hyperlink"/>
          </w:rPr>
          <w:t>Table 3</w:t>
        </w:r>
        <w:r w:rsidR="0048417A">
          <w:rPr>
            <w:rFonts w:ascii="Calibri" w:hAnsi="Calibri"/>
            <w:sz w:val="22"/>
            <w:szCs w:val="22"/>
          </w:rPr>
          <w:tab/>
        </w:r>
        <w:r w:rsidR="0048417A" w:rsidRPr="00F65F00">
          <w:rPr>
            <w:rStyle w:val="Hyperlink"/>
          </w:rPr>
          <w:t>MBS items for capsule endoscopy</w:t>
        </w:r>
        <w:r w:rsidR="0048417A">
          <w:rPr>
            <w:webHidden/>
          </w:rPr>
          <w:tab/>
        </w:r>
        <w:r w:rsidR="0048417A">
          <w:rPr>
            <w:webHidden/>
          </w:rPr>
          <w:fldChar w:fldCharType="begin"/>
        </w:r>
        <w:r w:rsidR="0048417A">
          <w:rPr>
            <w:webHidden/>
          </w:rPr>
          <w:instrText xml:space="preserve"> PAGEREF _Toc291859565 \h </w:instrText>
        </w:r>
        <w:r w:rsidR="0048417A">
          <w:rPr>
            <w:webHidden/>
          </w:rPr>
        </w:r>
        <w:r w:rsidR="0048417A">
          <w:rPr>
            <w:webHidden/>
          </w:rPr>
          <w:fldChar w:fldCharType="separate"/>
        </w:r>
        <w:r w:rsidR="0048417A">
          <w:rPr>
            <w:webHidden/>
          </w:rPr>
          <w:t>x</w:t>
        </w:r>
        <w:r w:rsidR="0048417A">
          <w:rPr>
            <w:webHidden/>
          </w:rPr>
          <w:fldChar w:fldCharType="end"/>
        </w:r>
      </w:hyperlink>
    </w:p>
    <w:p w:rsidR="0048417A" w:rsidRDefault="00B81800">
      <w:pPr>
        <w:pStyle w:val="TableofFigures"/>
        <w:rPr>
          <w:rFonts w:ascii="Calibri" w:hAnsi="Calibri"/>
          <w:sz w:val="22"/>
          <w:szCs w:val="22"/>
        </w:rPr>
      </w:pPr>
      <w:hyperlink w:anchor="_Toc291859566" w:history="1">
        <w:r w:rsidR="0048417A" w:rsidRPr="00F65F00">
          <w:rPr>
            <w:rStyle w:val="Hyperlink"/>
          </w:rPr>
          <w:t>Table 4</w:t>
        </w:r>
        <w:r w:rsidR="0048417A">
          <w:rPr>
            <w:rFonts w:ascii="Calibri" w:hAnsi="Calibri"/>
            <w:sz w:val="22"/>
            <w:szCs w:val="22"/>
          </w:rPr>
          <w:tab/>
        </w:r>
        <w:r w:rsidR="0048417A" w:rsidRPr="00F65F00">
          <w:rPr>
            <w:rStyle w:val="Hyperlink"/>
          </w:rPr>
          <w:t>Studies reporting crude annual incidence rates for Crohn’s disease</w:t>
        </w:r>
        <w:r w:rsidR="0048417A">
          <w:rPr>
            <w:webHidden/>
          </w:rPr>
          <w:tab/>
        </w:r>
        <w:r w:rsidR="0048417A">
          <w:rPr>
            <w:webHidden/>
          </w:rPr>
          <w:fldChar w:fldCharType="begin"/>
        </w:r>
        <w:r w:rsidR="0048417A">
          <w:rPr>
            <w:webHidden/>
          </w:rPr>
          <w:instrText xml:space="preserve"> PAGEREF _Toc291859566 \h </w:instrText>
        </w:r>
        <w:r w:rsidR="0048417A">
          <w:rPr>
            <w:webHidden/>
          </w:rPr>
        </w:r>
        <w:r w:rsidR="0048417A">
          <w:rPr>
            <w:webHidden/>
          </w:rPr>
          <w:fldChar w:fldCharType="separate"/>
        </w:r>
        <w:r w:rsidR="0048417A">
          <w:rPr>
            <w:webHidden/>
          </w:rPr>
          <w:t>23</w:t>
        </w:r>
        <w:r w:rsidR="0048417A">
          <w:rPr>
            <w:webHidden/>
          </w:rPr>
          <w:fldChar w:fldCharType="end"/>
        </w:r>
      </w:hyperlink>
    </w:p>
    <w:p w:rsidR="0048417A" w:rsidRDefault="00B81800">
      <w:pPr>
        <w:pStyle w:val="TableofFigures"/>
        <w:rPr>
          <w:rFonts w:ascii="Calibri" w:hAnsi="Calibri"/>
          <w:sz w:val="22"/>
          <w:szCs w:val="22"/>
        </w:rPr>
      </w:pPr>
      <w:hyperlink w:anchor="_Toc291859567" w:history="1">
        <w:r w:rsidR="0048417A" w:rsidRPr="00F65F00">
          <w:rPr>
            <w:rStyle w:val="Hyperlink"/>
          </w:rPr>
          <w:t>Table 5</w:t>
        </w:r>
        <w:r w:rsidR="0048417A">
          <w:rPr>
            <w:rFonts w:ascii="Calibri" w:hAnsi="Calibri"/>
            <w:sz w:val="22"/>
            <w:szCs w:val="22"/>
          </w:rPr>
          <w:tab/>
        </w:r>
        <w:r w:rsidR="0048417A" w:rsidRPr="00F65F00">
          <w:rPr>
            <w:rStyle w:val="Hyperlink"/>
          </w:rPr>
          <w:t>Diagnostic yield of capsule endoscopy in patients with suspected Crohn’s disease</w:t>
        </w:r>
        <w:r w:rsidR="0048417A">
          <w:rPr>
            <w:webHidden/>
          </w:rPr>
          <w:tab/>
        </w:r>
        <w:r w:rsidR="0048417A">
          <w:rPr>
            <w:webHidden/>
          </w:rPr>
          <w:fldChar w:fldCharType="begin"/>
        </w:r>
        <w:r w:rsidR="0048417A">
          <w:rPr>
            <w:webHidden/>
          </w:rPr>
          <w:instrText xml:space="preserve"> PAGEREF _Toc291859567 \h </w:instrText>
        </w:r>
        <w:r w:rsidR="0048417A">
          <w:rPr>
            <w:webHidden/>
          </w:rPr>
        </w:r>
        <w:r w:rsidR="0048417A">
          <w:rPr>
            <w:webHidden/>
          </w:rPr>
          <w:fldChar w:fldCharType="separate"/>
        </w:r>
        <w:r w:rsidR="0048417A">
          <w:rPr>
            <w:webHidden/>
          </w:rPr>
          <w:t>25</w:t>
        </w:r>
        <w:r w:rsidR="0048417A">
          <w:rPr>
            <w:webHidden/>
          </w:rPr>
          <w:fldChar w:fldCharType="end"/>
        </w:r>
      </w:hyperlink>
    </w:p>
    <w:p w:rsidR="0048417A" w:rsidRDefault="00B81800">
      <w:pPr>
        <w:pStyle w:val="TableofFigures"/>
        <w:rPr>
          <w:rFonts w:ascii="Calibri" w:hAnsi="Calibri"/>
          <w:sz w:val="22"/>
          <w:szCs w:val="22"/>
        </w:rPr>
      </w:pPr>
      <w:hyperlink w:anchor="_Toc291859568" w:history="1">
        <w:r w:rsidR="0048417A" w:rsidRPr="00F65F00">
          <w:rPr>
            <w:rStyle w:val="Hyperlink"/>
          </w:rPr>
          <w:t>Table 6</w:t>
        </w:r>
        <w:r w:rsidR="0048417A">
          <w:rPr>
            <w:rFonts w:ascii="Calibri" w:hAnsi="Calibri"/>
            <w:sz w:val="22"/>
            <w:szCs w:val="22"/>
          </w:rPr>
          <w:tab/>
        </w:r>
        <w:r w:rsidR="0048417A" w:rsidRPr="00F65F00">
          <w:rPr>
            <w:rStyle w:val="Hyperlink"/>
          </w:rPr>
          <w:t>Registration of PillCam® capsule endoscopy with the TGA</w:t>
        </w:r>
        <w:r w:rsidR="0048417A">
          <w:rPr>
            <w:webHidden/>
          </w:rPr>
          <w:tab/>
        </w:r>
        <w:r w:rsidR="0048417A">
          <w:rPr>
            <w:webHidden/>
          </w:rPr>
          <w:fldChar w:fldCharType="begin"/>
        </w:r>
        <w:r w:rsidR="0048417A">
          <w:rPr>
            <w:webHidden/>
          </w:rPr>
          <w:instrText xml:space="preserve"> PAGEREF _Toc291859568 \h </w:instrText>
        </w:r>
        <w:r w:rsidR="0048417A">
          <w:rPr>
            <w:webHidden/>
          </w:rPr>
        </w:r>
        <w:r w:rsidR="0048417A">
          <w:rPr>
            <w:webHidden/>
          </w:rPr>
          <w:fldChar w:fldCharType="separate"/>
        </w:r>
        <w:r w:rsidR="0048417A">
          <w:rPr>
            <w:webHidden/>
          </w:rPr>
          <w:t>27</w:t>
        </w:r>
        <w:r w:rsidR="0048417A">
          <w:rPr>
            <w:webHidden/>
          </w:rPr>
          <w:fldChar w:fldCharType="end"/>
        </w:r>
      </w:hyperlink>
    </w:p>
    <w:p w:rsidR="0048417A" w:rsidRDefault="00B81800">
      <w:pPr>
        <w:pStyle w:val="TableofFigures"/>
        <w:rPr>
          <w:rFonts w:ascii="Calibri" w:hAnsi="Calibri"/>
          <w:sz w:val="22"/>
          <w:szCs w:val="22"/>
        </w:rPr>
      </w:pPr>
      <w:hyperlink w:anchor="_Toc291859569" w:history="1">
        <w:r w:rsidR="0048417A" w:rsidRPr="00F65F00">
          <w:rPr>
            <w:rStyle w:val="Hyperlink"/>
          </w:rPr>
          <w:t>Table 7</w:t>
        </w:r>
        <w:r w:rsidR="0048417A">
          <w:rPr>
            <w:rFonts w:ascii="Calibri" w:hAnsi="Calibri"/>
            <w:sz w:val="22"/>
            <w:szCs w:val="22"/>
          </w:rPr>
          <w:tab/>
        </w:r>
        <w:r w:rsidR="0048417A" w:rsidRPr="00F65F00">
          <w:rPr>
            <w:rStyle w:val="Hyperlink"/>
          </w:rPr>
          <w:t>MBS items for capsule endoscopy</w:t>
        </w:r>
        <w:r w:rsidR="0048417A">
          <w:rPr>
            <w:webHidden/>
          </w:rPr>
          <w:tab/>
        </w:r>
        <w:r w:rsidR="0048417A">
          <w:rPr>
            <w:webHidden/>
          </w:rPr>
          <w:fldChar w:fldCharType="begin"/>
        </w:r>
        <w:r w:rsidR="0048417A">
          <w:rPr>
            <w:webHidden/>
          </w:rPr>
          <w:instrText xml:space="preserve"> PAGEREF _Toc291859569 \h </w:instrText>
        </w:r>
        <w:r w:rsidR="0048417A">
          <w:rPr>
            <w:webHidden/>
          </w:rPr>
        </w:r>
        <w:r w:rsidR="0048417A">
          <w:rPr>
            <w:webHidden/>
          </w:rPr>
          <w:fldChar w:fldCharType="separate"/>
        </w:r>
        <w:r w:rsidR="0048417A">
          <w:rPr>
            <w:webHidden/>
          </w:rPr>
          <w:t>28</w:t>
        </w:r>
        <w:r w:rsidR="0048417A">
          <w:rPr>
            <w:webHidden/>
          </w:rPr>
          <w:fldChar w:fldCharType="end"/>
        </w:r>
      </w:hyperlink>
    </w:p>
    <w:p w:rsidR="0048417A" w:rsidRDefault="00B81800">
      <w:pPr>
        <w:pStyle w:val="TableofFigures"/>
        <w:rPr>
          <w:rFonts w:ascii="Calibri" w:hAnsi="Calibri"/>
          <w:sz w:val="22"/>
          <w:szCs w:val="22"/>
        </w:rPr>
      </w:pPr>
      <w:hyperlink w:anchor="_Toc291859570" w:history="1">
        <w:r w:rsidR="0048417A" w:rsidRPr="00F65F00">
          <w:rPr>
            <w:rStyle w:val="Hyperlink"/>
          </w:rPr>
          <w:t>Table 8</w:t>
        </w:r>
        <w:r w:rsidR="0048417A">
          <w:rPr>
            <w:rFonts w:ascii="Calibri" w:hAnsi="Calibri"/>
            <w:sz w:val="22"/>
            <w:szCs w:val="22"/>
          </w:rPr>
          <w:tab/>
        </w:r>
        <w:r w:rsidR="0048417A" w:rsidRPr="00F65F00">
          <w:rPr>
            <w:rStyle w:val="Hyperlink"/>
          </w:rPr>
          <w:t>PPICO criteria and clinical question for the diagnosis of suspected small bowel Crohn’s disease</w:t>
        </w:r>
        <w:r w:rsidR="0048417A">
          <w:rPr>
            <w:webHidden/>
          </w:rPr>
          <w:tab/>
        </w:r>
        <w:r w:rsidR="0048417A">
          <w:rPr>
            <w:webHidden/>
          </w:rPr>
          <w:fldChar w:fldCharType="begin"/>
        </w:r>
        <w:r w:rsidR="0048417A">
          <w:rPr>
            <w:webHidden/>
          </w:rPr>
          <w:instrText xml:space="preserve"> PAGEREF _Toc291859570 \h </w:instrText>
        </w:r>
        <w:r w:rsidR="0048417A">
          <w:rPr>
            <w:webHidden/>
          </w:rPr>
        </w:r>
        <w:r w:rsidR="0048417A">
          <w:rPr>
            <w:webHidden/>
          </w:rPr>
          <w:fldChar w:fldCharType="separate"/>
        </w:r>
        <w:r w:rsidR="0048417A">
          <w:rPr>
            <w:webHidden/>
          </w:rPr>
          <w:t>30</w:t>
        </w:r>
        <w:r w:rsidR="0048417A">
          <w:rPr>
            <w:webHidden/>
          </w:rPr>
          <w:fldChar w:fldCharType="end"/>
        </w:r>
      </w:hyperlink>
    </w:p>
    <w:p w:rsidR="0048417A" w:rsidRDefault="00B81800">
      <w:pPr>
        <w:pStyle w:val="TableofFigures"/>
        <w:rPr>
          <w:rFonts w:ascii="Calibri" w:hAnsi="Calibri"/>
          <w:sz w:val="22"/>
          <w:szCs w:val="22"/>
        </w:rPr>
      </w:pPr>
      <w:hyperlink w:anchor="_Toc291859571" w:history="1">
        <w:r w:rsidR="0048417A" w:rsidRPr="00F65F00">
          <w:rPr>
            <w:rStyle w:val="Hyperlink"/>
          </w:rPr>
          <w:t>Table 9</w:t>
        </w:r>
        <w:r w:rsidR="0048417A">
          <w:rPr>
            <w:rFonts w:ascii="Calibri" w:hAnsi="Calibri"/>
            <w:sz w:val="22"/>
            <w:szCs w:val="22"/>
          </w:rPr>
          <w:tab/>
        </w:r>
        <w:r w:rsidR="0048417A" w:rsidRPr="00F65F00">
          <w:rPr>
            <w:rStyle w:val="Hyperlink"/>
          </w:rPr>
          <w:t>Electronic databases searched</w:t>
        </w:r>
        <w:r w:rsidR="0048417A">
          <w:rPr>
            <w:webHidden/>
          </w:rPr>
          <w:tab/>
        </w:r>
        <w:r w:rsidR="0048417A">
          <w:rPr>
            <w:webHidden/>
          </w:rPr>
          <w:fldChar w:fldCharType="begin"/>
        </w:r>
        <w:r w:rsidR="0048417A">
          <w:rPr>
            <w:webHidden/>
          </w:rPr>
          <w:instrText xml:space="preserve"> PAGEREF _Toc291859571 \h </w:instrText>
        </w:r>
        <w:r w:rsidR="0048417A">
          <w:rPr>
            <w:webHidden/>
          </w:rPr>
        </w:r>
        <w:r w:rsidR="0048417A">
          <w:rPr>
            <w:webHidden/>
          </w:rPr>
          <w:fldChar w:fldCharType="separate"/>
        </w:r>
        <w:r w:rsidR="0048417A">
          <w:rPr>
            <w:webHidden/>
          </w:rPr>
          <w:t>33</w:t>
        </w:r>
        <w:r w:rsidR="0048417A">
          <w:rPr>
            <w:webHidden/>
          </w:rPr>
          <w:fldChar w:fldCharType="end"/>
        </w:r>
      </w:hyperlink>
    </w:p>
    <w:p w:rsidR="0048417A" w:rsidRDefault="00B81800">
      <w:pPr>
        <w:pStyle w:val="TableofFigures"/>
        <w:rPr>
          <w:rFonts w:ascii="Calibri" w:hAnsi="Calibri"/>
          <w:sz w:val="22"/>
          <w:szCs w:val="22"/>
        </w:rPr>
      </w:pPr>
      <w:hyperlink w:anchor="_Toc291859572" w:history="1">
        <w:r w:rsidR="0048417A" w:rsidRPr="00F65F00">
          <w:rPr>
            <w:rStyle w:val="Hyperlink"/>
          </w:rPr>
          <w:t>Table 10</w:t>
        </w:r>
        <w:r w:rsidR="0048417A">
          <w:rPr>
            <w:rFonts w:ascii="Calibri" w:hAnsi="Calibri"/>
            <w:sz w:val="22"/>
            <w:szCs w:val="22"/>
          </w:rPr>
          <w:tab/>
        </w:r>
        <w:r w:rsidR="0048417A" w:rsidRPr="00F65F00">
          <w:rPr>
            <w:rStyle w:val="Hyperlink"/>
          </w:rPr>
          <w:t>Clinical trials databases searched to identify ongoing studies</w:t>
        </w:r>
        <w:r w:rsidR="0048417A">
          <w:rPr>
            <w:webHidden/>
          </w:rPr>
          <w:tab/>
        </w:r>
        <w:r w:rsidR="0048417A">
          <w:rPr>
            <w:webHidden/>
          </w:rPr>
          <w:fldChar w:fldCharType="begin"/>
        </w:r>
        <w:r w:rsidR="0048417A">
          <w:rPr>
            <w:webHidden/>
          </w:rPr>
          <w:instrText xml:space="preserve"> PAGEREF _Toc291859572 \h </w:instrText>
        </w:r>
        <w:r w:rsidR="0048417A">
          <w:rPr>
            <w:webHidden/>
          </w:rPr>
        </w:r>
        <w:r w:rsidR="0048417A">
          <w:rPr>
            <w:webHidden/>
          </w:rPr>
          <w:fldChar w:fldCharType="separate"/>
        </w:r>
        <w:r w:rsidR="0048417A">
          <w:rPr>
            <w:webHidden/>
          </w:rPr>
          <w:t>33</w:t>
        </w:r>
        <w:r w:rsidR="0048417A">
          <w:rPr>
            <w:webHidden/>
          </w:rPr>
          <w:fldChar w:fldCharType="end"/>
        </w:r>
      </w:hyperlink>
    </w:p>
    <w:p w:rsidR="0048417A" w:rsidRDefault="00B81800">
      <w:pPr>
        <w:pStyle w:val="TableofFigures"/>
        <w:rPr>
          <w:rFonts w:ascii="Calibri" w:hAnsi="Calibri"/>
          <w:sz w:val="22"/>
          <w:szCs w:val="22"/>
        </w:rPr>
      </w:pPr>
      <w:hyperlink w:anchor="_Toc291859573" w:history="1">
        <w:r w:rsidR="0048417A" w:rsidRPr="00F65F00">
          <w:rPr>
            <w:rStyle w:val="Hyperlink"/>
          </w:rPr>
          <w:t>Table 11</w:t>
        </w:r>
        <w:r w:rsidR="0048417A">
          <w:rPr>
            <w:rFonts w:ascii="Calibri" w:hAnsi="Calibri"/>
            <w:sz w:val="22"/>
            <w:szCs w:val="22"/>
          </w:rPr>
          <w:tab/>
        </w:r>
        <w:r w:rsidR="0048417A" w:rsidRPr="00F65F00">
          <w:rPr>
            <w:rStyle w:val="Hyperlink"/>
          </w:rPr>
          <w:t>Search strategy for EMBASE.com (containing MEDLINE and EMBASE)</w:t>
        </w:r>
        <w:r w:rsidR="0048417A">
          <w:rPr>
            <w:webHidden/>
          </w:rPr>
          <w:tab/>
        </w:r>
        <w:r w:rsidR="0048417A">
          <w:rPr>
            <w:webHidden/>
          </w:rPr>
          <w:fldChar w:fldCharType="begin"/>
        </w:r>
        <w:r w:rsidR="0048417A">
          <w:rPr>
            <w:webHidden/>
          </w:rPr>
          <w:instrText xml:space="preserve"> PAGEREF _Toc291859573 \h </w:instrText>
        </w:r>
        <w:r w:rsidR="0048417A">
          <w:rPr>
            <w:webHidden/>
          </w:rPr>
        </w:r>
        <w:r w:rsidR="0048417A">
          <w:rPr>
            <w:webHidden/>
          </w:rPr>
          <w:fldChar w:fldCharType="separate"/>
        </w:r>
        <w:r w:rsidR="0048417A">
          <w:rPr>
            <w:webHidden/>
          </w:rPr>
          <w:t>34</w:t>
        </w:r>
        <w:r w:rsidR="0048417A">
          <w:rPr>
            <w:webHidden/>
          </w:rPr>
          <w:fldChar w:fldCharType="end"/>
        </w:r>
      </w:hyperlink>
    </w:p>
    <w:p w:rsidR="0048417A" w:rsidRDefault="00B81800">
      <w:pPr>
        <w:pStyle w:val="TableofFigures"/>
        <w:rPr>
          <w:rFonts w:ascii="Calibri" w:hAnsi="Calibri"/>
          <w:sz w:val="22"/>
          <w:szCs w:val="22"/>
        </w:rPr>
      </w:pPr>
      <w:hyperlink w:anchor="_Toc291859574" w:history="1">
        <w:r w:rsidR="0048417A" w:rsidRPr="00F65F00">
          <w:rPr>
            <w:rStyle w:val="Hyperlink"/>
          </w:rPr>
          <w:t>Table 12</w:t>
        </w:r>
        <w:r w:rsidR="0048417A">
          <w:rPr>
            <w:rFonts w:ascii="Calibri" w:hAnsi="Calibri"/>
            <w:sz w:val="22"/>
            <w:szCs w:val="22"/>
          </w:rPr>
          <w:tab/>
        </w:r>
        <w:r w:rsidR="0048417A" w:rsidRPr="00F65F00">
          <w:rPr>
            <w:rStyle w:val="Hyperlink"/>
          </w:rPr>
          <w:t>Selection criteria for the identification of relevant studies</w:t>
        </w:r>
        <w:r w:rsidR="0048417A">
          <w:rPr>
            <w:webHidden/>
          </w:rPr>
          <w:tab/>
        </w:r>
        <w:r w:rsidR="0048417A">
          <w:rPr>
            <w:webHidden/>
          </w:rPr>
          <w:fldChar w:fldCharType="begin"/>
        </w:r>
        <w:r w:rsidR="0048417A">
          <w:rPr>
            <w:webHidden/>
          </w:rPr>
          <w:instrText xml:space="preserve"> PAGEREF _Toc291859574 \h </w:instrText>
        </w:r>
        <w:r w:rsidR="0048417A">
          <w:rPr>
            <w:webHidden/>
          </w:rPr>
        </w:r>
        <w:r w:rsidR="0048417A">
          <w:rPr>
            <w:webHidden/>
          </w:rPr>
          <w:fldChar w:fldCharType="separate"/>
        </w:r>
        <w:r w:rsidR="0048417A">
          <w:rPr>
            <w:webHidden/>
          </w:rPr>
          <w:t>35</w:t>
        </w:r>
        <w:r w:rsidR="0048417A">
          <w:rPr>
            <w:webHidden/>
          </w:rPr>
          <w:fldChar w:fldCharType="end"/>
        </w:r>
      </w:hyperlink>
    </w:p>
    <w:p w:rsidR="0048417A" w:rsidRDefault="00B81800">
      <w:pPr>
        <w:pStyle w:val="TableofFigures"/>
        <w:rPr>
          <w:rFonts w:ascii="Calibri" w:hAnsi="Calibri"/>
          <w:sz w:val="22"/>
          <w:szCs w:val="22"/>
        </w:rPr>
      </w:pPr>
      <w:hyperlink w:anchor="_Toc291859575" w:history="1">
        <w:r w:rsidR="0048417A" w:rsidRPr="00F65F00">
          <w:rPr>
            <w:rStyle w:val="Hyperlink"/>
          </w:rPr>
          <w:t>Table 13</w:t>
        </w:r>
        <w:r w:rsidR="0048417A">
          <w:rPr>
            <w:rFonts w:ascii="Calibri" w:hAnsi="Calibri"/>
            <w:sz w:val="22"/>
            <w:szCs w:val="22"/>
          </w:rPr>
          <w:tab/>
        </w:r>
        <w:r w:rsidR="0048417A" w:rsidRPr="00F65F00">
          <w:rPr>
            <w:rStyle w:val="Hyperlink"/>
          </w:rPr>
          <w:t>Evidence dimensions</w:t>
        </w:r>
        <w:r w:rsidR="0048417A">
          <w:rPr>
            <w:webHidden/>
          </w:rPr>
          <w:tab/>
        </w:r>
        <w:r w:rsidR="0048417A">
          <w:rPr>
            <w:webHidden/>
          </w:rPr>
          <w:fldChar w:fldCharType="begin"/>
        </w:r>
        <w:r w:rsidR="0048417A">
          <w:rPr>
            <w:webHidden/>
          </w:rPr>
          <w:instrText xml:space="preserve"> PAGEREF _Toc291859575 \h </w:instrText>
        </w:r>
        <w:r w:rsidR="0048417A">
          <w:rPr>
            <w:webHidden/>
          </w:rPr>
        </w:r>
        <w:r w:rsidR="0048417A">
          <w:rPr>
            <w:webHidden/>
          </w:rPr>
          <w:fldChar w:fldCharType="separate"/>
        </w:r>
        <w:r w:rsidR="0048417A">
          <w:rPr>
            <w:webHidden/>
          </w:rPr>
          <w:t>39</w:t>
        </w:r>
        <w:r w:rsidR="0048417A">
          <w:rPr>
            <w:webHidden/>
          </w:rPr>
          <w:fldChar w:fldCharType="end"/>
        </w:r>
      </w:hyperlink>
    </w:p>
    <w:p w:rsidR="0048417A" w:rsidRDefault="00B81800">
      <w:pPr>
        <w:pStyle w:val="TableofFigures"/>
        <w:rPr>
          <w:rFonts w:ascii="Calibri" w:hAnsi="Calibri"/>
          <w:sz w:val="22"/>
          <w:szCs w:val="22"/>
        </w:rPr>
      </w:pPr>
      <w:hyperlink w:anchor="_Toc291859576" w:history="1">
        <w:r w:rsidR="0048417A" w:rsidRPr="00F65F00">
          <w:rPr>
            <w:rStyle w:val="Hyperlink"/>
          </w:rPr>
          <w:t>Table 14</w:t>
        </w:r>
        <w:r w:rsidR="0048417A">
          <w:rPr>
            <w:rFonts w:ascii="Calibri" w:hAnsi="Calibri"/>
            <w:sz w:val="22"/>
            <w:szCs w:val="22"/>
          </w:rPr>
          <w:tab/>
        </w:r>
        <w:r w:rsidR="0048417A" w:rsidRPr="00F65F00">
          <w:rPr>
            <w:rStyle w:val="Hyperlink"/>
          </w:rPr>
          <w:t>Designations of levels of evidence according to type of research question (including table notes) from NHMRC (2008; 2009).</w:t>
        </w:r>
        <w:r w:rsidR="0048417A">
          <w:rPr>
            <w:webHidden/>
          </w:rPr>
          <w:tab/>
        </w:r>
        <w:r w:rsidR="0048417A">
          <w:rPr>
            <w:webHidden/>
          </w:rPr>
          <w:fldChar w:fldCharType="begin"/>
        </w:r>
        <w:r w:rsidR="0048417A">
          <w:rPr>
            <w:webHidden/>
          </w:rPr>
          <w:instrText xml:space="preserve"> PAGEREF _Toc291859576 \h </w:instrText>
        </w:r>
        <w:r w:rsidR="0048417A">
          <w:rPr>
            <w:webHidden/>
          </w:rPr>
        </w:r>
        <w:r w:rsidR="0048417A">
          <w:rPr>
            <w:webHidden/>
          </w:rPr>
          <w:fldChar w:fldCharType="separate"/>
        </w:r>
        <w:r w:rsidR="0048417A">
          <w:rPr>
            <w:webHidden/>
          </w:rPr>
          <w:t>40</w:t>
        </w:r>
        <w:r w:rsidR="0048417A">
          <w:rPr>
            <w:webHidden/>
          </w:rPr>
          <w:fldChar w:fldCharType="end"/>
        </w:r>
      </w:hyperlink>
    </w:p>
    <w:p w:rsidR="0048417A" w:rsidRDefault="00B81800">
      <w:pPr>
        <w:pStyle w:val="TableofFigures"/>
        <w:rPr>
          <w:rFonts w:ascii="Calibri" w:hAnsi="Calibri"/>
          <w:sz w:val="22"/>
          <w:szCs w:val="22"/>
        </w:rPr>
      </w:pPr>
      <w:hyperlink w:anchor="_Toc291859577" w:history="1">
        <w:r w:rsidR="0048417A" w:rsidRPr="00F65F00">
          <w:rPr>
            <w:rStyle w:val="Hyperlink"/>
          </w:rPr>
          <w:t>Table 15</w:t>
        </w:r>
        <w:r w:rsidR="0048417A">
          <w:rPr>
            <w:rFonts w:ascii="Calibri" w:hAnsi="Calibri"/>
            <w:sz w:val="22"/>
            <w:szCs w:val="22"/>
          </w:rPr>
          <w:tab/>
        </w:r>
        <w:r w:rsidR="0048417A" w:rsidRPr="00F65F00">
          <w:rPr>
            <w:rStyle w:val="Hyperlink"/>
          </w:rPr>
          <w:t>Grading system used to rank included studies</w:t>
        </w:r>
        <w:r w:rsidR="0048417A">
          <w:rPr>
            <w:webHidden/>
          </w:rPr>
          <w:tab/>
        </w:r>
        <w:r w:rsidR="0048417A">
          <w:rPr>
            <w:webHidden/>
          </w:rPr>
          <w:fldChar w:fldCharType="begin"/>
        </w:r>
        <w:r w:rsidR="0048417A">
          <w:rPr>
            <w:webHidden/>
          </w:rPr>
          <w:instrText xml:space="preserve"> PAGEREF _Toc291859577 \h </w:instrText>
        </w:r>
        <w:r w:rsidR="0048417A">
          <w:rPr>
            <w:webHidden/>
          </w:rPr>
        </w:r>
        <w:r w:rsidR="0048417A">
          <w:rPr>
            <w:webHidden/>
          </w:rPr>
          <w:fldChar w:fldCharType="separate"/>
        </w:r>
        <w:r w:rsidR="0048417A">
          <w:rPr>
            <w:webHidden/>
          </w:rPr>
          <w:t>41</w:t>
        </w:r>
        <w:r w:rsidR="0048417A">
          <w:rPr>
            <w:webHidden/>
          </w:rPr>
          <w:fldChar w:fldCharType="end"/>
        </w:r>
      </w:hyperlink>
    </w:p>
    <w:p w:rsidR="0048417A" w:rsidRDefault="00B81800">
      <w:pPr>
        <w:pStyle w:val="TableofFigures"/>
        <w:rPr>
          <w:rFonts w:ascii="Calibri" w:hAnsi="Calibri"/>
          <w:sz w:val="22"/>
          <w:szCs w:val="22"/>
        </w:rPr>
      </w:pPr>
      <w:hyperlink w:anchor="_Toc291859578" w:history="1">
        <w:r w:rsidR="0048417A" w:rsidRPr="00F65F00">
          <w:rPr>
            <w:rStyle w:val="Hyperlink"/>
          </w:rPr>
          <w:t>Table 16</w:t>
        </w:r>
        <w:r w:rsidR="0048417A">
          <w:rPr>
            <w:rFonts w:ascii="Calibri" w:hAnsi="Calibri"/>
            <w:sz w:val="22"/>
            <w:szCs w:val="22"/>
          </w:rPr>
          <w:tab/>
        </w:r>
        <w:r w:rsidR="0048417A" w:rsidRPr="00F65F00">
          <w:rPr>
            <w:rStyle w:val="Hyperlink"/>
          </w:rPr>
          <w:t>Criteria used to assess the quality of diagnostic accuracy studies – the QUADAS tool (Adapted from Whiting et al 2003)).</w:t>
        </w:r>
        <w:r w:rsidR="0048417A">
          <w:rPr>
            <w:webHidden/>
          </w:rPr>
          <w:tab/>
        </w:r>
        <w:r w:rsidR="0048417A">
          <w:rPr>
            <w:webHidden/>
          </w:rPr>
          <w:fldChar w:fldCharType="begin"/>
        </w:r>
        <w:r w:rsidR="0048417A">
          <w:rPr>
            <w:webHidden/>
          </w:rPr>
          <w:instrText xml:space="preserve"> PAGEREF _Toc291859578 \h </w:instrText>
        </w:r>
        <w:r w:rsidR="0048417A">
          <w:rPr>
            <w:webHidden/>
          </w:rPr>
        </w:r>
        <w:r w:rsidR="0048417A">
          <w:rPr>
            <w:webHidden/>
          </w:rPr>
          <w:fldChar w:fldCharType="separate"/>
        </w:r>
        <w:r w:rsidR="0048417A">
          <w:rPr>
            <w:webHidden/>
          </w:rPr>
          <w:t>42</w:t>
        </w:r>
        <w:r w:rsidR="0048417A">
          <w:rPr>
            <w:webHidden/>
          </w:rPr>
          <w:fldChar w:fldCharType="end"/>
        </w:r>
      </w:hyperlink>
    </w:p>
    <w:p w:rsidR="0048417A" w:rsidRDefault="00B81800">
      <w:pPr>
        <w:pStyle w:val="TableofFigures"/>
        <w:rPr>
          <w:rFonts w:ascii="Calibri" w:hAnsi="Calibri"/>
          <w:sz w:val="22"/>
          <w:szCs w:val="22"/>
        </w:rPr>
      </w:pPr>
      <w:hyperlink w:anchor="_Toc291859579" w:history="1">
        <w:r w:rsidR="0048417A" w:rsidRPr="00F65F00">
          <w:rPr>
            <w:rStyle w:val="Hyperlink"/>
          </w:rPr>
          <w:t>Table 17</w:t>
        </w:r>
        <w:r w:rsidR="0048417A">
          <w:rPr>
            <w:rFonts w:ascii="Calibri" w:hAnsi="Calibri"/>
            <w:sz w:val="22"/>
            <w:szCs w:val="22"/>
          </w:rPr>
          <w:tab/>
        </w:r>
        <w:r w:rsidR="0048417A" w:rsidRPr="00F65F00">
          <w:rPr>
            <w:rStyle w:val="Hyperlink"/>
          </w:rPr>
          <w:t>Criteria used to assess the quality of effectiveness studies (adapted from NHMRC (2000a) and CRD (2009))</w:t>
        </w:r>
        <w:r w:rsidR="0048417A">
          <w:rPr>
            <w:webHidden/>
          </w:rPr>
          <w:tab/>
        </w:r>
        <w:r w:rsidR="0048417A">
          <w:rPr>
            <w:webHidden/>
          </w:rPr>
          <w:fldChar w:fldCharType="begin"/>
        </w:r>
        <w:r w:rsidR="0048417A">
          <w:rPr>
            <w:webHidden/>
          </w:rPr>
          <w:instrText xml:space="preserve"> PAGEREF _Toc291859579 \h </w:instrText>
        </w:r>
        <w:r w:rsidR="0048417A">
          <w:rPr>
            <w:webHidden/>
          </w:rPr>
        </w:r>
        <w:r w:rsidR="0048417A">
          <w:rPr>
            <w:webHidden/>
          </w:rPr>
          <w:fldChar w:fldCharType="separate"/>
        </w:r>
        <w:r w:rsidR="0048417A">
          <w:rPr>
            <w:webHidden/>
          </w:rPr>
          <w:t>42</w:t>
        </w:r>
        <w:r w:rsidR="0048417A">
          <w:rPr>
            <w:webHidden/>
          </w:rPr>
          <w:fldChar w:fldCharType="end"/>
        </w:r>
      </w:hyperlink>
    </w:p>
    <w:p w:rsidR="0048417A" w:rsidRDefault="00B81800">
      <w:pPr>
        <w:pStyle w:val="TableofFigures"/>
        <w:rPr>
          <w:rFonts w:ascii="Calibri" w:hAnsi="Calibri"/>
          <w:sz w:val="22"/>
          <w:szCs w:val="22"/>
        </w:rPr>
      </w:pPr>
      <w:hyperlink w:anchor="_Toc291859580" w:history="1">
        <w:r w:rsidR="0048417A" w:rsidRPr="00F65F00">
          <w:rPr>
            <w:rStyle w:val="Hyperlink"/>
          </w:rPr>
          <w:t>Table 18</w:t>
        </w:r>
        <w:r w:rsidR="0048417A">
          <w:rPr>
            <w:rFonts w:ascii="Calibri" w:hAnsi="Calibri"/>
            <w:sz w:val="22"/>
            <w:szCs w:val="22"/>
          </w:rPr>
          <w:tab/>
        </w:r>
        <w:r w:rsidR="0048417A" w:rsidRPr="00F65F00">
          <w:rPr>
            <w:rStyle w:val="Hyperlink"/>
          </w:rPr>
          <w:t>Criteria used to assess the quality of therapeutic impact studies (Adapted from Guyatt et al 1986)</w:t>
        </w:r>
        <w:r w:rsidR="0048417A">
          <w:rPr>
            <w:webHidden/>
          </w:rPr>
          <w:tab/>
        </w:r>
        <w:r w:rsidR="0048417A">
          <w:rPr>
            <w:webHidden/>
          </w:rPr>
          <w:fldChar w:fldCharType="begin"/>
        </w:r>
        <w:r w:rsidR="0048417A">
          <w:rPr>
            <w:webHidden/>
          </w:rPr>
          <w:instrText xml:space="preserve"> PAGEREF _Toc291859580 \h </w:instrText>
        </w:r>
        <w:r w:rsidR="0048417A">
          <w:rPr>
            <w:webHidden/>
          </w:rPr>
        </w:r>
        <w:r w:rsidR="0048417A">
          <w:rPr>
            <w:webHidden/>
          </w:rPr>
          <w:fldChar w:fldCharType="separate"/>
        </w:r>
        <w:r w:rsidR="0048417A">
          <w:rPr>
            <w:webHidden/>
          </w:rPr>
          <w:t>43</w:t>
        </w:r>
        <w:r w:rsidR="0048417A">
          <w:rPr>
            <w:webHidden/>
          </w:rPr>
          <w:fldChar w:fldCharType="end"/>
        </w:r>
      </w:hyperlink>
    </w:p>
    <w:p w:rsidR="0048417A" w:rsidRDefault="00B81800">
      <w:pPr>
        <w:pStyle w:val="TableofFigures"/>
        <w:rPr>
          <w:rFonts w:ascii="Calibri" w:hAnsi="Calibri"/>
          <w:sz w:val="22"/>
          <w:szCs w:val="22"/>
        </w:rPr>
      </w:pPr>
      <w:hyperlink w:anchor="_Toc291859581" w:history="1">
        <w:r w:rsidR="0048417A" w:rsidRPr="00F65F00">
          <w:rPr>
            <w:rStyle w:val="Hyperlink"/>
          </w:rPr>
          <w:t>Table 19</w:t>
        </w:r>
        <w:r w:rsidR="0048417A">
          <w:rPr>
            <w:rFonts w:ascii="Calibri" w:hAnsi="Calibri"/>
            <w:sz w:val="22"/>
            <w:szCs w:val="22"/>
          </w:rPr>
          <w:tab/>
        </w:r>
        <w:r w:rsidR="0048417A" w:rsidRPr="00F65F00">
          <w:rPr>
            <w:rStyle w:val="Hyperlink"/>
          </w:rPr>
          <w:t>Body of evidence assessment matrix</w:t>
        </w:r>
        <w:r w:rsidR="0048417A">
          <w:rPr>
            <w:webHidden/>
          </w:rPr>
          <w:tab/>
        </w:r>
        <w:r w:rsidR="0048417A">
          <w:rPr>
            <w:webHidden/>
          </w:rPr>
          <w:fldChar w:fldCharType="begin"/>
        </w:r>
        <w:r w:rsidR="0048417A">
          <w:rPr>
            <w:webHidden/>
          </w:rPr>
          <w:instrText xml:space="preserve"> PAGEREF _Toc291859581 \h </w:instrText>
        </w:r>
        <w:r w:rsidR="0048417A">
          <w:rPr>
            <w:webHidden/>
          </w:rPr>
        </w:r>
        <w:r w:rsidR="0048417A">
          <w:rPr>
            <w:webHidden/>
          </w:rPr>
          <w:fldChar w:fldCharType="separate"/>
        </w:r>
        <w:r w:rsidR="0048417A">
          <w:rPr>
            <w:webHidden/>
          </w:rPr>
          <w:t>45</w:t>
        </w:r>
        <w:r w:rsidR="0048417A">
          <w:rPr>
            <w:webHidden/>
          </w:rPr>
          <w:fldChar w:fldCharType="end"/>
        </w:r>
      </w:hyperlink>
    </w:p>
    <w:p w:rsidR="0048417A" w:rsidRDefault="00B81800">
      <w:pPr>
        <w:pStyle w:val="TableofFigures"/>
        <w:rPr>
          <w:rFonts w:ascii="Calibri" w:hAnsi="Calibri"/>
          <w:sz w:val="22"/>
          <w:szCs w:val="22"/>
        </w:rPr>
      </w:pPr>
      <w:hyperlink w:anchor="_Toc291859582" w:history="1">
        <w:r w:rsidR="0048417A" w:rsidRPr="00F65F00">
          <w:rPr>
            <w:rStyle w:val="Hyperlink"/>
          </w:rPr>
          <w:t>Table 20</w:t>
        </w:r>
        <w:r w:rsidR="0048417A">
          <w:rPr>
            <w:rFonts w:ascii="Calibri" w:hAnsi="Calibri"/>
            <w:sz w:val="22"/>
            <w:szCs w:val="22"/>
          </w:rPr>
          <w:tab/>
        </w:r>
        <w:r w:rsidR="0048417A" w:rsidRPr="00F65F00">
          <w:rPr>
            <w:rStyle w:val="Hyperlink"/>
          </w:rPr>
          <w:t>Relevant studies of capsule endoscopy included in the review</w:t>
        </w:r>
        <w:r w:rsidR="0048417A">
          <w:rPr>
            <w:webHidden/>
          </w:rPr>
          <w:tab/>
        </w:r>
        <w:r w:rsidR="0048417A">
          <w:rPr>
            <w:webHidden/>
          </w:rPr>
          <w:fldChar w:fldCharType="begin"/>
        </w:r>
        <w:r w:rsidR="0048417A">
          <w:rPr>
            <w:webHidden/>
          </w:rPr>
          <w:instrText xml:space="preserve"> PAGEREF _Toc291859582 \h </w:instrText>
        </w:r>
        <w:r w:rsidR="0048417A">
          <w:rPr>
            <w:webHidden/>
          </w:rPr>
        </w:r>
        <w:r w:rsidR="0048417A">
          <w:rPr>
            <w:webHidden/>
          </w:rPr>
          <w:fldChar w:fldCharType="separate"/>
        </w:r>
        <w:r w:rsidR="0048417A">
          <w:rPr>
            <w:webHidden/>
          </w:rPr>
          <w:t>46</w:t>
        </w:r>
        <w:r w:rsidR="0048417A">
          <w:rPr>
            <w:webHidden/>
          </w:rPr>
          <w:fldChar w:fldCharType="end"/>
        </w:r>
      </w:hyperlink>
    </w:p>
    <w:p w:rsidR="0048417A" w:rsidRDefault="00B81800">
      <w:pPr>
        <w:pStyle w:val="TableofFigures"/>
        <w:rPr>
          <w:rFonts w:ascii="Calibri" w:hAnsi="Calibri"/>
          <w:sz w:val="22"/>
          <w:szCs w:val="22"/>
        </w:rPr>
      </w:pPr>
      <w:hyperlink w:anchor="_Toc291859583" w:history="1">
        <w:r w:rsidR="0048417A" w:rsidRPr="00F65F00">
          <w:rPr>
            <w:rStyle w:val="Hyperlink"/>
          </w:rPr>
          <w:t>Table 21</w:t>
        </w:r>
        <w:r w:rsidR="0048417A">
          <w:rPr>
            <w:rFonts w:ascii="Calibri" w:hAnsi="Calibri"/>
            <w:sz w:val="22"/>
            <w:szCs w:val="22"/>
          </w:rPr>
          <w:tab/>
        </w:r>
        <w:r w:rsidR="0048417A" w:rsidRPr="00F65F00">
          <w:rPr>
            <w:rStyle w:val="Hyperlink"/>
          </w:rPr>
          <w:t>Adverse events from capsule endoscopy for small bowel Crohn’s disease</w:t>
        </w:r>
        <w:r w:rsidR="0048417A">
          <w:rPr>
            <w:webHidden/>
          </w:rPr>
          <w:tab/>
        </w:r>
        <w:r w:rsidR="0048417A">
          <w:rPr>
            <w:webHidden/>
          </w:rPr>
          <w:fldChar w:fldCharType="begin"/>
        </w:r>
        <w:r w:rsidR="0048417A">
          <w:rPr>
            <w:webHidden/>
          </w:rPr>
          <w:instrText xml:space="preserve"> PAGEREF _Toc291859583 \h </w:instrText>
        </w:r>
        <w:r w:rsidR="0048417A">
          <w:rPr>
            <w:webHidden/>
          </w:rPr>
        </w:r>
        <w:r w:rsidR="0048417A">
          <w:rPr>
            <w:webHidden/>
          </w:rPr>
          <w:fldChar w:fldCharType="separate"/>
        </w:r>
        <w:r w:rsidR="0048417A">
          <w:rPr>
            <w:webHidden/>
          </w:rPr>
          <w:t>47</w:t>
        </w:r>
        <w:r w:rsidR="0048417A">
          <w:rPr>
            <w:webHidden/>
          </w:rPr>
          <w:fldChar w:fldCharType="end"/>
        </w:r>
      </w:hyperlink>
    </w:p>
    <w:p w:rsidR="0048417A" w:rsidRDefault="00B81800">
      <w:pPr>
        <w:pStyle w:val="TableofFigures"/>
        <w:rPr>
          <w:rFonts w:ascii="Calibri" w:hAnsi="Calibri"/>
          <w:sz w:val="22"/>
          <w:szCs w:val="22"/>
        </w:rPr>
      </w:pPr>
      <w:hyperlink w:anchor="_Toc291859584" w:history="1">
        <w:r w:rsidR="0048417A" w:rsidRPr="00F65F00">
          <w:rPr>
            <w:rStyle w:val="Hyperlink"/>
          </w:rPr>
          <w:t>Table 22</w:t>
        </w:r>
        <w:r w:rsidR="0048417A">
          <w:rPr>
            <w:rFonts w:ascii="Calibri" w:hAnsi="Calibri"/>
            <w:sz w:val="22"/>
            <w:szCs w:val="22"/>
          </w:rPr>
          <w:tab/>
        </w:r>
        <w:r w:rsidR="0048417A" w:rsidRPr="00F65F00">
          <w:rPr>
            <w:rStyle w:val="Hyperlink"/>
          </w:rPr>
          <w:t>Characteristics and appraisal of included HTA reports and systematic reviews</w:t>
        </w:r>
        <w:r w:rsidR="0048417A">
          <w:rPr>
            <w:webHidden/>
          </w:rPr>
          <w:tab/>
        </w:r>
        <w:r w:rsidR="0048417A">
          <w:rPr>
            <w:webHidden/>
          </w:rPr>
          <w:fldChar w:fldCharType="begin"/>
        </w:r>
        <w:r w:rsidR="0048417A">
          <w:rPr>
            <w:webHidden/>
          </w:rPr>
          <w:instrText xml:space="preserve"> PAGEREF _Toc291859584 \h </w:instrText>
        </w:r>
        <w:r w:rsidR="0048417A">
          <w:rPr>
            <w:webHidden/>
          </w:rPr>
        </w:r>
        <w:r w:rsidR="0048417A">
          <w:rPr>
            <w:webHidden/>
          </w:rPr>
          <w:fldChar w:fldCharType="separate"/>
        </w:r>
        <w:r w:rsidR="0048417A">
          <w:rPr>
            <w:webHidden/>
          </w:rPr>
          <w:t>53</w:t>
        </w:r>
        <w:r w:rsidR="0048417A">
          <w:rPr>
            <w:webHidden/>
          </w:rPr>
          <w:fldChar w:fldCharType="end"/>
        </w:r>
      </w:hyperlink>
    </w:p>
    <w:p w:rsidR="0048417A" w:rsidRDefault="00B81800">
      <w:pPr>
        <w:pStyle w:val="TableofFigures"/>
        <w:rPr>
          <w:rFonts w:ascii="Calibri" w:hAnsi="Calibri"/>
          <w:sz w:val="22"/>
          <w:szCs w:val="22"/>
        </w:rPr>
      </w:pPr>
      <w:hyperlink w:anchor="_Toc291859585" w:history="1">
        <w:r w:rsidR="0048417A" w:rsidRPr="00F65F00">
          <w:rPr>
            <w:rStyle w:val="Hyperlink"/>
          </w:rPr>
          <w:t>Table 23</w:t>
        </w:r>
        <w:r w:rsidR="0048417A">
          <w:rPr>
            <w:rFonts w:ascii="Calibri" w:hAnsi="Calibri"/>
            <w:sz w:val="22"/>
            <w:szCs w:val="22"/>
          </w:rPr>
          <w:tab/>
        </w:r>
        <w:r w:rsidR="0048417A" w:rsidRPr="00F65F00">
          <w:rPr>
            <w:rStyle w:val="Hyperlink"/>
          </w:rPr>
          <w:t>Characteristics and appraisal of included accuracy studies</w:t>
        </w:r>
        <w:r w:rsidR="0048417A">
          <w:rPr>
            <w:webHidden/>
          </w:rPr>
          <w:tab/>
        </w:r>
        <w:r w:rsidR="0048417A">
          <w:rPr>
            <w:webHidden/>
          </w:rPr>
          <w:fldChar w:fldCharType="begin"/>
        </w:r>
        <w:r w:rsidR="0048417A">
          <w:rPr>
            <w:webHidden/>
          </w:rPr>
          <w:instrText xml:space="preserve"> PAGEREF _Toc291859585 \h </w:instrText>
        </w:r>
        <w:r w:rsidR="0048417A">
          <w:rPr>
            <w:webHidden/>
          </w:rPr>
        </w:r>
        <w:r w:rsidR="0048417A">
          <w:rPr>
            <w:webHidden/>
          </w:rPr>
          <w:fldChar w:fldCharType="separate"/>
        </w:r>
        <w:r w:rsidR="0048417A">
          <w:rPr>
            <w:webHidden/>
          </w:rPr>
          <w:t>56</w:t>
        </w:r>
        <w:r w:rsidR="0048417A">
          <w:rPr>
            <w:webHidden/>
          </w:rPr>
          <w:fldChar w:fldCharType="end"/>
        </w:r>
      </w:hyperlink>
    </w:p>
    <w:p w:rsidR="0048417A" w:rsidRDefault="00B81800">
      <w:pPr>
        <w:pStyle w:val="TableofFigures"/>
        <w:rPr>
          <w:rFonts w:ascii="Calibri" w:hAnsi="Calibri"/>
          <w:sz w:val="22"/>
          <w:szCs w:val="22"/>
        </w:rPr>
      </w:pPr>
      <w:hyperlink w:anchor="_Toc291859586" w:history="1">
        <w:r w:rsidR="0048417A" w:rsidRPr="00F65F00">
          <w:rPr>
            <w:rStyle w:val="Hyperlink"/>
          </w:rPr>
          <w:t>Table 24</w:t>
        </w:r>
        <w:r w:rsidR="0048417A">
          <w:rPr>
            <w:rFonts w:ascii="Calibri" w:hAnsi="Calibri"/>
            <w:sz w:val="22"/>
            <w:szCs w:val="22"/>
          </w:rPr>
          <w:tab/>
        </w:r>
        <w:r w:rsidR="0048417A" w:rsidRPr="00F65F00">
          <w:rPr>
            <w:rStyle w:val="Hyperlink"/>
          </w:rPr>
          <w:t>Diagnostic accuracy of capsule endoscopy for the diagnosis of suspected small bowel Crohn’s disease</w:t>
        </w:r>
        <w:r w:rsidR="0048417A">
          <w:rPr>
            <w:webHidden/>
          </w:rPr>
          <w:tab/>
        </w:r>
        <w:r w:rsidR="0048417A">
          <w:rPr>
            <w:webHidden/>
          </w:rPr>
          <w:fldChar w:fldCharType="begin"/>
        </w:r>
        <w:r w:rsidR="0048417A">
          <w:rPr>
            <w:webHidden/>
          </w:rPr>
          <w:instrText xml:space="preserve"> PAGEREF _Toc291859586 \h </w:instrText>
        </w:r>
        <w:r w:rsidR="0048417A">
          <w:rPr>
            <w:webHidden/>
          </w:rPr>
        </w:r>
        <w:r w:rsidR="0048417A">
          <w:rPr>
            <w:webHidden/>
          </w:rPr>
          <w:fldChar w:fldCharType="separate"/>
        </w:r>
        <w:r w:rsidR="0048417A">
          <w:rPr>
            <w:webHidden/>
          </w:rPr>
          <w:t>59</w:t>
        </w:r>
        <w:r w:rsidR="0048417A">
          <w:rPr>
            <w:webHidden/>
          </w:rPr>
          <w:fldChar w:fldCharType="end"/>
        </w:r>
      </w:hyperlink>
    </w:p>
    <w:p w:rsidR="0048417A" w:rsidRDefault="00B81800">
      <w:pPr>
        <w:pStyle w:val="TableofFigures"/>
        <w:rPr>
          <w:rFonts w:ascii="Calibri" w:hAnsi="Calibri"/>
          <w:sz w:val="22"/>
          <w:szCs w:val="22"/>
        </w:rPr>
      </w:pPr>
      <w:hyperlink w:anchor="_Toc291859587" w:history="1">
        <w:r w:rsidR="0048417A" w:rsidRPr="00F65F00">
          <w:rPr>
            <w:rStyle w:val="Hyperlink"/>
          </w:rPr>
          <w:t>Table 25</w:t>
        </w:r>
        <w:r w:rsidR="0048417A">
          <w:rPr>
            <w:rFonts w:ascii="Calibri" w:hAnsi="Calibri"/>
            <w:sz w:val="22"/>
            <w:szCs w:val="22"/>
          </w:rPr>
          <w:tab/>
        </w:r>
        <w:r w:rsidR="0048417A" w:rsidRPr="00F65F00">
          <w:rPr>
            <w:rStyle w:val="Hyperlink"/>
          </w:rPr>
          <w:t>Comparative diagnostic yield of CE for the diagnosis of suspected small bowel Crohn’s disease</w:t>
        </w:r>
        <w:r w:rsidR="0048417A">
          <w:rPr>
            <w:webHidden/>
          </w:rPr>
          <w:tab/>
        </w:r>
        <w:r w:rsidR="0048417A">
          <w:rPr>
            <w:webHidden/>
          </w:rPr>
          <w:fldChar w:fldCharType="begin"/>
        </w:r>
        <w:r w:rsidR="0048417A">
          <w:rPr>
            <w:webHidden/>
          </w:rPr>
          <w:instrText xml:space="preserve"> PAGEREF _Toc291859587 \h </w:instrText>
        </w:r>
        <w:r w:rsidR="0048417A">
          <w:rPr>
            <w:webHidden/>
          </w:rPr>
        </w:r>
        <w:r w:rsidR="0048417A">
          <w:rPr>
            <w:webHidden/>
          </w:rPr>
          <w:fldChar w:fldCharType="separate"/>
        </w:r>
        <w:r w:rsidR="0048417A">
          <w:rPr>
            <w:webHidden/>
          </w:rPr>
          <w:t>60</w:t>
        </w:r>
        <w:r w:rsidR="0048417A">
          <w:rPr>
            <w:webHidden/>
          </w:rPr>
          <w:fldChar w:fldCharType="end"/>
        </w:r>
      </w:hyperlink>
    </w:p>
    <w:p w:rsidR="0048417A" w:rsidRDefault="00B81800">
      <w:pPr>
        <w:pStyle w:val="TableofFigures"/>
        <w:rPr>
          <w:rFonts w:ascii="Calibri" w:hAnsi="Calibri"/>
          <w:sz w:val="22"/>
          <w:szCs w:val="22"/>
        </w:rPr>
      </w:pPr>
      <w:hyperlink w:anchor="_Toc291859588" w:history="1">
        <w:r w:rsidR="0048417A" w:rsidRPr="00F65F00">
          <w:rPr>
            <w:rStyle w:val="Hyperlink"/>
          </w:rPr>
          <w:t>Table 26</w:t>
        </w:r>
        <w:r w:rsidR="0048417A">
          <w:rPr>
            <w:rFonts w:ascii="Calibri" w:hAnsi="Calibri"/>
            <w:sz w:val="22"/>
            <w:szCs w:val="22"/>
          </w:rPr>
          <w:tab/>
        </w:r>
        <w:r w:rsidR="0048417A" w:rsidRPr="00F65F00">
          <w:rPr>
            <w:rStyle w:val="Hyperlink"/>
          </w:rPr>
          <w:t>Estimated cost of capsule retention</w:t>
        </w:r>
        <w:r w:rsidR="0048417A">
          <w:rPr>
            <w:webHidden/>
          </w:rPr>
          <w:tab/>
        </w:r>
        <w:r w:rsidR="0048417A">
          <w:rPr>
            <w:webHidden/>
          </w:rPr>
          <w:fldChar w:fldCharType="begin"/>
        </w:r>
        <w:r w:rsidR="0048417A">
          <w:rPr>
            <w:webHidden/>
          </w:rPr>
          <w:instrText xml:space="preserve"> PAGEREF _Toc291859588 \h </w:instrText>
        </w:r>
        <w:r w:rsidR="0048417A">
          <w:rPr>
            <w:webHidden/>
          </w:rPr>
        </w:r>
        <w:r w:rsidR="0048417A">
          <w:rPr>
            <w:webHidden/>
          </w:rPr>
          <w:fldChar w:fldCharType="separate"/>
        </w:r>
        <w:r w:rsidR="0048417A">
          <w:rPr>
            <w:webHidden/>
          </w:rPr>
          <w:t>69</w:t>
        </w:r>
        <w:r w:rsidR="0048417A">
          <w:rPr>
            <w:webHidden/>
          </w:rPr>
          <w:fldChar w:fldCharType="end"/>
        </w:r>
      </w:hyperlink>
    </w:p>
    <w:p w:rsidR="0048417A" w:rsidRDefault="00B81800">
      <w:pPr>
        <w:pStyle w:val="TableofFigures"/>
        <w:rPr>
          <w:rFonts w:ascii="Calibri" w:hAnsi="Calibri"/>
          <w:sz w:val="22"/>
          <w:szCs w:val="22"/>
        </w:rPr>
      </w:pPr>
      <w:hyperlink w:anchor="_Toc291859589" w:history="1">
        <w:r w:rsidR="0048417A" w:rsidRPr="00F65F00">
          <w:rPr>
            <w:rStyle w:val="Hyperlink"/>
          </w:rPr>
          <w:t>Table 27</w:t>
        </w:r>
        <w:r w:rsidR="0048417A">
          <w:rPr>
            <w:rFonts w:ascii="Calibri" w:hAnsi="Calibri"/>
            <w:sz w:val="22"/>
            <w:szCs w:val="22"/>
          </w:rPr>
          <w:tab/>
        </w:r>
        <w:r w:rsidR="0048417A" w:rsidRPr="00F65F00">
          <w:rPr>
            <w:rStyle w:val="Hyperlink"/>
          </w:rPr>
          <w:t>Estimated average cost of capsule endoscopy</w:t>
        </w:r>
        <w:r w:rsidR="0048417A">
          <w:rPr>
            <w:webHidden/>
          </w:rPr>
          <w:tab/>
        </w:r>
        <w:r w:rsidR="0048417A">
          <w:rPr>
            <w:webHidden/>
          </w:rPr>
          <w:fldChar w:fldCharType="begin"/>
        </w:r>
        <w:r w:rsidR="0048417A">
          <w:rPr>
            <w:webHidden/>
          </w:rPr>
          <w:instrText xml:space="preserve"> PAGEREF _Toc291859589 \h </w:instrText>
        </w:r>
        <w:r w:rsidR="0048417A">
          <w:rPr>
            <w:webHidden/>
          </w:rPr>
        </w:r>
        <w:r w:rsidR="0048417A">
          <w:rPr>
            <w:webHidden/>
          </w:rPr>
          <w:fldChar w:fldCharType="separate"/>
        </w:r>
        <w:r w:rsidR="0048417A">
          <w:rPr>
            <w:webHidden/>
          </w:rPr>
          <w:t>70</w:t>
        </w:r>
        <w:r w:rsidR="0048417A">
          <w:rPr>
            <w:webHidden/>
          </w:rPr>
          <w:fldChar w:fldCharType="end"/>
        </w:r>
      </w:hyperlink>
    </w:p>
    <w:p w:rsidR="0048417A" w:rsidRDefault="00B81800">
      <w:pPr>
        <w:pStyle w:val="TableofFigures"/>
        <w:rPr>
          <w:rFonts w:ascii="Calibri" w:hAnsi="Calibri"/>
          <w:sz w:val="22"/>
          <w:szCs w:val="22"/>
        </w:rPr>
      </w:pPr>
      <w:hyperlink w:anchor="_Toc291859590" w:history="1">
        <w:r w:rsidR="0048417A" w:rsidRPr="00F65F00">
          <w:rPr>
            <w:rStyle w:val="Hyperlink"/>
          </w:rPr>
          <w:t>Table 28</w:t>
        </w:r>
        <w:r w:rsidR="0048417A">
          <w:rPr>
            <w:rFonts w:ascii="Calibri" w:hAnsi="Calibri"/>
            <w:sz w:val="22"/>
            <w:szCs w:val="22"/>
          </w:rPr>
          <w:tab/>
        </w:r>
        <w:r w:rsidR="0048417A" w:rsidRPr="00F65F00">
          <w:rPr>
            <w:rStyle w:val="Hyperlink"/>
          </w:rPr>
          <w:t>Estimated total annual cost of CE and CT as a second line test for diagnosing small bowel Crohn’s disease</w:t>
        </w:r>
        <w:r w:rsidR="0048417A">
          <w:rPr>
            <w:webHidden/>
          </w:rPr>
          <w:tab/>
        </w:r>
        <w:r w:rsidR="0048417A">
          <w:rPr>
            <w:webHidden/>
          </w:rPr>
          <w:fldChar w:fldCharType="begin"/>
        </w:r>
        <w:r w:rsidR="0048417A">
          <w:rPr>
            <w:webHidden/>
          </w:rPr>
          <w:instrText xml:space="preserve"> PAGEREF _Toc291859590 \h </w:instrText>
        </w:r>
        <w:r w:rsidR="0048417A">
          <w:rPr>
            <w:webHidden/>
          </w:rPr>
        </w:r>
        <w:r w:rsidR="0048417A">
          <w:rPr>
            <w:webHidden/>
          </w:rPr>
          <w:fldChar w:fldCharType="separate"/>
        </w:r>
        <w:r w:rsidR="0048417A">
          <w:rPr>
            <w:webHidden/>
          </w:rPr>
          <w:t>72</w:t>
        </w:r>
        <w:r w:rsidR="0048417A">
          <w:rPr>
            <w:webHidden/>
          </w:rPr>
          <w:fldChar w:fldCharType="end"/>
        </w:r>
      </w:hyperlink>
    </w:p>
    <w:p w:rsidR="0048417A" w:rsidRDefault="00B81800">
      <w:pPr>
        <w:pStyle w:val="TableofFigures"/>
        <w:rPr>
          <w:rFonts w:ascii="Calibri" w:hAnsi="Calibri"/>
          <w:sz w:val="22"/>
          <w:szCs w:val="22"/>
        </w:rPr>
      </w:pPr>
      <w:hyperlink w:anchor="_Toc291859591" w:history="1">
        <w:r w:rsidR="0048417A" w:rsidRPr="00F65F00">
          <w:rPr>
            <w:rStyle w:val="Hyperlink"/>
          </w:rPr>
          <w:t>Table 29</w:t>
        </w:r>
        <w:r w:rsidR="0048417A">
          <w:rPr>
            <w:rFonts w:ascii="Calibri" w:hAnsi="Calibri"/>
            <w:sz w:val="22"/>
            <w:szCs w:val="22"/>
          </w:rPr>
          <w:tab/>
        </w:r>
        <w:r w:rsidR="0048417A" w:rsidRPr="00F65F00">
          <w:rPr>
            <w:rStyle w:val="Hyperlink"/>
          </w:rPr>
          <w:t>Body of evidence assessment matrix: linked evidence for CE for small bowel Crohn’s disease</w:t>
        </w:r>
        <w:r w:rsidR="0048417A">
          <w:rPr>
            <w:webHidden/>
          </w:rPr>
          <w:tab/>
        </w:r>
        <w:r w:rsidR="0048417A">
          <w:rPr>
            <w:webHidden/>
          </w:rPr>
          <w:fldChar w:fldCharType="begin"/>
        </w:r>
        <w:r w:rsidR="0048417A">
          <w:rPr>
            <w:webHidden/>
          </w:rPr>
          <w:instrText xml:space="preserve"> PAGEREF _Toc291859591 \h </w:instrText>
        </w:r>
        <w:r w:rsidR="0048417A">
          <w:rPr>
            <w:webHidden/>
          </w:rPr>
        </w:r>
        <w:r w:rsidR="0048417A">
          <w:rPr>
            <w:webHidden/>
          </w:rPr>
          <w:fldChar w:fldCharType="separate"/>
        </w:r>
        <w:r w:rsidR="0048417A">
          <w:rPr>
            <w:webHidden/>
          </w:rPr>
          <w:t>74</w:t>
        </w:r>
        <w:r w:rsidR="0048417A">
          <w:rPr>
            <w:webHidden/>
          </w:rPr>
          <w:fldChar w:fldCharType="end"/>
        </w:r>
      </w:hyperlink>
    </w:p>
    <w:p w:rsidR="0048417A" w:rsidRDefault="00B81800">
      <w:pPr>
        <w:pStyle w:val="TableofFigures"/>
        <w:rPr>
          <w:rFonts w:ascii="Calibri" w:hAnsi="Calibri"/>
          <w:sz w:val="22"/>
          <w:szCs w:val="22"/>
        </w:rPr>
      </w:pPr>
      <w:hyperlink w:anchor="_Toc291859592" w:history="1">
        <w:r w:rsidR="0048417A" w:rsidRPr="00F65F00">
          <w:rPr>
            <w:rStyle w:val="Hyperlink"/>
          </w:rPr>
          <w:t>Table 30</w:t>
        </w:r>
        <w:r w:rsidR="0048417A">
          <w:rPr>
            <w:rFonts w:ascii="Calibri" w:hAnsi="Calibri"/>
            <w:sz w:val="22"/>
            <w:szCs w:val="22"/>
          </w:rPr>
          <w:tab/>
        </w:r>
        <w:r w:rsidR="0048417A" w:rsidRPr="00F65F00">
          <w:rPr>
            <w:rStyle w:val="Hyperlink"/>
          </w:rPr>
          <w:t>Websites of health technology assessment agencies</w:t>
        </w:r>
        <w:r w:rsidR="0048417A">
          <w:rPr>
            <w:webHidden/>
          </w:rPr>
          <w:tab/>
        </w:r>
        <w:r w:rsidR="0048417A">
          <w:rPr>
            <w:webHidden/>
          </w:rPr>
          <w:fldChar w:fldCharType="begin"/>
        </w:r>
        <w:r w:rsidR="0048417A">
          <w:rPr>
            <w:webHidden/>
          </w:rPr>
          <w:instrText xml:space="preserve"> PAGEREF _Toc291859592 \h </w:instrText>
        </w:r>
        <w:r w:rsidR="0048417A">
          <w:rPr>
            <w:webHidden/>
          </w:rPr>
        </w:r>
        <w:r w:rsidR="0048417A">
          <w:rPr>
            <w:webHidden/>
          </w:rPr>
          <w:fldChar w:fldCharType="separate"/>
        </w:r>
        <w:r w:rsidR="0048417A">
          <w:rPr>
            <w:webHidden/>
          </w:rPr>
          <w:t>80</w:t>
        </w:r>
        <w:r w:rsidR="0048417A">
          <w:rPr>
            <w:webHidden/>
          </w:rPr>
          <w:fldChar w:fldCharType="end"/>
        </w:r>
      </w:hyperlink>
    </w:p>
    <w:p w:rsidR="0048417A" w:rsidRDefault="00B81800">
      <w:pPr>
        <w:pStyle w:val="TableofFigures"/>
        <w:rPr>
          <w:rFonts w:ascii="Calibri" w:hAnsi="Calibri"/>
          <w:sz w:val="22"/>
          <w:szCs w:val="22"/>
        </w:rPr>
      </w:pPr>
      <w:hyperlink w:anchor="_Toc291859593" w:history="1">
        <w:r w:rsidR="0048417A" w:rsidRPr="00F65F00">
          <w:rPr>
            <w:rStyle w:val="Hyperlink"/>
          </w:rPr>
          <w:t>Table 31</w:t>
        </w:r>
        <w:r w:rsidR="0048417A">
          <w:rPr>
            <w:rFonts w:ascii="Calibri" w:hAnsi="Calibri"/>
            <w:sz w:val="22"/>
            <w:szCs w:val="22"/>
          </w:rPr>
          <w:tab/>
        </w:r>
        <w:r w:rsidR="0048417A" w:rsidRPr="00F65F00">
          <w:rPr>
            <w:rStyle w:val="Hyperlink"/>
          </w:rPr>
          <w:t>Specialty websites</w:t>
        </w:r>
        <w:r w:rsidR="0048417A">
          <w:rPr>
            <w:webHidden/>
          </w:rPr>
          <w:tab/>
        </w:r>
        <w:r w:rsidR="0048417A">
          <w:rPr>
            <w:webHidden/>
          </w:rPr>
          <w:fldChar w:fldCharType="begin"/>
        </w:r>
        <w:r w:rsidR="0048417A">
          <w:rPr>
            <w:webHidden/>
          </w:rPr>
          <w:instrText xml:space="preserve"> PAGEREF _Toc291859593 \h </w:instrText>
        </w:r>
        <w:r w:rsidR="0048417A">
          <w:rPr>
            <w:webHidden/>
          </w:rPr>
        </w:r>
        <w:r w:rsidR="0048417A">
          <w:rPr>
            <w:webHidden/>
          </w:rPr>
          <w:fldChar w:fldCharType="separate"/>
        </w:r>
        <w:r w:rsidR="0048417A">
          <w:rPr>
            <w:webHidden/>
          </w:rPr>
          <w:t>82</w:t>
        </w:r>
        <w:r w:rsidR="0048417A">
          <w:rPr>
            <w:webHidden/>
          </w:rPr>
          <w:fldChar w:fldCharType="end"/>
        </w:r>
      </w:hyperlink>
    </w:p>
    <w:p w:rsidR="0048417A" w:rsidRPr="004D57B3" w:rsidRDefault="0048417A" w:rsidP="00836B55">
      <w:pPr>
        <w:pStyle w:val="TableofFigures"/>
      </w:pPr>
      <w:r w:rsidRPr="004D57B3">
        <w:fldChar w:fldCharType="end"/>
      </w:r>
    </w:p>
    <w:p w:rsidR="0048417A" w:rsidRPr="004D57B3" w:rsidRDefault="0048417A" w:rsidP="00836B55">
      <w:pPr>
        <w:pStyle w:val="Heading2a"/>
      </w:pPr>
      <w:r w:rsidRPr="004D57B3">
        <w:t>Boxes</w:t>
      </w:r>
    </w:p>
    <w:p w:rsidR="0048417A" w:rsidRDefault="0048417A">
      <w:pPr>
        <w:pStyle w:val="TableofFigures"/>
        <w:rPr>
          <w:rFonts w:ascii="Calibri" w:hAnsi="Calibri"/>
          <w:sz w:val="22"/>
          <w:szCs w:val="22"/>
        </w:rPr>
      </w:pPr>
      <w:r w:rsidRPr="004D57B3">
        <w:fldChar w:fldCharType="begin"/>
      </w:r>
      <w:r w:rsidRPr="004D57B3">
        <w:instrText xml:space="preserve"> TOC \h \z \c "Box" </w:instrText>
      </w:r>
      <w:r w:rsidRPr="004D57B3">
        <w:fldChar w:fldCharType="separate"/>
      </w:r>
      <w:hyperlink w:anchor="_Toc291859594" w:history="1">
        <w:r w:rsidRPr="00AC6D0A">
          <w:rPr>
            <w:rStyle w:val="Hyperlink"/>
          </w:rPr>
          <w:t>Box 1</w:t>
        </w:r>
        <w:r>
          <w:rPr>
            <w:rFonts w:ascii="Calibri" w:hAnsi="Calibri"/>
            <w:sz w:val="22"/>
            <w:szCs w:val="22"/>
          </w:rPr>
          <w:tab/>
        </w:r>
        <w:r w:rsidRPr="00AC6D0A">
          <w:rPr>
            <w:rStyle w:val="Hyperlink"/>
          </w:rPr>
          <w:t>Estimation of the incidence of Crohn’s disease and the utilisation of capsule endoscopy</w:t>
        </w:r>
        <w:r>
          <w:rPr>
            <w:webHidden/>
          </w:rPr>
          <w:tab/>
        </w:r>
        <w:r>
          <w:rPr>
            <w:webHidden/>
          </w:rPr>
          <w:fldChar w:fldCharType="begin"/>
        </w:r>
        <w:r>
          <w:rPr>
            <w:webHidden/>
          </w:rPr>
          <w:instrText xml:space="preserve"> PAGEREF _Toc291859594 \h </w:instrText>
        </w:r>
        <w:r>
          <w:rPr>
            <w:webHidden/>
          </w:rPr>
        </w:r>
        <w:r>
          <w:rPr>
            <w:webHidden/>
          </w:rPr>
          <w:fldChar w:fldCharType="separate"/>
        </w:r>
        <w:r>
          <w:rPr>
            <w:webHidden/>
          </w:rPr>
          <w:t>24</w:t>
        </w:r>
        <w:r>
          <w:rPr>
            <w:webHidden/>
          </w:rPr>
          <w:fldChar w:fldCharType="end"/>
        </w:r>
      </w:hyperlink>
    </w:p>
    <w:p w:rsidR="0048417A" w:rsidRPr="004D57B3" w:rsidRDefault="0048417A" w:rsidP="00836B55">
      <w:pPr>
        <w:pStyle w:val="TableofFigures"/>
      </w:pPr>
      <w:r w:rsidRPr="004D57B3">
        <w:fldChar w:fldCharType="end"/>
      </w:r>
    </w:p>
    <w:p w:rsidR="0048417A" w:rsidRPr="004D57B3" w:rsidRDefault="0048417A" w:rsidP="00836B55">
      <w:pPr>
        <w:pStyle w:val="Heading2a"/>
      </w:pPr>
      <w:r w:rsidRPr="004D57B3">
        <w:t>Figures</w:t>
      </w:r>
    </w:p>
    <w:p w:rsidR="0048417A" w:rsidRDefault="0048417A">
      <w:pPr>
        <w:pStyle w:val="TableofFigures"/>
        <w:rPr>
          <w:rFonts w:ascii="Calibri" w:hAnsi="Calibri"/>
          <w:sz w:val="22"/>
          <w:szCs w:val="22"/>
        </w:rPr>
      </w:pPr>
      <w:r w:rsidRPr="004D57B3">
        <w:fldChar w:fldCharType="begin"/>
      </w:r>
      <w:r w:rsidRPr="004D57B3">
        <w:instrText xml:space="preserve"> TOC \h \z \c "Figure" </w:instrText>
      </w:r>
      <w:r w:rsidRPr="004D57B3">
        <w:fldChar w:fldCharType="separate"/>
      </w:r>
      <w:hyperlink w:anchor="_Toc291859595" w:history="1">
        <w:r w:rsidRPr="00ED009C">
          <w:rPr>
            <w:rStyle w:val="Hyperlink"/>
          </w:rPr>
          <w:t>Figure 1</w:t>
        </w:r>
        <w:r>
          <w:rPr>
            <w:rFonts w:ascii="Calibri" w:hAnsi="Calibri"/>
            <w:sz w:val="22"/>
            <w:szCs w:val="22"/>
          </w:rPr>
          <w:tab/>
        </w:r>
        <w:r w:rsidRPr="00ED009C">
          <w:rPr>
            <w:rStyle w:val="Hyperlink"/>
          </w:rPr>
          <w:t>Causal pathway and determinants of the clinical value of a test</w:t>
        </w:r>
        <w:r>
          <w:rPr>
            <w:webHidden/>
          </w:rPr>
          <w:tab/>
        </w:r>
        <w:r>
          <w:rPr>
            <w:webHidden/>
          </w:rPr>
          <w:fldChar w:fldCharType="begin"/>
        </w:r>
        <w:r>
          <w:rPr>
            <w:webHidden/>
          </w:rPr>
          <w:instrText xml:space="preserve"> PAGEREF _Toc291859595 \h </w:instrText>
        </w:r>
        <w:r>
          <w:rPr>
            <w:webHidden/>
          </w:rPr>
        </w:r>
        <w:r>
          <w:rPr>
            <w:webHidden/>
          </w:rPr>
          <w:fldChar w:fldCharType="separate"/>
        </w:r>
        <w:r>
          <w:rPr>
            <w:webHidden/>
          </w:rPr>
          <w:t>26</w:t>
        </w:r>
        <w:r>
          <w:rPr>
            <w:webHidden/>
          </w:rPr>
          <w:fldChar w:fldCharType="end"/>
        </w:r>
      </w:hyperlink>
    </w:p>
    <w:p w:rsidR="0048417A" w:rsidRDefault="00B81800">
      <w:pPr>
        <w:pStyle w:val="TableofFigures"/>
        <w:rPr>
          <w:rFonts w:ascii="Calibri" w:hAnsi="Calibri"/>
          <w:sz w:val="22"/>
          <w:szCs w:val="22"/>
        </w:rPr>
      </w:pPr>
      <w:hyperlink w:anchor="_Toc291859596" w:history="1">
        <w:r w:rsidR="0048417A" w:rsidRPr="00ED009C">
          <w:rPr>
            <w:rStyle w:val="Hyperlink"/>
          </w:rPr>
          <w:t>Figure 2</w:t>
        </w:r>
        <w:r w:rsidR="0048417A">
          <w:rPr>
            <w:rFonts w:ascii="Calibri" w:hAnsi="Calibri"/>
            <w:sz w:val="22"/>
            <w:szCs w:val="22"/>
          </w:rPr>
          <w:tab/>
        </w:r>
        <w:r w:rsidR="0048417A" w:rsidRPr="00ED009C">
          <w:rPr>
            <w:rStyle w:val="Hyperlink"/>
          </w:rPr>
          <w:t>Clinical flow chart</w:t>
        </w:r>
        <w:r w:rsidR="0048417A">
          <w:rPr>
            <w:webHidden/>
          </w:rPr>
          <w:tab/>
        </w:r>
        <w:r w:rsidR="0048417A">
          <w:rPr>
            <w:webHidden/>
          </w:rPr>
          <w:fldChar w:fldCharType="begin"/>
        </w:r>
        <w:r w:rsidR="0048417A">
          <w:rPr>
            <w:webHidden/>
          </w:rPr>
          <w:instrText xml:space="preserve"> PAGEREF _Toc291859596 \h </w:instrText>
        </w:r>
        <w:r w:rsidR="0048417A">
          <w:rPr>
            <w:webHidden/>
          </w:rPr>
        </w:r>
        <w:r w:rsidR="0048417A">
          <w:rPr>
            <w:webHidden/>
          </w:rPr>
          <w:fldChar w:fldCharType="separate"/>
        </w:r>
        <w:r w:rsidR="0048417A">
          <w:rPr>
            <w:webHidden/>
          </w:rPr>
          <w:t>31</w:t>
        </w:r>
        <w:r w:rsidR="0048417A">
          <w:rPr>
            <w:webHidden/>
          </w:rPr>
          <w:fldChar w:fldCharType="end"/>
        </w:r>
      </w:hyperlink>
    </w:p>
    <w:p w:rsidR="0048417A" w:rsidRDefault="00B81800">
      <w:pPr>
        <w:pStyle w:val="TableofFigures"/>
        <w:rPr>
          <w:rFonts w:ascii="Calibri" w:hAnsi="Calibri"/>
          <w:sz w:val="22"/>
          <w:szCs w:val="22"/>
        </w:rPr>
      </w:pPr>
      <w:hyperlink w:anchor="_Toc291859597" w:history="1">
        <w:r w:rsidR="0048417A" w:rsidRPr="00ED009C">
          <w:rPr>
            <w:rStyle w:val="Hyperlink"/>
          </w:rPr>
          <w:t>Figure 3</w:t>
        </w:r>
        <w:r w:rsidR="0048417A">
          <w:rPr>
            <w:rFonts w:ascii="Calibri" w:hAnsi="Calibri"/>
            <w:sz w:val="22"/>
            <w:szCs w:val="22"/>
          </w:rPr>
          <w:tab/>
        </w:r>
        <w:r w:rsidR="0048417A" w:rsidRPr="00ED009C">
          <w:rPr>
            <w:rStyle w:val="Hyperlink"/>
          </w:rPr>
          <w:t>Summary of the process used to identify and select studies for the review</w:t>
        </w:r>
        <w:r w:rsidR="0048417A">
          <w:rPr>
            <w:webHidden/>
          </w:rPr>
          <w:tab/>
        </w:r>
        <w:r w:rsidR="0048417A">
          <w:rPr>
            <w:webHidden/>
          </w:rPr>
          <w:fldChar w:fldCharType="begin"/>
        </w:r>
        <w:r w:rsidR="0048417A">
          <w:rPr>
            <w:webHidden/>
          </w:rPr>
          <w:instrText xml:space="preserve"> PAGEREF _Toc291859597 \h </w:instrText>
        </w:r>
        <w:r w:rsidR="0048417A">
          <w:rPr>
            <w:webHidden/>
          </w:rPr>
        </w:r>
        <w:r w:rsidR="0048417A">
          <w:rPr>
            <w:webHidden/>
          </w:rPr>
          <w:fldChar w:fldCharType="separate"/>
        </w:r>
        <w:r w:rsidR="0048417A">
          <w:rPr>
            <w:webHidden/>
          </w:rPr>
          <w:t>36</w:t>
        </w:r>
        <w:r w:rsidR="0048417A">
          <w:rPr>
            <w:webHidden/>
          </w:rPr>
          <w:fldChar w:fldCharType="end"/>
        </w:r>
      </w:hyperlink>
    </w:p>
    <w:p w:rsidR="0048417A" w:rsidRDefault="00B81800">
      <w:pPr>
        <w:pStyle w:val="TableofFigures"/>
        <w:rPr>
          <w:rFonts w:ascii="Calibri" w:hAnsi="Calibri"/>
          <w:sz w:val="22"/>
          <w:szCs w:val="22"/>
        </w:rPr>
      </w:pPr>
      <w:hyperlink w:anchor="_Toc291859598" w:history="1">
        <w:r w:rsidR="0048417A" w:rsidRPr="00ED009C">
          <w:rPr>
            <w:rStyle w:val="Hyperlink"/>
          </w:rPr>
          <w:t>Figure 4</w:t>
        </w:r>
        <w:r w:rsidR="0048417A">
          <w:rPr>
            <w:rFonts w:ascii="Calibri" w:hAnsi="Calibri"/>
            <w:sz w:val="22"/>
            <w:szCs w:val="22"/>
          </w:rPr>
          <w:tab/>
        </w:r>
        <w:r w:rsidR="0048417A" w:rsidRPr="00ED009C">
          <w:rPr>
            <w:rStyle w:val="Hyperlink"/>
          </w:rPr>
          <w:t>Two-by-two table of data used to determine test accuracy</w:t>
        </w:r>
        <w:r w:rsidR="0048417A">
          <w:rPr>
            <w:webHidden/>
          </w:rPr>
          <w:tab/>
        </w:r>
        <w:r w:rsidR="0048417A">
          <w:rPr>
            <w:webHidden/>
          </w:rPr>
          <w:fldChar w:fldCharType="begin"/>
        </w:r>
        <w:r w:rsidR="0048417A">
          <w:rPr>
            <w:webHidden/>
          </w:rPr>
          <w:instrText xml:space="preserve"> PAGEREF _Toc291859598 \h </w:instrText>
        </w:r>
        <w:r w:rsidR="0048417A">
          <w:rPr>
            <w:webHidden/>
          </w:rPr>
        </w:r>
        <w:r w:rsidR="0048417A">
          <w:rPr>
            <w:webHidden/>
          </w:rPr>
          <w:fldChar w:fldCharType="separate"/>
        </w:r>
        <w:r w:rsidR="0048417A">
          <w:rPr>
            <w:webHidden/>
          </w:rPr>
          <w:t>37</w:t>
        </w:r>
        <w:r w:rsidR="0048417A">
          <w:rPr>
            <w:webHidden/>
          </w:rPr>
          <w:fldChar w:fldCharType="end"/>
        </w:r>
      </w:hyperlink>
    </w:p>
    <w:p w:rsidR="0048417A" w:rsidRDefault="00B81800">
      <w:pPr>
        <w:pStyle w:val="TableofFigures"/>
        <w:rPr>
          <w:rFonts w:ascii="Calibri" w:hAnsi="Calibri"/>
          <w:sz w:val="22"/>
          <w:szCs w:val="22"/>
        </w:rPr>
      </w:pPr>
      <w:hyperlink w:anchor="_Toc291859599" w:history="1">
        <w:r w:rsidR="0048417A" w:rsidRPr="00ED009C">
          <w:rPr>
            <w:rStyle w:val="Hyperlink"/>
          </w:rPr>
          <w:t>Figure 5</w:t>
        </w:r>
        <w:r w:rsidR="0048417A">
          <w:rPr>
            <w:rFonts w:ascii="Calibri" w:hAnsi="Calibri"/>
            <w:sz w:val="22"/>
            <w:szCs w:val="22"/>
          </w:rPr>
          <w:tab/>
        </w:r>
        <w:r w:rsidR="0048417A" w:rsidRPr="00ED009C">
          <w:rPr>
            <w:rStyle w:val="Hyperlink"/>
          </w:rPr>
          <w:t>Simplified decision tree for the diagnosis of small bowel Crohn’s disease</w:t>
        </w:r>
        <w:r w:rsidR="0048417A">
          <w:rPr>
            <w:webHidden/>
          </w:rPr>
          <w:tab/>
        </w:r>
        <w:r w:rsidR="0048417A">
          <w:rPr>
            <w:webHidden/>
          </w:rPr>
          <w:fldChar w:fldCharType="begin"/>
        </w:r>
        <w:r w:rsidR="0048417A">
          <w:rPr>
            <w:webHidden/>
          </w:rPr>
          <w:instrText xml:space="preserve"> PAGEREF _Toc291859599 \h </w:instrText>
        </w:r>
        <w:r w:rsidR="0048417A">
          <w:rPr>
            <w:webHidden/>
          </w:rPr>
        </w:r>
        <w:r w:rsidR="0048417A">
          <w:rPr>
            <w:webHidden/>
          </w:rPr>
          <w:fldChar w:fldCharType="separate"/>
        </w:r>
        <w:r w:rsidR="0048417A">
          <w:rPr>
            <w:webHidden/>
          </w:rPr>
          <w:t>66</w:t>
        </w:r>
        <w:r w:rsidR="0048417A">
          <w:rPr>
            <w:webHidden/>
          </w:rPr>
          <w:fldChar w:fldCharType="end"/>
        </w:r>
      </w:hyperlink>
    </w:p>
    <w:p w:rsidR="0048417A" w:rsidRPr="004D57B3" w:rsidRDefault="0048417A" w:rsidP="00836B55">
      <w:r w:rsidRPr="004D57B3">
        <w:fldChar w:fldCharType="end"/>
      </w:r>
    </w:p>
    <w:p w:rsidR="0048417A" w:rsidRPr="004D57B3" w:rsidRDefault="0048417A" w:rsidP="00836B55"/>
    <w:p w:rsidR="0048417A" w:rsidRPr="004D57B3" w:rsidRDefault="0048417A" w:rsidP="00836B55">
      <w:pPr>
        <w:sectPr w:rsidR="0048417A" w:rsidRPr="004D57B3" w:rsidSect="0049635E">
          <w:footerReference w:type="default" r:id="rId13"/>
          <w:type w:val="continuous"/>
          <w:pgSz w:w="11906" w:h="16838"/>
          <w:pgMar w:top="1440" w:right="1440" w:bottom="1440" w:left="1440" w:header="708" w:footer="708" w:gutter="0"/>
          <w:cols w:space="708"/>
          <w:docGrid w:linePitch="360"/>
        </w:sectPr>
      </w:pPr>
    </w:p>
    <w:p w:rsidR="0048417A" w:rsidRPr="004D57B3" w:rsidRDefault="0048417A" w:rsidP="00836B55">
      <w:pPr>
        <w:pStyle w:val="Heading1"/>
      </w:pPr>
      <w:bookmarkStart w:id="8" w:name="_Toc236559502"/>
      <w:bookmarkStart w:id="9" w:name="_Toc296517859"/>
      <w:bookmarkStart w:id="10" w:name="_Toc451749498"/>
      <w:bookmarkStart w:id="11" w:name="_Ref169423921"/>
      <w:bookmarkStart w:id="12" w:name="_Ref169423925"/>
      <w:r w:rsidRPr="004D57B3">
        <w:lastRenderedPageBreak/>
        <w:t>Executive summary</w:t>
      </w:r>
      <w:bookmarkEnd w:id="8"/>
      <w:bookmarkEnd w:id="9"/>
    </w:p>
    <w:p w:rsidR="0048417A" w:rsidRPr="004D57B3" w:rsidRDefault="0048417A" w:rsidP="00836B55">
      <w:pPr>
        <w:pStyle w:val="Heading2"/>
      </w:pPr>
      <w:bookmarkStart w:id="13" w:name="_Toc236559503"/>
      <w:bookmarkStart w:id="14" w:name="_Toc296517860"/>
      <w:r w:rsidRPr="004D57B3">
        <w:t>The procedure</w:t>
      </w:r>
      <w:bookmarkEnd w:id="13"/>
      <w:bookmarkEnd w:id="14"/>
    </w:p>
    <w:p w:rsidR="0048417A" w:rsidRPr="004D57B3" w:rsidRDefault="0048417A" w:rsidP="00836B55">
      <w:r>
        <w:t>C</w:t>
      </w:r>
      <w:r w:rsidRPr="004D57B3">
        <w:t>apsule endoscopy is a non-invasive diagnostic test, usually conducted in an outpatient setting, in which the gastrointestinal system is visualised via a camera inside an ingested capsule.  The test visualises the gastrointestinal tract mucosa to diagnose a range of conditions such as obscure gastrointestinal bleeding</w:t>
      </w:r>
      <w:r>
        <w:t xml:space="preserve"> (OGIB)</w:t>
      </w:r>
      <w:r w:rsidRPr="004D57B3">
        <w:t xml:space="preserve">, celiac disease, small bowel tumours and </w:t>
      </w:r>
      <w:proofErr w:type="spellStart"/>
      <w:r w:rsidRPr="004D57B3">
        <w:t>Peutz-Jeghers</w:t>
      </w:r>
      <w:proofErr w:type="spellEnd"/>
      <w:r w:rsidRPr="004D57B3">
        <w:t xml:space="preserve"> syndrome</w:t>
      </w:r>
      <w:r>
        <w:t xml:space="preserve"> (PJS)</w:t>
      </w:r>
      <w:r w:rsidRPr="004D57B3">
        <w:t xml:space="preserve">. The indication for this assessment is the diagnosis of patients with suspected small bowel Crohn’s disease. </w:t>
      </w:r>
    </w:p>
    <w:p w:rsidR="0048417A" w:rsidRPr="004D57B3" w:rsidRDefault="0048417A" w:rsidP="00836B55">
      <w:pPr>
        <w:pStyle w:val="Heading2"/>
      </w:pPr>
      <w:bookmarkStart w:id="15" w:name="_Toc236559504"/>
      <w:bookmarkStart w:id="16" w:name="_Toc296517861"/>
      <w:r w:rsidRPr="004D57B3">
        <w:t>Medical Services Advisory Committee – role and approach</w:t>
      </w:r>
      <w:bookmarkEnd w:id="15"/>
      <w:bookmarkEnd w:id="16"/>
      <w:r w:rsidRPr="004D57B3">
        <w:t xml:space="preserve"> </w:t>
      </w:r>
    </w:p>
    <w:p w:rsidR="0048417A" w:rsidRPr="004D57B3" w:rsidRDefault="0048417A" w:rsidP="00836B55">
      <w:r w:rsidRPr="004D57B3">
        <w:t xml:space="preserve">The Medical Services Advisory Committee (MSAC) was established by the Australian Government to strengthen the role of evidence in health financing decisions in Australia. MSAC advises the Minister for Health and Ageing on the evidence relating to the safety, effectiveness and cost-effectiveness of new and existing medical technologies and </w:t>
      </w:r>
      <w:proofErr w:type="gramStart"/>
      <w:r w:rsidRPr="004D57B3">
        <w:t>procedures,</w:t>
      </w:r>
      <w:proofErr w:type="gramEnd"/>
      <w:r w:rsidRPr="004D57B3">
        <w:t xml:space="preserve"> and under what circumstances public funding should be supported.</w:t>
      </w:r>
    </w:p>
    <w:p w:rsidR="0048417A" w:rsidRPr="004D57B3" w:rsidRDefault="0048417A" w:rsidP="00836B55">
      <w:pPr>
        <w:pStyle w:val="Heading2"/>
      </w:pPr>
      <w:bookmarkStart w:id="17" w:name="_Toc236559505"/>
      <w:bookmarkStart w:id="18" w:name="_Toc296517862"/>
      <w:r w:rsidRPr="004D57B3">
        <w:t xml:space="preserve">Assessment of </w:t>
      </w:r>
      <w:r>
        <w:t>c</w:t>
      </w:r>
      <w:r w:rsidRPr="004D57B3">
        <w:t>apsule endoscopy</w:t>
      </w:r>
      <w:bookmarkEnd w:id="17"/>
      <w:bookmarkEnd w:id="18"/>
    </w:p>
    <w:p w:rsidR="0048417A" w:rsidRPr="004D57B3" w:rsidRDefault="0048417A" w:rsidP="00836B55">
      <w:pPr>
        <w:pStyle w:val="Heading2a"/>
      </w:pPr>
      <w:r w:rsidRPr="004D57B3">
        <w:t xml:space="preserve">Purpose of </w:t>
      </w:r>
      <w:r>
        <w:t>a</w:t>
      </w:r>
      <w:r w:rsidRPr="004D57B3">
        <w:t>pplication</w:t>
      </w:r>
    </w:p>
    <w:p w:rsidR="0048417A" w:rsidRPr="004D57B3" w:rsidRDefault="0048417A" w:rsidP="00836B55">
      <w:r w:rsidRPr="004D57B3">
        <w:t>An application requesting Medicare Benefits Schedule (MBS) listing of capsule endoscopy for the diagnosis of suspected small bowel Crohn’s disease was received from Given Imaging Pty L</w:t>
      </w:r>
      <w:r>
        <w:t>td</w:t>
      </w:r>
      <w:r w:rsidRPr="004D57B3">
        <w:t xml:space="preserve"> by the Department of Health and Ageing in February 2010.</w:t>
      </w:r>
    </w:p>
    <w:p w:rsidR="0048417A" w:rsidRPr="004D57B3" w:rsidRDefault="0048417A" w:rsidP="00836B55">
      <w:r w:rsidRPr="004D57B3">
        <w:t xml:space="preserve">A team from the NHMRC Clinical Trials Centre was engaged to conduct a systematic review of the literature and an economic evaluation of capsule endoscopy for the diagnosis of suspected small bowel Crohn’s disease. </w:t>
      </w:r>
    </w:p>
    <w:p w:rsidR="0048417A" w:rsidRPr="004D57B3" w:rsidRDefault="0048417A" w:rsidP="00836B55">
      <w:r w:rsidRPr="004D57B3">
        <w:t>This report assesses capsule endoscopy for the diagnosis of suspected small bowel Crohn’s disease. The specific research question to be addressed is:</w:t>
      </w:r>
    </w:p>
    <w:p w:rsidR="0048417A" w:rsidRPr="004D57B3" w:rsidRDefault="0048417A" w:rsidP="00836B55">
      <w:pPr>
        <w:ind w:left="1134"/>
      </w:pPr>
      <w:r w:rsidRPr="004D57B3">
        <w:t xml:space="preserve">In symptomatic patients with suspected but unconfirmed Crohn’s disease, what is the value of capsule endoscopy compared with either abdomen computed tomography (CT) with or without </w:t>
      </w:r>
      <w:proofErr w:type="spellStart"/>
      <w:r w:rsidRPr="004D57B3">
        <w:t>enterography</w:t>
      </w:r>
      <w:proofErr w:type="spellEnd"/>
      <w:r w:rsidRPr="004D57B3">
        <w:t xml:space="preserve">, magnetic resonance imaging (MR) with or without </w:t>
      </w:r>
      <w:proofErr w:type="spellStart"/>
      <w:r w:rsidRPr="004D57B3">
        <w:t>enterography</w:t>
      </w:r>
      <w:proofErr w:type="spellEnd"/>
      <w:r w:rsidRPr="004D57B3">
        <w:t xml:space="preserve">, or empirical treatment for the diagnosis of suspected small bowel Crohn’s disease?  </w:t>
      </w:r>
    </w:p>
    <w:p w:rsidR="0048417A" w:rsidRPr="004D57B3" w:rsidRDefault="0048417A" w:rsidP="00836B55">
      <w:r w:rsidRPr="004D57B3">
        <w:t xml:space="preserve">Crohn’s disease is a chronic inflammatory bowel disease that may affect any portion of the gastrointestinal tract but, in cases of small bowel involvement, typically affects the terminal ileum </w:t>
      </w:r>
      <w:r>
        <w:rPr>
          <w:noProof/>
        </w:rPr>
        <w:t>(Yamada 2009)</w:t>
      </w:r>
      <w:r w:rsidRPr="004D57B3">
        <w:t xml:space="preserve">. Most patients with isolated small bowel Crohn’s disease are diagnosed using colonoscopy with </w:t>
      </w:r>
      <w:proofErr w:type="spellStart"/>
      <w:r w:rsidRPr="004D57B3">
        <w:t>ileoscopy</w:t>
      </w:r>
      <w:proofErr w:type="spellEnd"/>
      <w:r>
        <w:t>;</w:t>
      </w:r>
      <w:r w:rsidRPr="004D57B3">
        <w:t xml:space="preserve"> however diagnosis can be difficult due to the inaccessibility of the small bowel. </w:t>
      </w:r>
      <w:r>
        <w:t>C</w:t>
      </w:r>
      <w:r w:rsidRPr="004D57B3">
        <w:t xml:space="preserve">apsule endoscopy is able to visualise areas of the proximal small bowel inaccessible to upper and lower endoscopy; this may lead to earlier diagnosis and treatment and a small increase in the detection and treatment of previously undetected Crohn’s disease </w:t>
      </w:r>
      <w:r w:rsidRPr="004D57B3">
        <w:rPr>
          <w:noProof/>
        </w:rPr>
        <w:t>(Satsangi et al 2006)</w:t>
      </w:r>
    </w:p>
    <w:p w:rsidR="0048417A" w:rsidRPr="004D57B3" w:rsidRDefault="0048417A" w:rsidP="00836B55">
      <w:r w:rsidRPr="004D57B3">
        <w:lastRenderedPageBreak/>
        <w:t xml:space="preserve">Resources used in this procedure’s delivery include diagnostic tests to identify appropriate patients such as colonoscopy with </w:t>
      </w:r>
      <w:proofErr w:type="spellStart"/>
      <w:r w:rsidRPr="004D57B3">
        <w:t>ileoscopy</w:t>
      </w:r>
      <w:proofErr w:type="spellEnd"/>
      <w:r>
        <w:t xml:space="preserve"> and</w:t>
      </w:r>
      <w:r w:rsidRPr="004D57B3">
        <w:t xml:space="preserve"> small bowel radiology tests such as </w:t>
      </w:r>
      <w:r>
        <w:t>small bowel follow-through</w:t>
      </w:r>
      <w:r w:rsidRPr="004D57B3">
        <w:t xml:space="preserve"> (SBFT), abdominal </w:t>
      </w:r>
      <w:r>
        <w:t>CT</w:t>
      </w:r>
      <w:r w:rsidRPr="004D57B3">
        <w:t xml:space="preserve">, computed tomography </w:t>
      </w:r>
      <w:proofErr w:type="spellStart"/>
      <w:r w:rsidRPr="004D57B3">
        <w:t>enterography</w:t>
      </w:r>
      <w:proofErr w:type="spellEnd"/>
      <w:r w:rsidRPr="004D57B3">
        <w:t xml:space="preserve"> (CTE), magnetic resonance imaging </w:t>
      </w:r>
      <w:r>
        <w:t xml:space="preserve">without </w:t>
      </w:r>
      <w:proofErr w:type="spellStart"/>
      <w:r>
        <w:t>enterography</w:t>
      </w:r>
      <w:proofErr w:type="spellEnd"/>
      <w:r>
        <w:t xml:space="preserve"> </w:t>
      </w:r>
      <w:r w:rsidRPr="004D57B3">
        <w:t xml:space="preserve">(MRI) and magnetic resonance </w:t>
      </w:r>
      <w:proofErr w:type="spellStart"/>
      <w:r w:rsidRPr="004D57B3">
        <w:t>enterography</w:t>
      </w:r>
      <w:proofErr w:type="spellEnd"/>
      <w:r w:rsidRPr="004D57B3">
        <w:t xml:space="preserve"> (MRE); gastroenterologist or consultant physician attendance to administer the procedure and interpret its results; and pharmaceutical treatment for diagnosed patients including corticosteroids, anti-inflammatories and biological agents. See </w:t>
      </w:r>
      <w:r w:rsidR="00AE591B">
        <w:fldChar w:fldCharType="begin"/>
      </w:r>
      <w:r w:rsidR="00AE591B">
        <w:instrText xml:space="preserve"> REF _Ref282069218 \h  \* MERGEFORMAT </w:instrText>
      </w:r>
      <w:r w:rsidR="00AE591B">
        <w:fldChar w:fldCharType="separate"/>
      </w:r>
      <w:r w:rsidRPr="004D57B3">
        <w:t xml:space="preserve">Table </w:t>
      </w:r>
      <w:r>
        <w:t>1</w:t>
      </w:r>
      <w:r w:rsidR="00AE591B">
        <w:fldChar w:fldCharType="end"/>
      </w:r>
      <w:r w:rsidRPr="004D57B3">
        <w:t xml:space="preserve"> for a list of associated MBS and </w:t>
      </w:r>
      <w:r>
        <w:t>Pharmaceutical Benefits Scheme (</w:t>
      </w:r>
      <w:r w:rsidRPr="004D57B3">
        <w:t>PBS</w:t>
      </w:r>
      <w:r>
        <w:t>)</w:t>
      </w:r>
      <w:r w:rsidRPr="004D57B3">
        <w:t xml:space="preserve"> items.</w:t>
      </w:r>
    </w:p>
    <w:p w:rsidR="0048417A" w:rsidRPr="004D57B3" w:rsidRDefault="0048417A" w:rsidP="00836B55">
      <w:pPr>
        <w:pStyle w:val="TableName"/>
      </w:pPr>
      <w:bookmarkStart w:id="19" w:name="_Ref282069218"/>
      <w:bookmarkStart w:id="20" w:name="_Toc291859563"/>
      <w:r w:rsidRPr="004D57B3">
        <w:t xml:space="preserve">Table </w:t>
      </w:r>
      <w:r w:rsidR="00AE591B">
        <w:fldChar w:fldCharType="begin"/>
      </w:r>
      <w:r w:rsidR="00AE591B">
        <w:instrText xml:space="preserve"> SEQ Table \* ARABIC </w:instrText>
      </w:r>
      <w:r w:rsidR="00AE591B">
        <w:fldChar w:fldCharType="separate"/>
      </w:r>
      <w:r>
        <w:rPr>
          <w:noProof/>
        </w:rPr>
        <w:t>1</w:t>
      </w:r>
      <w:r w:rsidR="00AE591B">
        <w:rPr>
          <w:noProof/>
        </w:rPr>
        <w:fldChar w:fldCharType="end"/>
      </w:r>
      <w:bookmarkEnd w:id="19"/>
      <w:r w:rsidRPr="004D57B3">
        <w:tab/>
        <w:t>MBS and PBS items associated with capsule endoscopy for small bowel Crohn’s disease</w:t>
      </w:r>
      <w:bookmarkEnd w:id="20"/>
    </w:p>
    <w:tbl>
      <w:tblPr>
        <w:tblW w:w="0" w:type="auto"/>
        <w:tblInd w:w="855" w:type="dxa"/>
        <w:tblBorders>
          <w:top w:val="single" w:sz="4" w:space="0" w:color="auto"/>
          <w:bottom w:val="single" w:sz="4" w:space="0" w:color="auto"/>
        </w:tblBorders>
        <w:tblLook w:val="00A0" w:firstRow="1" w:lastRow="0" w:firstColumn="1" w:lastColumn="0" w:noHBand="0" w:noVBand="0"/>
      </w:tblPr>
      <w:tblGrid>
        <w:gridCol w:w="1641"/>
        <w:gridCol w:w="3105"/>
      </w:tblGrid>
      <w:tr w:rsidR="0048417A" w:rsidRPr="004D57B3" w:rsidTr="00836B55">
        <w:tc>
          <w:tcPr>
            <w:tcW w:w="0" w:type="auto"/>
            <w:tcBorders>
              <w:top w:val="single" w:sz="4" w:space="0" w:color="auto"/>
              <w:bottom w:val="single" w:sz="4" w:space="0" w:color="auto"/>
            </w:tcBorders>
          </w:tcPr>
          <w:p w:rsidR="0048417A" w:rsidRPr="004D57B3" w:rsidRDefault="0048417A" w:rsidP="00836B55">
            <w:pPr>
              <w:pStyle w:val="TableHeading"/>
            </w:pPr>
            <w:r w:rsidRPr="004D57B3">
              <w:t>MBS/PBS item no.</w:t>
            </w:r>
          </w:p>
        </w:tc>
        <w:tc>
          <w:tcPr>
            <w:tcW w:w="0" w:type="auto"/>
            <w:tcBorders>
              <w:top w:val="single" w:sz="4" w:space="0" w:color="auto"/>
              <w:bottom w:val="single" w:sz="4" w:space="0" w:color="auto"/>
            </w:tcBorders>
          </w:tcPr>
          <w:p w:rsidR="0048417A" w:rsidRPr="004D57B3" w:rsidRDefault="0048417A" w:rsidP="00836B55">
            <w:pPr>
              <w:pStyle w:val="TableHeading"/>
            </w:pPr>
            <w:r w:rsidRPr="004D57B3">
              <w:t>Item name</w:t>
            </w:r>
          </w:p>
        </w:tc>
      </w:tr>
      <w:tr w:rsidR="0048417A" w:rsidRPr="004D57B3" w:rsidTr="00836B55">
        <w:tc>
          <w:tcPr>
            <w:tcW w:w="0" w:type="auto"/>
            <w:tcBorders>
              <w:top w:val="single" w:sz="4" w:space="0" w:color="auto"/>
            </w:tcBorders>
          </w:tcPr>
          <w:p w:rsidR="0048417A" w:rsidRPr="004D57B3" w:rsidRDefault="0048417A" w:rsidP="00836B55">
            <w:pPr>
              <w:pStyle w:val="TableText"/>
              <w:rPr>
                <w:i/>
              </w:rPr>
            </w:pPr>
            <w:r w:rsidRPr="004D57B3">
              <w:rPr>
                <w:i/>
              </w:rPr>
              <w:t>Prior diagnostic tests</w:t>
            </w:r>
            <w:r w:rsidRPr="004D57B3">
              <w:rPr>
                <w:i/>
                <w:vertAlign w:val="superscript"/>
              </w:rPr>
              <w:t>1</w:t>
            </w:r>
          </w:p>
        </w:tc>
        <w:tc>
          <w:tcPr>
            <w:tcW w:w="0" w:type="auto"/>
            <w:tcBorders>
              <w:top w:val="single" w:sz="4" w:space="0" w:color="auto"/>
            </w:tcBorders>
          </w:tcPr>
          <w:p w:rsidR="0048417A" w:rsidRPr="004D57B3" w:rsidRDefault="0048417A" w:rsidP="00836B55">
            <w:pPr>
              <w:pStyle w:val="TableText"/>
            </w:pPr>
          </w:p>
        </w:tc>
      </w:tr>
      <w:tr w:rsidR="0048417A" w:rsidRPr="004D57B3" w:rsidTr="00836B55">
        <w:tc>
          <w:tcPr>
            <w:tcW w:w="0" w:type="auto"/>
            <w:tcBorders>
              <w:top w:val="single" w:sz="4" w:space="0" w:color="auto"/>
            </w:tcBorders>
          </w:tcPr>
          <w:p w:rsidR="0048417A" w:rsidRPr="004D57B3" w:rsidRDefault="0048417A" w:rsidP="00836B55">
            <w:pPr>
              <w:pStyle w:val="TableText"/>
            </w:pPr>
            <w:r w:rsidRPr="004D57B3">
              <w:t>32090</w:t>
            </w:r>
          </w:p>
        </w:tc>
        <w:tc>
          <w:tcPr>
            <w:tcW w:w="0" w:type="auto"/>
            <w:tcBorders>
              <w:top w:val="single" w:sz="4" w:space="0" w:color="auto"/>
            </w:tcBorders>
          </w:tcPr>
          <w:p w:rsidR="0048417A" w:rsidRPr="004D57B3" w:rsidRDefault="0048417A" w:rsidP="00836B55">
            <w:pPr>
              <w:pStyle w:val="TableText"/>
            </w:pPr>
            <w:r w:rsidRPr="004D57B3">
              <w:t xml:space="preserve">Colonoscopy </w:t>
            </w:r>
          </w:p>
        </w:tc>
      </w:tr>
      <w:tr w:rsidR="0048417A" w:rsidRPr="004D57B3" w:rsidTr="00836B55">
        <w:tc>
          <w:tcPr>
            <w:tcW w:w="0" w:type="auto"/>
          </w:tcPr>
          <w:p w:rsidR="0048417A" w:rsidRPr="004D57B3" w:rsidRDefault="0048417A" w:rsidP="00836B55">
            <w:pPr>
              <w:pStyle w:val="TableText"/>
            </w:pPr>
            <w:r w:rsidRPr="004D57B3">
              <w:t>58915</w:t>
            </w:r>
          </w:p>
        </w:tc>
        <w:tc>
          <w:tcPr>
            <w:tcW w:w="0" w:type="auto"/>
          </w:tcPr>
          <w:p w:rsidR="0048417A" w:rsidRPr="004D57B3" w:rsidRDefault="0048417A" w:rsidP="00836B55">
            <w:pPr>
              <w:pStyle w:val="TableText"/>
            </w:pPr>
            <w:r w:rsidRPr="004D57B3">
              <w:t>Small bowel series</w:t>
            </w:r>
          </w:p>
        </w:tc>
      </w:tr>
      <w:tr w:rsidR="0048417A" w:rsidRPr="004D57B3" w:rsidTr="00836B55">
        <w:tc>
          <w:tcPr>
            <w:tcW w:w="0" w:type="auto"/>
            <w:tcBorders>
              <w:bottom w:val="nil"/>
            </w:tcBorders>
          </w:tcPr>
          <w:p w:rsidR="0048417A" w:rsidRPr="004D57B3" w:rsidRDefault="0048417A" w:rsidP="00836B55">
            <w:pPr>
              <w:pStyle w:val="TableText"/>
            </w:pPr>
            <w:r w:rsidRPr="004D57B3">
              <w:t>56507</w:t>
            </w:r>
          </w:p>
        </w:tc>
        <w:tc>
          <w:tcPr>
            <w:tcW w:w="0" w:type="auto"/>
            <w:tcBorders>
              <w:bottom w:val="nil"/>
            </w:tcBorders>
          </w:tcPr>
          <w:p w:rsidR="0048417A" w:rsidRPr="004D57B3" w:rsidRDefault="0048417A" w:rsidP="00836B55">
            <w:pPr>
              <w:pStyle w:val="TableText"/>
            </w:pPr>
            <w:r w:rsidRPr="004D57B3">
              <w:t>Abdomen CT</w:t>
            </w:r>
          </w:p>
        </w:tc>
      </w:tr>
      <w:tr w:rsidR="0048417A" w:rsidRPr="004D57B3" w:rsidTr="00836B55">
        <w:tc>
          <w:tcPr>
            <w:tcW w:w="0" w:type="auto"/>
            <w:tcBorders>
              <w:top w:val="nil"/>
              <w:bottom w:val="single" w:sz="4" w:space="0" w:color="auto"/>
            </w:tcBorders>
          </w:tcPr>
          <w:p w:rsidR="0048417A" w:rsidRPr="004D57B3" w:rsidRDefault="0048417A" w:rsidP="00836B55">
            <w:pPr>
              <w:pStyle w:val="TableText"/>
              <w:rPr>
                <w:szCs w:val="18"/>
              </w:rPr>
            </w:pPr>
            <w:r w:rsidRPr="004D57B3">
              <w:rPr>
                <w:color w:val="000000"/>
                <w:szCs w:val="18"/>
              </w:rPr>
              <w:t>66512</w:t>
            </w:r>
          </w:p>
        </w:tc>
        <w:tc>
          <w:tcPr>
            <w:tcW w:w="0" w:type="auto"/>
            <w:tcBorders>
              <w:top w:val="nil"/>
              <w:bottom w:val="single" w:sz="4" w:space="0" w:color="auto"/>
            </w:tcBorders>
          </w:tcPr>
          <w:p w:rsidR="0048417A" w:rsidRPr="004D57B3" w:rsidRDefault="0048417A" w:rsidP="00836B55">
            <w:pPr>
              <w:pStyle w:val="TableText"/>
              <w:rPr>
                <w:szCs w:val="18"/>
              </w:rPr>
            </w:pPr>
            <w:r w:rsidRPr="004D57B3">
              <w:rPr>
                <w:szCs w:val="18"/>
              </w:rPr>
              <w:t>Blood tests</w:t>
            </w:r>
          </w:p>
        </w:tc>
      </w:tr>
      <w:tr w:rsidR="0048417A" w:rsidRPr="004D57B3" w:rsidTr="00836B55">
        <w:tc>
          <w:tcPr>
            <w:tcW w:w="0" w:type="auto"/>
            <w:gridSpan w:val="2"/>
            <w:tcBorders>
              <w:top w:val="single" w:sz="4" w:space="0" w:color="auto"/>
              <w:bottom w:val="single" w:sz="4" w:space="0" w:color="auto"/>
            </w:tcBorders>
          </w:tcPr>
          <w:p w:rsidR="0048417A" w:rsidRPr="004D57B3" w:rsidRDefault="0048417A" w:rsidP="00836B55">
            <w:pPr>
              <w:pStyle w:val="TableText"/>
            </w:pPr>
            <w:r w:rsidRPr="004D57B3">
              <w:rPr>
                <w:i/>
              </w:rPr>
              <w:t>Treatment of diagnosed patients – PBS items</w:t>
            </w:r>
          </w:p>
        </w:tc>
      </w:tr>
      <w:tr w:rsidR="0048417A" w:rsidRPr="004D57B3" w:rsidTr="00836B55">
        <w:tc>
          <w:tcPr>
            <w:tcW w:w="0" w:type="auto"/>
            <w:tcBorders>
              <w:top w:val="single" w:sz="4" w:space="0" w:color="auto"/>
            </w:tcBorders>
          </w:tcPr>
          <w:p w:rsidR="0048417A" w:rsidRPr="004D57B3" w:rsidRDefault="0048417A" w:rsidP="00836B55">
            <w:pPr>
              <w:pStyle w:val="TableText"/>
            </w:pPr>
            <w:r w:rsidRPr="004D57B3">
              <w:t>1936X</w:t>
            </w:r>
          </w:p>
        </w:tc>
        <w:tc>
          <w:tcPr>
            <w:tcW w:w="0" w:type="auto"/>
            <w:tcBorders>
              <w:top w:val="single" w:sz="4" w:space="0" w:color="auto"/>
            </w:tcBorders>
          </w:tcPr>
          <w:p w:rsidR="0048417A" w:rsidRPr="004D57B3" w:rsidRDefault="0048417A" w:rsidP="00836B55">
            <w:pPr>
              <w:pStyle w:val="TableText"/>
            </w:pPr>
            <w:r w:rsidRPr="004D57B3">
              <w:t>Prednisone (Corticosteroids)</w:t>
            </w:r>
          </w:p>
        </w:tc>
      </w:tr>
      <w:tr w:rsidR="0048417A" w:rsidRPr="004D57B3" w:rsidTr="00836B55">
        <w:tc>
          <w:tcPr>
            <w:tcW w:w="0" w:type="auto"/>
          </w:tcPr>
          <w:p w:rsidR="0048417A" w:rsidRPr="004D57B3" w:rsidRDefault="0048417A" w:rsidP="00836B55">
            <w:pPr>
              <w:pStyle w:val="TableText"/>
            </w:pPr>
            <w:r w:rsidRPr="004D57B3">
              <w:t>2687K</w:t>
            </w:r>
          </w:p>
        </w:tc>
        <w:tc>
          <w:tcPr>
            <w:tcW w:w="0" w:type="auto"/>
          </w:tcPr>
          <w:p w:rsidR="0048417A" w:rsidRPr="004D57B3" w:rsidRDefault="0048417A" w:rsidP="00836B55">
            <w:pPr>
              <w:pStyle w:val="TableText"/>
            </w:pPr>
            <w:r w:rsidRPr="004D57B3">
              <w:t>Azathioprine (Anti-inflammatory)</w:t>
            </w:r>
          </w:p>
        </w:tc>
      </w:tr>
      <w:tr w:rsidR="0048417A" w:rsidRPr="004D57B3" w:rsidTr="00836B55">
        <w:tc>
          <w:tcPr>
            <w:tcW w:w="0" w:type="auto"/>
          </w:tcPr>
          <w:p w:rsidR="0048417A" w:rsidRPr="004D57B3" w:rsidRDefault="0048417A" w:rsidP="00836B55">
            <w:pPr>
              <w:pStyle w:val="TableText"/>
            </w:pPr>
            <w:r w:rsidRPr="004D57B3">
              <w:t>9206M</w:t>
            </w:r>
          </w:p>
        </w:tc>
        <w:tc>
          <w:tcPr>
            <w:tcW w:w="0" w:type="auto"/>
          </w:tcPr>
          <w:p w:rsidR="0048417A" w:rsidRPr="004D57B3" w:rsidRDefault="0048417A" w:rsidP="00836B55">
            <w:pPr>
              <w:pStyle w:val="TableText"/>
            </w:pPr>
            <w:proofErr w:type="spellStart"/>
            <w:r w:rsidRPr="004D57B3">
              <w:t>Mesalazine</w:t>
            </w:r>
            <w:proofErr w:type="spellEnd"/>
            <w:r w:rsidRPr="004D57B3">
              <w:t xml:space="preserve"> (Anti-inflammatory)</w:t>
            </w:r>
          </w:p>
        </w:tc>
      </w:tr>
      <w:tr w:rsidR="0048417A" w:rsidRPr="004D57B3" w:rsidTr="00836B55">
        <w:tc>
          <w:tcPr>
            <w:tcW w:w="0" w:type="auto"/>
          </w:tcPr>
          <w:p w:rsidR="0048417A" w:rsidRPr="004D57B3" w:rsidRDefault="0048417A" w:rsidP="00836B55">
            <w:pPr>
              <w:pStyle w:val="TableText"/>
            </w:pPr>
            <w:r w:rsidRPr="004D57B3">
              <w:t>5754W</w:t>
            </w:r>
          </w:p>
        </w:tc>
        <w:tc>
          <w:tcPr>
            <w:tcW w:w="0" w:type="auto"/>
          </w:tcPr>
          <w:p w:rsidR="0048417A" w:rsidRPr="004D57B3" w:rsidRDefault="0048417A" w:rsidP="00836B55">
            <w:pPr>
              <w:pStyle w:val="TableText"/>
            </w:pPr>
            <w:r w:rsidRPr="004D57B3">
              <w:t>Infliximab (Biological agent)</w:t>
            </w:r>
          </w:p>
        </w:tc>
      </w:tr>
      <w:tr w:rsidR="0048417A" w:rsidRPr="004D57B3" w:rsidTr="00836B55">
        <w:tc>
          <w:tcPr>
            <w:tcW w:w="0" w:type="auto"/>
          </w:tcPr>
          <w:p w:rsidR="0048417A" w:rsidRPr="004D57B3" w:rsidRDefault="0048417A" w:rsidP="00836B55">
            <w:pPr>
              <w:pStyle w:val="TableText"/>
            </w:pPr>
            <w:r w:rsidRPr="004D57B3">
              <w:t>13918</w:t>
            </w:r>
          </w:p>
        </w:tc>
        <w:tc>
          <w:tcPr>
            <w:tcW w:w="0" w:type="auto"/>
          </w:tcPr>
          <w:p w:rsidR="0048417A" w:rsidRPr="004D57B3" w:rsidRDefault="0048417A" w:rsidP="00836B55">
            <w:pPr>
              <w:pStyle w:val="TableText"/>
            </w:pPr>
            <w:r w:rsidRPr="004D57B3">
              <w:t>Administration cost – IV infusion – Infliximab</w:t>
            </w:r>
          </w:p>
        </w:tc>
      </w:tr>
      <w:tr w:rsidR="0048417A" w:rsidRPr="004D57B3" w:rsidTr="00836B55">
        <w:tc>
          <w:tcPr>
            <w:tcW w:w="0" w:type="auto"/>
          </w:tcPr>
          <w:p w:rsidR="0048417A" w:rsidRPr="004D57B3" w:rsidRDefault="0048417A" w:rsidP="00836B55">
            <w:pPr>
              <w:pStyle w:val="TableText"/>
            </w:pPr>
            <w:r w:rsidRPr="004D57B3">
              <w:t>9188N</w:t>
            </w:r>
          </w:p>
        </w:tc>
        <w:tc>
          <w:tcPr>
            <w:tcW w:w="0" w:type="auto"/>
          </w:tcPr>
          <w:p w:rsidR="0048417A" w:rsidRPr="004D57B3" w:rsidRDefault="0048417A" w:rsidP="00836B55">
            <w:pPr>
              <w:pStyle w:val="TableText"/>
            </w:pPr>
            <w:proofErr w:type="spellStart"/>
            <w:r w:rsidRPr="004D57B3">
              <w:t>Adalimumab</w:t>
            </w:r>
            <w:proofErr w:type="spellEnd"/>
            <w:r w:rsidRPr="004D57B3">
              <w:t xml:space="preserve"> (Biological agent)</w:t>
            </w:r>
          </w:p>
        </w:tc>
      </w:tr>
      <w:tr w:rsidR="0048417A" w:rsidRPr="004D57B3" w:rsidTr="00836B55">
        <w:tc>
          <w:tcPr>
            <w:tcW w:w="0" w:type="auto"/>
            <w:gridSpan w:val="2"/>
            <w:tcBorders>
              <w:top w:val="single" w:sz="4" w:space="0" w:color="auto"/>
              <w:bottom w:val="single" w:sz="4" w:space="0" w:color="auto"/>
            </w:tcBorders>
          </w:tcPr>
          <w:p w:rsidR="0048417A" w:rsidRPr="004D57B3" w:rsidRDefault="0048417A" w:rsidP="00836B55">
            <w:pPr>
              <w:pStyle w:val="TableText"/>
            </w:pPr>
            <w:r w:rsidRPr="004D57B3">
              <w:rPr>
                <w:i/>
              </w:rPr>
              <w:t>Treatment of diagnosed patients – MBS items</w:t>
            </w:r>
          </w:p>
        </w:tc>
      </w:tr>
      <w:tr w:rsidR="0048417A" w:rsidRPr="004D57B3" w:rsidTr="00836B55">
        <w:tc>
          <w:tcPr>
            <w:tcW w:w="0" w:type="auto"/>
            <w:tcBorders>
              <w:top w:val="single" w:sz="4" w:space="0" w:color="auto"/>
            </w:tcBorders>
          </w:tcPr>
          <w:p w:rsidR="0048417A" w:rsidRPr="004D57B3" w:rsidRDefault="0048417A" w:rsidP="00836B55">
            <w:pPr>
              <w:pStyle w:val="TableText"/>
            </w:pPr>
            <w:r w:rsidRPr="004D57B3">
              <w:t>110/116</w:t>
            </w:r>
          </w:p>
        </w:tc>
        <w:tc>
          <w:tcPr>
            <w:tcW w:w="0" w:type="auto"/>
            <w:tcBorders>
              <w:top w:val="single" w:sz="4" w:space="0" w:color="auto"/>
            </w:tcBorders>
          </w:tcPr>
          <w:p w:rsidR="0048417A" w:rsidRPr="004D57B3" w:rsidRDefault="0048417A" w:rsidP="00836B55">
            <w:pPr>
              <w:pStyle w:val="TableText"/>
            </w:pPr>
            <w:r w:rsidRPr="004D57B3">
              <w:t>Consultant physician, referred consultation</w:t>
            </w:r>
          </w:p>
        </w:tc>
      </w:tr>
      <w:tr w:rsidR="0048417A" w:rsidRPr="004D57B3" w:rsidTr="00836B55">
        <w:tc>
          <w:tcPr>
            <w:tcW w:w="0" w:type="auto"/>
          </w:tcPr>
          <w:p w:rsidR="0048417A" w:rsidRPr="004D57B3" w:rsidRDefault="0048417A" w:rsidP="00836B55">
            <w:pPr>
              <w:pStyle w:val="TableText"/>
            </w:pPr>
            <w:r w:rsidRPr="004D57B3">
              <w:t>AAC27</w:t>
            </w:r>
          </w:p>
        </w:tc>
        <w:tc>
          <w:tcPr>
            <w:tcW w:w="0" w:type="auto"/>
          </w:tcPr>
          <w:p w:rsidR="0048417A" w:rsidRPr="004D57B3" w:rsidRDefault="0048417A" w:rsidP="00836B55">
            <w:pPr>
              <w:pStyle w:val="TableText"/>
            </w:pPr>
            <w:r w:rsidRPr="004D57B3">
              <w:t>Casualty visits (ED)</w:t>
            </w:r>
          </w:p>
        </w:tc>
      </w:tr>
      <w:tr w:rsidR="0048417A" w:rsidRPr="004D57B3" w:rsidTr="00836B55">
        <w:tc>
          <w:tcPr>
            <w:tcW w:w="0" w:type="auto"/>
          </w:tcPr>
          <w:p w:rsidR="0048417A" w:rsidRPr="004D57B3" w:rsidRDefault="0048417A" w:rsidP="00836B55">
            <w:pPr>
              <w:pStyle w:val="TableText"/>
              <w:rPr>
                <w:szCs w:val="18"/>
              </w:rPr>
            </w:pPr>
            <w:r w:rsidRPr="004D57B3">
              <w:rPr>
                <w:color w:val="000000"/>
                <w:szCs w:val="18"/>
              </w:rPr>
              <w:t>G05B</w:t>
            </w:r>
            <w:r w:rsidRPr="004D57B3">
              <w:rPr>
                <w:color w:val="000000"/>
                <w:szCs w:val="18"/>
                <w:vertAlign w:val="superscript"/>
              </w:rPr>
              <w:t>2</w:t>
            </w:r>
          </w:p>
        </w:tc>
        <w:tc>
          <w:tcPr>
            <w:tcW w:w="0" w:type="auto"/>
          </w:tcPr>
          <w:p w:rsidR="0048417A" w:rsidRPr="004D57B3" w:rsidRDefault="0048417A" w:rsidP="00836B55">
            <w:pPr>
              <w:pStyle w:val="TableText"/>
            </w:pPr>
            <w:r w:rsidRPr="004D57B3">
              <w:t>Hospitalisation (for small bowel procedure)</w:t>
            </w:r>
          </w:p>
        </w:tc>
      </w:tr>
      <w:tr w:rsidR="0048417A" w:rsidRPr="004D57B3" w:rsidTr="00836B55">
        <w:tc>
          <w:tcPr>
            <w:tcW w:w="0" w:type="auto"/>
          </w:tcPr>
          <w:p w:rsidR="0048417A" w:rsidRPr="004D57B3" w:rsidRDefault="0048417A" w:rsidP="00836B55">
            <w:pPr>
              <w:pStyle w:val="TableText"/>
            </w:pPr>
            <w:r w:rsidRPr="004D57B3">
              <w:t>23</w:t>
            </w:r>
          </w:p>
        </w:tc>
        <w:tc>
          <w:tcPr>
            <w:tcW w:w="0" w:type="auto"/>
          </w:tcPr>
          <w:p w:rsidR="0048417A" w:rsidRPr="004D57B3" w:rsidRDefault="0048417A" w:rsidP="00836B55">
            <w:pPr>
              <w:pStyle w:val="TableText"/>
            </w:pPr>
            <w:r w:rsidRPr="004D57B3">
              <w:t>General practitioner</w:t>
            </w:r>
          </w:p>
        </w:tc>
      </w:tr>
      <w:tr w:rsidR="0048417A" w:rsidRPr="004D57B3" w:rsidTr="00836B55">
        <w:tc>
          <w:tcPr>
            <w:tcW w:w="0" w:type="auto"/>
            <w:tcBorders>
              <w:bottom w:val="single" w:sz="4" w:space="0" w:color="auto"/>
            </w:tcBorders>
          </w:tcPr>
          <w:p w:rsidR="0048417A" w:rsidRPr="004D57B3" w:rsidRDefault="0048417A" w:rsidP="00836B55">
            <w:pPr>
              <w:pStyle w:val="TableText"/>
            </w:pPr>
            <w:r w:rsidRPr="004D57B3">
              <w:t>66512</w:t>
            </w:r>
          </w:p>
        </w:tc>
        <w:tc>
          <w:tcPr>
            <w:tcW w:w="0" w:type="auto"/>
            <w:tcBorders>
              <w:bottom w:val="single" w:sz="4" w:space="0" w:color="auto"/>
            </w:tcBorders>
          </w:tcPr>
          <w:p w:rsidR="0048417A" w:rsidRPr="004D57B3" w:rsidRDefault="0048417A" w:rsidP="00836B55">
            <w:pPr>
              <w:pStyle w:val="TableText"/>
            </w:pPr>
            <w:r w:rsidRPr="004D57B3">
              <w:t>Blood tests: LFT, U&amp;E, CRP</w:t>
            </w:r>
          </w:p>
        </w:tc>
      </w:tr>
    </w:tbl>
    <w:p w:rsidR="0048417A" w:rsidRPr="004D57B3" w:rsidRDefault="0048417A" w:rsidP="00836B55">
      <w:pPr>
        <w:pStyle w:val="TableText"/>
        <w:ind w:left="720"/>
      </w:pPr>
      <w:r w:rsidRPr="004D57B3">
        <w:t xml:space="preserve">CT= computed tomography, ED = emergency department, LFT = liver function test, U&amp;E = Urea, electrolytes, </w:t>
      </w:r>
      <w:r>
        <w:t>c</w:t>
      </w:r>
      <w:r w:rsidRPr="004D57B3">
        <w:t>reatinine, CRP = C-reactive protein</w:t>
      </w:r>
    </w:p>
    <w:p w:rsidR="0048417A" w:rsidRPr="004D57B3" w:rsidRDefault="0048417A" w:rsidP="00836B55">
      <w:pPr>
        <w:pStyle w:val="TableText"/>
        <w:numPr>
          <w:ilvl w:val="0"/>
          <w:numId w:val="35"/>
        </w:numPr>
      </w:pPr>
      <w:r w:rsidRPr="004D57B3">
        <w:t xml:space="preserve">MRI and MRE are not currently funded </w:t>
      </w:r>
      <w:r>
        <w:t>through</w:t>
      </w:r>
      <w:r w:rsidRPr="004D57B3">
        <w:t xml:space="preserve"> the MBS.</w:t>
      </w:r>
    </w:p>
    <w:p w:rsidR="0048417A" w:rsidRPr="004D57B3" w:rsidRDefault="0048417A" w:rsidP="00836B55">
      <w:pPr>
        <w:pStyle w:val="TableText"/>
        <w:numPr>
          <w:ilvl w:val="0"/>
          <w:numId w:val="35"/>
        </w:numPr>
      </w:pPr>
      <w:r w:rsidRPr="004D57B3">
        <w:t>National Hospital Cost Data Collection</w:t>
      </w:r>
    </w:p>
    <w:p w:rsidR="0048417A" w:rsidRPr="004D57B3" w:rsidRDefault="0048417A" w:rsidP="00836B55">
      <w:pPr>
        <w:pStyle w:val="TableText"/>
        <w:ind w:left="720"/>
      </w:pPr>
    </w:p>
    <w:p w:rsidR="0048417A" w:rsidRPr="004D57B3" w:rsidRDefault="0048417A" w:rsidP="00836B55">
      <w:r w:rsidRPr="004D57B3">
        <w:t xml:space="preserve">Although not directly specified in the application, the MBS item descriptor implied by the application is summarised in </w:t>
      </w:r>
      <w:r w:rsidR="00AE591B">
        <w:fldChar w:fldCharType="begin"/>
      </w:r>
      <w:r w:rsidR="00AE591B">
        <w:instrText xml:space="preserve"> REF _Ref283132550 \h  \* MERGEFORMAT </w:instrText>
      </w:r>
      <w:r w:rsidR="00AE591B">
        <w:fldChar w:fldCharType="separate"/>
      </w:r>
      <w:r w:rsidRPr="004D57B3">
        <w:t xml:space="preserve">Table </w:t>
      </w:r>
      <w:r>
        <w:t>2</w:t>
      </w:r>
      <w:r w:rsidR="00AE591B">
        <w:fldChar w:fldCharType="end"/>
      </w:r>
      <w:r>
        <w:t>. C</w:t>
      </w:r>
      <w:r w:rsidRPr="004D57B3">
        <w:t xml:space="preserve">apsule endoscopy is usually performed in an outpatient setting. </w:t>
      </w:r>
      <w:r>
        <w:t>Consistent with other MBS listings of capsule endoscopy, it is presumed that c</w:t>
      </w:r>
      <w:r w:rsidRPr="004D57B3">
        <w:t xml:space="preserve">apsule endoscopy services will only be reimbursed for public funding when performed by a specialist or consultant physician with endoscopic training recognised by The Conjoint Committee for the Recognition of Training in Gastrointestinal Endoscopy </w:t>
      </w:r>
      <w:r>
        <w:t>(</w:t>
      </w:r>
      <w:r w:rsidRPr="004D57B3">
        <w:t xml:space="preserve">and Medicare Australia </w:t>
      </w:r>
      <w:r>
        <w:t xml:space="preserve">is </w:t>
      </w:r>
      <w:r w:rsidRPr="004D57B3">
        <w:t>notified of that recognition</w:t>
      </w:r>
      <w:r>
        <w:t>).</w:t>
      </w:r>
    </w:p>
    <w:p w:rsidR="0048417A" w:rsidRPr="004D57B3" w:rsidRDefault="0048417A" w:rsidP="00836B55">
      <w:pPr>
        <w:pStyle w:val="TableName"/>
      </w:pPr>
      <w:bookmarkStart w:id="21" w:name="_Ref283132550"/>
      <w:bookmarkStart w:id="22" w:name="_Toc291859564"/>
      <w:r w:rsidRPr="004D57B3">
        <w:lastRenderedPageBreak/>
        <w:t xml:space="preserve">Table </w:t>
      </w:r>
      <w:r w:rsidR="00AE591B">
        <w:fldChar w:fldCharType="begin"/>
      </w:r>
      <w:r w:rsidR="00AE591B">
        <w:instrText xml:space="preserve"> SEQ Table \* ARABIC </w:instrText>
      </w:r>
      <w:r w:rsidR="00AE591B">
        <w:fldChar w:fldCharType="separate"/>
      </w:r>
      <w:r>
        <w:rPr>
          <w:noProof/>
        </w:rPr>
        <w:t>2</w:t>
      </w:r>
      <w:r w:rsidR="00AE591B">
        <w:rPr>
          <w:noProof/>
        </w:rPr>
        <w:fldChar w:fldCharType="end"/>
      </w:r>
      <w:bookmarkEnd w:id="21"/>
      <w:r w:rsidRPr="004D57B3">
        <w:tab/>
        <w:t>Proposed MBS item descriptor</w:t>
      </w:r>
      <w:bookmarkEnd w:id="22"/>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5"/>
      </w:tblGrid>
      <w:tr w:rsidR="0048417A" w:rsidRPr="004D57B3" w:rsidTr="00836B55">
        <w:tc>
          <w:tcPr>
            <w:tcW w:w="8425" w:type="dxa"/>
          </w:tcPr>
          <w:p w:rsidR="0048417A" w:rsidRPr="00B0412F" w:rsidRDefault="0048417A" w:rsidP="00836B55">
            <w:pPr>
              <w:pStyle w:val="TableText0"/>
              <w:jc w:val="right"/>
              <w:rPr>
                <w:color w:val="000000"/>
              </w:rPr>
            </w:pPr>
            <w:r w:rsidRPr="00B0412F">
              <w:rPr>
                <w:color w:val="000000"/>
              </w:rPr>
              <w:t>Category 2 - DIAGNOSTIC PROCEDURES AND INVESTIGATIONS</w:t>
            </w:r>
          </w:p>
        </w:tc>
      </w:tr>
      <w:tr w:rsidR="0048417A" w:rsidRPr="004D57B3" w:rsidTr="00836B55">
        <w:trPr>
          <w:trHeight w:val="3968"/>
        </w:trPr>
        <w:tc>
          <w:tcPr>
            <w:tcW w:w="8425" w:type="dxa"/>
          </w:tcPr>
          <w:p w:rsidR="0048417A" w:rsidRPr="004D57B3" w:rsidRDefault="0048417A" w:rsidP="00836B55">
            <w:pPr>
              <w:pStyle w:val="TableText"/>
              <w:rPr>
                <w:b/>
                <w:szCs w:val="18"/>
              </w:rPr>
            </w:pPr>
            <w:r w:rsidRPr="004D57B3">
              <w:t xml:space="preserve">CAPSULE ENDOSCOPY to evaluate suspected small bowel Crohn’s disease, </w:t>
            </w:r>
            <w:r w:rsidRPr="004D57B3">
              <w:rPr>
                <w:szCs w:val="18"/>
              </w:rPr>
              <w:t>using a capsule endoscopy device approved by the Therapeutic Goods Administration. This is restricted to patients with no known Crohn’s disease (</w:t>
            </w:r>
            <w:proofErr w:type="spellStart"/>
            <w:r w:rsidRPr="004D57B3">
              <w:rPr>
                <w:szCs w:val="18"/>
              </w:rPr>
              <w:t>ie</w:t>
            </w:r>
            <w:proofErr w:type="spellEnd"/>
            <w:r w:rsidRPr="004D57B3">
              <w:rPr>
                <w:szCs w:val="18"/>
              </w:rPr>
              <w:t xml:space="preserve">, it is not for patients with known Crohn’s disease with suspected small bowel involvement). The procedure includes the administration of the capsule, imaging, image reading and interpretation, and all attendances for providing the service on the day the capsule is administered (not being a service associated with double balloon </w:t>
            </w:r>
            <w:proofErr w:type="spellStart"/>
            <w:r w:rsidRPr="004D57B3">
              <w:rPr>
                <w:szCs w:val="18"/>
              </w:rPr>
              <w:t>enteroscopy</w:t>
            </w:r>
            <w:proofErr w:type="spellEnd"/>
            <w:r w:rsidRPr="004D57B3">
              <w:rPr>
                <w:szCs w:val="18"/>
              </w:rPr>
              <w:t>).</w:t>
            </w:r>
            <w:r w:rsidRPr="004D57B3">
              <w:rPr>
                <w:b/>
                <w:szCs w:val="18"/>
              </w:rPr>
              <w:t xml:space="preserve"> </w:t>
            </w:r>
          </w:p>
          <w:p w:rsidR="0048417A" w:rsidRPr="004D57B3" w:rsidRDefault="0048417A" w:rsidP="00836B55">
            <w:pPr>
              <w:pStyle w:val="NormalWeb"/>
              <w:spacing w:before="0" w:beforeAutospacing="0" w:after="0" w:afterAutospacing="0"/>
              <w:rPr>
                <w:rFonts w:ascii="Arial Narrow" w:hAnsi="Arial Narrow"/>
                <w:sz w:val="18"/>
                <w:szCs w:val="18"/>
              </w:rPr>
            </w:pPr>
          </w:p>
          <w:p w:rsidR="0048417A" w:rsidRPr="004D57B3" w:rsidRDefault="0048417A" w:rsidP="00836B55">
            <w:pPr>
              <w:pStyle w:val="NormalWeb"/>
              <w:spacing w:before="0" w:beforeAutospacing="0" w:after="0" w:afterAutospacing="0"/>
              <w:rPr>
                <w:rFonts w:ascii="Arial Narrow" w:hAnsi="Arial Narrow"/>
                <w:sz w:val="18"/>
                <w:szCs w:val="18"/>
              </w:rPr>
            </w:pPr>
            <w:r w:rsidRPr="004D57B3">
              <w:rPr>
                <w:rFonts w:ascii="Arial Narrow" w:hAnsi="Arial Narrow"/>
                <w:sz w:val="18"/>
                <w:szCs w:val="18"/>
              </w:rPr>
              <w:t xml:space="preserve">Medicare benefits are only payable for this item if: </w:t>
            </w:r>
          </w:p>
          <w:p w:rsidR="0048417A" w:rsidRPr="004D57B3" w:rsidRDefault="0048417A" w:rsidP="00836B55">
            <w:pPr>
              <w:spacing w:after="0"/>
              <w:ind w:left="0"/>
              <w:rPr>
                <w:rFonts w:ascii="Arial Narrow" w:hAnsi="Arial Narrow"/>
                <w:color w:val="000000"/>
                <w:sz w:val="18"/>
                <w:szCs w:val="18"/>
              </w:rPr>
            </w:pPr>
            <w:r w:rsidRPr="004D57B3">
              <w:rPr>
                <w:rFonts w:ascii="Arial Narrow" w:hAnsi="Arial Narrow"/>
                <w:color w:val="000000"/>
                <w:sz w:val="18"/>
                <w:szCs w:val="18"/>
              </w:rPr>
              <w:t>(a)</w:t>
            </w:r>
            <w:r w:rsidR="001B636E" w:rsidRPr="004D57B3">
              <w:rPr>
                <w:rFonts w:ascii="Arial Narrow" w:hAnsi="Arial Narrow"/>
                <w:color w:val="000000"/>
                <w:sz w:val="18"/>
                <w:szCs w:val="18"/>
              </w:rPr>
              <w:t xml:space="preserve"> </w:t>
            </w:r>
            <w:r w:rsidRPr="004D57B3">
              <w:rPr>
                <w:rFonts w:ascii="Arial Narrow" w:hAnsi="Arial Narrow"/>
                <w:color w:val="000000"/>
                <w:sz w:val="18"/>
                <w:szCs w:val="18"/>
              </w:rPr>
              <w:t xml:space="preserve">the service is performed by a specialist or consultant physician with endoscopic training that is recognised by The Conjoint Committee for the Recognition of Training in Gastrointestinal Endoscopy and Medicare Australia notified of that recognition; and </w:t>
            </w:r>
          </w:p>
          <w:p w:rsidR="001B636E" w:rsidRPr="004D57B3" w:rsidRDefault="0048417A" w:rsidP="001B636E">
            <w:pPr>
              <w:spacing w:after="0"/>
              <w:ind w:left="0"/>
              <w:rPr>
                <w:rFonts w:ascii="Arial Narrow" w:hAnsi="Arial Narrow"/>
                <w:color w:val="000000"/>
                <w:sz w:val="18"/>
                <w:szCs w:val="18"/>
              </w:rPr>
            </w:pPr>
            <w:r w:rsidRPr="004D57B3">
              <w:rPr>
                <w:rFonts w:ascii="Arial Narrow" w:hAnsi="Arial Narrow"/>
                <w:color w:val="000000"/>
                <w:sz w:val="18"/>
                <w:szCs w:val="18"/>
              </w:rPr>
              <w:t>(b)</w:t>
            </w:r>
            <w:r w:rsidR="001B636E" w:rsidRPr="004D57B3">
              <w:rPr>
                <w:rFonts w:ascii="Arial Narrow" w:hAnsi="Arial Narrow"/>
                <w:color w:val="000000"/>
                <w:sz w:val="18"/>
                <w:szCs w:val="18"/>
              </w:rPr>
              <w:t xml:space="preserve"> </w:t>
            </w:r>
            <w:r w:rsidRPr="004D57B3">
              <w:rPr>
                <w:rFonts w:ascii="Arial Narrow" w:hAnsi="Arial Narrow"/>
                <w:color w:val="000000"/>
                <w:sz w:val="18"/>
                <w:szCs w:val="18"/>
              </w:rPr>
              <w:t>the patient to whom the service is provided:</w:t>
            </w:r>
            <w:r w:rsidR="001B636E" w:rsidRPr="004D57B3">
              <w:rPr>
                <w:rFonts w:ascii="Arial Narrow" w:hAnsi="Arial Narrow"/>
                <w:color w:val="000000"/>
                <w:sz w:val="18"/>
                <w:szCs w:val="18"/>
              </w:rPr>
              <w:t xml:space="preserve"> </w:t>
            </w:r>
          </w:p>
          <w:p w:rsidR="001B636E" w:rsidRPr="004D57B3" w:rsidRDefault="0048417A" w:rsidP="001B636E">
            <w:pPr>
              <w:spacing w:after="0"/>
              <w:ind w:left="0"/>
              <w:rPr>
                <w:rFonts w:ascii="Arial Narrow" w:hAnsi="Arial Narrow"/>
                <w:color w:val="000000"/>
                <w:sz w:val="18"/>
                <w:szCs w:val="18"/>
              </w:rPr>
            </w:pPr>
            <w:r w:rsidRPr="004D57B3">
              <w:rPr>
                <w:rFonts w:ascii="Arial Narrow" w:hAnsi="Arial Narrow"/>
                <w:color w:val="000000"/>
                <w:sz w:val="18"/>
                <w:szCs w:val="18"/>
              </w:rPr>
              <w:t>(</w:t>
            </w:r>
            <w:proofErr w:type="spellStart"/>
            <w:r w:rsidRPr="004D57B3">
              <w:rPr>
                <w:rFonts w:ascii="Arial Narrow" w:hAnsi="Arial Narrow"/>
                <w:color w:val="000000"/>
                <w:sz w:val="18"/>
                <w:szCs w:val="18"/>
              </w:rPr>
              <w:t>i</w:t>
            </w:r>
            <w:proofErr w:type="spellEnd"/>
            <w:r w:rsidRPr="004D57B3">
              <w:rPr>
                <w:rFonts w:ascii="Arial Narrow" w:hAnsi="Arial Narrow"/>
                <w:color w:val="000000"/>
                <w:sz w:val="18"/>
                <w:szCs w:val="18"/>
              </w:rPr>
              <w:t>) is aged 10 years or over; and</w:t>
            </w:r>
            <w:r w:rsidR="001B636E" w:rsidRPr="004D57B3">
              <w:rPr>
                <w:rFonts w:ascii="Arial Narrow" w:hAnsi="Arial Narrow"/>
                <w:color w:val="000000"/>
                <w:sz w:val="18"/>
                <w:szCs w:val="18"/>
              </w:rPr>
              <w:t xml:space="preserve"> </w:t>
            </w:r>
          </w:p>
          <w:p w:rsidR="001B636E" w:rsidRPr="004D57B3" w:rsidRDefault="0048417A" w:rsidP="001B636E">
            <w:pPr>
              <w:spacing w:after="0"/>
              <w:ind w:left="0"/>
              <w:rPr>
                <w:rFonts w:ascii="Arial Narrow" w:hAnsi="Arial Narrow"/>
                <w:color w:val="000000"/>
                <w:sz w:val="18"/>
                <w:szCs w:val="18"/>
              </w:rPr>
            </w:pPr>
            <w:r w:rsidRPr="004D57B3">
              <w:rPr>
                <w:rFonts w:ascii="Arial Narrow" w:hAnsi="Arial Narrow"/>
                <w:color w:val="000000"/>
                <w:sz w:val="18"/>
                <w:szCs w:val="18"/>
              </w:rPr>
              <w:t>(ii) has suspected Crohn’s disease on the basis of evidence of underlying inflammation, as indicated by elevated Erythrocyte Sedimentation Rate and/or C-Reactive Protein or other inflammatory markers tested at least twice over at least six weeks, and ongoing symptoms of diarrhoea and/or abdominal pain; and</w:t>
            </w:r>
            <w:r w:rsidR="001B636E" w:rsidRPr="004D57B3">
              <w:rPr>
                <w:rFonts w:ascii="Arial Narrow" w:hAnsi="Arial Narrow"/>
                <w:color w:val="000000"/>
                <w:sz w:val="18"/>
                <w:szCs w:val="18"/>
              </w:rPr>
              <w:t xml:space="preserve"> </w:t>
            </w:r>
          </w:p>
          <w:p w:rsidR="0048417A" w:rsidRPr="004D57B3" w:rsidRDefault="0048417A" w:rsidP="00836B55">
            <w:pPr>
              <w:spacing w:after="0"/>
              <w:ind w:left="0"/>
              <w:rPr>
                <w:rFonts w:ascii="Arial Narrow" w:hAnsi="Arial Narrow"/>
                <w:color w:val="000000"/>
                <w:sz w:val="18"/>
                <w:szCs w:val="18"/>
              </w:rPr>
            </w:pPr>
            <w:r w:rsidRPr="004D57B3">
              <w:rPr>
                <w:rFonts w:ascii="Arial Narrow" w:hAnsi="Arial Narrow"/>
                <w:color w:val="000000"/>
                <w:sz w:val="18"/>
                <w:szCs w:val="18"/>
              </w:rPr>
              <w:t>(iii)</w:t>
            </w:r>
            <w:r w:rsidR="001B636E" w:rsidRPr="004D57B3">
              <w:rPr>
                <w:rFonts w:ascii="Arial Narrow" w:hAnsi="Arial Narrow"/>
                <w:color w:val="000000"/>
                <w:sz w:val="18"/>
                <w:szCs w:val="18"/>
              </w:rPr>
              <w:t xml:space="preserve"> </w:t>
            </w:r>
            <w:r w:rsidRPr="004D57B3">
              <w:rPr>
                <w:rFonts w:ascii="Arial Narrow" w:hAnsi="Arial Narrow"/>
                <w:color w:val="000000"/>
                <w:sz w:val="18"/>
                <w:szCs w:val="18"/>
              </w:rPr>
              <w:t xml:space="preserve">no evidence of strictures on small bowel radiology; and </w:t>
            </w:r>
          </w:p>
          <w:p w:rsidR="0048417A" w:rsidRPr="004D57B3" w:rsidRDefault="0048417A" w:rsidP="00836B55">
            <w:pPr>
              <w:spacing w:after="0"/>
              <w:ind w:left="0"/>
              <w:rPr>
                <w:rFonts w:ascii="Arial Narrow" w:hAnsi="Arial Narrow"/>
                <w:color w:val="000000"/>
                <w:sz w:val="18"/>
                <w:szCs w:val="18"/>
              </w:rPr>
            </w:pPr>
            <w:r w:rsidRPr="004D57B3">
              <w:rPr>
                <w:rFonts w:ascii="Arial Narrow" w:hAnsi="Arial Narrow"/>
                <w:color w:val="000000"/>
                <w:sz w:val="18"/>
                <w:szCs w:val="18"/>
              </w:rPr>
              <w:t>(c)</w:t>
            </w:r>
            <w:r w:rsidR="001B636E" w:rsidRPr="004D57B3">
              <w:rPr>
                <w:rFonts w:ascii="Arial Narrow" w:hAnsi="Arial Narrow"/>
                <w:color w:val="000000"/>
                <w:sz w:val="18"/>
                <w:szCs w:val="18"/>
              </w:rPr>
              <w:t xml:space="preserve"> </w:t>
            </w:r>
            <w:r w:rsidRPr="004D57B3">
              <w:rPr>
                <w:rFonts w:ascii="Arial Narrow" w:hAnsi="Arial Narrow"/>
                <w:color w:val="000000"/>
                <w:sz w:val="18"/>
                <w:szCs w:val="18"/>
              </w:rPr>
              <w:t xml:space="preserve">a colonoscopy with attempted </w:t>
            </w:r>
            <w:proofErr w:type="spellStart"/>
            <w:r w:rsidRPr="004D57B3">
              <w:rPr>
                <w:rFonts w:ascii="Arial Narrow" w:hAnsi="Arial Narrow"/>
                <w:color w:val="000000"/>
                <w:sz w:val="18"/>
                <w:szCs w:val="18"/>
              </w:rPr>
              <w:t>ileoscopy</w:t>
            </w:r>
            <w:proofErr w:type="spellEnd"/>
            <w:r w:rsidRPr="004D57B3">
              <w:rPr>
                <w:rFonts w:ascii="Arial Narrow" w:hAnsi="Arial Narrow"/>
                <w:color w:val="000000"/>
                <w:sz w:val="18"/>
                <w:szCs w:val="18"/>
              </w:rPr>
              <w:t xml:space="preserve"> and small bowel radiology have been performed on the patient and have not confirmed the diagnosis of Crohn’s disease; and </w:t>
            </w:r>
          </w:p>
          <w:p w:rsidR="0048417A" w:rsidRPr="004D57B3" w:rsidRDefault="0048417A" w:rsidP="00836B55">
            <w:pPr>
              <w:spacing w:after="0"/>
              <w:ind w:left="0"/>
              <w:rPr>
                <w:rFonts w:ascii="Arial Narrow" w:hAnsi="Arial Narrow"/>
                <w:color w:val="000000"/>
                <w:sz w:val="18"/>
                <w:szCs w:val="18"/>
              </w:rPr>
            </w:pPr>
            <w:r w:rsidRPr="004D57B3">
              <w:rPr>
                <w:rFonts w:ascii="Arial Narrow" w:hAnsi="Arial Narrow"/>
                <w:color w:val="000000"/>
                <w:sz w:val="18"/>
                <w:szCs w:val="18"/>
              </w:rPr>
              <w:t>(d)</w:t>
            </w:r>
            <w:r w:rsidR="001B636E" w:rsidRPr="004D57B3">
              <w:rPr>
                <w:rFonts w:ascii="Arial Narrow" w:hAnsi="Arial Narrow"/>
                <w:color w:val="000000"/>
                <w:sz w:val="18"/>
                <w:szCs w:val="18"/>
              </w:rPr>
              <w:t xml:space="preserve"> </w:t>
            </w:r>
            <w:r w:rsidRPr="004D57B3">
              <w:rPr>
                <w:rFonts w:ascii="Arial Narrow" w:hAnsi="Arial Narrow"/>
                <w:color w:val="000000"/>
                <w:sz w:val="18"/>
                <w:szCs w:val="18"/>
              </w:rPr>
              <w:t xml:space="preserve">the service is performed within 6 months of the colonoscopy, attempted </w:t>
            </w:r>
            <w:proofErr w:type="spellStart"/>
            <w:r w:rsidRPr="004D57B3">
              <w:rPr>
                <w:rFonts w:ascii="Arial Narrow" w:hAnsi="Arial Narrow"/>
                <w:color w:val="000000"/>
                <w:sz w:val="18"/>
                <w:szCs w:val="18"/>
              </w:rPr>
              <w:t>ileoscopy</w:t>
            </w:r>
            <w:proofErr w:type="spellEnd"/>
            <w:r w:rsidRPr="004D57B3">
              <w:rPr>
                <w:rFonts w:ascii="Arial Narrow" w:hAnsi="Arial Narrow"/>
                <w:color w:val="000000"/>
                <w:sz w:val="18"/>
                <w:szCs w:val="18"/>
              </w:rPr>
              <w:t xml:space="preserve"> and small bowel radiology </w:t>
            </w:r>
          </w:p>
          <w:p w:rsidR="0048417A" w:rsidRPr="004D57B3" w:rsidRDefault="0048417A" w:rsidP="00836B55">
            <w:pPr>
              <w:spacing w:after="0"/>
              <w:ind w:left="0"/>
              <w:rPr>
                <w:rFonts w:ascii="Arial Narrow" w:hAnsi="Arial Narrow"/>
                <w:color w:val="000000"/>
                <w:sz w:val="18"/>
                <w:szCs w:val="18"/>
              </w:rPr>
            </w:pPr>
          </w:p>
          <w:p w:rsidR="0048417A" w:rsidRPr="004D57B3" w:rsidRDefault="0048417A" w:rsidP="00836B55">
            <w:pPr>
              <w:spacing w:after="0"/>
              <w:ind w:left="360"/>
              <w:rPr>
                <w:color w:val="000000"/>
              </w:rPr>
            </w:pPr>
          </w:p>
        </w:tc>
      </w:tr>
      <w:tr w:rsidR="0048417A" w:rsidRPr="004D57B3" w:rsidTr="00836B55">
        <w:tc>
          <w:tcPr>
            <w:tcW w:w="8425" w:type="dxa"/>
          </w:tcPr>
          <w:p w:rsidR="0048417A" w:rsidRPr="00B0412F" w:rsidRDefault="0048417A" w:rsidP="00836B55">
            <w:pPr>
              <w:pStyle w:val="TableText0"/>
            </w:pPr>
            <w:r w:rsidRPr="00B0412F">
              <w:t xml:space="preserve">Fee: $1,961.95 </w:t>
            </w:r>
            <w:r w:rsidRPr="00B0412F">
              <w:rPr>
                <w:b/>
                <w:bCs/>
              </w:rPr>
              <w:t>Benefit:</w:t>
            </w:r>
            <w:r w:rsidRPr="00B0412F">
              <w:t xml:space="preserve"> 75% = $1,471.50, 85% = $1,890.75</w:t>
            </w:r>
          </w:p>
        </w:tc>
      </w:tr>
    </w:tbl>
    <w:p w:rsidR="0048417A" w:rsidRPr="004D57B3" w:rsidRDefault="0048417A" w:rsidP="00836B55"/>
    <w:p w:rsidR="0048417A" w:rsidRPr="004D57B3" w:rsidRDefault="0048417A" w:rsidP="00836B55">
      <w:r>
        <w:t>C</w:t>
      </w:r>
      <w:r w:rsidRPr="004D57B3">
        <w:t>apsule endoscopy is being assessed for the diagnosis of small bowel Crohn’s disease. As such, it should only be used once per patient per lifetime. However, some patients for whom the test is equivocal may undergo repeat testing. The MBS item descriptor should therefore either restrict performance of capsule endoscopy for this indication to once per year, or make no restriction. It should be noted that there are sometimes cases of technical failures of the capsule endoscopy in which the patient may require a repeat procedure.</w:t>
      </w:r>
    </w:p>
    <w:p w:rsidR="0048417A" w:rsidRPr="004D57B3" w:rsidRDefault="0048417A" w:rsidP="00836B55">
      <w:pPr>
        <w:pStyle w:val="Heading2a"/>
      </w:pPr>
      <w:r w:rsidRPr="004D57B3">
        <w:t>Current arrangements for public reimbursement</w:t>
      </w:r>
    </w:p>
    <w:p w:rsidR="0048417A" w:rsidRPr="004D57B3" w:rsidRDefault="0048417A" w:rsidP="00836B55">
      <w:r>
        <w:t>C</w:t>
      </w:r>
      <w:r w:rsidRPr="004D57B3">
        <w:t xml:space="preserve">apsule endoscopy is an outpatient procedure and is available in private rooms (or clinics). It is funded </w:t>
      </w:r>
      <w:r>
        <w:t>through</w:t>
      </w:r>
      <w:r w:rsidRPr="004D57B3">
        <w:t xml:space="preserve"> the MBS for two indications: the investigation of </w:t>
      </w:r>
      <w:r>
        <w:t>OGIB</w:t>
      </w:r>
      <w:r w:rsidRPr="004D57B3">
        <w:t xml:space="preserve"> (MBS item 11820) and for small bowel surveillance of patients with </w:t>
      </w:r>
      <w:r>
        <w:t>PJS</w:t>
      </w:r>
      <w:r w:rsidRPr="004D57B3">
        <w:t xml:space="preserve"> (MBS item 11823)</w:t>
      </w:r>
      <w:r>
        <w:t xml:space="preserve"> (see </w:t>
      </w:r>
      <w:r>
        <w:fldChar w:fldCharType="begin"/>
      </w:r>
      <w:r>
        <w:instrText xml:space="preserve"> REF _Ref282086887 \h </w:instrText>
      </w:r>
      <w:r>
        <w:fldChar w:fldCharType="separate"/>
      </w:r>
      <w:r w:rsidRPr="004D57B3">
        <w:t xml:space="preserve">Table </w:t>
      </w:r>
      <w:r>
        <w:rPr>
          <w:noProof/>
        </w:rPr>
        <w:t>3</w:t>
      </w:r>
      <w:r>
        <w:fldChar w:fldCharType="end"/>
      </w:r>
      <w:r>
        <w:t>)</w:t>
      </w:r>
      <w:r w:rsidRPr="004D57B3">
        <w:t xml:space="preserve">. </w:t>
      </w:r>
      <w:r>
        <w:t>C</w:t>
      </w:r>
      <w:r w:rsidRPr="004D57B3">
        <w:t xml:space="preserve">apsule endoscopy for the present indication is financed through self-pay and is usually performed as an outpatient procedure in private rooms or clinics. </w:t>
      </w:r>
    </w:p>
    <w:p w:rsidR="0048417A" w:rsidRPr="004D57B3" w:rsidRDefault="0048417A" w:rsidP="00836B55">
      <w:pPr>
        <w:pStyle w:val="TableName"/>
        <w:ind w:left="1004"/>
      </w:pPr>
      <w:bookmarkStart w:id="23" w:name="_Ref282086887"/>
      <w:bookmarkStart w:id="24" w:name="_Ref282086884"/>
      <w:bookmarkStart w:id="25" w:name="_Ref282086889"/>
      <w:bookmarkStart w:id="26" w:name="_Toc291859565"/>
      <w:r w:rsidRPr="004D57B3">
        <w:lastRenderedPageBreak/>
        <w:t xml:space="preserve">Table </w:t>
      </w:r>
      <w:r w:rsidR="00AE591B">
        <w:fldChar w:fldCharType="begin"/>
      </w:r>
      <w:r w:rsidR="00AE591B">
        <w:instrText xml:space="preserve"> SEQ Table \* ARABIC </w:instrText>
      </w:r>
      <w:r w:rsidR="00AE591B">
        <w:fldChar w:fldCharType="separate"/>
      </w:r>
      <w:r>
        <w:rPr>
          <w:noProof/>
        </w:rPr>
        <w:t>3</w:t>
      </w:r>
      <w:r w:rsidR="00AE591B">
        <w:rPr>
          <w:noProof/>
        </w:rPr>
        <w:fldChar w:fldCharType="end"/>
      </w:r>
      <w:bookmarkEnd w:id="23"/>
      <w:r>
        <w:tab/>
      </w:r>
      <w:r w:rsidRPr="004D57B3">
        <w:t>MBS items for capsule endoscopy</w:t>
      </w:r>
      <w:bookmarkEnd w:id="24"/>
      <w:bookmarkEnd w:id="25"/>
      <w:bookmarkEnd w:id="26"/>
    </w:p>
    <w:tbl>
      <w:tblPr>
        <w:tblW w:w="4788" w:type="pct"/>
        <w:tblInd w:w="392" w:type="dxa"/>
        <w:tblBorders>
          <w:top w:val="single" w:sz="4" w:space="0" w:color="auto"/>
          <w:bottom w:val="single" w:sz="4" w:space="0" w:color="auto"/>
        </w:tblBorders>
        <w:tblLook w:val="00A0" w:firstRow="1" w:lastRow="0" w:firstColumn="1" w:lastColumn="0" w:noHBand="0" w:noVBand="0"/>
      </w:tblPr>
      <w:tblGrid>
        <w:gridCol w:w="627"/>
        <w:gridCol w:w="3977"/>
        <w:gridCol w:w="885"/>
        <w:gridCol w:w="887"/>
        <w:gridCol w:w="1167"/>
        <w:gridCol w:w="1307"/>
      </w:tblGrid>
      <w:tr w:rsidR="0048417A" w:rsidRPr="004D57B3" w:rsidTr="00836B55">
        <w:tc>
          <w:tcPr>
            <w:tcW w:w="151" w:type="pct"/>
            <w:tcBorders>
              <w:top w:val="single" w:sz="4" w:space="0" w:color="auto"/>
              <w:bottom w:val="single" w:sz="4" w:space="0" w:color="auto"/>
            </w:tcBorders>
          </w:tcPr>
          <w:p w:rsidR="0048417A" w:rsidRPr="004D57B3" w:rsidRDefault="0048417A" w:rsidP="00836B55">
            <w:pPr>
              <w:pStyle w:val="TableHeading"/>
            </w:pPr>
            <w:r w:rsidRPr="004D57B3">
              <w:t>MBS item</w:t>
            </w:r>
          </w:p>
        </w:tc>
        <w:tc>
          <w:tcPr>
            <w:tcW w:w="2298" w:type="pct"/>
            <w:tcBorders>
              <w:top w:val="single" w:sz="4" w:space="0" w:color="auto"/>
              <w:bottom w:val="single" w:sz="4" w:space="0" w:color="auto"/>
            </w:tcBorders>
          </w:tcPr>
          <w:p w:rsidR="0048417A" w:rsidRPr="004D57B3" w:rsidRDefault="0048417A" w:rsidP="00836B55">
            <w:pPr>
              <w:pStyle w:val="TableHeading"/>
            </w:pPr>
            <w:r w:rsidRPr="004D57B3">
              <w:t>Descriptor</w:t>
            </w:r>
            <w:r w:rsidRPr="004D57B3">
              <w:rPr>
                <w:vertAlign w:val="superscript"/>
              </w:rPr>
              <w:t>α</w:t>
            </w:r>
          </w:p>
        </w:tc>
        <w:tc>
          <w:tcPr>
            <w:tcW w:w="551" w:type="pct"/>
            <w:tcBorders>
              <w:top w:val="single" w:sz="4" w:space="0" w:color="auto"/>
              <w:bottom w:val="single" w:sz="4" w:space="0" w:color="auto"/>
            </w:tcBorders>
          </w:tcPr>
          <w:p w:rsidR="0048417A" w:rsidRPr="004D57B3" w:rsidRDefault="0048417A" w:rsidP="00836B55">
            <w:pPr>
              <w:pStyle w:val="TableHeading"/>
            </w:pPr>
            <w:r w:rsidRPr="004D57B3">
              <w:t>Fee</w:t>
            </w:r>
          </w:p>
        </w:tc>
        <w:tc>
          <w:tcPr>
            <w:tcW w:w="552" w:type="pct"/>
            <w:tcBorders>
              <w:top w:val="single" w:sz="4" w:space="0" w:color="auto"/>
              <w:bottom w:val="single" w:sz="4" w:space="0" w:color="auto"/>
            </w:tcBorders>
          </w:tcPr>
          <w:p w:rsidR="0048417A" w:rsidRPr="004D57B3" w:rsidRDefault="0048417A" w:rsidP="00836B55">
            <w:pPr>
              <w:pStyle w:val="TableHeading"/>
            </w:pPr>
            <w:r w:rsidRPr="004D57B3">
              <w:t>Benefit</w:t>
            </w:r>
          </w:p>
        </w:tc>
        <w:tc>
          <w:tcPr>
            <w:tcW w:w="710" w:type="pct"/>
            <w:tcBorders>
              <w:top w:val="single" w:sz="4" w:space="0" w:color="auto"/>
              <w:bottom w:val="single" w:sz="4" w:space="0" w:color="auto"/>
            </w:tcBorders>
          </w:tcPr>
          <w:p w:rsidR="0048417A" w:rsidRPr="004D57B3" w:rsidRDefault="0048417A" w:rsidP="00836B55">
            <w:pPr>
              <w:pStyle w:val="TableHeading"/>
            </w:pPr>
            <w:r w:rsidRPr="004D57B3">
              <w:t>Indication</w:t>
            </w:r>
          </w:p>
        </w:tc>
        <w:tc>
          <w:tcPr>
            <w:tcW w:w="738" w:type="pct"/>
            <w:tcBorders>
              <w:top w:val="single" w:sz="4" w:space="0" w:color="auto"/>
              <w:bottom w:val="single" w:sz="4" w:space="0" w:color="auto"/>
            </w:tcBorders>
          </w:tcPr>
          <w:p w:rsidR="0048417A" w:rsidRPr="004D57B3" w:rsidRDefault="0048417A" w:rsidP="00836B55">
            <w:pPr>
              <w:pStyle w:val="TableHeading"/>
            </w:pPr>
            <w:r w:rsidRPr="004D57B3">
              <w:t>Date  listed/approved</w:t>
            </w:r>
          </w:p>
        </w:tc>
      </w:tr>
      <w:tr w:rsidR="0048417A" w:rsidRPr="004D57B3" w:rsidTr="00836B55">
        <w:tc>
          <w:tcPr>
            <w:tcW w:w="151" w:type="pct"/>
            <w:tcBorders>
              <w:top w:val="single" w:sz="4" w:space="0" w:color="auto"/>
            </w:tcBorders>
          </w:tcPr>
          <w:p w:rsidR="0048417A" w:rsidRPr="004D57B3" w:rsidRDefault="0048417A" w:rsidP="00836B55">
            <w:pPr>
              <w:pStyle w:val="TableText"/>
            </w:pPr>
            <w:r w:rsidRPr="004D57B3">
              <w:t>11820</w:t>
            </w:r>
          </w:p>
        </w:tc>
        <w:tc>
          <w:tcPr>
            <w:tcW w:w="2298" w:type="pct"/>
            <w:tcBorders>
              <w:top w:val="single" w:sz="4" w:space="0" w:color="auto"/>
            </w:tcBorders>
          </w:tcPr>
          <w:p w:rsidR="0048417A" w:rsidRPr="004D57B3" w:rsidRDefault="0048417A" w:rsidP="00836B55">
            <w:pPr>
              <w:pStyle w:val="TableText"/>
            </w:pPr>
            <w:r w:rsidRPr="004D57B3">
              <w:t xml:space="preserve">CAPSULE ENDOSCOPY to investigate an episode of obscure gastrointestinal bleeding, using a capsule endoscopy device approved by the Therapeutic Goods Administration (TGA) (including administration of the capsule, imaging, image reading and interpretation, and all attendances for providing the service on the day the capsule is administered), (not being a service associated with double balloon </w:t>
            </w:r>
            <w:proofErr w:type="spellStart"/>
            <w:r w:rsidRPr="004D57B3">
              <w:t>enteroscopy</w:t>
            </w:r>
            <w:proofErr w:type="spellEnd"/>
            <w:r w:rsidRPr="004D57B3">
              <w:t xml:space="preserve">), if: </w:t>
            </w:r>
          </w:p>
          <w:p w:rsidR="0048417A" w:rsidRPr="004D57B3" w:rsidRDefault="0048417A" w:rsidP="00836B55">
            <w:pPr>
              <w:pStyle w:val="TableText"/>
            </w:pPr>
            <w:r w:rsidRPr="004D57B3">
              <w:t>(a)</w:t>
            </w:r>
            <w:r w:rsidR="001B636E" w:rsidRPr="004D57B3">
              <w:t xml:space="preserve"> </w:t>
            </w:r>
            <w:r w:rsidRPr="004D57B3">
              <w:t xml:space="preserve">the service is performed by a specialist or consultant physician with endoscopic training that is recognised by The Conjoint Committee for the Recognition of Training in Gastrointestinal Endoscopy; and </w:t>
            </w:r>
          </w:p>
          <w:p w:rsidR="001B636E" w:rsidRPr="004D57B3" w:rsidRDefault="0048417A" w:rsidP="001B636E">
            <w:pPr>
              <w:pStyle w:val="TableText"/>
            </w:pPr>
            <w:r w:rsidRPr="004D57B3">
              <w:t>(b)</w:t>
            </w:r>
            <w:r w:rsidR="001B636E" w:rsidRPr="004D57B3">
              <w:t xml:space="preserve"> </w:t>
            </w:r>
            <w:r w:rsidRPr="004D57B3">
              <w:t>the patient to whom the service is provided:</w:t>
            </w:r>
            <w:r w:rsidR="001B636E" w:rsidRPr="004D57B3">
              <w:t xml:space="preserve"> </w:t>
            </w:r>
          </w:p>
          <w:p w:rsidR="001B636E" w:rsidRPr="004D57B3" w:rsidRDefault="0048417A" w:rsidP="001B636E">
            <w:pPr>
              <w:pStyle w:val="TableText"/>
            </w:pPr>
            <w:r w:rsidRPr="004D57B3">
              <w:t>(</w:t>
            </w:r>
            <w:proofErr w:type="spellStart"/>
            <w:r w:rsidRPr="004D57B3">
              <w:t>i</w:t>
            </w:r>
            <w:proofErr w:type="spellEnd"/>
            <w:r w:rsidRPr="004D57B3">
              <w:t>)</w:t>
            </w:r>
            <w:r w:rsidR="001B636E" w:rsidRPr="004D57B3">
              <w:t xml:space="preserve"> </w:t>
            </w:r>
            <w:r w:rsidRPr="004D57B3">
              <w:t>is aged 10 years or over; and</w:t>
            </w:r>
            <w:r w:rsidR="001B636E" w:rsidRPr="004D57B3">
              <w:t xml:space="preserve"> </w:t>
            </w:r>
          </w:p>
          <w:p w:rsidR="001B636E" w:rsidRPr="004D57B3" w:rsidRDefault="0048417A" w:rsidP="001B636E">
            <w:pPr>
              <w:pStyle w:val="TableText"/>
            </w:pPr>
            <w:r w:rsidRPr="004D57B3">
              <w:t>(ii)</w:t>
            </w:r>
            <w:r w:rsidR="001B636E" w:rsidRPr="004D57B3">
              <w:t xml:space="preserve"> </w:t>
            </w:r>
            <w:r w:rsidRPr="004D57B3">
              <w:t>has recurrent or persistent bleeding; and</w:t>
            </w:r>
            <w:r w:rsidR="001B636E" w:rsidRPr="004D57B3">
              <w:t xml:space="preserve"> </w:t>
            </w:r>
          </w:p>
          <w:p w:rsidR="0048417A" w:rsidRPr="004D57B3" w:rsidRDefault="0048417A" w:rsidP="00836B55">
            <w:pPr>
              <w:pStyle w:val="TableText"/>
            </w:pPr>
            <w:r w:rsidRPr="004D57B3">
              <w:t>(iii)</w:t>
            </w:r>
            <w:r w:rsidR="001B636E" w:rsidRPr="004D57B3">
              <w:t xml:space="preserve"> </w:t>
            </w:r>
            <w:r w:rsidRPr="004D57B3">
              <w:t xml:space="preserve">is anaemic or has active bleeding; and </w:t>
            </w:r>
          </w:p>
          <w:p w:rsidR="0048417A" w:rsidRPr="004D57B3" w:rsidRDefault="0048417A" w:rsidP="00836B55">
            <w:pPr>
              <w:pStyle w:val="TableText"/>
            </w:pPr>
            <w:r w:rsidRPr="004D57B3">
              <w:t>(c)</w:t>
            </w:r>
            <w:r w:rsidR="001B636E" w:rsidRPr="004D57B3">
              <w:t xml:space="preserve"> </w:t>
            </w:r>
            <w:r w:rsidRPr="004D57B3">
              <w:t xml:space="preserve">an upper gastrointestinal endoscopy and a colonoscopy have been performed on the patient and have not identified the cause of the bleeding; and </w:t>
            </w:r>
          </w:p>
          <w:p w:rsidR="0048417A" w:rsidRPr="004D57B3" w:rsidRDefault="0048417A" w:rsidP="001B636E">
            <w:pPr>
              <w:pStyle w:val="TableText"/>
            </w:pPr>
            <w:r w:rsidRPr="004D57B3">
              <w:t>(d)</w:t>
            </w:r>
            <w:r w:rsidR="001B636E" w:rsidRPr="004D57B3">
              <w:t xml:space="preserve"> </w:t>
            </w:r>
            <w:r w:rsidRPr="004D57B3">
              <w:t xml:space="preserve">the service is performed within 6 months of the upper gastrointestinal endoscopy and colonoscopy </w:t>
            </w:r>
          </w:p>
        </w:tc>
        <w:tc>
          <w:tcPr>
            <w:tcW w:w="551" w:type="pct"/>
            <w:tcBorders>
              <w:top w:val="single" w:sz="4" w:space="0" w:color="auto"/>
            </w:tcBorders>
          </w:tcPr>
          <w:p w:rsidR="0048417A" w:rsidRPr="004D57B3" w:rsidRDefault="0048417A" w:rsidP="00836B55">
            <w:pPr>
              <w:pStyle w:val="TableText"/>
            </w:pPr>
            <w:r w:rsidRPr="004D57B3">
              <w:t>$1,961.95</w:t>
            </w:r>
          </w:p>
        </w:tc>
        <w:tc>
          <w:tcPr>
            <w:tcW w:w="552" w:type="pct"/>
            <w:tcBorders>
              <w:top w:val="single" w:sz="4" w:space="0" w:color="auto"/>
            </w:tcBorders>
          </w:tcPr>
          <w:p w:rsidR="0048417A" w:rsidRPr="004D57B3" w:rsidRDefault="0048417A" w:rsidP="00836B55">
            <w:pPr>
              <w:pStyle w:val="TableText"/>
            </w:pPr>
            <w:r w:rsidRPr="004D57B3">
              <w:t>$1,471.50 (75%)</w:t>
            </w:r>
          </w:p>
          <w:p w:rsidR="0048417A" w:rsidRPr="004D57B3" w:rsidRDefault="0048417A" w:rsidP="00836B55">
            <w:pPr>
              <w:pStyle w:val="TableText"/>
            </w:pPr>
          </w:p>
          <w:p w:rsidR="0048417A" w:rsidRPr="004D57B3" w:rsidRDefault="0048417A" w:rsidP="00836B55">
            <w:pPr>
              <w:pStyle w:val="TableText"/>
            </w:pPr>
            <w:r w:rsidRPr="004D57B3">
              <w:t>$1,890.75 (85%)</w:t>
            </w:r>
          </w:p>
        </w:tc>
        <w:tc>
          <w:tcPr>
            <w:tcW w:w="710" w:type="pct"/>
            <w:tcBorders>
              <w:top w:val="single" w:sz="4" w:space="0" w:color="auto"/>
            </w:tcBorders>
          </w:tcPr>
          <w:p w:rsidR="0048417A" w:rsidRPr="004D57B3" w:rsidRDefault="0048417A" w:rsidP="00836B55">
            <w:pPr>
              <w:pStyle w:val="TableText"/>
            </w:pPr>
            <w:r>
              <w:t>OGIB</w:t>
            </w:r>
          </w:p>
        </w:tc>
        <w:tc>
          <w:tcPr>
            <w:tcW w:w="738" w:type="pct"/>
            <w:tcBorders>
              <w:top w:val="single" w:sz="4" w:space="0" w:color="auto"/>
            </w:tcBorders>
          </w:tcPr>
          <w:p w:rsidR="0048417A" w:rsidRPr="004D57B3" w:rsidRDefault="0048417A" w:rsidP="00836B55">
            <w:pPr>
              <w:pStyle w:val="TableText"/>
            </w:pPr>
            <w:r w:rsidRPr="004D57B3">
              <w:t>Interim funding:</w:t>
            </w:r>
          </w:p>
          <w:p w:rsidR="0048417A" w:rsidRPr="004D57B3" w:rsidRDefault="0048417A" w:rsidP="00836B55">
            <w:pPr>
              <w:pStyle w:val="TableText"/>
            </w:pPr>
            <w:r w:rsidRPr="004D57B3">
              <w:t>1 May 2004</w:t>
            </w:r>
          </w:p>
          <w:p w:rsidR="0048417A" w:rsidRPr="004D57B3" w:rsidRDefault="0048417A" w:rsidP="00836B55">
            <w:pPr>
              <w:pStyle w:val="TableText"/>
            </w:pPr>
          </w:p>
          <w:p w:rsidR="0048417A" w:rsidRPr="004D57B3" w:rsidRDefault="0048417A" w:rsidP="00836B55">
            <w:pPr>
              <w:pStyle w:val="TableText"/>
            </w:pPr>
            <w:r w:rsidRPr="004D57B3">
              <w:t>Approved for ongoing funding:</w:t>
            </w:r>
          </w:p>
          <w:p w:rsidR="0048417A" w:rsidRPr="004D57B3" w:rsidRDefault="0048417A" w:rsidP="00836B55">
            <w:pPr>
              <w:pStyle w:val="TableText"/>
            </w:pPr>
            <w:r w:rsidRPr="004D57B3">
              <w:t>23 November 2007</w:t>
            </w:r>
          </w:p>
        </w:tc>
      </w:tr>
      <w:tr w:rsidR="0048417A" w:rsidRPr="004D57B3" w:rsidTr="00836B55">
        <w:trPr>
          <w:trHeight w:val="4132"/>
        </w:trPr>
        <w:tc>
          <w:tcPr>
            <w:tcW w:w="151" w:type="pct"/>
            <w:tcBorders>
              <w:bottom w:val="single" w:sz="4" w:space="0" w:color="auto"/>
            </w:tcBorders>
          </w:tcPr>
          <w:p w:rsidR="0048417A" w:rsidRPr="004D57B3" w:rsidRDefault="0048417A" w:rsidP="00836B55">
            <w:pPr>
              <w:pStyle w:val="TableText"/>
            </w:pPr>
            <w:r w:rsidRPr="004D57B3">
              <w:t>11823</w:t>
            </w:r>
          </w:p>
        </w:tc>
        <w:tc>
          <w:tcPr>
            <w:tcW w:w="2298" w:type="pct"/>
            <w:tcBorders>
              <w:bottom w:val="single" w:sz="4" w:space="0" w:color="auto"/>
            </w:tcBorders>
          </w:tcPr>
          <w:p w:rsidR="0048417A" w:rsidRPr="004D57B3" w:rsidRDefault="0048417A" w:rsidP="00836B55">
            <w:pPr>
              <w:pStyle w:val="TableText"/>
            </w:pPr>
            <w:r w:rsidRPr="004D57B3">
              <w:t xml:space="preserve">CAPSULE ENDOSCOPY to conduct small bowel surveillance of a patient diagnosed with </w:t>
            </w:r>
            <w:proofErr w:type="spellStart"/>
            <w:r w:rsidRPr="004D57B3">
              <w:t>Peutz-Jeghers</w:t>
            </w:r>
            <w:proofErr w:type="spellEnd"/>
            <w:r w:rsidRPr="004D57B3">
              <w:t xml:space="preserve"> syndrome, using a capsule endoscopy device approved by the TGA.  The procedure includes the administration of the capsule, imaging, image reading and interpretation, and all attendances for providing the service on the day the capsule is administered (not being a service associated with double balloon </w:t>
            </w:r>
            <w:proofErr w:type="spellStart"/>
            <w:r w:rsidRPr="004D57B3">
              <w:t>enteroscopy</w:t>
            </w:r>
            <w:proofErr w:type="spellEnd"/>
            <w:r w:rsidRPr="004D57B3">
              <w:t xml:space="preserve">). </w:t>
            </w:r>
          </w:p>
          <w:p w:rsidR="0048417A" w:rsidRPr="004D57B3" w:rsidRDefault="0048417A" w:rsidP="00836B55">
            <w:pPr>
              <w:pStyle w:val="TableText"/>
            </w:pPr>
            <w:r w:rsidRPr="004D57B3">
              <w:t xml:space="preserve">Medicare benefits are only payable for this item if: </w:t>
            </w:r>
          </w:p>
          <w:p w:rsidR="0048417A" w:rsidRPr="004D57B3" w:rsidRDefault="0048417A" w:rsidP="00836B55">
            <w:pPr>
              <w:pStyle w:val="TableText"/>
            </w:pPr>
            <w:r w:rsidRPr="004D57B3">
              <w:t>1.</w:t>
            </w:r>
            <w:r w:rsidR="001B636E" w:rsidRPr="004D57B3">
              <w:t xml:space="preserve"> </w:t>
            </w:r>
            <w:r w:rsidRPr="004D57B3">
              <w:t xml:space="preserve">the service has been performed by a specialist or consultant physician with endoscopic training that is recognised by the Conjoint Committee for the Recognition of Training in Gastrointestinal Endoscopy; and </w:t>
            </w:r>
          </w:p>
          <w:p w:rsidR="0048417A" w:rsidRPr="004D57B3" w:rsidRDefault="0048417A" w:rsidP="00836B55">
            <w:pPr>
              <w:pStyle w:val="TableText"/>
            </w:pPr>
            <w:r w:rsidRPr="004D57B3">
              <w:t>2.</w:t>
            </w:r>
            <w:r w:rsidR="001B636E" w:rsidRPr="004D57B3">
              <w:t xml:space="preserve"> </w:t>
            </w:r>
            <w:proofErr w:type="gramStart"/>
            <w:r w:rsidRPr="004D57B3">
              <w:t>the</w:t>
            </w:r>
            <w:proofErr w:type="gramEnd"/>
            <w:r w:rsidRPr="004D57B3">
              <w:t xml:space="preserve"> patient to whom the service is provided has been conclusively diagno</w:t>
            </w:r>
            <w:r>
              <w:t xml:space="preserve">sed with </w:t>
            </w:r>
            <w:proofErr w:type="spellStart"/>
            <w:r>
              <w:t>Peutz-Jeghers</w:t>
            </w:r>
            <w:proofErr w:type="spellEnd"/>
            <w:r>
              <w:t xml:space="preserve"> syndrome.</w:t>
            </w:r>
            <w:r w:rsidRPr="004D57B3">
              <w:t xml:space="preserve"> </w:t>
            </w:r>
          </w:p>
          <w:p w:rsidR="0048417A" w:rsidRPr="004D57B3" w:rsidRDefault="0048417A" w:rsidP="00836B55">
            <w:pPr>
              <w:pStyle w:val="TableText"/>
            </w:pPr>
            <w:r w:rsidRPr="004D57B3">
              <w:t xml:space="preserve">This item is available once in any two year period. </w:t>
            </w:r>
          </w:p>
        </w:tc>
        <w:tc>
          <w:tcPr>
            <w:tcW w:w="551" w:type="pct"/>
            <w:tcBorders>
              <w:bottom w:val="single" w:sz="4" w:space="0" w:color="auto"/>
            </w:tcBorders>
          </w:tcPr>
          <w:p w:rsidR="0048417A" w:rsidRPr="004D57B3" w:rsidRDefault="0048417A" w:rsidP="00836B55">
            <w:pPr>
              <w:pStyle w:val="TableText"/>
            </w:pPr>
            <w:r w:rsidRPr="004D57B3">
              <w:t>$1,961.95</w:t>
            </w:r>
          </w:p>
        </w:tc>
        <w:tc>
          <w:tcPr>
            <w:tcW w:w="552" w:type="pct"/>
            <w:tcBorders>
              <w:bottom w:val="single" w:sz="4" w:space="0" w:color="auto"/>
            </w:tcBorders>
          </w:tcPr>
          <w:p w:rsidR="0048417A" w:rsidRPr="004D57B3" w:rsidRDefault="0048417A" w:rsidP="00836B55">
            <w:pPr>
              <w:pStyle w:val="TableText"/>
            </w:pPr>
            <w:r w:rsidRPr="004D57B3">
              <w:t>$1,471.50 (75%)</w:t>
            </w:r>
          </w:p>
          <w:p w:rsidR="0048417A" w:rsidRPr="004D57B3" w:rsidRDefault="0048417A" w:rsidP="00836B55">
            <w:pPr>
              <w:pStyle w:val="TableText"/>
            </w:pPr>
          </w:p>
          <w:p w:rsidR="0048417A" w:rsidRPr="004D57B3" w:rsidRDefault="0048417A" w:rsidP="00836B55">
            <w:pPr>
              <w:pStyle w:val="TableText"/>
            </w:pPr>
            <w:r w:rsidRPr="004D57B3">
              <w:t>$1,890.75 (85%)</w:t>
            </w:r>
          </w:p>
        </w:tc>
        <w:tc>
          <w:tcPr>
            <w:tcW w:w="710" w:type="pct"/>
            <w:tcBorders>
              <w:bottom w:val="single" w:sz="4" w:space="0" w:color="auto"/>
            </w:tcBorders>
          </w:tcPr>
          <w:p w:rsidR="0048417A" w:rsidRPr="004D57B3" w:rsidRDefault="0048417A" w:rsidP="00836B55">
            <w:pPr>
              <w:pStyle w:val="TableText"/>
            </w:pPr>
            <w:r w:rsidRPr="004D57B3">
              <w:t xml:space="preserve">Surveillance of </w:t>
            </w:r>
            <w:r>
              <w:t>PJS</w:t>
            </w:r>
          </w:p>
        </w:tc>
        <w:tc>
          <w:tcPr>
            <w:tcW w:w="738" w:type="pct"/>
            <w:tcBorders>
              <w:bottom w:val="single" w:sz="4" w:space="0" w:color="auto"/>
            </w:tcBorders>
          </w:tcPr>
          <w:p w:rsidR="0048417A" w:rsidRPr="004D57B3" w:rsidRDefault="0048417A" w:rsidP="00836B55">
            <w:pPr>
              <w:pStyle w:val="TableText"/>
            </w:pPr>
            <w:r w:rsidRPr="004D57B3">
              <w:t>Listed:</w:t>
            </w:r>
          </w:p>
          <w:p w:rsidR="0048417A" w:rsidRPr="004D57B3" w:rsidRDefault="0048417A" w:rsidP="00836B55">
            <w:pPr>
              <w:pStyle w:val="TableText"/>
            </w:pPr>
            <w:r w:rsidRPr="004D57B3">
              <w:t>1 March 2009</w:t>
            </w:r>
          </w:p>
        </w:tc>
      </w:tr>
    </w:tbl>
    <w:p w:rsidR="0048417A" w:rsidRPr="004D57B3" w:rsidRDefault="0048417A" w:rsidP="00836B55">
      <w:pPr>
        <w:pStyle w:val="TableText"/>
        <w:spacing w:before="0" w:after="0"/>
        <w:ind w:left="284"/>
      </w:pPr>
      <w:r w:rsidRPr="004D57B3">
        <w:rPr>
          <w:vertAlign w:val="superscript"/>
        </w:rPr>
        <w:t>α</w:t>
      </w:r>
      <w:r w:rsidRPr="004D57B3">
        <w:t xml:space="preserve"> – Further details associated with these listings can be found in the explanatory notes D1.22 and D1.23 which are accessible via the Medicare Benefits Schedule.</w:t>
      </w:r>
    </w:p>
    <w:p w:rsidR="0048417A" w:rsidRPr="004D57B3" w:rsidRDefault="0048417A" w:rsidP="00836B55">
      <w:pPr>
        <w:pStyle w:val="TableText"/>
        <w:spacing w:before="0" w:after="0"/>
        <w:ind w:left="284"/>
      </w:pPr>
      <w:r w:rsidRPr="004D57B3">
        <w:t xml:space="preserve">Source: Medicare Benefits Schedule </w:t>
      </w:r>
      <w:r>
        <w:rPr>
          <w:noProof/>
        </w:rPr>
        <w:t>(Commonwealth of Australia 2011a)</w:t>
      </w:r>
    </w:p>
    <w:p w:rsidR="0048417A" w:rsidRPr="004D57B3" w:rsidRDefault="0048417A" w:rsidP="00836B55"/>
    <w:p w:rsidR="0048417A" w:rsidRPr="004D57B3" w:rsidRDefault="0048417A" w:rsidP="00836B55">
      <w:pPr>
        <w:pStyle w:val="Heading2a"/>
      </w:pPr>
      <w:r w:rsidRPr="004D57B3">
        <w:t>Background</w:t>
      </w:r>
    </w:p>
    <w:p w:rsidR="0048417A" w:rsidRPr="004D57B3" w:rsidRDefault="0048417A" w:rsidP="00836B55">
      <w:r w:rsidRPr="004D57B3">
        <w:t xml:space="preserve">MSAC has previously considered capsule endoscopy for two indications: </w:t>
      </w:r>
      <w:r>
        <w:t>OGIB</w:t>
      </w:r>
      <w:r w:rsidRPr="004D57B3">
        <w:t xml:space="preserve"> and P</w:t>
      </w:r>
      <w:r>
        <w:t>JS</w:t>
      </w:r>
      <w:r w:rsidRPr="004D57B3">
        <w:t xml:space="preserve">. MSAC recommended interim funding for capsule endoscopy for patients with confirmed recurrent </w:t>
      </w:r>
      <w:r>
        <w:t>OGIB</w:t>
      </w:r>
      <w:r w:rsidRPr="004D57B3">
        <w:t xml:space="preserve"> following previous colonoscopy and endoscopy without identifying the bleeding source (endorsed by the Minister for Health and Ageing</w:t>
      </w:r>
      <w:r>
        <w:t xml:space="preserve"> on</w:t>
      </w:r>
      <w:r w:rsidRPr="004D57B3">
        <w:t xml:space="preserve"> 7 September 2003). Following review in November 2007, full public funding was approved. On 21 May 2008 the Minister for Health and Ageing accepted MSAC’s recommendation that public funding be supported for performing capsule endoscopy no more than once in any two</w:t>
      </w:r>
      <w:r>
        <w:t>-</w:t>
      </w:r>
      <w:r w:rsidRPr="004D57B3">
        <w:t>year period for small bowel surveillance in patients diagnosed with P</w:t>
      </w:r>
      <w:r>
        <w:t>JS</w:t>
      </w:r>
      <w:r w:rsidRPr="004D57B3">
        <w:t>.</w:t>
      </w:r>
    </w:p>
    <w:p w:rsidR="0048417A" w:rsidRPr="004D57B3" w:rsidRDefault="0048417A" w:rsidP="00836B55">
      <w:r w:rsidRPr="004D57B3">
        <w:t>MSAC has not previously considered capsule endoscopy for Crohn’s disease.</w:t>
      </w:r>
    </w:p>
    <w:p w:rsidR="0048417A" w:rsidRPr="004D57B3" w:rsidRDefault="0048417A" w:rsidP="00836B55">
      <w:pPr>
        <w:pStyle w:val="Heading2a"/>
      </w:pPr>
      <w:r w:rsidRPr="004D57B3">
        <w:lastRenderedPageBreak/>
        <w:t>Clinical need</w:t>
      </w:r>
    </w:p>
    <w:p w:rsidR="0048417A" w:rsidRPr="004D57B3" w:rsidRDefault="0048417A" w:rsidP="00836B55">
      <w:r w:rsidRPr="004D57B3">
        <w:t xml:space="preserve">Incidence data for Crohn’s disease </w:t>
      </w:r>
      <w:r>
        <w:t>are</w:t>
      </w:r>
      <w:r w:rsidRPr="004D57B3">
        <w:t xml:space="preserve"> scarce</w:t>
      </w:r>
      <w:r>
        <w:t>;</w:t>
      </w:r>
      <w:r w:rsidRPr="004D57B3">
        <w:t xml:space="preserve"> however, one Australian study in the regional Victorian city of Geelong found a crude annual incidence of 17.4 (95% CI =13 to 23) per 100,000 in 2008 </w:t>
      </w:r>
      <w:r>
        <w:rPr>
          <w:noProof/>
        </w:rPr>
        <w:t>(Wilson et al 2010)</w:t>
      </w:r>
      <w:r w:rsidRPr="004D57B3">
        <w:t>. In 2007</w:t>
      </w:r>
      <w:r>
        <w:t>-</w:t>
      </w:r>
      <w:r w:rsidRPr="004D57B3">
        <w:t xml:space="preserve">08 there were 13,915 hospital separations with the principal diagnosis of Crohn’s disease (ICD code K50) </w:t>
      </w:r>
      <w:r w:rsidRPr="004D57B3">
        <w:rPr>
          <w:noProof/>
        </w:rPr>
        <w:t>(AIHW 2011)</w:t>
      </w:r>
      <w:r w:rsidRPr="004D57B3">
        <w:t>. Between 1998</w:t>
      </w:r>
      <w:r>
        <w:t>-</w:t>
      </w:r>
      <w:r w:rsidRPr="004D57B3">
        <w:t>99 and 2007</w:t>
      </w:r>
      <w:r>
        <w:t>-</w:t>
      </w:r>
      <w:r w:rsidRPr="004D57B3">
        <w:t xml:space="preserve">08, hospital separations with the principal diagnosis of Crohn’s disease more than doubled, increasing from 6,485 to 13,915 </w:t>
      </w:r>
      <w:r w:rsidRPr="004D57B3">
        <w:rPr>
          <w:noProof/>
        </w:rPr>
        <w:t>(AIHW 2011)</w:t>
      </w:r>
      <w:r w:rsidRPr="004D57B3">
        <w:t xml:space="preserve">. Inflammatory bowel disease (which includes Crohn’s disease and ulcerative colitis) accounted for 0.5% of the total disease burden in Australia in 2003 </w:t>
      </w:r>
      <w:r w:rsidRPr="004D57B3">
        <w:rPr>
          <w:noProof/>
        </w:rPr>
        <w:t>(Begg et al 2007)</w:t>
      </w:r>
      <w:r w:rsidRPr="004D57B3">
        <w:t>.</w:t>
      </w:r>
    </w:p>
    <w:p w:rsidR="0048417A" w:rsidRPr="004D57B3" w:rsidRDefault="0048417A" w:rsidP="00836B55">
      <w:r w:rsidRPr="004D57B3">
        <w:t>The estimated utilisation of capsule endoscopy for the diagnosis of small bowel Crohn’s disease unconfirmed on prior tests lies between 664 and 1</w:t>
      </w:r>
      <w:r>
        <w:t>,</w:t>
      </w:r>
      <w:r w:rsidRPr="004D57B3">
        <w:t>431 per year (see ‘</w:t>
      </w:r>
      <w:r w:rsidR="00AE591B">
        <w:fldChar w:fldCharType="begin"/>
      </w:r>
      <w:r w:rsidR="00AE591B">
        <w:instrText xml:space="preserve"> REF _Ref282073877 \h  \* MERGEFORMAT </w:instrText>
      </w:r>
      <w:r w:rsidR="00AE591B">
        <w:fldChar w:fldCharType="separate"/>
      </w:r>
      <w:r w:rsidRPr="004D57B3">
        <w:t>Estimated utilisation of capsule endoscopy</w:t>
      </w:r>
      <w:r w:rsidR="00AE591B">
        <w:fldChar w:fldCharType="end"/>
      </w:r>
      <w:r w:rsidRPr="004D57B3">
        <w:t xml:space="preserve">’ on page </w:t>
      </w:r>
      <w:r w:rsidRPr="004D57B3">
        <w:fldChar w:fldCharType="begin"/>
      </w:r>
      <w:r w:rsidRPr="004D57B3">
        <w:instrText xml:space="preserve"> PAGEREF _Ref282073877 \h </w:instrText>
      </w:r>
      <w:r w:rsidRPr="004D57B3">
        <w:fldChar w:fldCharType="separate"/>
      </w:r>
      <w:r>
        <w:rPr>
          <w:noProof/>
        </w:rPr>
        <w:t>23</w:t>
      </w:r>
      <w:r w:rsidRPr="004D57B3">
        <w:fldChar w:fldCharType="end"/>
      </w:r>
      <w:r w:rsidRPr="004D57B3">
        <w:t>). This estimate refers to the estimated number of patients who will use the test per year, not the number of tests per year.</w:t>
      </w:r>
    </w:p>
    <w:p w:rsidR="0048417A" w:rsidRPr="004D57B3" w:rsidRDefault="0048417A" w:rsidP="00836B55">
      <w:r w:rsidRPr="004D57B3">
        <w:t xml:space="preserve">The clinical flow chart showing both the current management and proposed management of suspected but unconfirmed small bowel Crohn’s disease is presented in </w:t>
      </w:r>
      <w:r w:rsidR="00AE591B">
        <w:fldChar w:fldCharType="begin"/>
      </w:r>
      <w:r w:rsidR="00AE591B">
        <w:instrText xml:space="preserve"> REF _Ref283280524 \h  \* MERGEFORMAT </w:instrText>
      </w:r>
      <w:r w:rsidR="00AE591B">
        <w:fldChar w:fldCharType="separate"/>
      </w:r>
      <w:r w:rsidRPr="004D57B3">
        <w:t xml:space="preserve">Figure </w:t>
      </w:r>
      <w:r>
        <w:t>2</w:t>
      </w:r>
      <w:r w:rsidR="00AE591B">
        <w:fldChar w:fldCharType="end"/>
      </w:r>
      <w:r w:rsidRPr="004D57B3">
        <w:t xml:space="preserve"> (see page </w:t>
      </w:r>
      <w:r w:rsidRPr="004D57B3">
        <w:fldChar w:fldCharType="begin"/>
      </w:r>
      <w:r w:rsidRPr="004D57B3">
        <w:instrText xml:space="preserve"> PAGEREF _Ref283298372 \h </w:instrText>
      </w:r>
      <w:r w:rsidRPr="004D57B3">
        <w:fldChar w:fldCharType="separate"/>
      </w:r>
      <w:r>
        <w:rPr>
          <w:noProof/>
        </w:rPr>
        <w:t>31</w:t>
      </w:r>
      <w:r w:rsidRPr="004D57B3">
        <w:fldChar w:fldCharType="end"/>
      </w:r>
      <w:r w:rsidRPr="004D57B3">
        <w:t>).</w:t>
      </w:r>
    </w:p>
    <w:p w:rsidR="0048417A" w:rsidRPr="004D57B3" w:rsidRDefault="0048417A" w:rsidP="00836B55">
      <w:r>
        <w:t>C</w:t>
      </w:r>
      <w:r w:rsidRPr="004D57B3">
        <w:t xml:space="preserve">apsule endoscopy will be used to provide an additional diagnostic modality to those currently available for the diagnosis of Crohn’s disease. In the clinical flow chart, capsule endoscopy is a replacement test for repeat radiology (CT or MR with </w:t>
      </w:r>
      <w:proofErr w:type="spellStart"/>
      <w:r w:rsidRPr="004D57B3">
        <w:t>enterography</w:t>
      </w:r>
      <w:proofErr w:type="spellEnd"/>
      <w:r w:rsidRPr="004D57B3">
        <w:t>) and a replacement for treating the patient empirically based on a suspicion of Crohn’s disease which</w:t>
      </w:r>
      <w:r>
        <w:t xml:space="preserve"> could not be confirmed </w:t>
      </w:r>
      <w:r w:rsidRPr="004D57B3">
        <w:t>(</w:t>
      </w:r>
      <w:proofErr w:type="spellStart"/>
      <w:r w:rsidRPr="004D57B3">
        <w:t>ie</w:t>
      </w:r>
      <w:proofErr w:type="spellEnd"/>
      <w:r w:rsidRPr="004D57B3">
        <w:t xml:space="preserve"> incremental to prior testing).</w:t>
      </w:r>
    </w:p>
    <w:p w:rsidR="0048417A" w:rsidRPr="004D57B3" w:rsidRDefault="0048417A" w:rsidP="00836B55">
      <w:pPr>
        <w:pStyle w:val="Heading2a"/>
      </w:pPr>
      <w:r w:rsidRPr="004D57B3">
        <w:t>Comparator</w:t>
      </w:r>
    </w:p>
    <w:p w:rsidR="0048417A" w:rsidRPr="004D57B3" w:rsidRDefault="0048417A" w:rsidP="00836B55">
      <w:r w:rsidRPr="004D57B3">
        <w:t xml:space="preserve">The comparators to capsule endoscopy are empirical treatment, MR (with or without </w:t>
      </w:r>
      <w:proofErr w:type="spellStart"/>
      <w:r w:rsidRPr="004D57B3">
        <w:t>enterography</w:t>
      </w:r>
      <w:proofErr w:type="spellEnd"/>
      <w:r w:rsidRPr="004D57B3">
        <w:t xml:space="preserve">) and CT (with or without </w:t>
      </w:r>
      <w:proofErr w:type="spellStart"/>
      <w:r w:rsidRPr="004D57B3">
        <w:t>enterography</w:t>
      </w:r>
      <w:proofErr w:type="spellEnd"/>
      <w:r w:rsidRPr="004D57B3">
        <w:t xml:space="preserve">). In the comparison of capsule endoscopy to empirical treatment, capsule endoscopy is incremental to prior tests such as small bowel radiology and colonoscopy with </w:t>
      </w:r>
      <w:proofErr w:type="spellStart"/>
      <w:r w:rsidRPr="004D57B3">
        <w:t>ileoscopy</w:t>
      </w:r>
      <w:proofErr w:type="spellEnd"/>
      <w:r w:rsidRPr="004D57B3">
        <w:t>.</w:t>
      </w:r>
    </w:p>
    <w:p w:rsidR="0048417A" w:rsidRPr="004D57B3" w:rsidRDefault="0048417A" w:rsidP="00836B55">
      <w:r w:rsidRPr="004D57B3">
        <w:t xml:space="preserve">Colonoscopy is an endoscopic procedure used primarily to visualise the large bowel or colon. To diagnose small bowel Crohn’s disease, the </w:t>
      </w:r>
      <w:proofErr w:type="spellStart"/>
      <w:r w:rsidRPr="004D57B3">
        <w:t>endoscopist</w:t>
      </w:r>
      <w:proofErr w:type="spellEnd"/>
      <w:r w:rsidRPr="004D57B3">
        <w:t xml:space="preserve"> may attempt to reach the ileum during the colonoscopy (colonoscopy with </w:t>
      </w:r>
      <w:proofErr w:type="spellStart"/>
      <w:r w:rsidRPr="004D57B3">
        <w:t>ileoscopy</w:t>
      </w:r>
      <w:proofErr w:type="spellEnd"/>
      <w:r w:rsidRPr="004D57B3">
        <w:t xml:space="preserve">). Most occurrences of small bowel Crohn’s disease occur in the terminal ileum and hence are successfully diagnosed using colonoscopy with </w:t>
      </w:r>
      <w:proofErr w:type="spellStart"/>
      <w:r w:rsidRPr="004D57B3">
        <w:t>ileoscopy</w:t>
      </w:r>
      <w:proofErr w:type="spellEnd"/>
      <w:r w:rsidRPr="004D57B3">
        <w:t>. Colonoscopy is publically funded under MBS item 32090 (fee $321.65) and is being reviewed under the MBS Quality Framework review process.</w:t>
      </w:r>
    </w:p>
    <w:p w:rsidR="0048417A" w:rsidRPr="004D57B3" w:rsidRDefault="0048417A" w:rsidP="00836B55">
      <w:r w:rsidRPr="004D57B3">
        <w:t>MR is an imaging technique that enables cross</w:t>
      </w:r>
      <w:r>
        <w:t>-</w:t>
      </w:r>
      <w:r w:rsidRPr="004D57B3">
        <w:t xml:space="preserve">sectional imaging of the small bowel. </w:t>
      </w:r>
      <w:r>
        <w:t>MR can be administered without contrast agents (MRI), with c</w:t>
      </w:r>
      <w:r w:rsidRPr="004D57B3">
        <w:t>ontrast agents administered orally (</w:t>
      </w:r>
      <w:r>
        <w:t>MRE</w:t>
      </w:r>
      <w:r w:rsidRPr="004D57B3">
        <w:t>)</w:t>
      </w:r>
      <w:r>
        <w:t>,</w:t>
      </w:r>
      <w:r w:rsidRPr="004D57B3">
        <w:t xml:space="preserve"> or </w:t>
      </w:r>
      <w:r>
        <w:t xml:space="preserve">with contrast agents administered </w:t>
      </w:r>
      <w:r w:rsidRPr="004D57B3">
        <w:t xml:space="preserve">via a </w:t>
      </w:r>
      <w:proofErr w:type="spellStart"/>
      <w:r w:rsidRPr="004D57B3">
        <w:t>naso</w:t>
      </w:r>
      <w:proofErr w:type="spellEnd"/>
      <w:r w:rsidRPr="004D57B3">
        <w:t xml:space="preserve">-gastric tube (magnetic resonance </w:t>
      </w:r>
      <w:proofErr w:type="spellStart"/>
      <w:r w:rsidRPr="004D57B3">
        <w:t>enteroclysis</w:t>
      </w:r>
      <w:proofErr w:type="spellEnd"/>
      <w:r w:rsidRPr="004D57B3">
        <w:t>). Compared with CT, which uses</w:t>
      </w:r>
      <w:r>
        <w:t xml:space="preserve"> </w:t>
      </w:r>
      <w:r w:rsidRPr="004D57B3">
        <w:t xml:space="preserve">x-ray attenuation, MR uses multiple tissue parameters to build an image. MR is not currently funded </w:t>
      </w:r>
      <w:r>
        <w:t>through</w:t>
      </w:r>
      <w:r w:rsidRPr="004D57B3">
        <w:t xml:space="preserve"> the MBS for small bowel Crohn’s disease.</w:t>
      </w:r>
    </w:p>
    <w:p w:rsidR="0048417A" w:rsidRPr="004D57B3" w:rsidRDefault="0048417A" w:rsidP="00836B55">
      <w:r w:rsidRPr="004D57B3">
        <w:t xml:space="preserve">Abdomen CT is a radiological technique used in the diagnosis of small bowel Crohn’s disease. It provides </w:t>
      </w:r>
      <w:proofErr w:type="spellStart"/>
      <w:r w:rsidRPr="004D57B3">
        <w:t>multiplanar</w:t>
      </w:r>
      <w:proofErr w:type="spellEnd"/>
      <w:r w:rsidRPr="004D57B3">
        <w:t xml:space="preserve"> images of the lumen, wall and mesentery of the small bowel and usually involves the ingestion of contrast by the patient, either orally (</w:t>
      </w:r>
      <w:proofErr w:type="spellStart"/>
      <w:r w:rsidRPr="004D57B3">
        <w:t>enterography</w:t>
      </w:r>
      <w:proofErr w:type="spellEnd"/>
      <w:r w:rsidRPr="004D57B3">
        <w:t xml:space="preserve">) or via a </w:t>
      </w:r>
      <w:proofErr w:type="spellStart"/>
      <w:r w:rsidRPr="004D57B3">
        <w:t>naso</w:t>
      </w:r>
      <w:proofErr w:type="spellEnd"/>
      <w:r w:rsidRPr="004D57B3">
        <w:t>-gastric tube (</w:t>
      </w:r>
      <w:proofErr w:type="spellStart"/>
      <w:r w:rsidRPr="004D57B3">
        <w:t>enteroclysis</w:t>
      </w:r>
      <w:proofErr w:type="spellEnd"/>
      <w:r w:rsidRPr="004D57B3">
        <w:t xml:space="preserve">). In some Australian settings, </w:t>
      </w:r>
      <w:r w:rsidRPr="004D57B3">
        <w:lastRenderedPageBreak/>
        <w:t xml:space="preserve">abdomen CT has superseded barium imaging as the main form of radiological imaging used in the diagnosis of Crohn’s disease </w:t>
      </w:r>
      <w:r w:rsidRPr="004D57B3">
        <w:rPr>
          <w:noProof/>
        </w:rPr>
        <w:t>(Morrison et al 2009)</w:t>
      </w:r>
      <w:r w:rsidRPr="004D57B3">
        <w:t>. Abdomen CT is funded under MBS item 56507 with a fee of $480.05.</w:t>
      </w:r>
    </w:p>
    <w:p w:rsidR="0048417A" w:rsidRPr="004D57B3" w:rsidRDefault="0048417A" w:rsidP="00836B55">
      <w:pPr>
        <w:pStyle w:val="Heading2a"/>
        <w:rPr>
          <w:szCs w:val="24"/>
        </w:rPr>
      </w:pPr>
      <w:r w:rsidRPr="004D57B3">
        <w:rPr>
          <w:szCs w:val="24"/>
        </w:rPr>
        <w:t>Scientific basis of comparison</w:t>
      </w:r>
    </w:p>
    <w:p w:rsidR="0048417A" w:rsidRPr="004D57B3" w:rsidRDefault="0048417A" w:rsidP="00836B55">
      <w:r w:rsidRPr="004D57B3">
        <w:t>The scientific basis of the comparison of the effectiveness and cost-effectiveness of capsule endoscopy with that of ET, MRI/MRE and CT/CTE was a systematic review that yielded 22 studies. A linked analysis was performed that considered:</w:t>
      </w:r>
    </w:p>
    <w:p w:rsidR="0048417A" w:rsidRPr="004D57B3" w:rsidRDefault="0048417A" w:rsidP="00836B55">
      <w:pPr>
        <w:numPr>
          <w:ilvl w:val="0"/>
          <w:numId w:val="34"/>
        </w:numPr>
        <w:tabs>
          <w:tab w:val="left" w:pos="1985"/>
        </w:tabs>
        <w:ind w:left="1985" w:hanging="851"/>
      </w:pPr>
      <w:r w:rsidRPr="004D57B3">
        <w:t>the safety of the test – 14 studies (5 accuracy studies, 8 diagnostic yield studies and 1 case series)</w:t>
      </w:r>
    </w:p>
    <w:p w:rsidR="0048417A" w:rsidRPr="004D57B3" w:rsidRDefault="0048417A" w:rsidP="00836B55">
      <w:pPr>
        <w:numPr>
          <w:ilvl w:val="0"/>
          <w:numId w:val="34"/>
        </w:numPr>
        <w:tabs>
          <w:tab w:val="left" w:pos="1985"/>
        </w:tabs>
        <w:ind w:left="1985" w:hanging="851"/>
      </w:pPr>
      <w:r w:rsidRPr="004D57B3">
        <w:t>the accuracy of the test – 5 studies of the accuracy of capsule endoscopy including 2 studies of the comparative accuracy of capsule endoscopy v</w:t>
      </w:r>
      <w:r>
        <w:t>ersu</w:t>
      </w:r>
      <w:r w:rsidRPr="004D57B3">
        <w:t>s MRI or MRE</w:t>
      </w:r>
    </w:p>
    <w:p w:rsidR="0048417A" w:rsidRPr="004D57B3" w:rsidRDefault="0048417A" w:rsidP="00836B55">
      <w:pPr>
        <w:numPr>
          <w:ilvl w:val="0"/>
          <w:numId w:val="34"/>
        </w:numPr>
        <w:tabs>
          <w:tab w:val="left" w:pos="1985"/>
        </w:tabs>
        <w:ind w:left="1985" w:hanging="851"/>
      </w:pPr>
      <w:r w:rsidRPr="004D57B3">
        <w:t xml:space="preserve">impact of availability of results from the test on clinical management – no studies identified </w:t>
      </w:r>
    </w:p>
    <w:p w:rsidR="0048417A" w:rsidRPr="004D57B3" w:rsidRDefault="0048417A" w:rsidP="00836B55">
      <w:pPr>
        <w:numPr>
          <w:ilvl w:val="0"/>
          <w:numId w:val="34"/>
        </w:numPr>
        <w:tabs>
          <w:tab w:val="left" w:pos="1985"/>
        </w:tabs>
        <w:ind w:left="1985" w:hanging="851"/>
      </w:pPr>
      <w:proofErr w:type="gramStart"/>
      <w:r w:rsidRPr="004D57B3">
        <w:t>impact</w:t>
      </w:r>
      <w:proofErr w:type="gramEnd"/>
      <w:r w:rsidRPr="004D57B3">
        <w:t xml:space="preserve"> of changes in management on patient outcomes – no studies identified and linked evidence case unable to be made.</w:t>
      </w:r>
    </w:p>
    <w:p w:rsidR="0048417A" w:rsidRPr="004D57B3" w:rsidRDefault="0048417A" w:rsidP="00836B55">
      <w:pPr>
        <w:pStyle w:val="Heading2a"/>
      </w:pPr>
      <w:r w:rsidRPr="004D57B3">
        <w:t>Comparative safety</w:t>
      </w:r>
    </w:p>
    <w:p w:rsidR="0048417A" w:rsidRPr="004376A2" w:rsidRDefault="0048417A" w:rsidP="00836B55">
      <w:pPr>
        <w:pStyle w:val="Heading3"/>
        <w:rPr>
          <w:bCs/>
        </w:rPr>
      </w:pPr>
      <w:r w:rsidRPr="004376A2">
        <w:rPr>
          <w:bCs/>
        </w:rPr>
        <w:t>Key results</w:t>
      </w:r>
    </w:p>
    <w:p w:rsidR="0048417A" w:rsidRPr="004D57B3" w:rsidRDefault="0048417A" w:rsidP="00836B55">
      <w:r w:rsidRPr="004D57B3">
        <w:t>Safety data for capsule endoscopy for patients with suspected small bowel Crohn’s disease were reported in 14 studies; none were comparative.</w:t>
      </w:r>
    </w:p>
    <w:p w:rsidR="0048417A" w:rsidRPr="004D57B3" w:rsidRDefault="0048417A" w:rsidP="00836B55">
      <w:r w:rsidRPr="004D57B3">
        <w:t xml:space="preserve">Seven studies reported no adverse events and one study reported two moderate to severe adverse events resolved within </w:t>
      </w:r>
      <w:r>
        <w:t>24</w:t>
      </w:r>
      <w:r w:rsidRPr="004D57B3">
        <w:t xml:space="preserve"> hours (one with severe nausea with vomiting resolved with anti-nausea medication, 1/120, &lt;1%; one with moderate pain, 1/120, &lt;1%). These rates are comparable to those reported in previous MSAC assessments of capsule endoscopy, suggesting that adverse events are similar across indications.</w:t>
      </w:r>
    </w:p>
    <w:p w:rsidR="0048417A" w:rsidRPr="004D57B3" w:rsidRDefault="0048417A" w:rsidP="00836B55">
      <w:r w:rsidRPr="004D57B3">
        <w:t>Thirteen studies reported data on the delayed passage or retention of the capsule; the rate of retention ranged from 0% to 15%. In included studies where the rates of capsule retention and surgical removal were reported, 7 of 12 subjects with retained capsules underwent surgery</w:t>
      </w:r>
      <w:r>
        <w:t xml:space="preserve"> during which </w:t>
      </w:r>
      <w:r w:rsidRPr="004D57B3">
        <w:t xml:space="preserve">the capsule was removed. In comparison with the use of capsule endoscopy for the indications previously assessed by MSAC, the use of capsule endoscopy for the present indication appears to have a higher rate of capsule retention and a higher rate of surgical removal of retained capsules </w:t>
      </w:r>
      <w:r>
        <w:rPr>
          <w:noProof/>
        </w:rPr>
        <w:t>(MSAC 2003; MSAC 2007)</w:t>
      </w:r>
      <w:r w:rsidRPr="004D57B3">
        <w:t xml:space="preserve">. Prior screening for strictures on small bowel radiology partially, but not completely, mitigates these risks. </w:t>
      </w:r>
    </w:p>
    <w:p w:rsidR="0048417A" w:rsidRPr="004376A2" w:rsidRDefault="0048417A" w:rsidP="00836B55">
      <w:pPr>
        <w:pStyle w:val="Heading3"/>
        <w:rPr>
          <w:bCs/>
        </w:rPr>
      </w:pPr>
      <w:r w:rsidRPr="004376A2">
        <w:rPr>
          <w:bCs/>
        </w:rPr>
        <w:t>Key uncertainties</w:t>
      </w:r>
    </w:p>
    <w:p w:rsidR="0048417A" w:rsidRPr="004D57B3" w:rsidRDefault="0048417A" w:rsidP="00836B55">
      <w:pPr>
        <w:rPr>
          <w:rFonts w:ascii="Arial" w:hAnsi="Arial" w:cs="Arial"/>
          <w:b/>
          <w:szCs w:val="24"/>
        </w:rPr>
      </w:pPr>
      <w:r w:rsidRPr="004D57B3">
        <w:t xml:space="preserve">The large range of rates of retention reported may be partially explained by the small sample size of the studies; 9 of the 13 studies had sample sizes &lt;40. The range of rates may also be explained by variations in the type and extent of prior screening for </w:t>
      </w:r>
      <w:r w:rsidRPr="004D57B3">
        <w:lastRenderedPageBreak/>
        <w:t xml:space="preserve">strictures. Reporting of safety data was absent or inadequate in a number of studies. There were no comparative safety studies. </w:t>
      </w:r>
    </w:p>
    <w:p w:rsidR="0048417A" w:rsidRPr="004376A2" w:rsidRDefault="0048417A" w:rsidP="00836B55">
      <w:pPr>
        <w:pStyle w:val="Heading3"/>
        <w:rPr>
          <w:bCs/>
        </w:rPr>
      </w:pPr>
      <w:r w:rsidRPr="004376A2">
        <w:rPr>
          <w:bCs/>
        </w:rPr>
        <w:t>Overall conclusion with respect to comparative safety</w:t>
      </w:r>
    </w:p>
    <w:p w:rsidR="0048417A" w:rsidRPr="004D57B3" w:rsidRDefault="0048417A" w:rsidP="00836B55">
      <w:r>
        <w:t>C</w:t>
      </w:r>
      <w:r w:rsidRPr="004D57B3">
        <w:t xml:space="preserve">apsule endoscopy is considered: </w:t>
      </w:r>
    </w:p>
    <w:p w:rsidR="0048417A" w:rsidRPr="004D57B3" w:rsidRDefault="0048417A" w:rsidP="00836B55">
      <w:pPr>
        <w:pStyle w:val="Bullet"/>
        <w:tabs>
          <w:tab w:val="clear" w:pos="1440"/>
          <w:tab w:val="num" w:pos="1854"/>
        </w:tabs>
        <w:ind w:left="1854"/>
      </w:pPr>
      <w:r w:rsidRPr="004D57B3">
        <w:t>safe</w:t>
      </w:r>
    </w:p>
    <w:p w:rsidR="0048417A" w:rsidRPr="004D57B3" w:rsidRDefault="0048417A" w:rsidP="00836B55">
      <w:pPr>
        <w:pStyle w:val="Bullet"/>
        <w:tabs>
          <w:tab w:val="clear" w:pos="1440"/>
          <w:tab w:val="num" w:pos="1854"/>
        </w:tabs>
        <w:ind w:left="1854"/>
      </w:pPr>
      <w:r w:rsidRPr="004D57B3">
        <w:t>to have a low risk of adverse events, such as nausea, vomiting and pain, similar to that observed for other indications</w:t>
      </w:r>
    </w:p>
    <w:p w:rsidR="0048417A" w:rsidRPr="004D57B3" w:rsidRDefault="0048417A" w:rsidP="00836B55">
      <w:pPr>
        <w:pStyle w:val="Bullet"/>
        <w:tabs>
          <w:tab w:val="clear" w:pos="1440"/>
          <w:tab w:val="num" w:pos="1854"/>
        </w:tabs>
        <w:ind w:left="1854"/>
      </w:pPr>
      <w:r w:rsidRPr="004D57B3">
        <w:t>to lead to capsule retention in up to 15% of cases, approximately half of which may have surgery at which the capsule is removed; these risks can be partially, but not completely, mitigated by screening for strictures on small bowel radiology. These rates are potentially higher than for other indications</w:t>
      </w:r>
    </w:p>
    <w:p w:rsidR="0048417A" w:rsidRPr="004D57B3" w:rsidRDefault="0048417A" w:rsidP="00836B55">
      <w:pPr>
        <w:pStyle w:val="Bullet"/>
        <w:tabs>
          <w:tab w:val="clear" w:pos="1440"/>
          <w:tab w:val="num" w:pos="1854"/>
        </w:tabs>
        <w:ind w:left="1854"/>
      </w:pPr>
      <w:proofErr w:type="gramStart"/>
      <w:r w:rsidRPr="004D57B3">
        <w:t>to</w:t>
      </w:r>
      <w:proofErr w:type="gramEnd"/>
      <w:r w:rsidRPr="004D57B3">
        <w:t xml:space="preserve"> have no exposure to ionising radiation, compared with CT, and a potential clinical pathway that minimises the repetition of ionising radiation exposure, given the occurrence of prior small bowel radiology.</w:t>
      </w:r>
      <w:r w:rsidRPr="004D57B3" w:rsidDel="00B35215">
        <w:t xml:space="preserve"> </w:t>
      </w:r>
    </w:p>
    <w:p w:rsidR="0048417A" w:rsidRPr="004D57B3" w:rsidRDefault="0048417A" w:rsidP="00836B55">
      <w:pPr>
        <w:pStyle w:val="Heading2a"/>
      </w:pPr>
      <w:r w:rsidRPr="004D57B3">
        <w:t>Comparative effectiveness</w:t>
      </w:r>
    </w:p>
    <w:p w:rsidR="0048417A" w:rsidRPr="004376A2" w:rsidRDefault="0048417A" w:rsidP="00836B55">
      <w:pPr>
        <w:pStyle w:val="Heading3"/>
        <w:rPr>
          <w:bCs/>
        </w:rPr>
      </w:pPr>
      <w:r w:rsidRPr="004376A2">
        <w:rPr>
          <w:bCs/>
        </w:rPr>
        <w:t>Key results</w:t>
      </w:r>
    </w:p>
    <w:p w:rsidR="0048417A" w:rsidRPr="004D57B3" w:rsidRDefault="0048417A" w:rsidP="00836B55">
      <w:pPr>
        <w:pStyle w:val="Heading4"/>
      </w:pPr>
      <w:r w:rsidRPr="004D57B3">
        <w:t>Direct evidence</w:t>
      </w:r>
    </w:p>
    <w:p w:rsidR="0048417A" w:rsidRPr="004D57B3" w:rsidRDefault="0048417A" w:rsidP="00836B55">
      <w:r w:rsidRPr="004D57B3">
        <w:t>No direct evidence was found comparing the health outcomes of patients with suspected small bowel Crohn’s disease assessed with and without capsule endoscopy.</w:t>
      </w:r>
    </w:p>
    <w:p w:rsidR="0048417A" w:rsidRPr="004D57B3" w:rsidRDefault="0048417A" w:rsidP="00836B55">
      <w:pPr>
        <w:pStyle w:val="Heading4"/>
      </w:pPr>
      <w:r w:rsidRPr="004D57B3">
        <w:t>Linked evidence</w:t>
      </w:r>
    </w:p>
    <w:p w:rsidR="0048417A" w:rsidRPr="004D57B3" w:rsidRDefault="0048417A" w:rsidP="00836B55">
      <w:r w:rsidRPr="004D57B3">
        <w:t xml:space="preserve">In the absence of direct evidence </w:t>
      </w:r>
      <w:r>
        <w:t>of</w:t>
      </w:r>
      <w:r w:rsidRPr="004D57B3">
        <w:t xml:space="preserve"> the effectiveness of capsule endoscopy, evidence of accuracy, change in management and the expected benefit of changes in management on health outcomes </w:t>
      </w:r>
      <w:proofErr w:type="gramStart"/>
      <w:r w:rsidRPr="004D57B3">
        <w:t>is</w:t>
      </w:r>
      <w:proofErr w:type="gramEnd"/>
      <w:r w:rsidRPr="004D57B3">
        <w:t xml:space="preserve"> presented to evaluate the effectiveness of capsule endoscopy using a linked evidence approach. This is discussed below under ‘</w:t>
      </w:r>
      <w:proofErr w:type="gramStart"/>
      <w:r>
        <w:t>D</w:t>
      </w:r>
      <w:r w:rsidRPr="004D57B3">
        <w:t>iagnostic</w:t>
      </w:r>
      <w:proofErr w:type="gramEnd"/>
      <w:r w:rsidRPr="004D57B3">
        <w:t xml:space="preserve"> accuracy’, ‘</w:t>
      </w:r>
      <w:r>
        <w:t>I</w:t>
      </w:r>
      <w:r w:rsidRPr="004D57B3">
        <w:t>mpact on patient management’ and ‘</w:t>
      </w:r>
      <w:r>
        <w:t>I</w:t>
      </w:r>
      <w:r w:rsidRPr="004D57B3">
        <w:t>mpact on health outcomes’.</w:t>
      </w:r>
    </w:p>
    <w:p w:rsidR="0048417A" w:rsidRPr="004D57B3" w:rsidRDefault="0048417A" w:rsidP="00836B55">
      <w:pPr>
        <w:pStyle w:val="Heading4"/>
      </w:pPr>
      <w:r w:rsidRPr="004D57B3">
        <w:t>Diagnostic accuracy</w:t>
      </w:r>
    </w:p>
    <w:p w:rsidR="0048417A" w:rsidRPr="004D57B3" w:rsidRDefault="0048417A" w:rsidP="00836B55">
      <w:r w:rsidRPr="004D57B3">
        <w:t>Five primary studies provided accuracy data for capsule endoscopy. Two included studies compared capsule endoscopy with MRI or MRE. Five provided evidence for a comparison of capsule endoscopy and empirical treatment (</w:t>
      </w:r>
      <w:proofErr w:type="spellStart"/>
      <w:r w:rsidRPr="004D57B3">
        <w:t>ie</w:t>
      </w:r>
      <w:proofErr w:type="spellEnd"/>
      <w:r w:rsidRPr="004D57B3">
        <w:t xml:space="preserve"> capsule endoscopy as an incremental test over prior tests). No studies compared the accuracy of capsule endoscopy and CT/CTE.</w:t>
      </w:r>
    </w:p>
    <w:p w:rsidR="0048417A" w:rsidRPr="004D57B3" w:rsidRDefault="0048417A" w:rsidP="00836B55">
      <w:pPr>
        <w:pStyle w:val="Heading6"/>
      </w:pPr>
      <w:r>
        <w:t>C</w:t>
      </w:r>
      <w:r w:rsidRPr="004D57B3">
        <w:t>apsule endoscopy v</w:t>
      </w:r>
      <w:r>
        <w:t>er</w:t>
      </w:r>
      <w:r w:rsidRPr="004D57B3">
        <w:t>s</w:t>
      </w:r>
      <w:r>
        <w:t>us empirical treatment</w:t>
      </w:r>
    </w:p>
    <w:p w:rsidR="0048417A" w:rsidRPr="004D57B3" w:rsidRDefault="0048417A" w:rsidP="00836B55">
      <w:r w:rsidRPr="004D57B3">
        <w:t>Three fair quality and two poor quality studies provided evidence for a comparison of the accuracy of capsule endoscopy and empirical treatment (capsule endoscopy as an incremental test over prior tests).</w:t>
      </w:r>
    </w:p>
    <w:p w:rsidR="0048417A" w:rsidRPr="004D57B3" w:rsidRDefault="0048417A" w:rsidP="00836B55">
      <w:r w:rsidRPr="004D57B3">
        <w:t>In studies using a threshold of at least ≥2 ulcers or Crohn’s disease specific lesions, the sensitivity of capsule endoscopy ranged from 47% (95% CI 22</w:t>
      </w:r>
      <w:r>
        <w:t>-</w:t>
      </w:r>
      <w:r w:rsidRPr="004D57B3">
        <w:t>73%) to 92% (95% CI 62</w:t>
      </w:r>
      <w:r>
        <w:t>-</w:t>
      </w:r>
      <w:r w:rsidRPr="004D57B3">
        <w:t>100%) and the specificity ranged from 89% (95% CI 81</w:t>
      </w:r>
      <w:r>
        <w:t>-</w:t>
      </w:r>
      <w:r w:rsidRPr="004D57B3">
        <w:t>94%) to 100% (95% CI 7</w:t>
      </w:r>
      <w:r>
        <w:t>-</w:t>
      </w:r>
      <w:r w:rsidRPr="004D57B3">
        <w:lastRenderedPageBreak/>
        <w:t>100%). The negative likelihood ratio (LR) ranged from 0.08 to 0.58. For the threshold of any small bowel ulcers, the sensitivity of capsule endoscopy ranged from 85% (95% CI 58</w:t>
      </w:r>
      <w:r>
        <w:t>-</w:t>
      </w:r>
      <w:r w:rsidRPr="004D57B3">
        <w:t>96%) to 100% (95% CI 72</w:t>
      </w:r>
      <w:r>
        <w:t>-</w:t>
      </w:r>
      <w:r w:rsidRPr="004D57B3">
        <w:t>100%) and the specificity ranged from 74% (95% CI 64</w:t>
      </w:r>
      <w:r>
        <w:t>-</w:t>
      </w:r>
      <w:r w:rsidRPr="004D57B3">
        <w:t>82%) to 92% (95% CI 73</w:t>
      </w:r>
      <w:r>
        <w:t>-</w:t>
      </w:r>
      <w:r w:rsidRPr="004D57B3">
        <w:t xml:space="preserve">99%). The negative LR ranged from 0 to 0.21. Overall, most studies had negative LRs &lt;0.10, the threshold for providing convincing evidence to exclude disease; however, two studies had negative LRs which were above the negative LR threshold for providing strong evidence for excluding disease &lt;0.20. This included the largest study which had a negative LR &gt;0.20 at both thresholds. </w:t>
      </w:r>
    </w:p>
    <w:p w:rsidR="0048417A" w:rsidRPr="004D57B3" w:rsidRDefault="0048417A" w:rsidP="00836B55">
      <w:pPr>
        <w:pStyle w:val="Heading6"/>
      </w:pPr>
      <w:r>
        <w:t>C</w:t>
      </w:r>
      <w:r w:rsidRPr="004D57B3">
        <w:t>apsule endoscopy v</w:t>
      </w:r>
      <w:r>
        <w:t>ersu</w:t>
      </w:r>
      <w:r w:rsidRPr="004D57B3">
        <w:t>s MRI/MRE</w:t>
      </w:r>
    </w:p>
    <w:p w:rsidR="0048417A" w:rsidRPr="004D57B3" w:rsidRDefault="0048417A" w:rsidP="00836B55">
      <w:r w:rsidRPr="004D57B3">
        <w:t>One fair quality and one poor quality study compared the accuracy of capsule endoscopy and MRI or MRE respectively (against the reference standard of long</w:t>
      </w:r>
      <w:r>
        <w:t>-</w:t>
      </w:r>
      <w:r w:rsidRPr="004D57B3">
        <w:t>term follow</w:t>
      </w:r>
      <w:r>
        <w:t>-</w:t>
      </w:r>
      <w:r w:rsidRPr="004D57B3">
        <w:t xml:space="preserve">up &gt;12 months). </w:t>
      </w:r>
    </w:p>
    <w:p w:rsidR="0048417A" w:rsidRPr="004D57B3" w:rsidRDefault="0048417A" w:rsidP="00836B55">
      <w:r w:rsidRPr="004D57B3">
        <w:t xml:space="preserve">There were no significant differences found between the sensitivity and specificity of capsule endoscopy and MRE. </w:t>
      </w:r>
      <w:r>
        <w:t>C</w:t>
      </w:r>
      <w:r w:rsidRPr="004D57B3">
        <w:t>apsule endoscopy and MRE were found to have similar sensitivities and specificities using either the threshold of &gt;3 small bowel ulcers (sensitivity 91% [95% CI 57</w:t>
      </w:r>
      <w:r>
        <w:t>-</w:t>
      </w:r>
      <w:r w:rsidRPr="004D57B3">
        <w:t>100%] v</w:t>
      </w:r>
      <w:r>
        <w:t>er</w:t>
      </w:r>
      <w:r w:rsidRPr="004D57B3">
        <w:t>s</w:t>
      </w:r>
      <w:r>
        <w:t>us</w:t>
      </w:r>
      <w:r w:rsidRPr="004D57B3">
        <w:t xml:space="preserve"> 100% [95% CI 82</w:t>
      </w:r>
      <w:r>
        <w:t>-</w:t>
      </w:r>
      <w:r w:rsidRPr="004D57B3">
        <w:t>100%] and specificity 100% [95% CI 87</w:t>
      </w:r>
      <w:r>
        <w:t>-</w:t>
      </w:r>
      <w:r w:rsidRPr="004D57B3">
        <w:t>100%] v</w:t>
      </w:r>
      <w:r>
        <w:t>ersu</w:t>
      </w:r>
      <w:r w:rsidRPr="004D57B3">
        <w:t>s 98% [87</w:t>
      </w:r>
      <w:r>
        <w:t>-</w:t>
      </w:r>
      <w:r w:rsidRPr="004D57B3">
        <w:t>100%]) or the less stringent threshold of any small bowel ulcers (sensitivity 100% [95% CI 72</w:t>
      </w:r>
      <w:r>
        <w:t>-</w:t>
      </w:r>
      <w:r w:rsidRPr="004D57B3">
        <w:t>100%] v</w:t>
      </w:r>
      <w:r>
        <w:t>ersu</w:t>
      </w:r>
      <w:r w:rsidRPr="004D57B3">
        <w:t>s 100% [95% CI 82</w:t>
      </w:r>
      <w:r>
        <w:t>-</w:t>
      </w:r>
      <w:r w:rsidRPr="004D57B3">
        <w:t>100%] and specificity 92% [95% CI 73</w:t>
      </w:r>
      <w:r>
        <w:t>-</w:t>
      </w:r>
      <w:r w:rsidRPr="004D57B3">
        <w:t>99%] v</w:t>
      </w:r>
      <w:r>
        <w:t>ersu</w:t>
      </w:r>
      <w:r w:rsidRPr="004D57B3">
        <w:t xml:space="preserve">s 98% [95% </w:t>
      </w:r>
      <w:r>
        <w:br w:type="textWrapping" w:clear="all"/>
      </w:r>
      <w:r w:rsidRPr="004D57B3">
        <w:t>CI 87</w:t>
      </w:r>
      <w:r>
        <w:t>-</w:t>
      </w:r>
      <w:r w:rsidRPr="004D57B3">
        <w:t>100%]).</w:t>
      </w:r>
    </w:p>
    <w:p w:rsidR="0048417A" w:rsidRPr="004D57B3" w:rsidRDefault="0048417A" w:rsidP="00836B55">
      <w:pPr>
        <w:pStyle w:val="Heading6"/>
      </w:pPr>
      <w:r>
        <w:t>C</w:t>
      </w:r>
      <w:r w:rsidRPr="004D57B3">
        <w:t>apsule endoscopy v</w:t>
      </w:r>
      <w:r>
        <w:t>ersu</w:t>
      </w:r>
      <w:r w:rsidRPr="004D57B3">
        <w:t>s CT/CTE</w:t>
      </w:r>
    </w:p>
    <w:p w:rsidR="0048417A" w:rsidRPr="004D57B3" w:rsidRDefault="0048417A" w:rsidP="00836B55">
      <w:r w:rsidRPr="004D57B3">
        <w:t>The systematic review identified no studies comparing the accuracy of capsule endoscopy and CT/CTE for diagnosing suspected small bowel Crohn’s disease.</w:t>
      </w:r>
    </w:p>
    <w:p w:rsidR="0048417A" w:rsidRPr="004D57B3" w:rsidRDefault="0048417A" w:rsidP="00836B55">
      <w:pPr>
        <w:pStyle w:val="Heading4"/>
      </w:pPr>
      <w:r w:rsidRPr="004D57B3">
        <w:t>Impact on patient management</w:t>
      </w:r>
    </w:p>
    <w:p w:rsidR="0048417A" w:rsidRPr="004D57B3" w:rsidRDefault="0048417A" w:rsidP="00836B55">
      <w:r w:rsidRPr="004D57B3">
        <w:t>No studies investigating the therapeutic impact of capsule endoscopy in patients with suspected small bowel Crohn’s disease were identified.</w:t>
      </w:r>
    </w:p>
    <w:p w:rsidR="0048417A" w:rsidRPr="004D57B3" w:rsidRDefault="0048417A" w:rsidP="00836B55">
      <w:pPr>
        <w:pStyle w:val="Heading4"/>
      </w:pPr>
      <w:r w:rsidRPr="004D57B3">
        <w:t>Impact on health outcomes</w:t>
      </w:r>
    </w:p>
    <w:p w:rsidR="0048417A" w:rsidRPr="004D57B3" w:rsidRDefault="0048417A" w:rsidP="00836B55">
      <w:r w:rsidRPr="004D57B3">
        <w:t>In the absence of evidence that capsule endoscopy has significantly higher sensitivity or specificity than alternative tests (MR, CT) and of a subsequent change in management and improved health outcomes, a linked evidence case for improved health outcomes due to capsule endoscopy cannot be made.</w:t>
      </w:r>
    </w:p>
    <w:p w:rsidR="0048417A" w:rsidRPr="004376A2" w:rsidRDefault="0048417A" w:rsidP="00836B55">
      <w:pPr>
        <w:pStyle w:val="Heading3"/>
        <w:rPr>
          <w:bCs/>
        </w:rPr>
      </w:pPr>
      <w:r w:rsidRPr="004376A2">
        <w:rPr>
          <w:bCs/>
        </w:rPr>
        <w:t>Key uncertainties</w:t>
      </w:r>
    </w:p>
    <w:p w:rsidR="0048417A" w:rsidRPr="004D57B3" w:rsidRDefault="0048417A" w:rsidP="00836B55">
      <w:pPr>
        <w:rPr>
          <w:rFonts w:ascii="Arial" w:hAnsi="Arial" w:cs="Arial"/>
          <w:b/>
          <w:szCs w:val="24"/>
        </w:rPr>
      </w:pPr>
      <w:r w:rsidRPr="004D57B3">
        <w:t xml:space="preserve">There was no evidence on the accuracy of capsule endoscopy relative to CT/CTE and only two studies provided evidence on the comparative accuracy of capsule endoscopy relative to MR/MRE. Variations in accuracy across the studies may be partially explained by the variation in prior tests and selection criteria for patients across the studies. Poor reporting of these items meant that not all variations could be explained. In addition, most studies had negative LRs &lt;0.10, the threshold for providing convincing evidence to exclude disease; however, two studies had negative LRs which were &gt;0.20, including the largest study which had a negative LR &gt;0.20 at both thresholds </w:t>
      </w:r>
      <w:r w:rsidRPr="004D57B3">
        <w:rPr>
          <w:noProof/>
        </w:rPr>
        <w:t>(Tukey et al 2009)</w:t>
      </w:r>
      <w:r w:rsidRPr="004D57B3">
        <w:t xml:space="preserve">. While included studies suggest that capsule endoscopy is at least as accurate as MR at discriminating true disease status, the effect of this on patient management, and ultimately health outcomes, remains unknown. Overall, the evidence base was poor (level </w:t>
      </w:r>
      <w:r w:rsidRPr="004D57B3">
        <w:lastRenderedPageBreak/>
        <w:t>IV studies or level III-2 with a high risk of selection and outcome bias) and only some variations in accuracy estimates between studies could be explained.</w:t>
      </w:r>
    </w:p>
    <w:p w:rsidR="0048417A" w:rsidRPr="004376A2" w:rsidRDefault="0048417A" w:rsidP="00836B55">
      <w:pPr>
        <w:pStyle w:val="Heading3"/>
        <w:rPr>
          <w:bCs/>
        </w:rPr>
      </w:pPr>
      <w:r w:rsidRPr="004376A2">
        <w:rPr>
          <w:bCs/>
        </w:rPr>
        <w:t>Overall conclusion with respect to comparative effectiveness</w:t>
      </w:r>
    </w:p>
    <w:p w:rsidR="0048417A" w:rsidRPr="004D57B3" w:rsidRDefault="0048417A" w:rsidP="00836B55">
      <w:r>
        <w:t>C</w:t>
      </w:r>
      <w:r w:rsidRPr="004D57B3">
        <w:t>apsule endoscopy is considered:</w:t>
      </w:r>
    </w:p>
    <w:p w:rsidR="0048417A" w:rsidRPr="004D57B3" w:rsidRDefault="0048417A" w:rsidP="00836B55">
      <w:pPr>
        <w:pStyle w:val="Bullet"/>
        <w:tabs>
          <w:tab w:val="clear" w:pos="1440"/>
          <w:tab w:val="num" w:pos="1854"/>
        </w:tabs>
        <w:ind w:left="1854"/>
      </w:pPr>
      <w:r w:rsidRPr="004D57B3">
        <w:t>likely to have at least comparable accuracy to MR</w:t>
      </w:r>
      <w:r>
        <w:t>;</w:t>
      </w:r>
      <w:r w:rsidRPr="004D57B3">
        <w:t xml:space="preserve"> </w:t>
      </w:r>
    </w:p>
    <w:p w:rsidR="0048417A" w:rsidRPr="004D57B3" w:rsidRDefault="0048417A" w:rsidP="00836B55">
      <w:pPr>
        <w:pStyle w:val="Bullet"/>
        <w:tabs>
          <w:tab w:val="clear" w:pos="1440"/>
          <w:tab w:val="num" w:pos="1854"/>
        </w:tabs>
        <w:ind w:left="1854"/>
      </w:pPr>
      <w:r w:rsidRPr="004D57B3">
        <w:t>less likely to be predictive of the absence of Crohn’s disease, when the capsule endoscopy is negative, in patient populations with negative or equivocal prior endoscopic and radiological tests</w:t>
      </w:r>
      <w:r>
        <w:t>;</w:t>
      </w:r>
    </w:p>
    <w:p w:rsidR="0048417A" w:rsidRPr="004D57B3" w:rsidRDefault="0048417A" w:rsidP="00836B55">
      <w:pPr>
        <w:pStyle w:val="Bullet"/>
        <w:tabs>
          <w:tab w:val="clear" w:pos="1440"/>
          <w:tab w:val="num" w:pos="1854"/>
        </w:tabs>
        <w:ind w:left="1854"/>
      </w:pPr>
      <w:r w:rsidRPr="004D57B3">
        <w:t>more likely to be predictive of the absence of Crohn’s disease, when the capsule endoscopy result is negative, when a lower threshold is used to define a positive test</w:t>
      </w:r>
      <w:r>
        <w:t>; and</w:t>
      </w:r>
      <w:r w:rsidRPr="004D57B3">
        <w:t xml:space="preserve"> </w:t>
      </w:r>
    </w:p>
    <w:p w:rsidR="0048417A" w:rsidRPr="004D57B3" w:rsidRDefault="0048417A" w:rsidP="00836B55">
      <w:pPr>
        <w:pStyle w:val="Bullet"/>
        <w:tabs>
          <w:tab w:val="clear" w:pos="1440"/>
          <w:tab w:val="num" w:pos="1854"/>
        </w:tabs>
        <w:ind w:left="1854"/>
      </w:pPr>
      <w:proofErr w:type="gramStart"/>
      <w:r w:rsidRPr="004D57B3">
        <w:t>not</w:t>
      </w:r>
      <w:proofErr w:type="gramEnd"/>
      <w:r w:rsidRPr="004D57B3">
        <w:t xml:space="preserve"> to be highly predictive of the absence of Crohn’s disease in the largest and most applicable study</w:t>
      </w:r>
      <w:r>
        <w:t>.</w:t>
      </w:r>
    </w:p>
    <w:p w:rsidR="0048417A" w:rsidRPr="004D57B3" w:rsidRDefault="0048417A" w:rsidP="00836B55">
      <w:r w:rsidRPr="004D57B3">
        <w:t>There were no included studies that provided evidence on the comparative accuracy of capsule endoscopy and CT. The impact of capsule endoscopy findings on patient management is unknown and the resultant impact on health outcomes is uncertain.</w:t>
      </w:r>
    </w:p>
    <w:bookmarkEnd w:id="10"/>
    <w:bookmarkEnd w:id="11"/>
    <w:bookmarkEnd w:id="12"/>
    <w:p w:rsidR="0048417A" w:rsidRPr="004D57B3" w:rsidRDefault="0048417A" w:rsidP="00836B55">
      <w:pPr>
        <w:pStyle w:val="Heading2a"/>
      </w:pPr>
      <w:r w:rsidRPr="004D57B3">
        <w:t>Economic evaluation</w:t>
      </w:r>
    </w:p>
    <w:p w:rsidR="0048417A" w:rsidRPr="004D57B3" w:rsidRDefault="0048417A" w:rsidP="00836B55">
      <w:r w:rsidRPr="004D57B3">
        <w:t xml:space="preserve">The systematic review identified three economic studies that explored the costs or cost-effectiveness of imaging strategies, including capsule endoscopy, for diagnosing Crohn’s disease. However, these could not be used as evidence of cost-effectiveness for the use of capsule endoscopy in Australia since they did not reflect the patient population or clinical pathway (page </w:t>
      </w:r>
      <w:r w:rsidRPr="004D57B3">
        <w:fldChar w:fldCharType="begin"/>
      </w:r>
      <w:r w:rsidRPr="004D57B3">
        <w:instrText xml:space="preserve"> PAGEREF _Ref283298372 \h </w:instrText>
      </w:r>
      <w:r w:rsidRPr="004D57B3">
        <w:fldChar w:fldCharType="separate"/>
      </w:r>
      <w:r>
        <w:rPr>
          <w:noProof/>
        </w:rPr>
        <w:t>31</w:t>
      </w:r>
      <w:r w:rsidRPr="004D57B3">
        <w:fldChar w:fldCharType="end"/>
      </w:r>
      <w:r w:rsidRPr="004D57B3">
        <w:t>) under consideration in this report. In addition, none of the studies w</w:t>
      </w:r>
      <w:r>
        <w:t>ere</w:t>
      </w:r>
      <w:r w:rsidRPr="004D57B3">
        <w:t xml:space="preserve"> conducted in Australia and substantial differences between health systems limit the transferability of economic studies. </w:t>
      </w:r>
    </w:p>
    <w:p w:rsidR="0048417A" w:rsidRPr="004D57B3" w:rsidRDefault="0048417A" w:rsidP="00836B55">
      <w:r w:rsidRPr="004D57B3">
        <w:t>Due to the lack of comparative effectiveness data it was also not warranted to perform a cost-effectiveness analysis to estimate the value for money of capsule endoscopy. The preferable approach to the economic evaluation was therefore a presentation of the costs and possible consequences of capsule endoscopy and comparators.</w:t>
      </w:r>
      <w:r>
        <w:t xml:space="preserve"> </w:t>
      </w:r>
      <w:r w:rsidRPr="00196462">
        <w:t xml:space="preserve">A limited societal perspective was used, which included the cost to the MBS and patient </w:t>
      </w:r>
      <w:proofErr w:type="spellStart"/>
      <w:r w:rsidRPr="00196462">
        <w:t>copayments</w:t>
      </w:r>
      <w:proofErr w:type="spellEnd"/>
      <w:r w:rsidRPr="00196462">
        <w:t>.</w:t>
      </w:r>
      <w:r w:rsidRPr="004D57B3">
        <w:t xml:space="preserve">  </w:t>
      </w:r>
    </w:p>
    <w:p w:rsidR="0048417A" w:rsidRPr="004376A2" w:rsidRDefault="0048417A" w:rsidP="00836B55">
      <w:pPr>
        <w:pStyle w:val="Heading3"/>
        <w:rPr>
          <w:bCs/>
        </w:rPr>
      </w:pPr>
      <w:r w:rsidRPr="004376A2">
        <w:rPr>
          <w:bCs/>
        </w:rPr>
        <w:t>Overall conclusion with respect to economic evaluation</w:t>
      </w:r>
    </w:p>
    <w:p w:rsidR="0048417A" w:rsidRPr="004D57B3" w:rsidRDefault="0048417A" w:rsidP="00836B55">
      <w:r w:rsidRPr="004D57B3">
        <w:rPr>
          <w:szCs w:val="24"/>
        </w:rPr>
        <w:t xml:space="preserve">The </w:t>
      </w:r>
      <w:r w:rsidRPr="00196462">
        <w:rPr>
          <w:szCs w:val="24"/>
        </w:rPr>
        <w:t xml:space="preserve">average cost to society of capsule endoscopy ranged between $1,924 per test when the costs of capsule retention were not taken into account, to </w:t>
      </w:r>
      <w:r w:rsidRPr="00196462">
        <w:t xml:space="preserve">$2,085 per test </w:t>
      </w:r>
      <w:r w:rsidRPr="00196462">
        <w:rPr>
          <w:szCs w:val="24"/>
        </w:rPr>
        <w:t xml:space="preserve">when a 15% capsule retention rate was assumed but the costs of surgery to remove the retained capsule were not attributed to capsule endoscopy. The average cost of CT/CTE was $434. MRI/MRE </w:t>
      </w:r>
      <w:r w:rsidRPr="00196462">
        <w:t>is currently not funded through the MBS as a diagnostic test for small bowel Crohn’s disease.</w:t>
      </w:r>
      <w:r w:rsidRPr="004D57B3">
        <w:t xml:space="preserve"> </w:t>
      </w:r>
    </w:p>
    <w:p w:rsidR="0048417A" w:rsidRPr="004D57B3" w:rsidRDefault="0048417A" w:rsidP="00836B55">
      <w:r w:rsidRPr="004D57B3">
        <w:t>Compared to a repeat CT/CTE or MR</w:t>
      </w:r>
      <w:r>
        <w:t>I</w:t>
      </w:r>
      <w:r w:rsidRPr="004D57B3">
        <w:t>/MR</w:t>
      </w:r>
      <w:r>
        <w:t>E</w:t>
      </w:r>
      <w:r w:rsidRPr="004D57B3">
        <w:t>, the consequences of capsule endoscopy for patient management are unknown and the resultant impacts on health outcomes are uncertain.</w:t>
      </w:r>
    </w:p>
    <w:p w:rsidR="0048417A" w:rsidRPr="004D57B3" w:rsidRDefault="0048417A" w:rsidP="00836B55">
      <w:pPr>
        <w:pStyle w:val="Heading2a"/>
      </w:pPr>
      <w:r w:rsidRPr="004D57B3">
        <w:lastRenderedPageBreak/>
        <w:t>Financial/budgetary impacts</w:t>
      </w:r>
    </w:p>
    <w:p w:rsidR="0048417A" w:rsidRPr="00196462" w:rsidRDefault="0048417A" w:rsidP="00836B55">
      <w:r w:rsidRPr="004D57B3">
        <w:t xml:space="preserve">The financial implications of public </w:t>
      </w:r>
      <w:r w:rsidRPr="00196462">
        <w:t xml:space="preserve">funding for capsule endoscopy were estimated as the potential costs to the MBS as well as to society (including the cost to the MBS and patient </w:t>
      </w:r>
      <w:proofErr w:type="spellStart"/>
      <w:r w:rsidRPr="00196462">
        <w:t>copayments</w:t>
      </w:r>
      <w:proofErr w:type="spellEnd"/>
      <w:r w:rsidRPr="00196462">
        <w:t>) compared with the costs of using repeat CT/CTE. The analysis should be interpreted cautiously given the limited epidemiological data.</w:t>
      </w:r>
    </w:p>
    <w:p w:rsidR="0048417A" w:rsidRPr="004D57B3" w:rsidRDefault="0048417A" w:rsidP="00836B55">
      <w:r w:rsidRPr="00196462">
        <w:t>Assuming an estimated range of 664 to 1,431 capsule endoscopies per year, the incremental cost to the MBS is estimated to be between $983,982 and $2,120,599 per year when capsule endoscopy replaces repeat CT/CTE. The incremental cost to society is estimated to be between $989,049 and $2,131,517 per year.</w:t>
      </w:r>
    </w:p>
    <w:p w:rsidR="0048417A" w:rsidRPr="004D57B3" w:rsidRDefault="0048417A">
      <w:r w:rsidRPr="004D57B3">
        <w:t xml:space="preserve">The cost impact is sensitive to the rate of capsule retention and whether costs of surgery to remove a retained capsule are classified as a cost of capsule endoscopy. Additionally, the implementation of public funding for capsule endoscopy may lead to a change in utilisation rate. It may lead to a modest increase in use; however, </w:t>
      </w:r>
      <w:r w:rsidRPr="004D57B3">
        <w:rPr>
          <w:color w:val="000000"/>
        </w:rPr>
        <w:t>it could also lead to a modest decline in claims for MBS item 11820, capsule endoscopy for OGIB.</w:t>
      </w:r>
      <w:r w:rsidR="001B636E" w:rsidRPr="004D57B3">
        <w:t xml:space="preserve"> </w:t>
      </w:r>
    </w:p>
    <w:p w:rsidR="0048417A" w:rsidRPr="004D57B3" w:rsidRDefault="0048417A">
      <w:pPr>
        <w:sectPr w:rsidR="0048417A" w:rsidRPr="004D57B3" w:rsidSect="00836B55">
          <w:headerReference w:type="even" r:id="rId14"/>
          <w:headerReference w:type="default" r:id="rId15"/>
          <w:headerReference w:type="first" r:id="rId16"/>
          <w:type w:val="oddPage"/>
          <w:pgSz w:w="11906" w:h="16838"/>
          <w:pgMar w:top="1440" w:right="1440" w:bottom="1440" w:left="1440" w:header="720" w:footer="720" w:gutter="0"/>
          <w:paperSrc w:first="2" w:other="2"/>
          <w:pgNumType w:fmt="lowerRoman"/>
          <w:cols w:space="720"/>
        </w:sectPr>
      </w:pPr>
    </w:p>
    <w:p w:rsidR="0048417A" w:rsidRPr="004D57B3" w:rsidRDefault="0048417A" w:rsidP="00836B55">
      <w:pPr>
        <w:pStyle w:val="Heading1"/>
      </w:pPr>
      <w:bookmarkStart w:id="27" w:name="_Toc451749499"/>
      <w:bookmarkStart w:id="28" w:name="_Toc296517863"/>
      <w:r w:rsidRPr="004D57B3">
        <w:lastRenderedPageBreak/>
        <w:t>Introduction</w:t>
      </w:r>
      <w:bookmarkEnd w:id="27"/>
      <w:bookmarkEnd w:id="28"/>
    </w:p>
    <w:p w:rsidR="0048417A" w:rsidRPr="004D57B3" w:rsidRDefault="0048417A" w:rsidP="00836B55">
      <w:r w:rsidRPr="004D57B3">
        <w:t xml:space="preserve">MSAC has reviewed the use of capsule endoscopy, which is a diagnostic test for small bowel Crohn’s disease. MSAC evaluates new and existing health technologies and procedures for which funding is sought under the </w:t>
      </w:r>
      <w:r>
        <w:t>MBS</w:t>
      </w:r>
      <w:r w:rsidRPr="004D57B3">
        <w:t xml:space="preserve"> in terms of their safety, effectiveness and cost-effectiveness, while taking into account other issues such as access and equity. MSAC adopts an evidence-based approach to its assessments, based on reviews of the scientific literature and other information sources, including clinical expertise.</w:t>
      </w:r>
    </w:p>
    <w:p w:rsidR="0048417A" w:rsidRPr="004D57B3" w:rsidRDefault="0048417A" w:rsidP="00836B55">
      <w:r w:rsidRPr="004D57B3">
        <w:t xml:space="preserve">MSAC’s </w:t>
      </w:r>
      <w:r>
        <w:t>t</w:t>
      </w:r>
      <w:r w:rsidRPr="004D57B3">
        <w:t xml:space="preserve">erms of </w:t>
      </w:r>
      <w:r>
        <w:t>r</w:t>
      </w:r>
      <w:r w:rsidRPr="004D57B3">
        <w:t xml:space="preserve">eference and membership are at </w:t>
      </w:r>
      <w:r w:rsidR="00AE591B">
        <w:fldChar w:fldCharType="begin"/>
      </w:r>
      <w:r w:rsidR="00AE591B">
        <w:instrText xml:space="preserve"> REF _Ref279997392 \h  \* MERGEFORMAT </w:instrText>
      </w:r>
      <w:r w:rsidR="00AE591B">
        <w:fldChar w:fldCharType="separate"/>
      </w:r>
      <w:r w:rsidRPr="004D57B3">
        <w:rPr>
          <w:bCs/>
        </w:rPr>
        <w:t xml:space="preserve">Appendix </w:t>
      </w:r>
      <w:r>
        <w:rPr>
          <w:bCs/>
        </w:rPr>
        <w:t>A</w:t>
      </w:r>
      <w:r w:rsidR="00AE591B">
        <w:fldChar w:fldCharType="end"/>
      </w:r>
      <w:r w:rsidRPr="004D57B3">
        <w:t>. MSAC is a multidisciplinary expert body, comprising members drawn from such disciplines as diagnostic imaging, pathology, surgery, internal medicine and general practice, clinical epidemiology, health economics, consumer health and health administration.</w:t>
      </w:r>
    </w:p>
    <w:p w:rsidR="0048417A" w:rsidRPr="004D57B3" w:rsidRDefault="0048417A" w:rsidP="00836B55">
      <w:r w:rsidRPr="004D57B3">
        <w:t>This report summarises the assessment of current evidence for capsule endoscopy for the diagnosis of small bowel Crohn’s disease.</w:t>
      </w:r>
    </w:p>
    <w:p w:rsidR="0048417A" w:rsidRPr="004D57B3" w:rsidRDefault="0048417A" w:rsidP="00836B55">
      <w:pPr>
        <w:pStyle w:val="Heading1"/>
      </w:pPr>
      <w:bookmarkStart w:id="29" w:name="_Toc451749500"/>
      <w:bookmarkStart w:id="30" w:name="_Toc296517864"/>
      <w:r w:rsidRPr="004D57B3">
        <w:lastRenderedPageBreak/>
        <w:t>Background</w:t>
      </w:r>
      <w:bookmarkEnd w:id="29"/>
      <w:bookmarkEnd w:id="30"/>
    </w:p>
    <w:p w:rsidR="0048417A" w:rsidRPr="004D57B3" w:rsidRDefault="0048417A" w:rsidP="00836B55">
      <w:pPr>
        <w:pStyle w:val="Heading2"/>
        <w:rPr>
          <w:bCs/>
        </w:rPr>
      </w:pPr>
      <w:bookmarkStart w:id="31" w:name="_Toc296517865"/>
      <w:r>
        <w:rPr>
          <w:bCs/>
        </w:rPr>
        <w:t>C</w:t>
      </w:r>
      <w:r w:rsidRPr="004D57B3">
        <w:rPr>
          <w:bCs/>
        </w:rPr>
        <w:t>apsule endoscopy</w:t>
      </w:r>
      <w:bookmarkEnd w:id="31"/>
      <w:r w:rsidRPr="004D57B3">
        <w:rPr>
          <w:bCs/>
        </w:rPr>
        <w:t xml:space="preserve"> </w:t>
      </w:r>
    </w:p>
    <w:p w:rsidR="0048417A" w:rsidRPr="004D57B3" w:rsidRDefault="0048417A" w:rsidP="00836B55">
      <w:r w:rsidRPr="004D57B3">
        <w:t xml:space="preserve">Crohn’s disease is a chronic inflammatory bowel disease that may affect any portion of the gastrointestinal tract </w:t>
      </w:r>
      <w:r>
        <w:rPr>
          <w:noProof/>
        </w:rPr>
        <w:t>(Yamada 2009)</w:t>
      </w:r>
      <w:r w:rsidRPr="004D57B3">
        <w:t>. The diagnosis of Crohn’s disease relies on</w:t>
      </w:r>
      <w:r>
        <w:t xml:space="preserve"> an</w:t>
      </w:r>
      <w:r w:rsidRPr="004D57B3">
        <w:t xml:space="preserve"> endoscopy. However, Crohn’s disease confined to the small bowel may be difficult to diagnose using this technique due to the location, length and complex looping structure of the small bowel. Within the last </w:t>
      </w:r>
      <w:r>
        <w:t>10</w:t>
      </w:r>
      <w:r w:rsidRPr="004D57B3">
        <w:t xml:space="preserve"> years, capsule endoscopy has emerged as a new diagnostic technique in response to these challenges. </w:t>
      </w:r>
    </w:p>
    <w:p w:rsidR="0048417A" w:rsidRPr="004D57B3" w:rsidRDefault="0048417A" w:rsidP="00836B55">
      <w:pPr>
        <w:pStyle w:val="Heading2"/>
        <w:rPr>
          <w:bCs/>
        </w:rPr>
      </w:pPr>
      <w:bookmarkStart w:id="32" w:name="_Toc296517866"/>
      <w:r w:rsidRPr="004D57B3">
        <w:rPr>
          <w:bCs/>
        </w:rPr>
        <w:t>The test</w:t>
      </w:r>
      <w:bookmarkEnd w:id="32"/>
    </w:p>
    <w:p w:rsidR="0048417A" w:rsidRPr="004D57B3" w:rsidRDefault="0048417A" w:rsidP="00836B55">
      <w:r w:rsidRPr="004D57B3">
        <w:t xml:space="preserve">First introduced onto the international market by Given Imaging </w:t>
      </w:r>
      <w:r>
        <w:t xml:space="preserve">Pty </w:t>
      </w:r>
      <w:r w:rsidRPr="004D57B3">
        <w:t xml:space="preserve">Ltd (Israel) in 2001, capsule endoscopy is a non-invasive diagnostic test in which the gastrointestinal system is visualised using a wireless micro video camera inside a capsule ingested by the patient </w:t>
      </w:r>
      <w:r w:rsidRPr="004D57B3">
        <w:rPr>
          <w:noProof/>
        </w:rPr>
        <w:t>(Munoz-Navas 2009)</w:t>
      </w:r>
      <w:r w:rsidRPr="004D57B3">
        <w:t xml:space="preserve">.  The test provides images of the mucosa of the gastrointestinal tract for use in the diagnosis or surveillance of a range of conditions. Current and potential indications include </w:t>
      </w:r>
      <w:r>
        <w:t>OGIB</w:t>
      </w:r>
      <w:r w:rsidRPr="004D57B3">
        <w:t xml:space="preserve">, celiac disease, small bowel tumours, evaluating the causes of iron deficiency anaemia, diagnosing small bowel Crohn’s disease or evaluating a suspected recurrence, and the screening and surveillance of polyps in small bowel polyposis syndromes such as </w:t>
      </w:r>
      <w:r>
        <w:t xml:space="preserve">PJS </w:t>
      </w:r>
      <w:r>
        <w:rPr>
          <w:noProof/>
        </w:rPr>
        <w:t>(Ladas et al 2010; MSAC 2003; MSAC 2007; Munoz-Navas 2009; Sidhu et al 2008)</w:t>
      </w:r>
      <w:r w:rsidRPr="004D57B3">
        <w:t xml:space="preserve">. In contrast to some diagnostic techniques such as colonoscopy, which may permit biopsy and adjunct therapeutic functions such as </w:t>
      </w:r>
      <w:proofErr w:type="spellStart"/>
      <w:r w:rsidRPr="004D57B3">
        <w:t>polypectomy</w:t>
      </w:r>
      <w:proofErr w:type="spellEnd"/>
      <w:r w:rsidRPr="004D57B3">
        <w:t xml:space="preserve">, capsule endoscopy is confined to a diagnostic or surveillance role </w:t>
      </w:r>
      <w:r>
        <w:rPr>
          <w:noProof/>
        </w:rPr>
        <w:t>(Yamada 2009)</w:t>
      </w:r>
      <w:r w:rsidRPr="004D57B3">
        <w:t xml:space="preserve">. Different versions of the </w:t>
      </w:r>
      <w:proofErr w:type="spellStart"/>
      <w:r w:rsidRPr="004D57B3">
        <w:t>PillCam</w:t>
      </w:r>
      <w:proofErr w:type="spellEnd"/>
      <w:r w:rsidRPr="004D57B3">
        <w:t>® capsule are available for the oesophagus (</w:t>
      </w:r>
      <w:proofErr w:type="spellStart"/>
      <w:r w:rsidRPr="004D57B3">
        <w:t>PillCam</w:t>
      </w:r>
      <w:proofErr w:type="spellEnd"/>
      <w:r w:rsidRPr="004D57B3">
        <w:t>® ESO2), the small bowel (</w:t>
      </w:r>
      <w:proofErr w:type="spellStart"/>
      <w:r w:rsidRPr="004D57B3">
        <w:t>PillCam</w:t>
      </w:r>
      <w:proofErr w:type="spellEnd"/>
      <w:r w:rsidRPr="004D57B3">
        <w:t>® SB2) and the large bowel (</w:t>
      </w:r>
      <w:proofErr w:type="spellStart"/>
      <w:r w:rsidRPr="004D57B3">
        <w:t>PillCam</w:t>
      </w:r>
      <w:proofErr w:type="spellEnd"/>
      <w:r w:rsidRPr="004D57B3">
        <w:t xml:space="preserve">® COLON) </w:t>
      </w:r>
      <w:r w:rsidRPr="004D57B3">
        <w:rPr>
          <w:noProof/>
        </w:rPr>
        <w:t>(Nakamura &amp; Terano 2008)</w:t>
      </w:r>
      <w:r w:rsidRPr="004D57B3">
        <w:t xml:space="preserve">. Three other video capsule technologies for the small bowel are currently manufactured: the </w:t>
      </w:r>
      <w:proofErr w:type="spellStart"/>
      <w:r w:rsidRPr="004D57B3">
        <w:t>EndoCapsule</w:t>
      </w:r>
      <w:proofErr w:type="spellEnd"/>
      <w:r w:rsidRPr="004D57B3">
        <w:t xml:space="preserve"> by Olympus (Japan); the </w:t>
      </w:r>
      <w:proofErr w:type="spellStart"/>
      <w:r w:rsidRPr="004D57B3">
        <w:t>MiRo</w:t>
      </w:r>
      <w:proofErr w:type="spellEnd"/>
      <w:r w:rsidRPr="004D57B3">
        <w:t xml:space="preserve">-Cam by </w:t>
      </w:r>
      <w:proofErr w:type="spellStart"/>
      <w:r w:rsidRPr="004D57B3">
        <w:t>IntroMedic</w:t>
      </w:r>
      <w:proofErr w:type="spellEnd"/>
      <w:r w:rsidRPr="004D57B3">
        <w:t xml:space="preserve"> (Korea)</w:t>
      </w:r>
      <w:r>
        <w:t>;</w:t>
      </w:r>
      <w:r w:rsidRPr="004D57B3">
        <w:t xml:space="preserve"> and OMOM from the Chongqing </w:t>
      </w:r>
      <w:proofErr w:type="spellStart"/>
      <w:r w:rsidRPr="004D57B3">
        <w:t>Jinshan</w:t>
      </w:r>
      <w:proofErr w:type="spellEnd"/>
      <w:r w:rsidRPr="004D57B3">
        <w:t xml:space="preserve"> Science and Technology Group (China) </w:t>
      </w:r>
      <w:r>
        <w:rPr>
          <w:noProof/>
        </w:rPr>
        <w:t>(Ladas et al 2010)</w:t>
      </w:r>
      <w:r w:rsidRPr="004D57B3">
        <w:t xml:space="preserve">. </w:t>
      </w:r>
      <w:proofErr w:type="spellStart"/>
      <w:r w:rsidRPr="004D57B3">
        <w:t>PillCam®SB</w:t>
      </w:r>
      <w:proofErr w:type="spellEnd"/>
      <w:r w:rsidRPr="004D57B3">
        <w:t xml:space="preserve"> is now in its second generation </w:t>
      </w:r>
      <w:r>
        <w:rPr>
          <w:noProof/>
        </w:rPr>
        <w:t>(Ladas et al 2010; Munoz-Navas 2009)</w:t>
      </w:r>
      <w:r w:rsidRPr="004D57B3">
        <w:t xml:space="preserve">. </w:t>
      </w:r>
    </w:p>
    <w:p w:rsidR="0048417A" w:rsidRPr="004D57B3" w:rsidRDefault="0048417A" w:rsidP="00836B55">
      <w:r w:rsidRPr="004D57B3">
        <w:t xml:space="preserve">The procedure relies on three pieces of equipment – a video capsule, a data recorder and a workstation. The capsule is disposable and ingestible, approximately 26 mm x 11 mm in size, and contains micro imaging video technology which includes a battery, camera, transmitter, antenna and light emitting diodes </w:t>
      </w:r>
      <w:r w:rsidRPr="004D57B3">
        <w:rPr>
          <w:noProof/>
        </w:rPr>
        <w:t>(Sidhu et al 2008)</w:t>
      </w:r>
      <w:r w:rsidRPr="004D57B3">
        <w:t xml:space="preserve">. The GIVEN® data recorder is a system worn at the waist that receives the transmitted images via radiofrequency data transmission. The workstation is a dedicated computer station to which data and images are uploaded for analysis by the clinician. </w:t>
      </w:r>
    </w:p>
    <w:p w:rsidR="0048417A" w:rsidRPr="004D57B3" w:rsidRDefault="0048417A" w:rsidP="00836B55">
      <w:r w:rsidRPr="004D57B3">
        <w:t xml:space="preserve">The procedure may be performed in an outpatient setting </w:t>
      </w:r>
      <w:r w:rsidRPr="004D57B3">
        <w:rPr>
          <w:noProof/>
        </w:rPr>
        <w:t>(Munoz-Navas 2009)</w:t>
      </w:r>
      <w:r w:rsidRPr="004D57B3">
        <w:t xml:space="preserve">. After bowel preparation, where necessary, and fasting for 8 to 12 hours, the patient presents at the specialist’s private room (or clinic) to have the data recorder fitted and to swallow the capsule </w:t>
      </w:r>
      <w:r w:rsidRPr="004D57B3">
        <w:rPr>
          <w:noProof/>
        </w:rPr>
        <w:t>(Sidhu et al 2008)</w:t>
      </w:r>
      <w:r w:rsidRPr="004D57B3">
        <w:t xml:space="preserve">. The capsule moves through the gastrointestinal tract by peristalsis and transmits two images per second to the data recorder, producing eight hours of imaging (approximately 50,000 images) </w:t>
      </w:r>
      <w:r w:rsidRPr="004D57B3">
        <w:rPr>
          <w:noProof/>
        </w:rPr>
        <w:t>(Poelmans et al 2006)</w:t>
      </w:r>
      <w:r w:rsidRPr="004D57B3">
        <w:t xml:space="preserve">. Around eight hours after ingesting the capsule, the patient returns to the specialist’s private room (or clinic) and data are uploaded for analysis. The disposable capsule will usually be excreted naturally </w:t>
      </w:r>
      <w:r>
        <w:t>between</w:t>
      </w:r>
      <w:r w:rsidRPr="004D57B3">
        <w:t xml:space="preserve"> 24</w:t>
      </w:r>
      <w:r>
        <w:t xml:space="preserve"> and </w:t>
      </w:r>
      <w:r w:rsidRPr="004D57B3">
        <w:t>72 hours</w:t>
      </w:r>
      <w:r>
        <w:t xml:space="preserve"> after ingestion</w:t>
      </w:r>
      <w:r w:rsidRPr="004D57B3">
        <w:t>.</w:t>
      </w:r>
    </w:p>
    <w:p w:rsidR="0048417A" w:rsidRPr="004D57B3" w:rsidRDefault="0048417A" w:rsidP="00836B55">
      <w:r w:rsidRPr="004D57B3">
        <w:lastRenderedPageBreak/>
        <w:t xml:space="preserve">Contraindications for capsule endoscopy include bowel obstruction, strictures, fistulae, swallowing disorders and pregnancy </w:t>
      </w:r>
      <w:r w:rsidRPr="004D57B3">
        <w:rPr>
          <w:noProof/>
        </w:rPr>
        <w:t>(Van Assche et al 2010)</w:t>
      </w:r>
      <w:r w:rsidRPr="004D57B3">
        <w:t xml:space="preserve">. Pacemakers and implanted cardiac defibrillators have also been considered contraindicated due to theoretically possible risks, although this is yet to be assessed using large studies </w:t>
      </w:r>
      <w:r w:rsidRPr="004D57B3">
        <w:rPr>
          <w:noProof/>
        </w:rPr>
        <w:t>(Sidhu et al 2008)</w:t>
      </w:r>
      <w:r w:rsidRPr="004D57B3">
        <w:t xml:space="preserve">. The main clinical risk is capsule retention. Technical failures that may affect the successful performance of the procedure include incomplete examination either due to the presence of bowel contents or failure to reach the caecum within the capsule’s battery life; difficulty swallowing the capsule; and problems associated with missing footage, difficulties downloading the data and battery malfunction </w:t>
      </w:r>
      <w:r>
        <w:rPr>
          <w:noProof/>
        </w:rPr>
        <w:t>(Schnoll-Sussman &amp; Kulkarni 2008)</w:t>
      </w:r>
      <w:r w:rsidRPr="004D57B3">
        <w:t xml:space="preserve">. </w:t>
      </w:r>
    </w:p>
    <w:p w:rsidR="0048417A" w:rsidRPr="004D57B3" w:rsidRDefault="0048417A" w:rsidP="00836B55">
      <w:pPr>
        <w:pStyle w:val="Heading2"/>
      </w:pPr>
      <w:bookmarkStart w:id="33" w:name="_Toc296517867"/>
      <w:r w:rsidRPr="004D57B3">
        <w:t>Intended purpose</w:t>
      </w:r>
      <w:bookmarkEnd w:id="33"/>
      <w:r w:rsidRPr="004D57B3">
        <w:t xml:space="preserve"> </w:t>
      </w:r>
    </w:p>
    <w:p w:rsidR="0048417A" w:rsidRPr="004D57B3" w:rsidRDefault="0048417A" w:rsidP="00836B55">
      <w:r w:rsidRPr="004D57B3">
        <w:t>This report assesses capsule endoscopy for the evaluation of suspected small bowel Crohn’s disease. The specific research question to be addressed is:</w:t>
      </w:r>
    </w:p>
    <w:p w:rsidR="0048417A" w:rsidRPr="004D57B3" w:rsidRDefault="0048417A" w:rsidP="00836B55">
      <w:pPr>
        <w:ind w:left="1134"/>
      </w:pPr>
      <w:r w:rsidRPr="004D57B3">
        <w:t xml:space="preserve">In </w:t>
      </w:r>
      <w:r>
        <w:t xml:space="preserve">symptomatic </w:t>
      </w:r>
      <w:r w:rsidRPr="004D57B3">
        <w:t xml:space="preserve">patients with suspected but unconfirmed Crohn’s disease, what is the value of capsule endoscopy compared with abdomen </w:t>
      </w:r>
      <w:r>
        <w:t>CT</w:t>
      </w:r>
      <w:r w:rsidRPr="004D57B3">
        <w:t xml:space="preserve"> with or without </w:t>
      </w:r>
      <w:proofErr w:type="spellStart"/>
      <w:r w:rsidRPr="004D57B3">
        <w:t>enterography</w:t>
      </w:r>
      <w:proofErr w:type="spellEnd"/>
      <w:r w:rsidRPr="004D57B3">
        <w:t xml:space="preserve">, MR with or without </w:t>
      </w:r>
      <w:proofErr w:type="spellStart"/>
      <w:r w:rsidRPr="004D57B3">
        <w:t>enterography</w:t>
      </w:r>
      <w:proofErr w:type="spellEnd"/>
      <w:r w:rsidRPr="004D57B3">
        <w:t xml:space="preserve">, or empirical treatment for the diagnosis of suspected small bowel Crohn’s disease?  </w:t>
      </w:r>
    </w:p>
    <w:p w:rsidR="0048417A" w:rsidRPr="004D57B3" w:rsidRDefault="0048417A" w:rsidP="00836B55">
      <w:pPr>
        <w:pStyle w:val="Heading2"/>
      </w:pPr>
      <w:bookmarkStart w:id="34" w:name="_Toc296517868"/>
      <w:r w:rsidRPr="004D57B3">
        <w:t>Crohn’s disease</w:t>
      </w:r>
      <w:bookmarkEnd w:id="34"/>
    </w:p>
    <w:p w:rsidR="0048417A" w:rsidRPr="004D57B3" w:rsidRDefault="0048417A" w:rsidP="00836B55">
      <w:r w:rsidRPr="004D57B3">
        <w:t xml:space="preserve">Crohn’s disease is a chronic inflammatory bowel disease that may affect any part of the gastrointestinal tract, including the large and small bowel, mouth, tongue, oesophagus and stomach. As it is a chronic condition, patients with Crohn’s disease usually present with more than six weeks of symptoms. The age of diagnosis of Crohn’s disease peaks in the 20-24 year age group and an Australian incidence study found that 18% of incident Crohn’s disease cases were 21 or younger </w:t>
      </w:r>
      <w:r>
        <w:rPr>
          <w:noProof/>
        </w:rPr>
        <w:t>(Wilson et al 2010)</w:t>
      </w:r>
      <w:r w:rsidRPr="004D57B3">
        <w:t>. Symptoms may include abdominal pain, diarrhoea, rectal bleeding and weight loss</w:t>
      </w:r>
      <w:r>
        <w:t>,</w:t>
      </w:r>
      <w:r w:rsidRPr="004D57B3">
        <w:t xml:space="preserve"> and extra-intestinal symptoms such as fever, cholangitis, skin lesions and arthritis </w:t>
      </w:r>
      <w:r>
        <w:rPr>
          <w:noProof/>
        </w:rPr>
        <w:t>(Yamada 2009)</w:t>
      </w:r>
      <w:r w:rsidRPr="004D57B3">
        <w:t xml:space="preserve">. Crohn’s disease may curtail life expectancy only slightly, but has a potentially chronic effect on a range of issues including quality of life, psychological and sexual dysfunction and employment </w:t>
      </w:r>
      <w:r w:rsidRPr="004D57B3">
        <w:rPr>
          <w:noProof/>
        </w:rPr>
        <w:t>(Baumgart &amp; Sandborn 2007; Morrison et al 2009)</w:t>
      </w:r>
      <w:r>
        <w:t>.</w:t>
      </w:r>
    </w:p>
    <w:p w:rsidR="0048417A" w:rsidRPr="004D57B3" w:rsidRDefault="0048417A" w:rsidP="00836B55">
      <w:r w:rsidRPr="004D57B3">
        <w:t xml:space="preserve">Crohn’s disease has several characteristic features. It involves inflammation which may be patchy – affecting several discontinuous sites of the gastrointestinal tract (spatially discontinuous). The inflammation may also be </w:t>
      </w:r>
      <w:proofErr w:type="spellStart"/>
      <w:r w:rsidRPr="004D57B3">
        <w:t>transmural</w:t>
      </w:r>
      <w:proofErr w:type="spellEnd"/>
      <w:r w:rsidRPr="004D57B3">
        <w:t xml:space="preserve"> – extending through the intestinal wall from the mucosa to the serosa – thus potentially leading to complications such as fistulae and strictures </w:t>
      </w:r>
      <w:r>
        <w:rPr>
          <w:noProof/>
        </w:rPr>
        <w:t>(Yamada 2009)</w:t>
      </w:r>
      <w:r w:rsidRPr="004D57B3">
        <w:t xml:space="preserve">. Crohn’s disease may affect any portion of the gastrointestinal tract, but most commonly occurs in the ileum (part of the small bowel), the colon or both </w:t>
      </w:r>
      <w:r w:rsidRPr="004D57B3">
        <w:rPr>
          <w:noProof/>
        </w:rPr>
        <w:t>(Baumgart &amp; Sandborn 2007)</w:t>
      </w:r>
      <w:r w:rsidRPr="004D57B3">
        <w:t xml:space="preserve">. </w:t>
      </w:r>
    </w:p>
    <w:p w:rsidR="0048417A" w:rsidRPr="004D57B3" w:rsidRDefault="0048417A" w:rsidP="00836B55">
      <w:r w:rsidRPr="004D57B3">
        <w:t xml:space="preserve">The small bowel (also called the small intestine) is the longest section of the gastrointestinal tract and consists of three main parts: the duodenum, the jejunum and the ileum. Crohn’s disease may affect any of these areas and may occur with or without large bowel involvement. However, isolated involvement of the jejunum and duodenum is rare. Patients with Crohn’s disease localised to the small bowel are typically affected either solely in the terminal ileum, or in both the colon and ileum. The site of Crohn’s disease changes during the course of the disease, but at diagnosis it has been found in the terminal ileum (47%), colon (28%), ileum and colon (21%) and upper gastrointestinal </w:t>
      </w:r>
      <w:r w:rsidRPr="004D57B3">
        <w:lastRenderedPageBreak/>
        <w:t xml:space="preserve">tract (3%) </w:t>
      </w:r>
      <w:proofErr w:type="gramStart"/>
      <w:r w:rsidRPr="004D57B3">
        <w:rPr>
          <w:noProof/>
        </w:rPr>
        <w:t>(Baumgart &amp; Sandborn 2007)</w:t>
      </w:r>
      <w:r w:rsidRPr="004D57B3">
        <w:t>.</w:t>
      </w:r>
      <w:proofErr w:type="gramEnd"/>
      <w:r w:rsidRPr="004D57B3">
        <w:t xml:space="preserve"> It is possible that the reported occurrence of Crohn’s disease </w:t>
      </w:r>
      <w:r>
        <w:t>above the</w:t>
      </w:r>
      <w:r w:rsidRPr="004D57B3">
        <w:t xml:space="preserve"> ileum is an underestimate because this area is more difficult to visualise using conventional diagnostic tests </w:t>
      </w:r>
      <w:r w:rsidRPr="004D57B3">
        <w:rPr>
          <w:noProof/>
        </w:rPr>
        <w:t>(Satsangi et al 2006)</w:t>
      </w:r>
      <w:r w:rsidRPr="004D57B3">
        <w:t xml:space="preserve">. Given that the terminal ileum is the typical pattern of small bowel involvement in Crohn’s disease, the majority of patients with small bowel Crohn’s disease are successfully diagnosed using colonoscopy with </w:t>
      </w:r>
      <w:proofErr w:type="spellStart"/>
      <w:r w:rsidRPr="004D57B3">
        <w:t>ileoscopy</w:t>
      </w:r>
      <w:proofErr w:type="spellEnd"/>
      <w:r w:rsidRPr="004D57B3">
        <w:t xml:space="preserve">. </w:t>
      </w:r>
    </w:p>
    <w:p w:rsidR="0048417A" w:rsidRPr="004D57B3" w:rsidRDefault="0048417A" w:rsidP="00836B55">
      <w:pPr>
        <w:pStyle w:val="Heading2a"/>
      </w:pPr>
      <w:r w:rsidRPr="004D57B3">
        <w:t>Current treatment</w:t>
      </w:r>
    </w:p>
    <w:p w:rsidR="0048417A" w:rsidRPr="004D57B3" w:rsidRDefault="0048417A" w:rsidP="00836B55">
      <w:r w:rsidRPr="004D57B3">
        <w:t>In Australia, contemporary treatment philosophy for small bowel Crohn’s disease recognises that the disease cannot be cured, and instead aims to control symptoms, modify the natural history of the disease and prevent long</w:t>
      </w:r>
      <w:r>
        <w:t>-</w:t>
      </w:r>
      <w:r w:rsidRPr="004D57B3">
        <w:t xml:space="preserve">term complications </w:t>
      </w:r>
      <w:r w:rsidRPr="004D57B3">
        <w:rPr>
          <w:noProof/>
        </w:rPr>
        <w:t>(Morrison et al 2009)</w:t>
      </w:r>
      <w:r w:rsidRPr="004D57B3">
        <w:t>. A long</w:t>
      </w:r>
      <w:r>
        <w:t>-</w:t>
      </w:r>
      <w:r w:rsidRPr="004D57B3">
        <w:t xml:space="preserve">term and multidisciplinary perspective on treatment is adopted that incorporates pharmaceutical, surgical and ancillary strategies. </w:t>
      </w:r>
    </w:p>
    <w:p w:rsidR="0048417A" w:rsidRPr="004D57B3" w:rsidRDefault="0048417A" w:rsidP="00836B55">
      <w:r w:rsidRPr="004D57B3">
        <w:t>Pharmaceutical treatment of small bowel Crohn’s disease consists of two main stages – inducing remission and maintaining remission – and may involve a selection of anti</w:t>
      </w:r>
      <w:r>
        <w:t>-</w:t>
      </w:r>
      <w:r w:rsidRPr="004D57B3">
        <w:t xml:space="preserve">inflammatory, </w:t>
      </w:r>
      <w:proofErr w:type="spellStart"/>
      <w:r w:rsidRPr="004D57B3">
        <w:t>immunomodulatory</w:t>
      </w:r>
      <w:proofErr w:type="spellEnd"/>
      <w:r w:rsidRPr="004D57B3">
        <w:t xml:space="preserve"> and biological treatments. The induction of remission is an attempt to control the symptoms of small bowel Crohn’s disease such as inflammation. The type of first line therapy chosen depends on clinical judgement, patient preference and the location and severity of the disease.  The use of anti-inflammatories such as 5-aminosalicylic drugs as a first line therapy for small bowel Crohn’s disease is common in Australia, despite poor patient compliance and controversies over its efficacy and which preparation to use in which circumstances </w:t>
      </w:r>
      <w:r w:rsidRPr="004D57B3">
        <w:rPr>
          <w:noProof/>
        </w:rPr>
        <w:t>(Gearry et al 2007; Morrison et al 2009)</w:t>
      </w:r>
      <w:r w:rsidRPr="004D57B3">
        <w:t>. Sulfasalazine (</w:t>
      </w:r>
      <w:proofErr w:type="spellStart"/>
      <w:r w:rsidRPr="004D57B3">
        <w:t>salazopyrin</w:t>
      </w:r>
      <w:proofErr w:type="spellEnd"/>
      <w:r w:rsidRPr="004D57B3">
        <w:t xml:space="preserve">, </w:t>
      </w:r>
      <w:proofErr w:type="spellStart"/>
      <w:r w:rsidRPr="004D57B3">
        <w:t>pyralin</w:t>
      </w:r>
      <w:proofErr w:type="spellEnd"/>
      <w:r w:rsidRPr="004D57B3">
        <w:t xml:space="preserve">-EN, </w:t>
      </w:r>
      <w:proofErr w:type="spellStart"/>
      <w:proofErr w:type="gramStart"/>
      <w:r w:rsidRPr="004D57B3">
        <w:t>salazopyrin</w:t>
      </w:r>
      <w:proofErr w:type="spellEnd"/>
      <w:proofErr w:type="gramEnd"/>
      <w:r w:rsidRPr="004D57B3">
        <w:t xml:space="preserve">-EN) is currently the only 5-aminosalicylic drug for which unrestricted access is available under the PBS. </w:t>
      </w:r>
      <w:proofErr w:type="spellStart"/>
      <w:r w:rsidRPr="004D57B3">
        <w:t>Mesalazine</w:t>
      </w:r>
      <w:proofErr w:type="spellEnd"/>
      <w:r w:rsidRPr="004D57B3">
        <w:t xml:space="preserve"> (</w:t>
      </w:r>
      <w:proofErr w:type="spellStart"/>
      <w:r w:rsidRPr="004D57B3">
        <w:t>mesasal</w:t>
      </w:r>
      <w:proofErr w:type="spellEnd"/>
      <w:r w:rsidRPr="004D57B3">
        <w:t xml:space="preserve">, </w:t>
      </w:r>
      <w:proofErr w:type="spellStart"/>
      <w:r w:rsidRPr="004D57B3">
        <w:t>pentasa</w:t>
      </w:r>
      <w:proofErr w:type="spellEnd"/>
      <w:r w:rsidRPr="004D57B3">
        <w:t xml:space="preserve">, </w:t>
      </w:r>
      <w:proofErr w:type="spellStart"/>
      <w:r w:rsidRPr="004D57B3">
        <w:t>salofalk</w:t>
      </w:r>
      <w:proofErr w:type="spellEnd"/>
      <w:r w:rsidRPr="004D57B3">
        <w:t xml:space="preserve">) may be prescribed under special authority if the patient is hypersensitive to </w:t>
      </w:r>
      <w:proofErr w:type="spellStart"/>
      <w:r w:rsidRPr="004D57B3">
        <w:t>sulfonamides</w:t>
      </w:r>
      <w:proofErr w:type="spellEnd"/>
      <w:r w:rsidRPr="004D57B3">
        <w:t xml:space="preserve"> or intolerant to sulfasalazine, but evidence of its efficacy is inconsistent </w:t>
      </w:r>
      <w:r w:rsidRPr="004D57B3">
        <w:rPr>
          <w:noProof/>
        </w:rPr>
        <w:t>(Baumgart &amp; Sandborn 2007; Gearry et al 2007)</w:t>
      </w:r>
      <w:r w:rsidRPr="004D57B3">
        <w:t xml:space="preserve">. Induction of remission in those with mild </w:t>
      </w:r>
      <w:proofErr w:type="spellStart"/>
      <w:r w:rsidRPr="004D57B3">
        <w:t>ileocaecal</w:t>
      </w:r>
      <w:proofErr w:type="spellEnd"/>
      <w:r w:rsidRPr="004D57B3">
        <w:t xml:space="preserve"> disease may involve between 2</w:t>
      </w:r>
      <w:r>
        <w:t>,</w:t>
      </w:r>
      <w:r w:rsidRPr="004D57B3">
        <w:t>000 and 4</w:t>
      </w:r>
      <w:r>
        <w:t>,</w:t>
      </w:r>
      <w:r w:rsidRPr="004D57B3">
        <w:t xml:space="preserve">000 mg of sulfasalazine daily </w:t>
      </w:r>
      <w:r w:rsidRPr="004D57B3">
        <w:rPr>
          <w:noProof/>
        </w:rPr>
        <w:t>(Baumgart &amp; Sandborn 2007; Morrison et al 2009)</w:t>
      </w:r>
      <w:r w:rsidRPr="004D57B3">
        <w:t xml:space="preserve">. Maintenance of remission may involve the continued use of 5-aminosalicylic drugs or </w:t>
      </w:r>
      <w:proofErr w:type="spellStart"/>
      <w:r w:rsidRPr="004D57B3">
        <w:t>immunomodulators</w:t>
      </w:r>
      <w:proofErr w:type="spellEnd"/>
      <w:r w:rsidRPr="004D57B3">
        <w:t xml:space="preserve"> such as azathioprine, 6-mercaptopurine or methotrexate. The effect of </w:t>
      </w:r>
      <w:proofErr w:type="spellStart"/>
      <w:r w:rsidRPr="004D57B3">
        <w:t>immunomodulators</w:t>
      </w:r>
      <w:proofErr w:type="spellEnd"/>
      <w:r w:rsidRPr="004D57B3">
        <w:t xml:space="preserve"> takes two to three months to occur </w:t>
      </w:r>
      <w:r w:rsidRPr="004D57B3">
        <w:rPr>
          <w:noProof/>
        </w:rPr>
        <w:t>(Morrison et al 2009)</w:t>
      </w:r>
      <w:r w:rsidRPr="004D57B3">
        <w:t>.</w:t>
      </w:r>
    </w:p>
    <w:p w:rsidR="0048417A" w:rsidRPr="004D57B3" w:rsidRDefault="0048417A" w:rsidP="00836B55">
      <w:r w:rsidRPr="004D57B3">
        <w:t xml:space="preserve">If patients do not respond to 5-aminosalicylic drugs they may be treated with corticosteroids such as oral prednisolone or biological agents such as infliximab or </w:t>
      </w:r>
      <w:proofErr w:type="spellStart"/>
      <w:r w:rsidRPr="004D57B3">
        <w:t>adalimumab</w:t>
      </w:r>
      <w:proofErr w:type="spellEnd"/>
      <w:r w:rsidRPr="004D57B3">
        <w:t xml:space="preserve"> </w:t>
      </w:r>
      <w:r w:rsidRPr="004D57B3">
        <w:rPr>
          <w:noProof/>
        </w:rPr>
        <w:t>(Baumgart &amp; Sandborn 2007; Morrison et al 2009)</w:t>
      </w:r>
      <w:r w:rsidRPr="004D57B3">
        <w:t>. Corticosteroids are used to suppress the immune system (thereby reducing the inflammatory response) and are usually used for inducing remission rather than maintenance of remission as they have a number of short and long</w:t>
      </w:r>
      <w:r>
        <w:t>-</w:t>
      </w:r>
      <w:r w:rsidRPr="004D57B3">
        <w:t xml:space="preserve">term complications </w:t>
      </w:r>
      <w:r w:rsidRPr="004D57B3">
        <w:rPr>
          <w:noProof/>
        </w:rPr>
        <w:t>(Morrison et al 2009)</w:t>
      </w:r>
      <w:r w:rsidRPr="004D57B3">
        <w:t xml:space="preserve"> The use of biological agents involves drugs that target molecules involved in the inflammatory pathways involved in Crohn’s disease. Biological treatment may be used for both induction of remission and maintenance of remission in those with moderate to severely active disease that fails to respond to first line treatment </w:t>
      </w:r>
      <w:r w:rsidRPr="004D57B3">
        <w:rPr>
          <w:noProof/>
        </w:rPr>
        <w:t>(Morrison et al 2009)</w:t>
      </w:r>
      <w:r w:rsidRPr="004D57B3">
        <w:t xml:space="preserve">. The concurrent use of </w:t>
      </w:r>
      <w:proofErr w:type="spellStart"/>
      <w:r w:rsidRPr="004D57B3">
        <w:t>immunomodulators</w:t>
      </w:r>
      <w:proofErr w:type="spellEnd"/>
      <w:r w:rsidRPr="004D57B3">
        <w:t xml:space="preserve"> alongside biological agents may improve the efficacy of the biological treatment but may also increase the risk of serious infections such as tuberculosis and skin cancer </w:t>
      </w:r>
      <w:r w:rsidRPr="004D57B3">
        <w:rPr>
          <w:noProof/>
        </w:rPr>
        <w:t>(Morrison et al 2009)</w:t>
      </w:r>
      <w:r w:rsidRPr="004D57B3">
        <w:t xml:space="preserve">. </w:t>
      </w:r>
      <w:proofErr w:type="spellStart"/>
      <w:r>
        <w:t>I</w:t>
      </w:r>
      <w:r w:rsidRPr="004D57B3">
        <w:t>mmunomodulators</w:t>
      </w:r>
      <w:proofErr w:type="spellEnd"/>
      <w:r w:rsidRPr="004D57B3">
        <w:t xml:space="preserve"> for the maintenance of remission </w:t>
      </w:r>
      <w:r>
        <w:t>are</w:t>
      </w:r>
      <w:r w:rsidRPr="004D57B3">
        <w:t xml:space="preserve"> more often used in those with more active or severe forms of small bowel Crohn’s disease.</w:t>
      </w:r>
    </w:p>
    <w:p w:rsidR="0048417A" w:rsidRPr="004D57B3" w:rsidRDefault="0048417A" w:rsidP="00836B55">
      <w:r w:rsidRPr="004D57B3">
        <w:lastRenderedPageBreak/>
        <w:t>In addition to pharmaceutical treatment, a range of issues such as sexual health, psychological health, anaemia, employment implications and nutrition need to be dealt with and may be managed by a multidisciplinary team.</w:t>
      </w:r>
    </w:p>
    <w:p w:rsidR="0048417A" w:rsidRPr="004D57B3" w:rsidRDefault="0048417A" w:rsidP="00836B55">
      <w:r w:rsidRPr="004D57B3">
        <w:t>Almost two</w:t>
      </w:r>
      <w:r>
        <w:t>-</w:t>
      </w:r>
      <w:r w:rsidRPr="004D57B3">
        <w:t xml:space="preserve">thirds of patients with Crohn’s disease undergo surgery within </w:t>
      </w:r>
      <w:r>
        <w:t>10</w:t>
      </w:r>
      <w:r w:rsidRPr="004D57B3">
        <w:t xml:space="preserve"> years of the diagnosis </w:t>
      </w:r>
      <w:r>
        <w:rPr>
          <w:noProof/>
        </w:rPr>
        <w:t>(Yamada 2009)</w:t>
      </w:r>
      <w:r w:rsidRPr="004D57B3">
        <w:t xml:space="preserve">.  The main surgical procedures vary depending on the patient’s pathology, and may include single or multiple surgical resections (small bowel or </w:t>
      </w:r>
      <w:proofErr w:type="spellStart"/>
      <w:r w:rsidRPr="004D57B3">
        <w:t>ileocolonic</w:t>
      </w:r>
      <w:proofErr w:type="spellEnd"/>
      <w:r w:rsidRPr="004D57B3">
        <w:t xml:space="preserve">) and single or multiple </w:t>
      </w:r>
      <w:proofErr w:type="spellStart"/>
      <w:r w:rsidRPr="004D57B3">
        <w:t>strictureplasties</w:t>
      </w:r>
      <w:proofErr w:type="spellEnd"/>
      <w:r w:rsidRPr="004D57B3">
        <w:t xml:space="preserve">. The indications for surgery include the treatment of complications of Crohn’s disease such as fistulae, abscesses or strictures; intervention when medical management, such as corticosteroids, is associated with significant </w:t>
      </w:r>
      <w:r>
        <w:t>side-effects</w:t>
      </w:r>
      <w:r w:rsidRPr="004D57B3">
        <w:t xml:space="preserve">; or when medical management has failed to adequately control symptoms such as diarrhoea, weight loss and pain </w:t>
      </w:r>
      <w:r>
        <w:rPr>
          <w:noProof/>
        </w:rPr>
        <w:t>(Baumgart &amp; Sandborn 2007; Yamada 2009)</w:t>
      </w:r>
      <w:r w:rsidRPr="004D57B3">
        <w:t xml:space="preserve">.  The decision to perform surgery, and the extent of tissue removed, is approached conservatively because surgery does not cure Crohn’s disease and postoperative recurrence is probable </w:t>
      </w:r>
      <w:r>
        <w:rPr>
          <w:noProof/>
        </w:rPr>
        <w:t>(Yamada 2009)</w:t>
      </w:r>
      <w:r w:rsidRPr="004D57B3">
        <w:t xml:space="preserve">. Fistulae are abnormal connections between organs that may form as a complication to Crohn’s disease. Fistulae that may require surgery include passages formed between the intestine and the bladder and between the intestine and the skin of the abdomen </w:t>
      </w:r>
      <w:r w:rsidRPr="004D57B3">
        <w:rPr>
          <w:noProof/>
        </w:rPr>
        <w:t>(Baumgart &amp; Sandborn 2007)</w:t>
      </w:r>
      <w:r w:rsidRPr="004D57B3">
        <w:t xml:space="preserve">. Formation of fibrotic strictures – the development of fibrous tissue in the intestine as a reactive or reparative response to the disease and which may lead to symptoms of bowel obstruction – may also require surgery </w:t>
      </w:r>
      <w:r w:rsidRPr="004D57B3">
        <w:rPr>
          <w:noProof/>
        </w:rPr>
        <w:t>(Baumgart &amp; Sandborn 2007)</w:t>
      </w:r>
      <w:r w:rsidRPr="004D57B3">
        <w:t xml:space="preserve">. Surgery to induce remission when medical management fails to adequately control disabling symptoms or has unacceptable </w:t>
      </w:r>
      <w:r>
        <w:t>side-effects</w:t>
      </w:r>
      <w:r w:rsidRPr="004D57B3">
        <w:t xml:space="preserve"> is the outcome of a decision that takes into account the morbidity of current treatment and the morbidity arising from surgery </w:t>
      </w:r>
      <w:r w:rsidRPr="004D57B3">
        <w:rPr>
          <w:noProof/>
        </w:rPr>
        <w:t>(Baumgart &amp; Sandborn 2007)</w:t>
      </w:r>
      <w:r w:rsidRPr="004D57B3">
        <w:t>.</w:t>
      </w:r>
    </w:p>
    <w:p w:rsidR="0048417A" w:rsidRPr="004D57B3" w:rsidRDefault="0048417A" w:rsidP="00836B55">
      <w:pPr>
        <w:pStyle w:val="Heading2"/>
        <w:rPr>
          <w:bCs/>
        </w:rPr>
      </w:pPr>
      <w:r w:rsidRPr="004D57B3">
        <w:rPr>
          <w:bCs/>
        </w:rPr>
        <w:br w:type="page"/>
      </w:r>
      <w:bookmarkStart w:id="35" w:name="_Toc296517869"/>
      <w:r w:rsidRPr="004D57B3">
        <w:rPr>
          <w:bCs/>
        </w:rPr>
        <w:lastRenderedPageBreak/>
        <w:t>Clinical need</w:t>
      </w:r>
      <w:bookmarkEnd w:id="35"/>
      <w:r w:rsidRPr="004D57B3">
        <w:rPr>
          <w:bCs/>
        </w:rPr>
        <w:t xml:space="preserve"> </w:t>
      </w:r>
    </w:p>
    <w:p w:rsidR="0048417A" w:rsidRPr="004376A2" w:rsidRDefault="0048417A" w:rsidP="00836B55">
      <w:pPr>
        <w:pStyle w:val="Heading3"/>
      </w:pPr>
      <w:r w:rsidRPr="004376A2">
        <w:t>Burden of disease</w:t>
      </w:r>
    </w:p>
    <w:p w:rsidR="0048417A" w:rsidRPr="004D57B3" w:rsidRDefault="0048417A" w:rsidP="00836B55">
      <w:r w:rsidRPr="004D57B3">
        <w:t xml:space="preserve">Data on the burden of disease specifically due to Crohn’s disease are scarce. </w:t>
      </w:r>
      <w:proofErr w:type="spellStart"/>
      <w:r w:rsidRPr="004D57B3">
        <w:t>Begg</w:t>
      </w:r>
      <w:proofErr w:type="spellEnd"/>
      <w:r w:rsidRPr="004D57B3">
        <w:t xml:space="preserve"> et al </w:t>
      </w:r>
      <w:r w:rsidRPr="004D57B3">
        <w:rPr>
          <w:noProof/>
        </w:rPr>
        <w:t>(2007)</w:t>
      </w:r>
      <w:r w:rsidRPr="004D57B3">
        <w:t xml:space="preserve"> reported that inflammatory bowel disease (which includes Crohn’s disease and ulcerative colitis) accounted for 0.5% of the total disease burden in Australia in 2003. </w:t>
      </w:r>
    </w:p>
    <w:p w:rsidR="0048417A" w:rsidRPr="004D57B3" w:rsidRDefault="0048417A" w:rsidP="00836B55">
      <w:r w:rsidRPr="004D57B3">
        <w:t xml:space="preserve">Crohn’s disease may carry a small increased risk of mortality </w:t>
      </w:r>
      <w:r w:rsidRPr="004D57B3">
        <w:rPr>
          <w:noProof/>
        </w:rPr>
        <w:t>(Osterman 2006)</w:t>
      </w:r>
      <w:r w:rsidRPr="004D57B3">
        <w:t xml:space="preserve"> and a large effect on morbidity due to its negative influence on employment and social life, psychological distress and sexual dysfunction </w:t>
      </w:r>
      <w:r w:rsidRPr="004D57B3">
        <w:rPr>
          <w:noProof/>
        </w:rPr>
        <w:t>(Morrison et al 2009)</w:t>
      </w:r>
      <w:r w:rsidRPr="004D57B3">
        <w:t xml:space="preserve">. Crohn’s disease impairs quality of life due to the challenges associated with symptoms such as abdominal pain and diarrhoea. Factors that concern patients include the uncertainty of the disease, adverse effects of medication, having to use an ostomy bag, low energy levels and the possible need for surgery </w:t>
      </w:r>
      <w:r w:rsidRPr="004D57B3">
        <w:rPr>
          <w:noProof/>
        </w:rPr>
        <w:t>(Pihl-Lesnovska et al 2010)</w:t>
      </w:r>
      <w:r w:rsidRPr="004D57B3">
        <w:t>.</w:t>
      </w:r>
    </w:p>
    <w:p w:rsidR="0048417A" w:rsidRPr="004D57B3" w:rsidRDefault="0048417A" w:rsidP="00836B55">
      <w:r w:rsidRPr="004D57B3">
        <w:t>In 2007</w:t>
      </w:r>
      <w:r>
        <w:t>-</w:t>
      </w:r>
      <w:r w:rsidRPr="004D57B3">
        <w:t>08, there were 13,915 hospital separations with the principal diagnosis of Crohn’s disease (ICD code K50)</w:t>
      </w:r>
      <w:r>
        <w:t xml:space="preserve"> </w:t>
      </w:r>
      <w:r>
        <w:rPr>
          <w:noProof/>
        </w:rPr>
        <w:t>(AIHW 2011)</w:t>
      </w:r>
      <w:r>
        <w:t>.</w:t>
      </w:r>
      <w:r w:rsidRPr="004D57B3">
        <w:t xml:space="preserve"> Between 1998</w:t>
      </w:r>
      <w:r>
        <w:t>-</w:t>
      </w:r>
      <w:r w:rsidRPr="004D57B3">
        <w:t>99 and 2007</w:t>
      </w:r>
      <w:r>
        <w:t>-</w:t>
      </w:r>
      <w:r w:rsidRPr="004D57B3">
        <w:t xml:space="preserve">08, hospital separations with the principal diagnosis of Crohn’s disease (K50) more than doubled, increasing from 6,485 to 13,915 </w:t>
      </w:r>
      <w:r>
        <w:rPr>
          <w:noProof/>
        </w:rPr>
        <w:t>(AIHW 2011)</w:t>
      </w:r>
      <w:r w:rsidRPr="004D57B3">
        <w:t>. This is consistent with reported global increases in the prevalence of Crohn’s disease</w:t>
      </w:r>
      <w:r>
        <w:t>;</w:t>
      </w:r>
      <w:r w:rsidRPr="004D57B3">
        <w:t xml:space="preserve"> however it could also represent an increased rate of admissions per patient </w:t>
      </w:r>
      <w:r>
        <w:rPr>
          <w:noProof/>
        </w:rPr>
        <w:t>(Gibson 2009; Morrison et al 2009; Wilson et al 2010)</w:t>
      </w:r>
      <w:r w:rsidRPr="004D57B3">
        <w:t>. Note that hospital separations are recorded per episode of care rather than per patient and only record admitted patients.</w:t>
      </w:r>
    </w:p>
    <w:p w:rsidR="0048417A" w:rsidRPr="004D57B3" w:rsidRDefault="0048417A" w:rsidP="00836B55">
      <w:r w:rsidRPr="004D57B3">
        <w:t>Data on health system expenditure on Crohn’s disease are scarce and health system expenditure data usually detail expenditure on digestive diseases as a group. In 2004</w:t>
      </w:r>
      <w:r>
        <w:t>-</w:t>
      </w:r>
      <w:r w:rsidRPr="004D57B3">
        <w:t xml:space="preserve">05, $3,107 million was spent in Australia in relation to diseases of the digestive system. This amounts to 5.9% of total allocated health expenditure (where allocated health expenditure is that which was able to be allocated to disease – approximately 70% of total recurrent health expenditure) </w:t>
      </w:r>
      <w:r w:rsidRPr="004D57B3">
        <w:rPr>
          <w:noProof/>
        </w:rPr>
        <w:t>(AIHW 2010)</w:t>
      </w:r>
      <w:r w:rsidRPr="004D57B3">
        <w:t>. The AIHW projected health expenditure by disease between 2002</w:t>
      </w:r>
      <w:r>
        <w:t>-</w:t>
      </w:r>
      <w:r w:rsidRPr="004D57B3">
        <w:t>3 and 2032</w:t>
      </w:r>
      <w:r>
        <w:t>-</w:t>
      </w:r>
      <w:r w:rsidRPr="004D57B3">
        <w:t xml:space="preserve">33. It was projected that health system and residential aged care expenditure on digestive disorders would increase from $4,877 million to $16,488 million </w:t>
      </w:r>
      <w:r w:rsidRPr="004D57B3">
        <w:rPr>
          <w:noProof/>
        </w:rPr>
        <w:t>(AIHW 2008)</w:t>
      </w:r>
      <w:r w:rsidRPr="004D57B3">
        <w:t>. In percentage terms, this is the fourth highest projected increase (238%) and in dollar terms the sixth highest (</w:t>
      </w:r>
      <w:r>
        <w:t>$</w:t>
      </w:r>
      <w:r w:rsidRPr="004D57B3">
        <w:t xml:space="preserve">11.61 billion) </w:t>
      </w:r>
      <w:r w:rsidRPr="004D57B3">
        <w:rPr>
          <w:noProof/>
        </w:rPr>
        <w:t>(AIHW 2008)</w:t>
      </w:r>
      <w:r w:rsidRPr="004D57B3">
        <w:t xml:space="preserve">. Over half of the projected </w:t>
      </w:r>
      <w:r>
        <w:t>$</w:t>
      </w:r>
      <w:r w:rsidRPr="004D57B3">
        <w:t xml:space="preserve">11.61 billion increase is attributed to an increase in the volume of services per case </w:t>
      </w:r>
      <w:r w:rsidRPr="004D57B3">
        <w:rPr>
          <w:noProof/>
        </w:rPr>
        <w:t>(AIHW 2008)</w:t>
      </w:r>
      <w:r w:rsidRPr="004D57B3">
        <w:t>. The extent to which the expenditure specifically allocated to Crohn’s disease will follow the overall trend in digestive disorders expenditure is unknown.</w:t>
      </w:r>
    </w:p>
    <w:p w:rsidR="0048417A" w:rsidRPr="004D57B3" w:rsidRDefault="0048417A" w:rsidP="00836B55">
      <w:pPr>
        <w:pStyle w:val="Heading3"/>
      </w:pPr>
      <w:r w:rsidRPr="004D57B3">
        <w:t>Incidence of Crohn’s disease</w:t>
      </w:r>
    </w:p>
    <w:p w:rsidR="0048417A" w:rsidRPr="004D57B3" w:rsidRDefault="0048417A" w:rsidP="00836B55">
      <w:r w:rsidRPr="004D57B3">
        <w:t>The incidence of Crohn’s disease varies widely by geographic location. The rates are highest in highly industrialised countries such as Australia, the UK, Canada and Northern Europe, where the incidence of Crohn’s disease ranges from 7 to 23 per 100,000 per year (</w:t>
      </w:r>
      <w:r>
        <w:t xml:space="preserve">see </w:t>
      </w:r>
      <w:r w:rsidR="00AE591B">
        <w:fldChar w:fldCharType="begin"/>
      </w:r>
      <w:r w:rsidR="00AE591B">
        <w:instrText xml:space="preserve"> REF _Ref282676596 \h  \* MERGEFORMAT </w:instrText>
      </w:r>
      <w:r w:rsidR="00AE591B">
        <w:fldChar w:fldCharType="separate"/>
      </w:r>
      <w:r w:rsidRPr="004D57B3">
        <w:t xml:space="preserve">Table </w:t>
      </w:r>
      <w:r>
        <w:t>4</w:t>
      </w:r>
      <w:r w:rsidR="00AE591B">
        <w:fldChar w:fldCharType="end"/>
      </w:r>
      <w:r w:rsidRPr="004D57B3">
        <w:t xml:space="preserve">). </w:t>
      </w:r>
      <w:r w:rsidR="00AE591B">
        <w:fldChar w:fldCharType="begin"/>
      </w:r>
      <w:r w:rsidR="00AE591B">
        <w:instrText xml:space="preserve"> REF _Ref282676596 \h  \* MERGEFORMAT </w:instrText>
      </w:r>
      <w:r w:rsidR="00AE591B">
        <w:fldChar w:fldCharType="separate"/>
      </w:r>
      <w:r w:rsidRPr="004D57B3">
        <w:t xml:space="preserve">Table </w:t>
      </w:r>
      <w:r>
        <w:t>4</w:t>
      </w:r>
      <w:r w:rsidR="00AE591B">
        <w:fldChar w:fldCharType="end"/>
      </w:r>
      <w:r w:rsidRPr="004D57B3">
        <w:t xml:space="preserve"> lists studies that estimate Crohn’s disease incidence rates. </w:t>
      </w:r>
    </w:p>
    <w:p w:rsidR="0048417A" w:rsidRPr="004D57B3" w:rsidRDefault="0048417A" w:rsidP="00836B55">
      <w:r w:rsidRPr="004D57B3">
        <w:t xml:space="preserve">Data on Crohn’s incidence in Australia are scarce (see </w:t>
      </w:r>
      <w:r w:rsidR="00AE591B">
        <w:fldChar w:fldCharType="begin"/>
      </w:r>
      <w:r w:rsidR="00AE591B">
        <w:instrText xml:space="preserve"> REF _Ref282676596 \h  \* MERGEFORMAT </w:instrText>
      </w:r>
      <w:r w:rsidR="00AE591B">
        <w:fldChar w:fldCharType="separate"/>
      </w:r>
      <w:r w:rsidRPr="004D57B3">
        <w:t xml:space="preserve">Table </w:t>
      </w:r>
      <w:r>
        <w:t>4</w:t>
      </w:r>
      <w:r w:rsidR="00AE591B">
        <w:fldChar w:fldCharType="end"/>
      </w:r>
      <w:r w:rsidRPr="004D57B3">
        <w:t>). One population</w:t>
      </w:r>
      <w:r>
        <w:t>-</w:t>
      </w:r>
      <w:r w:rsidRPr="004D57B3">
        <w:t>based prospective study reported a crude annual incidence of Crohn’s disease in the regional Victorian city of Geelong of 17.4 (95% CI = 13.0</w:t>
      </w:r>
      <w:r>
        <w:t>-</w:t>
      </w:r>
      <w:r w:rsidRPr="004D57B3">
        <w:t xml:space="preserve">23.2) per 100,000 in 2008 </w:t>
      </w:r>
      <w:r>
        <w:rPr>
          <w:noProof/>
        </w:rPr>
        <w:t>(Wilson et al 2010)</w:t>
      </w:r>
      <w:r w:rsidRPr="004D57B3">
        <w:t xml:space="preserve">. </w:t>
      </w:r>
    </w:p>
    <w:p w:rsidR="0048417A" w:rsidRDefault="0048417A" w:rsidP="00836B55">
      <w:pPr>
        <w:pStyle w:val="TableName"/>
      </w:pPr>
      <w:bookmarkStart w:id="36" w:name="_Ref282676596"/>
      <w:bookmarkStart w:id="37" w:name="_Toc291859566"/>
      <w:r w:rsidRPr="004D57B3">
        <w:lastRenderedPageBreak/>
        <w:t xml:space="preserve">Table </w:t>
      </w:r>
      <w:r w:rsidR="00AE591B">
        <w:fldChar w:fldCharType="begin"/>
      </w:r>
      <w:r w:rsidR="00AE591B">
        <w:instrText xml:space="preserve"> SEQ Table \* ARABIC </w:instrText>
      </w:r>
      <w:r w:rsidR="00AE591B">
        <w:fldChar w:fldCharType="separate"/>
      </w:r>
      <w:r>
        <w:rPr>
          <w:noProof/>
        </w:rPr>
        <w:t>4</w:t>
      </w:r>
      <w:r w:rsidR="00AE591B">
        <w:rPr>
          <w:noProof/>
        </w:rPr>
        <w:fldChar w:fldCharType="end"/>
      </w:r>
      <w:bookmarkEnd w:id="36"/>
      <w:r w:rsidRPr="004D57B3">
        <w:tab/>
        <w:t>Studies reporting crude annual incidence rates for Crohn’s disease</w:t>
      </w:r>
      <w:bookmarkEnd w:id="37"/>
    </w:p>
    <w:p w:rsidR="00A109BB" w:rsidRPr="004D57B3" w:rsidRDefault="00A109BB" w:rsidP="00836B55">
      <w:pPr>
        <w:pStyle w:val="TableName"/>
      </w:pPr>
      <w:r>
        <w:rPr>
          <w:noProof/>
        </w:rPr>
        <w:drawing>
          <wp:inline distT="0" distB="0" distL="0" distR="0">
            <wp:extent cx="5313872" cy="3403960"/>
            <wp:effectExtent l="0" t="0" r="1270" b="6350"/>
            <wp:docPr id="1" name="Picture 1" descr="Table 4 Studies reporting crude annual incidence rates for Crohn’s disease" title="Table 4 Studies reporting crude annual incidence rates for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7591" cy="3406342"/>
                    </a:xfrm>
                    <a:prstGeom prst="rect">
                      <a:avLst/>
                    </a:prstGeom>
                    <a:noFill/>
                    <a:ln>
                      <a:noFill/>
                    </a:ln>
                  </pic:spPr>
                </pic:pic>
              </a:graphicData>
            </a:graphic>
          </wp:inline>
        </w:drawing>
      </w:r>
    </w:p>
    <w:p w:rsidR="0048417A" w:rsidRPr="004D57B3" w:rsidRDefault="0048417A" w:rsidP="00836B55">
      <w:r w:rsidRPr="004D57B3">
        <w:t xml:space="preserve">Taking the Australian incidence data from Wilson et al </w:t>
      </w:r>
      <w:r>
        <w:rPr>
          <w:noProof/>
        </w:rPr>
        <w:t>(2010)</w:t>
      </w:r>
      <w:r w:rsidRPr="004D57B3">
        <w:t xml:space="preserve"> (17 per 100,000 per year) and multiplying it by the estimated annual resident population of Australia (21,875,000) as at 30 June 2009 would suggest that the annual incidence of Crohn’s disease in Australia is approximately 3</w:t>
      </w:r>
      <w:r>
        <w:t>,</w:t>
      </w:r>
      <w:r w:rsidRPr="004D57B3">
        <w:t xml:space="preserve">719 cases </w:t>
      </w:r>
      <w:r w:rsidRPr="004D57B3">
        <w:rPr>
          <w:noProof/>
        </w:rPr>
        <w:t>(ABS 2009)</w:t>
      </w:r>
      <w:r w:rsidRPr="004D57B3">
        <w:t xml:space="preserve">. </w:t>
      </w:r>
    </w:p>
    <w:p w:rsidR="0048417A" w:rsidRPr="004D57B3" w:rsidRDefault="0048417A" w:rsidP="00836B55">
      <w:r w:rsidRPr="004D57B3">
        <w:t>Crohn’s disease locality may be classified into four locatio</w:t>
      </w:r>
      <w:bookmarkStart w:id="38" w:name="_GoBack"/>
      <w:bookmarkEnd w:id="38"/>
      <w:r w:rsidRPr="004D57B3">
        <w:t xml:space="preserve">ns according to the Vienna (subsequently Montreal) classification system: terminal ileum, colon, </w:t>
      </w:r>
      <w:proofErr w:type="spellStart"/>
      <w:r w:rsidRPr="004D57B3">
        <w:t>ileocolon</w:t>
      </w:r>
      <w:proofErr w:type="spellEnd"/>
      <w:r w:rsidRPr="004D57B3">
        <w:t xml:space="preserve"> and upper gastrointestinal </w:t>
      </w:r>
      <w:r w:rsidRPr="004D57B3">
        <w:rPr>
          <w:noProof/>
        </w:rPr>
        <w:t>(Satsangi et al 2006)</w:t>
      </w:r>
      <w:r w:rsidRPr="004D57B3">
        <w:t xml:space="preserve">.  In a Belgian study of 297 patients, 133 (45%) had Crohn’s disease localised to the terminal ileum at diagnosis </w:t>
      </w:r>
      <w:r>
        <w:rPr>
          <w:noProof/>
        </w:rPr>
        <w:t>(Louis et al 2001)</w:t>
      </w:r>
      <w:r w:rsidRPr="004D57B3">
        <w:t>. Assuming a similar rate in the Australian population, approximately 1</w:t>
      </w:r>
      <w:r>
        <w:t>,</w:t>
      </w:r>
      <w:r w:rsidRPr="004D57B3">
        <w:t>673 incident cases of Crohn’s disease in Australia would be localised to the terminal ileum.</w:t>
      </w:r>
    </w:p>
    <w:p w:rsidR="0048417A" w:rsidRPr="004D57B3" w:rsidRDefault="0048417A" w:rsidP="00836B55">
      <w:pPr>
        <w:pStyle w:val="Heading3"/>
      </w:pPr>
      <w:bookmarkStart w:id="39" w:name="_Ref282073877"/>
      <w:r w:rsidRPr="004D57B3">
        <w:t>Estimated utilisation of capsule endoscopy</w:t>
      </w:r>
      <w:bookmarkEnd w:id="39"/>
    </w:p>
    <w:p w:rsidR="0048417A" w:rsidRPr="004D57B3" w:rsidRDefault="0048417A" w:rsidP="00836B55">
      <w:r w:rsidRPr="004D57B3">
        <w:t xml:space="preserve">An estimate of the potential utilisation of capsule endoscopy, </w:t>
      </w:r>
      <w:r>
        <w:t>if</w:t>
      </w:r>
      <w:r w:rsidRPr="004D57B3">
        <w:t xml:space="preserve"> public funding</w:t>
      </w:r>
      <w:r>
        <w:t xml:space="preserve"> is </w:t>
      </w:r>
      <w:r w:rsidRPr="004D57B3">
        <w:t>approved, is difficult to derive from the available data. Figures on the use of capsule endoscopy for the present indication are not available directly. The potential utilisation of the test is estimated using limited available data, which includes the incidence of Crohn’s disease found in the only Australian population</w:t>
      </w:r>
      <w:r>
        <w:t>-</w:t>
      </w:r>
      <w:r w:rsidRPr="004D57B3">
        <w:t xml:space="preserve">based incidence study by Wilson et al </w:t>
      </w:r>
      <w:r>
        <w:rPr>
          <w:noProof/>
        </w:rPr>
        <w:t>(2010)</w:t>
      </w:r>
      <w:r w:rsidRPr="004D57B3">
        <w:t xml:space="preserve"> and the test’s estimated diagnostic yield as reported by the largest accuracy study and the most applicable diagnostic yield study identified by the present review (see </w:t>
      </w:r>
      <w:r w:rsidR="00AE591B">
        <w:fldChar w:fldCharType="begin"/>
      </w:r>
      <w:r w:rsidR="00AE591B">
        <w:instrText xml:space="preserve"> REF _Ref273690229 \h  \* MERGEFORMAT </w:instrText>
      </w:r>
      <w:r w:rsidR="00AE591B">
        <w:fldChar w:fldCharType="separate"/>
      </w:r>
      <w:r w:rsidRPr="004D57B3">
        <w:t xml:space="preserve">Box </w:t>
      </w:r>
      <w:r>
        <w:t>1</w:t>
      </w:r>
      <w:r w:rsidR="00AE591B">
        <w:fldChar w:fldCharType="end"/>
      </w:r>
      <w:r w:rsidRPr="004D57B3">
        <w:t xml:space="preserve"> for method and </w:t>
      </w:r>
      <w:r w:rsidR="00AE591B">
        <w:fldChar w:fldCharType="begin"/>
      </w:r>
      <w:r w:rsidR="00AE591B">
        <w:instrText xml:space="preserve"> REF _Ref282676596 \h  \* MERGEFORMAT </w:instrText>
      </w:r>
      <w:r w:rsidR="00AE591B">
        <w:fldChar w:fldCharType="separate"/>
      </w:r>
      <w:r w:rsidRPr="004D57B3">
        <w:t xml:space="preserve">Table </w:t>
      </w:r>
      <w:r>
        <w:t>4</w:t>
      </w:r>
      <w:r w:rsidR="00AE591B">
        <w:fldChar w:fldCharType="end"/>
      </w:r>
      <w:r w:rsidRPr="004D57B3">
        <w:t xml:space="preserve"> and </w:t>
      </w:r>
      <w:r w:rsidR="00AE591B">
        <w:fldChar w:fldCharType="begin"/>
      </w:r>
      <w:r w:rsidR="00AE591B">
        <w:instrText xml:space="preserve"> REF _Ref283387145 \h  \* MERGEFORMAT </w:instrText>
      </w:r>
      <w:r w:rsidR="00AE591B">
        <w:fldChar w:fldCharType="separate"/>
      </w:r>
      <w:r w:rsidRPr="004D57B3">
        <w:t xml:space="preserve">Table </w:t>
      </w:r>
      <w:r>
        <w:t>5</w:t>
      </w:r>
      <w:r w:rsidR="00AE591B">
        <w:fldChar w:fldCharType="end"/>
      </w:r>
      <w:r w:rsidRPr="004D57B3">
        <w:t xml:space="preserve"> for data sources).</w:t>
      </w:r>
    </w:p>
    <w:p w:rsidR="0048417A" w:rsidRPr="004D57B3" w:rsidRDefault="0048417A" w:rsidP="00836B55">
      <w:pPr>
        <w:rPr>
          <w:noProof/>
        </w:rPr>
      </w:pPr>
      <w:r w:rsidRPr="004D57B3">
        <w:t>The Advisory Panel estimated that approximately 95% of cases would be diagnosed by prior tests, leaving 5% of incident cases diagnosed by capsule endoscopy.</w:t>
      </w:r>
    </w:p>
    <w:p w:rsidR="0048417A" w:rsidRPr="004D57B3" w:rsidRDefault="0048417A" w:rsidP="00836B55">
      <w:r w:rsidRPr="004D57B3">
        <w:t>If the number of Australian cases of Crohn’s disease is approximately 3</w:t>
      </w:r>
      <w:r>
        <w:t>,</w:t>
      </w:r>
      <w:r w:rsidRPr="004D57B3">
        <w:t xml:space="preserve">719 per year, and 5% (expert opinion of the Advisory Panel) of these are diagnosed by capsule endoscopy for the indication of small bowel Crohn’s disease, then the estimated number of patients diagnosed with Crohn’s disease by capsule endoscopy is approximately 186 per year. Using the diagnostic yield of capsule endoscopy reported in the largest accuracy study </w:t>
      </w:r>
      <w:r w:rsidRPr="004D57B3">
        <w:lastRenderedPageBreak/>
        <w:t>and the most applicable (and only Australian) diagnostic yield study identified by the present review, the possible range of those with suspected small bowel Crohn’s disease who are tested by capsule endoscopy and receive a positive diagnosis lies between 13% and 28% (</w:t>
      </w:r>
      <w:r>
        <w:t xml:space="preserve">see </w:t>
      </w:r>
      <w:r w:rsidR="00AE591B">
        <w:fldChar w:fldCharType="begin"/>
      </w:r>
      <w:r w:rsidR="00AE591B">
        <w:instrText xml:space="preserve"> REF _Ref283387145 \h  \* MERGEFORMAT </w:instrText>
      </w:r>
      <w:r w:rsidR="00AE591B">
        <w:fldChar w:fldCharType="separate"/>
      </w:r>
      <w:r w:rsidRPr="004D57B3">
        <w:t xml:space="preserve">Table </w:t>
      </w:r>
      <w:r>
        <w:t>5</w:t>
      </w:r>
      <w:r w:rsidR="00AE591B">
        <w:fldChar w:fldCharType="end"/>
      </w:r>
      <w:r w:rsidRPr="004D57B3">
        <w:t>). Assuming a similar diagnostic yield applies to the patient population of this review, the estimated number of capsule endoscopy procedures performed – including those with a positive and negative result – can be estimated by dividing the anticipated number of patients diagnosed with Crohn’s disease by capsule endoscopy (approximately 186 per year) by the estimated yield of the test (between 13% and 28%) and lies between 664 and 1</w:t>
      </w:r>
      <w:r>
        <w:t>,</w:t>
      </w:r>
      <w:r w:rsidRPr="004D57B3">
        <w:t xml:space="preserve">431 per year. </w:t>
      </w:r>
    </w:p>
    <w:p w:rsidR="0048417A" w:rsidRPr="004D57B3" w:rsidRDefault="0048417A" w:rsidP="00836B55">
      <w:pPr>
        <w:rPr>
          <w:noProof/>
        </w:rPr>
      </w:pPr>
      <w:r w:rsidRPr="004D57B3">
        <w:t xml:space="preserve">In an Australian incidence study by Wilson et al </w:t>
      </w:r>
      <w:r>
        <w:rPr>
          <w:noProof/>
        </w:rPr>
        <w:t>(2010)</w:t>
      </w:r>
      <w:r w:rsidRPr="004D57B3">
        <w:t xml:space="preserve">, 5 of 45 (11%) incident Crohn’s disease cases were diagnosed using capsule endoscopy for the investigation of anaemia or OGIB after an indeterminate or negative colonoscopy. This result was considered inapplicable to the estimation of test utilisation for the present indication: the patients in this study were being evaluated for a different indication (OGIB) and, contrary to the clinical flow chart for this assessment, were not required to have undergone small bowel radiology and attempted </w:t>
      </w:r>
      <w:proofErr w:type="spellStart"/>
      <w:r w:rsidRPr="004D57B3">
        <w:t>ileoscopy</w:t>
      </w:r>
      <w:proofErr w:type="spellEnd"/>
      <w:r w:rsidRPr="004D57B3">
        <w:t>.</w:t>
      </w:r>
    </w:p>
    <w:p w:rsidR="0048417A" w:rsidRPr="004D57B3" w:rsidRDefault="0048417A" w:rsidP="00836B55">
      <w:r w:rsidRPr="004D57B3">
        <w:t>In summary, the estimated utilisation of capsule endoscopy for the diagnosis of small bowel Crohn’s disease that was unconfirmed on prior tests lies between 664 and 1</w:t>
      </w:r>
      <w:r>
        <w:t>,</w:t>
      </w:r>
      <w:r w:rsidRPr="004D57B3">
        <w:t>431 per year.</w:t>
      </w:r>
      <w:bookmarkStart w:id="40" w:name="_Ref273367995"/>
      <w:r w:rsidRPr="004D57B3">
        <w:t xml:space="preserve"> This estimate refers to the number of patients estimated to use the test per year, as opposed to the number of tests per year. Actual utilisation may be higher than this estimate if some patients who would otherwise be diagnosed with Crohn’s disease while being evaluated for OGIB with capsule endoscopy will now be tested under the indication of suspected Crohn’s disease. However, this would be balanced by a corresponding reduction in the utilisation of capsule endoscopy for OGIB. </w:t>
      </w:r>
    </w:p>
    <w:p w:rsidR="0048417A" w:rsidRPr="004D57B3" w:rsidRDefault="0048417A" w:rsidP="00836B55">
      <w:pPr>
        <w:pStyle w:val="Boxname"/>
      </w:pPr>
      <w:bookmarkStart w:id="41" w:name="_Ref273690229"/>
      <w:bookmarkStart w:id="42" w:name="_Toc291859594"/>
      <w:r w:rsidRPr="004D57B3">
        <w:t xml:space="preserve">Box </w:t>
      </w:r>
      <w:r w:rsidR="00AE591B">
        <w:fldChar w:fldCharType="begin"/>
      </w:r>
      <w:r w:rsidR="00AE591B">
        <w:instrText xml:space="preserve"> SEQ Box \* ARABIC </w:instrText>
      </w:r>
      <w:r w:rsidR="00AE591B">
        <w:fldChar w:fldCharType="separate"/>
      </w:r>
      <w:r>
        <w:rPr>
          <w:noProof/>
        </w:rPr>
        <w:t>1</w:t>
      </w:r>
      <w:r w:rsidR="00AE591B">
        <w:rPr>
          <w:noProof/>
        </w:rPr>
        <w:fldChar w:fldCharType="end"/>
      </w:r>
      <w:bookmarkEnd w:id="41"/>
      <w:r w:rsidRPr="004D57B3">
        <w:tab/>
        <w:t>Estimation of the incidence of Crohn’s disease and the utilisation of capsule endoscopy</w:t>
      </w:r>
      <w:bookmarkEnd w:id="42"/>
    </w:p>
    <w:tbl>
      <w:tblPr>
        <w:tblpPr w:leftFromText="180" w:rightFromText="180" w:vertAnchor="text" w:horzAnchor="page" w:tblpX="2258" w:tblpY="157"/>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046"/>
      </w:tblGrid>
      <w:tr w:rsidR="0048417A" w:rsidRPr="004D57B3" w:rsidTr="00836B55">
        <w:tc>
          <w:tcPr>
            <w:tcW w:w="8046" w:type="dxa"/>
            <w:tcBorders>
              <w:top w:val="single" w:sz="4" w:space="0" w:color="auto"/>
            </w:tcBorders>
          </w:tcPr>
          <w:p w:rsidR="0048417A" w:rsidRPr="004D57B3" w:rsidRDefault="0048417A" w:rsidP="00836B55">
            <w:pPr>
              <w:pStyle w:val="TableHeading"/>
              <w:spacing w:before="0" w:after="0"/>
              <w:rPr>
                <w:szCs w:val="18"/>
              </w:rPr>
            </w:pPr>
            <w:r w:rsidRPr="004D57B3">
              <w:rPr>
                <w:szCs w:val="18"/>
              </w:rPr>
              <w:t>N</w:t>
            </w:r>
            <w:r>
              <w:rPr>
                <w:szCs w:val="18"/>
              </w:rPr>
              <w:t>umber</w:t>
            </w:r>
            <w:r w:rsidRPr="004D57B3">
              <w:rPr>
                <w:szCs w:val="18"/>
              </w:rPr>
              <w:t xml:space="preserve"> of Australian incident cases of Crohn’s disease in 2009 =</w:t>
            </w:r>
          </w:p>
          <w:p w:rsidR="0048417A" w:rsidRPr="004D57B3" w:rsidRDefault="0048417A" w:rsidP="00836B55">
            <w:pPr>
              <w:pStyle w:val="TableHeading"/>
              <w:spacing w:before="0" w:after="0"/>
              <w:rPr>
                <w:b w:val="0"/>
                <w:szCs w:val="18"/>
              </w:rPr>
            </w:pPr>
            <w:r w:rsidRPr="004D57B3">
              <w:rPr>
                <w:b w:val="0"/>
                <w:szCs w:val="18"/>
              </w:rPr>
              <w:t>Crude Crohn’s disease annual incidence rate * Australian population at 30 June 2009</w:t>
            </w:r>
          </w:p>
          <w:p w:rsidR="0048417A" w:rsidRPr="004D57B3" w:rsidRDefault="0048417A" w:rsidP="00836B55">
            <w:pPr>
              <w:pStyle w:val="TableHeading"/>
              <w:spacing w:before="0" w:after="0"/>
              <w:rPr>
                <w:szCs w:val="18"/>
              </w:rPr>
            </w:pPr>
          </w:p>
          <w:p w:rsidR="0048417A" w:rsidRPr="004D57B3" w:rsidRDefault="0048417A" w:rsidP="00836B55">
            <w:pPr>
              <w:pStyle w:val="TableHeading"/>
              <w:spacing w:before="0" w:after="0"/>
              <w:rPr>
                <w:szCs w:val="18"/>
              </w:rPr>
            </w:pPr>
            <w:r w:rsidRPr="004D57B3">
              <w:rPr>
                <w:szCs w:val="18"/>
              </w:rPr>
              <w:t xml:space="preserve">Proportion of incident cases of Crohn’s disease diagnosed by capsule endoscopy = </w:t>
            </w:r>
            <w:r w:rsidRPr="004D57B3">
              <w:rPr>
                <w:b w:val="0"/>
                <w:szCs w:val="18"/>
              </w:rPr>
              <w:t>0.05</w:t>
            </w:r>
            <w:r w:rsidRPr="004D57B3">
              <w:rPr>
                <w:szCs w:val="18"/>
              </w:rPr>
              <w:t xml:space="preserve"> </w:t>
            </w:r>
            <w:r w:rsidRPr="004D57B3">
              <w:rPr>
                <w:b w:val="0"/>
                <w:szCs w:val="18"/>
              </w:rPr>
              <w:t xml:space="preserve">(Expert opinion endorsed by the Advisory Panel) </w:t>
            </w:r>
          </w:p>
        </w:tc>
      </w:tr>
      <w:tr w:rsidR="0048417A" w:rsidRPr="004D57B3" w:rsidTr="00836B55">
        <w:trPr>
          <w:trHeight w:val="1213"/>
        </w:trPr>
        <w:tc>
          <w:tcPr>
            <w:tcW w:w="8046" w:type="dxa"/>
            <w:tcBorders>
              <w:bottom w:val="single" w:sz="4" w:space="0" w:color="auto"/>
            </w:tcBorders>
          </w:tcPr>
          <w:p w:rsidR="0048417A" w:rsidRPr="004D57B3" w:rsidRDefault="0048417A" w:rsidP="00836B55">
            <w:pPr>
              <w:pStyle w:val="TableText"/>
              <w:spacing w:before="0" w:after="0"/>
              <w:rPr>
                <w:b/>
                <w:szCs w:val="18"/>
              </w:rPr>
            </w:pPr>
          </w:p>
          <w:p w:rsidR="0048417A" w:rsidRPr="004D57B3" w:rsidRDefault="0048417A" w:rsidP="00836B55">
            <w:pPr>
              <w:pStyle w:val="TableText"/>
              <w:spacing w:before="0" w:after="0"/>
              <w:rPr>
                <w:b/>
                <w:szCs w:val="18"/>
              </w:rPr>
            </w:pPr>
            <w:r w:rsidRPr="004D57B3">
              <w:rPr>
                <w:b/>
                <w:szCs w:val="18"/>
              </w:rPr>
              <w:t xml:space="preserve">Estimated number of patients diagnosed with Crohn’s disease by capsule endoscopy = </w:t>
            </w:r>
          </w:p>
          <w:p w:rsidR="0048417A" w:rsidRPr="004D57B3" w:rsidRDefault="0048417A" w:rsidP="00836B55">
            <w:pPr>
              <w:pStyle w:val="TableText"/>
              <w:spacing w:before="0" w:after="0"/>
              <w:rPr>
                <w:szCs w:val="18"/>
                <w:u w:val="single"/>
              </w:rPr>
            </w:pPr>
            <w:r w:rsidRPr="004D57B3">
              <w:rPr>
                <w:szCs w:val="18"/>
                <w:u w:val="single"/>
              </w:rPr>
              <w:t>N</w:t>
            </w:r>
            <w:r>
              <w:rPr>
                <w:szCs w:val="18"/>
                <w:u w:val="single"/>
              </w:rPr>
              <w:t>umber</w:t>
            </w:r>
            <w:r w:rsidRPr="004D57B3">
              <w:rPr>
                <w:szCs w:val="18"/>
                <w:u w:val="single"/>
              </w:rPr>
              <w:t xml:space="preserve"> of Australian incident cases</w:t>
            </w:r>
          </w:p>
          <w:p w:rsidR="0048417A" w:rsidRPr="004D57B3" w:rsidRDefault="0048417A" w:rsidP="00836B55">
            <w:pPr>
              <w:pStyle w:val="TableText"/>
              <w:spacing w:before="0" w:after="0"/>
              <w:rPr>
                <w:szCs w:val="18"/>
              </w:rPr>
            </w:pPr>
            <w:r w:rsidRPr="004D57B3">
              <w:rPr>
                <w:szCs w:val="18"/>
              </w:rPr>
              <w:t>Proportion diagnosed by capsule endoscopy</w:t>
            </w:r>
          </w:p>
          <w:p w:rsidR="0048417A" w:rsidRPr="004D57B3" w:rsidRDefault="0048417A" w:rsidP="00836B55">
            <w:pPr>
              <w:pStyle w:val="TableText"/>
              <w:spacing w:before="0" w:after="0"/>
              <w:rPr>
                <w:b/>
                <w:szCs w:val="18"/>
              </w:rPr>
            </w:pPr>
          </w:p>
          <w:p w:rsidR="0048417A" w:rsidRPr="004D57B3" w:rsidRDefault="0048417A" w:rsidP="00836B55">
            <w:pPr>
              <w:pStyle w:val="TableText"/>
              <w:spacing w:before="0" w:after="0"/>
              <w:rPr>
                <w:b/>
                <w:szCs w:val="18"/>
              </w:rPr>
            </w:pPr>
            <w:r w:rsidRPr="004D57B3">
              <w:rPr>
                <w:b/>
                <w:szCs w:val="18"/>
              </w:rPr>
              <w:t>Estimated utilisation of capsule endoscopy per year =</w:t>
            </w:r>
          </w:p>
          <w:p w:rsidR="0048417A" w:rsidRPr="004D57B3" w:rsidRDefault="0048417A" w:rsidP="00836B55">
            <w:pPr>
              <w:pStyle w:val="TableText"/>
              <w:spacing w:before="0" w:after="0"/>
              <w:rPr>
                <w:szCs w:val="18"/>
                <w:u w:val="single"/>
              </w:rPr>
            </w:pPr>
            <w:r w:rsidRPr="004D57B3">
              <w:rPr>
                <w:szCs w:val="18"/>
                <w:u w:val="single"/>
              </w:rPr>
              <w:t>Incidence of Crohn’s disease not diagnosed by conventional techniques</w:t>
            </w:r>
          </w:p>
          <w:p w:rsidR="0048417A" w:rsidRPr="004D57B3" w:rsidRDefault="0048417A" w:rsidP="00836B55">
            <w:pPr>
              <w:pStyle w:val="TableText"/>
              <w:spacing w:before="0" w:after="0"/>
              <w:rPr>
                <w:szCs w:val="18"/>
              </w:rPr>
            </w:pPr>
            <w:r w:rsidRPr="004D57B3">
              <w:rPr>
                <w:szCs w:val="18"/>
              </w:rPr>
              <w:t>Diagnostic yield of capsule endoscopy</w:t>
            </w:r>
          </w:p>
          <w:p w:rsidR="0048417A" w:rsidRPr="004D57B3" w:rsidRDefault="0048417A" w:rsidP="00836B55">
            <w:pPr>
              <w:pStyle w:val="TableText"/>
              <w:spacing w:before="0" w:after="0"/>
              <w:rPr>
                <w:b/>
                <w:szCs w:val="18"/>
              </w:rPr>
            </w:pPr>
          </w:p>
        </w:tc>
      </w:tr>
    </w:tbl>
    <w:p w:rsidR="0048417A" w:rsidRPr="004D57B3" w:rsidRDefault="0048417A" w:rsidP="00836B55">
      <w:pPr>
        <w:pStyle w:val="TableName"/>
        <w:ind w:left="1418"/>
      </w:pPr>
      <w:bookmarkStart w:id="43" w:name="_Ref282510323"/>
      <w:bookmarkStart w:id="44" w:name="_Ref283387145"/>
      <w:bookmarkStart w:id="45" w:name="_Toc291859567"/>
      <w:bookmarkEnd w:id="40"/>
      <w:r w:rsidRPr="004D57B3">
        <w:t xml:space="preserve">Table </w:t>
      </w:r>
      <w:r w:rsidR="00AE591B">
        <w:fldChar w:fldCharType="begin"/>
      </w:r>
      <w:r w:rsidR="00AE591B">
        <w:instrText xml:space="preserve"> SEQ Table \* ARABIC </w:instrText>
      </w:r>
      <w:r w:rsidR="00AE591B">
        <w:fldChar w:fldCharType="separate"/>
      </w:r>
      <w:r>
        <w:rPr>
          <w:noProof/>
        </w:rPr>
        <w:t>5</w:t>
      </w:r>
      <w:r w:rsidR="00AE591B">
        <w:rPr>
          <w:noProof/>
        </w:rPr>
        <w:fldChar w:fldCharType="end"/>
      </w:r>
      <w:bookmarkEnd w:id="43"/>
      <w:bookmarkEnd w:id="44"/>
      <w:r w:rsidRPr="004D57B3">
        <w:tab/>
        <w:t>Diagnostic yield of capsule endoscopy in patients with suspected Crohn’s disease</w:t>
      </w:r>
      <w:bookmarkEnd w:id="45"/>
    </w:p>
    <w:tbl>
      <w:tblPr>
        <w:tblW w:w="0" w:type="auto"/>
        <w:tblInd w:w="780" w:type="dxa"/>
        <w:tblBorders>
          <w:top w:val="single" w:sz="4" w:space="0" w:color="auto"/>
          <w:bottom w:val="single" w:sz="4" w:space="0" w:color="auto"/>
        </w:tblBorders>
        <w:tblLook w:val="00A0" w:firstRow="1" w:lastRow="0" w:firstColumn="1" w:lastColumn="0" w:noHBand="0" w:noVBand="0"/>
      </w:tblPr>
      <w:tblGrid>
        <w:gridCol w:w="1455"/>
        <w:gridCol w:w="3270"/>
        <w:gridCol w:w="1691"/>
      </w:tblGrid>
      <w:tr w:rsidR="0048417A" w:rsidRPr="004D57B3" w:rsidTr="00836B55">
        <w:tc>
          <w:tcPr>
            <w:tcW w:w="1455" w:type="dxa"/>
            <w:tcBorders>
              <w:top w:val="single" w:sz="4" w:space="0" w:color="auto"/>
              <w:bottom w:val="single" w:sz="4" w:space="0" w:color="auto"/>
            </w:tcBorders>
          </w:tcPr>
          <w:p w:rsidR="0048417A" w:rsidRPr="004D57B3" w:rsidRDefault="0048417A" w:rsidP="00836B55">
            <w:pPr>
              <w:pStyle w:val="TableHeading"/>
            </w:pPr>
            <w:r w:rsidRPr="004D57B3">
              <w:t>Source</w:t>
            </w:r>
          </w:p>
        </w:tc>
        <w:tc>
          <w:tcPr>
            <w:tcW w:w="3270" w:type="dxa"/>
            <w:tcBorders>
              <w:top w:val="single" w:sz="4" w:space="0" w:color="auto"/>
              <w:bottom w:val="single" w:sz="4" w:space="0" w:color="auto"/>
            </w:tcBorders>
          </w:tcPr>
          <w:p w:rsidR="0048417A" w:rsidRPr="004D57B3" w:rsidRDefault="0048417A" w:rsidP="00836B55">
            <w:pPr>
              <w:pStyle w:val="TableHeading"/>
            </w:pPr>
            <w:r w:rsidRPr="004D57B3">
              <w:t>% of patients with suspected Crohn’s disease who test positive for Crohn’s disease after capsule endoscopy</w:t>
            </w:r>
          </w:p>
        </w:tc>
        <w:tc>
          <w:tcPr>
            <w:tcW w:w="1691" w:type="dxa"/>
            <w:tcBorders>
              <w:top w:val="single" w:sz="4" w:space="0" w:color="auto"/>
              <w:bottom w:val="single" w:sz="4" w:space="0" w:color="auto"/>
            </w:tcBorders>
          </w:tcPr>
          <w:p w:rsidR="0048417A" w:rsidRPr="004D57B3" w:rsidRDefault="0048417A" w:rsidP="00836B55">
            <w:pPr>
              <w:pStyle w:val="TableHeading"/>
            </w:pPr>
            <w:r w:rsidRPr="004D57B3">
              <w:t>Diagnostic threshold</w:t>
            </w:r>
          </w:p>
        </w:tc>
      </w:tr>
      <w:tr w:rsidR="0048417A" w:rsidRPr="004D57B3" w:rsidTr="00836B55">
        <w:tc>
          <w:tcPr>
            <w:tcW w:w="1455" w:type="dxa"/>
          </w:tcPr>
          <w:p w:rsidR="0048417A" w:rsidRPr="004D57B3" w:rsidRDefault="0048417A" w:rsidP="00836B55">
            <w:pPr>
              <w:pStyle w:val="TableText"/>
            </w:pPr>
            <w:r w:rsidRPr="004D57B3">
              <w:t xml:space="preserve">Selby et al </w:t>
            </w:r>
            <w:r>
              <w:rPr>
                <w:noProof/>
              </w:rPr>
              <w:t>(2008)</w:t>
            </w:r>
          </w:p>
        </w:tc>
        <w:tc>
          <w:tcPr>
            <w:tcW w:w="3270" w:type="dxa"/>
          </w:tcPr>
          <w:p w:rsidR="0048417A" w:rsidRPr="004D57B3" w:rsidRDefault="0048417A" w:rsidP="00836B55">
            <w:pPr>
              <w:pStyle w:val="TableText"/>
            </w:pPr>
            <w:r w:rsidRPr="004D57B3">
              <w:rPr>
                <w:rFonts w:cs="Garamond"/>
                <w:szCs w:val="18"/>
              </w:rPr>
              <w:t>20% (24/120) (95% CI = 14</w:t>
            </w:r>
            <w:r>
              <w:t>-</w:t>
            </w:r>
            <w:r w:rsidRPr="004D57B3">
              <w:t xml:space="preserve"> </w:t>
            </w:r>
            <w:r w:rsidRPr="004D57B3">
              <w:rPr>
                <w:rFonts w:cs="Garamond"/>
                <w:szCs w:val="18"/>
              </w:rPr>
              <w:t>28%)</w:t>
            </w:r>
          </w:p>
        </w:tc>
        <w:tc>
          <w:tcPr>
            <w:tcW w:w="1691" w:type="dxa"/>
          </w:tcPr>
          <w:p w:rsidR="0048417A" w:rsidRPr="004D57B3" w:rsidRDefault="0048417A" w:rsidP="00836B55">
            <w:pPr>
              <w:pStyle w:val="TableText"/>
              <w:rPr>
                <w:rFonts w:cs="Garamond"/>
                <w:szCs w:val="18"/>
              </w:rPr>
            </w:pPr>
            <w:r w:rsidRPr="004D57B3">
              <w:t>≥ 3 ulcers</w:t>
            </w:r>
          </w:p>
        </w:tc>
      </w:tr>
      <w:tr w:rsidR="0048417A" w:rsidRPr="004D57B3" w:rsidTr="00836B55">
        <w:tc>
          <w:tcPr>
            <w:tcW w:w="1455" w:type="dxa"/>
            <w:tcBorders>
              <w:bottom w:val="single" w:sz="4" w:space="0" w:color="auto"/>
            </w:tcBorders>
          </w:tcPr>
          <w:p w:rsidR="0048417A" w:rsidRPr="004D57B3" w:rsidRDefault="0048417A" w:rsidP="00836B55">
            <w:pPr>
              <w:pStyle w:val="TableText"/>
            </w:pPr>
            <w:proofErr w:type="spellStart"/>
            <w:r w:rsidRPr="004D57B3">
              <w:t>Tukey</w:t>
            </w:r>
            <w:proofErr w:type="spellEnd"/>
            <w:r>
              <w:t xml:space="preserve"> et al</w:t>
            </w:r>
            <w:r w:rsidRPr="004D57B3">
              <w:t xml:space="preserve"> </w:t>
            </w:r>
            <w:r w:rsidRPr="004D57B3">
              <w:rPr>
                <w:noProof/>
              </w:rPr>
              <w:t>(2009)</w:t>
            </w:r>
          </w:p>
        </w:tc>
        <w:tc>
          <w:tcPr>
            <w:tcW w:w="3270" w:type="dxa"/>
            <w:tcBorders>
              <w:bottom w:val="single" w:sz="4" w:space="0" w:color="auto"/>
            </w:tcBorders>
          </w:tcPr>
          <w:p w:rsidR="0048417A" w:rsidRPr="004D57B3" w:rsidRDefault="0048417A" w:rsidP="00836B55">
            <w:pPr>
              <w:pStyle w:val="TableText"/>
            </w:pPr>
            <w:r w:rsidRPr="004D57B3">
              <w:t xml:space="preserve">19% (20/105) (95% CI </w:t>
            </w:r>
            <w:r w:rsidRPr="004D57B3">
              <w:rPr>
                <w:rFonts w:cs="Garamond"/>
                <w:szCs w:val="18"/>
              </w:rPr>
              <w:t xml:space="preserve">= </w:t>
            </w:r>
            <w:r w:rsidRPr="004D57B3">
              <w:t>13</w:t>
            </w:r>
            <w:r>
              <w:t>-</w:t>
            </w:r>
            <w:r w:rsidRPr="004D57B3">
              <w:t xml:space="preserve"> 28%)</w:t>
            </w:r>
          </w:p>
        </w:tc>
        <w:tc>
          <w:tcPr>
            <w:tcW w:w="1691" w:type="dxa"/>
            <w:tcBorders>
              <w:bottom w:val="single" w:sz="4" w:space="0" w:color="auto"/>
            </w:tcBorders>
          </w:tcPr>
          <w:p w:rsidR="0048417A" w:rsidRPr="004D57B3" w:rsidRDefault="0048417A" w:rsidP="00836B55">
            <w:pPr>
              <w:pStyle w:val="TableText"/>
            </w:pPr>
            <w:r w:rsidRPr="004D57B3">
              <w:t>&gt;3 ulcers</w:t>
            </w:r>
          </w:p>
        </w:tc>
      </w:tr>
    </w:tbl>
    <w:p w:rsidR="0048417A" w:rsidRPr="004D57B3" w:rsidRDefault="0048417A" w:rsidP="00836B55">
      <w:pPr>
        <w:pStyle w:val="Heading2"/>
      </w:pPr>
      <w:bookmarkStart w:id="46" w:name="_Toc296517870"/>
      <w:r w:rsidRPr="004D57B3">
        <w:t>Existing tests</w:t>
      </w:r>
      <w:bookmarkEnd w:id="46"/>
      <w:r w:rsidRPr="004D57B3">
        <w:t xml:space="preserve"> </w:t>
      </w:r>
    </w:p>
    <w:p w:rsidR="0048417A" w:rsidRPr="004D57B3" w:rsidRDefault="0048417A" w:rsidP="00836B55">
      <w:pPr>
        <w:rPr>
          <w:bCs/>
        </w:rPr>
      </w:pPr>
      <w:r w:rsidRPr="004D57B3">
        <w:rPr>
          <w:bCs/>
        </w:rPr>
        <w:t xml:space="preserve">There is no pathognomonic marker – clinical, endoscopic, </w:t>
      </w:r>
      <w:proofErr w:type="gramStart"/>
      <w:r w:rsidRPr="004D57B3">
        <w:rPr>
          <w:bCs/>
        </w:rPr>
        <w:t>pathological</w:t>
      </w:r>
      <w:proofErr w:type="gramEnd"/>
      <w:r w:rsidRPr="004D57B3">
        <w:rPr>
          <w:bCs/>
        </w:rPr>
        <w:t xml:space="preserve"> – for Crohn’s disease </w:t>
      </w:r>
      <w:r>
        <w:rPr>
          <w:bCs/>
          <w:noProof/>
        </w:rPr>
        <w:t>(Yamada 2009)</w:t>
      </w:r>
      <w:r w:rsidRPr="004D57B3">
        <w:rPr>
          <w:bCs/>
        </w:rPr>
        <w:t xml:space="preserve"> that indicates by necessity that Crohn’s disease is present and that all other diseases in the differential diagnosis are absent. Correspondingly, there is no </w:t>
      </w:r>
      <w:r w:rsidRPr="004D57B3">
        <w:rPr>
          <w:bCs/>
        </w:rPr>
        <w:lastRenderedPageBreak/>
        <w:t xml:space="preserve">single and definitive diagnostic test for small bowel Crohn’s disease. Instead, the diagnosis is reached using clinical judgement on the basis of the patient history and physical examination in combination with radiographic and endoscopic evidence and histological and laboratory findings </w:t>
      </w:r>
      <w:r w:rsidRPr="004D57B3">
        <w:rPr>
          <w:bCs/>
          <w:noProof/>
        </w:rPr>
        <w:t>(Baumgart &amp; Sandborn 2007)</w:t>
      </w:r>
      <w:r w:rsidRPr="004D57B3">
        <w:rPr>
          <w:bCs/>
        </w:rPr>
        <w:t xml:space="preserve">. Below is an overview of existing tests for the diagnosis of small bowel Crohn’s disease – colonoscopy with attempted </w:t>
      </w:r>
      <w:proofErr w:type="spellStart"/>
      <w:r w:rsidRPr="004D57B3">
        <w:rPr>
          <w:bCs/>
        </w:rPr>
        <w:t>ileoscopy</w:t>
      </w:r>
      <w:proofErr w:type="spellEnd"/>
      <w:r w:rsidRPr="004D57B3">
        <w:rPr>
          <w:bCs/>
        </w:rPr>
        <w:t>, abdomen CT and MR.</w:t>
      </w:r>
    </w:p>
    <w:p w:rsidR="0048417A" w:rsidRPr="004D57B3" w:rsidRDefault="0048417A" w:rsidP="00836B55">
      <w:pPr>
        <w:pStyle w:val="Heading3"/>
      </w:pPr>
      <w:r w:rsidRPr="004D57B3">
        <w:t>Endoscopic tests</w:t>
      </w:r>
    </w:p>
    <w:p w:rsidR="0048417A" w:rsidRPr="004D57B3" w:rsidRDefault="0048417A" w:rsidP="00836B55">
      <w:pPr>
        <w:pStyle w:val="Heading4"/>
      </w:pPr>
      <w:r w:rsidRPr="004D57B3">
        <w:t xml:space="preserve">Colonoscopy with attempted </w:t>
      </w:r>
      <w:proofErr w:type="spellStart"/>
      <w:r w:rsidRPr="004D57B3">
        <w:t>ileoscopy</w:t>
      </w:r>
      <w:proofErr w:type="spellEnd"/>
    </w:p>
    <w:p w:rsidR="0048417A" w:rsidRPr="004D57B3" w:rsidRDefault="0048417A" w:rsidP="00836B55">
      <w:bookmarkStart w:id="47" w:name="_Ref178056383"/>
      <w:r w:rsidRPr="004D57B3">
        <w:t xml:space="preserve">Colonoscopy is an endoscopic procedure used to examine the terminal </w:t>
      </w:r>
      <w:proofErr w:type="spellStart"/>
      <w:r w:rsidRPr="004D57B3">
        <w:t>ileal</w:t>
      </w:r>
      <w:proofErr w:type="spellEnd"/>
      <w:r w:rsidRPr="004D57B3">
        <w:t xml:space="preserve">, colonic and rectal mucosa. Colonoscopy with attempted </w:t>
      </w:r>
      <w:proofErr w:type="spellStart"/>
      <w:r w:rsidRPr="004D57B3">
        <w:t>ileoscopy</w:t>
      </w:r>
      <w:proofErr w:type="spellEnd"/>
      <w:r w:rsidRPr="004D57B3">
        <w:t xml:space="preserve"> involves the </w:t>
      </w:r>
      <w:proofErr w:type="spellStart"/>
      <w:r w:rsidRPr="004D57B3">
        <w:t>endoscopist</w:t>
      </w:r>
      <w:proofErr w:type="spellEnd"/>
      <w:r w:rsidRPr="004D57B3">
        <w:t xml:space="preserve"> attempting to reach the ileum: once the </w:t>
      </w:r>
      <w:proofErr w:type="spellStart"/>
      <w:r w:rsidRPr="004D57B3">
        <w:t>colonoscope</w:t>
      </w:r>
      <w:proofErr w:type="spellEnd"/>
      <w:r w:rsidRPr="004D57B3">
        <w:t xml:space="preserve"> reaches the caecum, the </w:t>
      </w:r>
      <w:proofErr w:type="spellStart"/>
      <w:r w:rsidRPr="004D57B3">
        <w:t>endoscopist</w:t>
      </w:r>
      <w:proofErr w:type="spellEnd"/>
      <w:r w:rsidRPr="004D57B3">
        <w:t xml:space="preserve"> locates the </w:t>
      </w:r>
      <w:proofErr w:type="spellStart"/>
      <w:r w:rsidRPr="004D57B3">
        <w:t>ileocaecal</w:t>
      </w:r>
      <w:proofErr w:type="spellEnd"/>
      <w:r w:rsidRPr="004D57B3">
        <w:t xml:space="preserve"> valve, positions the </w:t>
      </w:r>
      <w:proofErr w:type="spellStart"/>
      <w:r w:rsidRPr="004D57B3">
        <w:t>colonoscope</w:t>
      </w:r>
      <w:proofErr w:type="spellEnd"/>
      <w:r w:rsidRPr="004D57B3">
        <w:t xml:space="preserve"> at the correct angle and then the tip of the instrument passes through the valve </w:t>
      </w:r>
      <w:r w:rsidRPr="004D57B3">
        <w:rPr>
          <w:noProof/>
        </w:rPr>
        <w:t>(Chen &amp; Khanduja 1997)</w:t>
      </w:r>
      <w:r w:rsidRPr="004D57B3">
        <w:t xml:space="preserve">. It has been estimated that a skilled </w:t>
      </w:r>
      <w:proofErr w:type="spellStart"/>
      <w:r w:rsidRPr="004D57B3">
        <w:t>endoscopist</w:t>
      </w:r>
      <w:proofErr w:type="spellEnd"/>
      <w:r w:rsidRPr="004D57B3">
        <w:t xml:space="preserve"> can achieve this in 80% of cases </w:t>
      </w:r>
      <w:r>
        <w:rPr>
          <w:noProof/>
        </w:rPr>
        <w:t>(Yamada 2009)</w:t>
      </w:r>
      <w:r w:rsidRPr="004D57B3">
        <w:t xml:space="preserve">. This procedure usually enables visualisation of only the first </w:t>
      </w:r>
      <w:r>
        <w:t>5</w:t>
      </w:r>
      <w:r w:rsidRPr="004D57B3">
        <w:t xml:space="preserve"> to </w:t>
      </w:r>
      <w:r>
        <w:t>10</w:t>
      </w:r>
      <w:r w:rsidRPr="004D57B3">
        <w:t xml:space="preserve"> centimetres of the terminal ileum but may extend to between 30 and 50 centimetres into the ileum </w:t>
      </w:r>
      <w:r>
        <w:rPr>
          <w:noProof/>
        </w:rPr>
        <w:t>(Yamada 2009)</w:t>
      </w:r>
      <w:r w:rsidRPr="004D57B3">
        <w:t xml:space="preserve">. Deeper entry into the ileum is not often attempted since </w:t>
      </w:r>
      <w:proofErr w:type="spellStart"/>
      <w:r w:rsidRPr="004D57B3">
        <w:t>ileal</w:t>
      </w:r>
      <w:proofErr w:type="spellEnd"/>
      <w:r w:rsidRPr="004D57B3">
        <w:t xml:space="preserve"> Crohn’s disease usually occurs within this portion of the terminal ileum. </w:t>
      </w:r>
    </w:p>
    <w:p w:rsidR="0048417A" w:rsidRPr="004D57B3" w:rsidRDefault="0048417A" w:rsidP="00836B55">
      <w:r w:rsidRPr="004D57B3">
        <w:t>Colonoscopy is publically funded under MBS item 32090 (fee $321.65) and is being reviewed under the MBS Quality Framework review process.</w:t>
      </w:r>
    </w:p>
    <w:p w:rsidR="0048417A" w:rsidRPr="004D57B3" w:rsidRDefault="0048417A" w:rsidP="00836B55">
      <w:pPr>
        <w:pStyle w:val="Heading3"/>
      </w:pPr>
      <w:r w:rsidRPr="004D57B3">
        <w:t>Radiological tests</w:t>
      </w:r>
    </w:p>
    <w:p w:rsidR="0048417A" w:rsidRPr="004D57B3" w:rsidRDefault="0048417A" w:rsidP="00836B55">
      <w:pPr>
        <w:pStyle w:val="Heading4"/>
      </w:pPr>
      <w:r w:rsidRPr="004D57B3">
        <w:t>MR</w:t>
      </w:r>
    </w:p>
    <w:p w:rsidR="0048417A" w:rsidRPr="004D57B3" w:rsidRDefault="0048417A" w:rsidP="00836B55">
      <w:r w:rsidRPr="004D57B3">
        <w:t>MR is an imaging technique that enables cross</w:t>
      </w:r>
      <w:r>
        <w:t>-</w:t>
      </w:r>
      <w:r w:rsidRPr="004D57B3">
        <w:t xml:space="preserve">sectional imaging of the small bowel </w:t>
      </w:r>
      <w:r>
        <w:rPr>
          <w:noProof/>
        </w:rPr>
        <w:t>(Yamada 2009)</w:t>
      </w:r>
      <w:r w:rsidRPr="004D57B3">
        <w:t>. Contrast agents can be administe</w:t>
      </w:r>
      <w:r>
        <w:t>re</w:t>
      </w:r>
      <w:r w:rsidRPr="004D57B3">
        <w:t xml:space="preserve">d orally (MRE) or through a </w:t>
      </w:r>
      <w:proofErr w:type="spellStart"/>
      <w:r w:rsidRPr="004D57B3">
        <w:t>naso</w:t>
      </w:r>
      <w:proofErr w:type="spellEnd"/>
      <w:r w:rsidRPr="004D57B3">
        <w:t xml:space="preserve">-gastric tube (magnetic resonance </w:t>
      </w:r>
      <w:proofErr w:type="spellStart"/>
      <w:r w:rsidRPr="004D57B3">
        <w:t>enteroclysis</w:t>
      </w:r>
      <w:proofErr w:type="spellEnd"/>
      <w:r w:rsidRPr="004D57B3">
        <w:t xml:space="preserve">) </w:t>
      </w:r>
      <w:r w:rsidRPr="004D57B3">
        <w:rPr>
          <w:noProof/>
        </w:rPr>
        <w:t>(Markova et al 2010)</w:t>
      </w:r>
      <w:r w:rsidRPr="004D57B3">
        <w:t xml:space="preserve">. Compared with CT, which uses x-ray attenuation, MR uses multiple tissue parameters to build an image. </w:t>
      </w:r>
    </w:p>
    <w:p w:rsidR="0048417A" w:rsidRPr="004D57B3" w:rsidRDefault="0048417A" w:rsidP="00836B55">
      <w:r w:rsidRPr="004D57B3">
        <w:t xml:space="preserve">MR is not currently funded </w:t>
      </w:r>
      <w:r>
        <w:t>through</w:t>
      </w:r>
      <w:r w:rsidRPr="004D57B3">
        <w:t xml:space="preserve"> the MBS for small bowel Crohn’s disease.</w:t>
      </w:r>
    </w:p>
    <w:p w:rsidR="0048417A" w:rsidRPr="004D57B3" w:rsidRDefault="0048417A" w:rsidP="00836B55">
      <w:pPr>
        <w:pStyle w:val="Heading4"/>
      </w:pPr>
      <w:r w:rsidRPr="004D57B3">
        <w:t>Abdomen CT</w:t>
      </w:r>
    </w:p>
    <w:p w:rsidR="0048417A" w:rsidRPr="004D57B3" w:rsidRDefault="0048417A" w:rsidP="00836B55">
      <w:r w:rsidRPr="004D57B3">
        <w:t xml:space="preserve">Abdomen CT is a radiological technique used in the diagnosis of small bowel Crohn’s disease. This test provides </w:t>
      </w:r>
      <w:proofErr w:type="spellStart"/>
      <w:r w:rsidRPr="004D57B3">
        <w:t>multiplanar</w:t>
      </w:r>
      <w:proofErr w:type="spellEnd"/>
      <w:r w:rsidRPr="004D57B3">
        <w:t xml:space="preserve"> images of the lumen, wall and mesentery of the small bowel. These images have a high degree of spatial resolution and are generated via the use of </w:t>
      </w:r>
      <w:proofErr w:type="spellStart"/>
      <w:r w:rsidRPr="004D57B3">
        <w:t>multidetector</w:t>
      </w:r>
      <w:proofErr w:type="spellEnd"/>
      <w:r w:rsidRPr="004D57B3">
        <w:t xml:space="preserve"> CT technology following the ingestion of a contrast agent by the patient, either orally (</w:t>
      </w:r>
      <w:proofErr w:type="spellStart"/>
      <w:r w:rsidRPr="004D57B3">
        <w:t>enterography</w:t>
      </w:r>
      <w:proofErr w:type="spellEnd"/>
      <w:r w:rsidRPr="004D57B3">
        <w:t xml:space="preserve">) or via a </w:t>
      </w:r>
      <w:proofErr w:type="spellStart"/>
      <w:r w:rsidRPr="004D57B3">
        <w:t>naso</w:t>
      </w:r>
      <w:proofErr w:type="spellEnd"/>
      <w:r>
        <w:t>-</w:t>
      </w:r>
      <w:r w:rsidRPr="004D57B3">
        <w:t>gastric tube (</w:t>
      </w:r>
      <w:proofErr w:type="spellStart"/>
      <w:r w:rsidRPr="004D57B3">
        <w:t>enteroclysis</w:t>
      </w:r>
      <w:proofErr w:type="spellEnd"/>
      <w:r w:rsidRPr="004D57B3">
        <w:t xml:space="preserve">) </w:t>
      </w:r>
      <w:r w:rsidRPr="004D57B3">
        <w:rPr>
          <w:noProof/>
        </w:rPr>
        <w:t>(Fletcher 2009)</w:t>
      </w:r>
      <w:r w:rsidRPr="004D57B3">
        <w:t xml:space="preserve">. In some Australian settings, CT has superseded barium imaging as the main form of radiological imaging used in the diagnosis of Crohn’s disease </w:t>
      </w:r>
      <w:r w:rsidRPr="004D57B3">
        <w:rPr>
          <w:noProof/>
        </w:rPr>
        <w:t>(Morrison et al 2009)</w:t>
      </w:r>
      <w:r w:rsidRPr="004D57B3">
        <w:t xml:space="preserve">. </w:t>
      </w:r>
    </w:p>
    <w:p w:rsidR="0048417A" w:rsidRPr="004D57B3" w:rsidRDefault="0048417A" w:rsidP="00836B55">
      <w:r w:rsidRPr="004D57B3">
        <w:t>Abdomen CT is funded under MBS item 56507 with a fee of $480.05.</w:t>
      </w:r>
    </w:p>
    <w:p w:rsidR="0048417A" w:rsidRPr="004D57B3" w:rsidRDefault="0048417A" w:rsidP="00836B55">
      <w:pPr>
        <w:pStyle w:val="Heading4"/>
      </w:pPr>
      <w:bookmarkStart w:id="48" w:name="_Ref278288899"/>
      <w:bookmarkStart w:id="49" w:name="_Ref278288914"/>
      <w:bookmarkEnd w:id="47"/>
      <w:r w:rsidRPr="004D57B3">
        <w:t>SBFT</w:t>
      </w:r>
    </w:p>
    <w:p w:rsidR="0048417A" w:rsidRPr="004D57B3" w:rsidRDefault="0048417A" w:rsidP="00836B55">
      <w:r>
        <w:t>SBFT</w:t>
      </w:r>
      <w:r w:rsidRPr="004D57B3">
        <w:t xml:space="preserve"> is a radiological technique for imaging the small bowel. Barium is either ingested by the patient or administered via </w:t>
      </w:r>
      <w:proofErr w:type="spellStart"/>
      <w:r w:rsidRPr="004D57B3">
        <w:t>enteroclysis</w:t>
      </w:r>
      <w:proofErr w:type="spellEnd"/>
      <w:r w:rsidRPr="004D57B3">
        <w:t xml:space="preserve"> and then x</w:t>
      </w:r>
      <w:r>
        <w:t>-</w:t>
      </w:r>
      <w:r w:rsidRPr="004D57B3">
        <w:t xml:space="preserve">ray images are taken of the abdomen. In some Australian settings, </w:t>
      </w:r>
      <w:r>
        <w:t>SBFT</w:t>
      </w:r>
      <w:r w:rsidRPr="004D57B3">
        <w:t xml:space="preserve"> has been superseded by abdomen CT/CTE or MR/MRE </w:t>
      </w:r>
      <w:r w:rsidRPr="004D57B3">
        <w:rPr>
          <w:noProof/>
        </w:rPr>
        <w:t>(Morrison et al 2009)</w:t>
      </w:r>
      <w:r w:rsidRPr="004D57B3">
        <w:t>; however, clinical practice varies across settings.</w:t>
      </w:r>
    </w:p>
    <w:p w:rsidR="0048417A" w:rsidRPr="004D57B3" w:rsidRDefault="0048417A" w:rsidP="00836B55">
      <w:r w:rsidRPr="004D57B3">
        <w:lastRenderedPageBreak/>
        <w:t>SBFT is funded under MBS item 58915 with a fee of $78.95.</w:t>
      </w:r>
    </w:p>
    <w:p w:rsidR="0048417A" w:rsidRPr="004D57B3" w:rsidRDefault="0048417A" w:rsidP="00836B55">
      <w:pPr>
        <w:pStyle w:val="Heading2"/>
      </w:pPr>
      <w:bookmarkStart w:id="50" w:name="_Ref284578894"/>
      <w:bookmarkStart w:id="51" w:name="_Ref284578924"/>
      <w:bookmarkStart w:id="52" w:name="_Ref284578926"/>
      <w:bookmarkStart w:id="53" w:name="_Toc296517871"/>
      <w:r w:rsidRPr="004D57B3">
        <w:t>Methodological considerations</w:t>
      </w:r>
      <w:bookmarkEnd w:id="48"/>
      <w:bookmarkEnd w:id="49"/>
      <w:bookmarkEnd w:id="50"/>
      <w:bookmarkEnd w:id="51"/>
      <w:bookmarkEnd w:id="52"/>
      <w:bookmarkEnd w:id="53"/>
    </w:p>
    <w:p w:rsidR="0048417A" w:rsidRPr="004D57B3" w:rsidRDefault="0048417A" w:rsidP="00836B55">
      <w:pPr>
        <w:spacing w:after="0"/>
        <w:rPr>
          <w:szCs w:val="24"/>
        </w:rPr>
      </w:pPr>
      <w:r w:rsidRPr="004D57B3">
        <w:t>The clinical value of a test depends on whether its use improves patient outcomes. This is determined by its ability to accurately detect or exclude disease, whether this information influences treatment decisions and the effectiveness of the treatment selected (</w:t>
      </w:r>
      <w:r>
        <w:t xml:space="preserve">see </w:t>
      </w:r>
      <w:r w:rsidR="00AE591B">
        <w:fldChar w:fldCharType="begin"/>
      </w:r>
      <w:r w:rsidR="00AE591B">
        <w:instrText xml:space="preserve"> REF _Ref284841527 \h  \* MERGEFORMAT </w:instrText>
      </w:r>
      <w:r w:rsidR="00AE591B">
        <w:fldChar w:fldCharType="separate"/>
      </w:r>
      <w:r w:rsidRPr="004D57B3">
        <w:t xml:space="preserve">Figure </w:t>
      </w:r>
      <w:r>
        <w:t>1</w:t>
      </w:r>
      <w:r w:rsidR="00AE591B">
        <w:fldChar w:fldCharType="end"/>
      </w:r>
      <w:r w:rsidRPr="004D57B3">
        <w:t>).</w:t>
      </w:r>
    </w:p>
    <w:p w:rsidR="0048417A" w:rsidRPr="004D57B3" w:rsidRDefault="0048417A" w:rsidP="00836B55">
      <w:pPr>
        <w:pStyle w:val="TableName"/>
      </w:pPr>
      <w:bookmarkStart w:id="54" w:name="_Ref212604030"/>
      <w:bookmarkStart w:id="55" w:name="_Toc238272889"/>
      <w:bookmarkStart w:id="56" w:name="_Toc243737554"/>
      <w:bookmarkStart w:id="57" w:name="_Toc253752008"/>
    </w:p>
    <w:p w:rsidR="0048417A" w:rsidRPr="004D57B3" w:rsidRDefault="0048417A" w:rsidP="00836B55">
      <w:pPr>
        <w:pStyle w:val="TableName"/>
      </w:pPr>
      <w:bookmarkStart w:id="58" w:name="_Ref284841527"/>
      <w:bookmarkStart w:id="59" w:name="_Ref284933910"/>
      <w:bookmarkStart w:id="60" w:name="_Toc291859595"/>
      <w:r w:rsidRPr="004D57B3">
        <w:t xml:space="preserve">Figure </w:t>
      </w:r>
      <w:r w:rsidR="00AE591B">
        <w:fldChar w:fldCharType="begin"/>
      </w:r>
      <w:r w:rsidR="00AE591B">
        <w:instrText xml:space="preserve"> SEQ Figure \* ARABIC </w:instrText>
      </w:r>
      <w:r w:rsidR="00AE591B">
        <w:fldChar w:fldCharType="separate"/>
      </w:r>
      <w:r>
        <w:rPr>
          <w:noProof/>
        </w:rPr>
        <w:t>1</w:t>
      </w:r>
      <w:r w:rsidR="00AE591B">
        <w:rPr>
          <w:noProof/>
        </w:rPr>
        <w:fldChar w:fldCharType="end"/>
      </w:r>
      <w:bookmarkEnd w:id="54"/>
      <w:bookmarkEnd w:id="58"/>
      <w:r w:rsidRPr="004D57B3">
        <w:tab/>
        <w:t>Causal pathway and determinants of the clinical value of a test</w:t>
      </w:r>
      <w:bookmarkEnd w:id="55"/>
      <w:bookmarkEnd w:id="56"/>
      <w:bookmarkEnd w:id="57"/>
      <w:bookmarkEnd w:id="59"/>
      <w:bookmarkEnd w:id="60"/>
    </w:p>
    <w:p w:rsidR="0048417A" w:rsidRPr="004D57B3" w:rsidRDefault="00A036C2" w:rsidP="00836B55">
      <w:pPr>
        <w:rPr>
          <w:b/>
        </w:rPr>
      </w:pPr>
      <w:r>
        <w:rPr>
          <w:b/>
          <w:noProof/>
        </w:rPr>
        <w:drawing>
          <wp:inline distT="0" distB="0" distL="0" distR="0" wp14:anchorId="407163F7" wp14:editId="5914D9BD">
            <wp:extent cx="4994694" cy="492434"/>
            <wp:effectExtent l="0" t="0" r="0" b="3175"/>
            <wp:docPr id="78" name="Picture 78" title="Causal pathway and determinants of the clinical value of a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1.tif"/>
                    <pic:cNvPicPr/>
                  </pic:nvPicPr>
                  <pic:blipFill>
                    <a:blip r:embed="rId18">
                      <a:extLst>
                        <a:ext uri="{28A0092B-C50C-407E-A947-70E740481C1C}">
                          <a14:useLocalDpi xmlns:a14="http://schemas.microsoft.com/office/drawing/2010/main" val="0"/>
                        </a:ext>
                      </a:extLst>
                    </a:blip>
                    <a:stretch>
                      <a:fillRect/>
                    </a:stretch>
                  </pic:blipFill>
                  <pic:spPr>
                    <a:xfrm>
                      <a:off x="0" y="0"/>
                      <a:ext cx="4996022" cy="492565"/>
                    </a:xfrm>
                    <a:prstGeom prst="rect">
                      <a:avLst/>
                    </a:prstGeom>
                  </pic:spPr>
                </pic:pic>
              </a:graphicData>
            </a:graphic>
          </wp:inline>
        </w:drawing>
      </w:r>
    </w:p>
    <w:p w:rsidR="0048417A" w:rsidRPr="004D57B3" w:rsidRDefault="0048417A" w:rsidP="00836B55">
      <w:pPr>
        <w:pStyle w:val="TableText"/>
        <w:ind w:left="720"/>
      </w:pPr>
      <w:r w:rsidRPr="004D57B3">
        <w:t>1.</w:t>
      </w:r>
      <w:r w:rsidRPr="004D57B3">
        <w:tab/>
        <w:t>Diagnostic accuracy</w:t>
      </w:r>
    </w:p>
    <w:p w:rsidR="0048417A" w:rsidRPr="004D57B3" w:rsidRDefault="0048417A" w:rsidP="00836B55">
      <w:pPr>
        <w:pStyle w:val="TableText"/>
        <w:ind w:left="720"/>
      </w:pPr>
      <w:r w:rsidRPr="004D57B3">
        <w:t>2.</w:t>
      </w:r>
      <w:r w:rsidRPr="004D57B3">
        <w:tab/>
        <w:t>Therapeutic impact</w:t>
      </w:r>
    </w:p>
    <w:p w:rsidR="0048417A" w:rsidRPr="004D57B3" w:rsidRDefault="0048417A" w:rsidP="00836B55">
      <w:pPr>
        <w:pStyle w:val="TableText"/>
        <w:ind w:left="720"/>
      </w:pPr>
      <w:r w:rsidRPr="004D57B3">
        <w:t>3.</w:t>
      </w:r>
      <w:r w:rsidRPr="004D57B3">
        <w:tab/>
        <w:t>Treatment effectiveness</w:t>
      </w:r>
    </w:p>
    <w:p w:rsidR="0048417A" w:rsidRPr="004D57B3" w:rsidRDefault="0048417A" w:rsidP="00836B55">
      <w:pPr>
        <w:pStyle w:val="TableName"/>
      </w:pPr>
    </w:p>
    <w:p w:rsidR="0048417A" w:rsidRPr="004D57B3" w:rsidRDefault="0048417A" w:rsidP="00836B55">
      <w:r w:rsidRPr="004D57B3">
        <w:t>If randomised controlled trials are not available to assess whether adopting a new test improves patient outcomes compared with standard testing practice, evidence from studies assessing test accuracy and therapeutic impact can be linked to evidence about treatment efficacy or improved prognosis to infer effectiveness in some situations.</w:t>
      </w:r>
    </w:p>
    <w:p w:rsidR="0048417A" w:rsidRPr="004D57B3" w:rsidRDefault="0048417A" w:rsidP="00836B55">
      <w:r w:rsidRPr="004D57B3">
        <w:t xml:space="preserve">There are guidelines for designing, conducting, reporting and appraising studies of test accuracy, treatment efficacy and patient prognosis </w:t>
      </w:r>
      <w:r w:rsidRPr="004D57B3">
        <w:rPr>
          <w:noProof/>
        </w:rPr>
        <w:t>(NHMRC 1999)</w:t>
      </w:r>
      <w:r w:rsidRPr="004D57B3">
        <w:t>, but the methods for designing and interpreting therapeutic impact studies are less well established. The role of these studies is to provide evidence that the test information has an effect on clinical decision-making, for example by demonstrating changes in clinician diagnostic certainty, test ordering or treatment plans. This evidence is interpreted with evidence about the benefits or harms of these decisions, either through a simple descriptive assessment or quantitatively by using decision-analytic methods</w:t>
      </w:r>
      <w:r>
        <w:t>. This enables</w:t>
      </w:r>
      <w:r w:rsidRPr="004D57B3">
        <w:t xml:space="preserve"> judg</w:t>
      </w:r>
      <w:r>
        <w:t>e</w:t>
      </w:r>
      <w:r w:rsidRPr="004D57B3">
        <w:t>ment</w:t>
      </w:r>
      <w:r>
        <w:t>s to be made</w:t>
      </w:r>
      <w:r w:rsidRPr="004D57B3">
        <w:t xml:space="preserve"> about the potential clinical value of the test or the need for further research to demonstrate effectiveness.</w:t>
      </w:r>
    </w:p>
    <w:p w:rsidR="0048417A" w:rsidRPr="004D57B3" w:rsidRDefault="0048417A" w:rsidP="00836B55">
      <w:r w:rsidRPr="004D57B3">
        <w:t xml:space="preserve">Demonstrating a change in diagnosis or treatment does not in itself provide evidence of effectiveness; therefore, therapeutic impact studies need to be carefully designed to answer a clearly defined question about the potential benefits of the test </w:t>
      </w:r>
      <w:r w:rsidRPr="004D57B3" w:rsidDel="00D020C1">
        <w:t>for</w:t>
      </w:r>
      <w:r w:rsidRPr="004D57B3">
        <w:t xml:space="preserve"> clinical decision-making, with an explicit statement about existing evidence for the effectiveness or cost-effectiveness of these decisions (</w:t>
      </w:r>
      <w:proofErr w:type="spellStart"/>
      <w:r w:rsidRPr="004D57B3">
        <w:t>eg</w:t>
      </w:r>
      <w:proofErr w:type="spellEnd"/>
      <w:r w:rsidRPr="004D57B3">
        <w:t xml:space="preserve"> improved patient outcomes through reduction of invasive testing, increase in effective treatment, reduction in patient morbidity). Therapeutic impact studies can be designed as randomised trials to assess clinician diagnostic certainty, diagnosis and treatment selection with and without the new test, or as observational studies including pre- and post-test studies in which clinicians are asked to record their provisional diagnosis, diagnostic certainty and proposed management plan before and after testing. Data are analysed to report on changes in diagnostic thinking and therapeutic plans, and interpreted with information about the accuracy of the test and the true disease state of the subject in order to assess the benefits or harms of the information provided by the test.</w:t>
      </w:r>
      <w:bookmarkStart w:id="61" w:name="_Ref278293610"/>
      <w:bookmarkStart w:id="62" w:name="_Ref278293634"/>
    </w:p>
    <w:p w:rsidR="0048417A" w:rsidRPr="004D57B3" w:rsidRDefault="0048417A" w:rsidP="00836B55">
      <w:pPr>
        <w:pStyle w:val="Heading2"/>
      </w:pPr>
      <w:bookmarkStart w:id="63" w:name="_Toc296517872"/>
      <w:r w:rsidRPr="004D57B3">
        <w:lastRenderedPageBreak/>
        <w:t>Marketing status of the technology</w:t>
      </w:r>
      <w:bookmarkEnd w:id="61"/>
      <w:bookmarkEnd w:id="62"/>
      <w:bookmarkEnd w:id="63"/>
      <w:r w:rsidRPr="004D57B3">
        <w:rPr>
          <w:rFonts w:ascii="Times New Roman" w:hAnsi="Times New Roman"/>
          <w:vanish/>
          <w:color w:val="0000FF"/>
        </w:rPr>
        <w:t xml:space="preserve"> </w:t>
      </w:r>
    </w:p>
    <w:p w:rsidR="0048417A" w:rsidRPr="004D57B3" w:rsidRDefault="0048417A" w:rsidP="00836B55">
      <w:proofErr w:type="spellStart"/>
      <w:r w:rsidRPr="004D57B3">
        <w:t>PillCam</w:t>
      </w:r>
      <w:proofErr w:type="spellEnd"/>
      <w:r w:rsidRPr="004D57B3">
        <w:t xml:space="preserve">® capsule endoscopy has been registered by the TGA since 30 August 2006 (see </w:t>
      </w:r>
      <w:r w:rsidR="00AE591B">
        <w:fldChar w:fldCharType="begin"/>
      </w:r>
      <w:r w:rsidR="00AE591B">
        <w:instrText xml:space="preserve"> REF _Ref274129368 \h  \* MERGEFORMAT </w:instrText>
      </w:r>
      <w:r w:rsidR="00AE591B">
        <w:fldChar w:fldCharType="separate"/>
      </w:r>
      <w:r w:rsidRPr="004D57B3">
        <w:t xml:space="preserve">Table </w:t>
      </w:r>
      <w:r>
        <w:t>6</w:t>
      </w:r>
      <w:r w:rsidR="00AE591B">
        <w:fldChar w:fldCharType="end"/>
      </w:r>
      <w:r w:rsidRPr="004D57B3">
        <w:t>).</w:t>
      </w:r>
    </w:p>
    <w:p w:rsidR="0048417A" w:rsidRPr="004D57B3" w:rsidRDefault="0048417A" w:rsidP="00836B55">
      <w:pPr>
        <w:pStyle w:val="TableName"/>
      </w:pPr>
      <w:bookmarkStart w:id="64" w:name="_Ref274129368"/>
      <w:bookmarkStart w:id="65" w:name="_Toc291859568"/>
      <w:r w:rsidRPr="004D57B3">
        <w:t xml:space="preserve">Table </w:t>
      </w:r>
      <w:r w:rsidR="00AE591B">
        <w:fldChar w:fldCharType="begin"/>
      </w:r>
      <w:r w:rsidR="00AE591B">
        <w:instrText xml:space="preserve"> SEQ Table \* ARABIC </w:instrText>
      </w:r>
      <w:r w:rsidR="00AE591B">
        <w:fldChar w:fldCharType="separate"/>
      </w:r>
      <w:r>
        <w:rPr>
          <w:noProof/>
        </w:rPr>
        <w:t>6</w:t>
      </w:r>
      <w:r w:rsidR="00AE591B">
        <w:rPr>
          <w:noProof/>
        </w:rPr>
        <w:fldChar w:fldCharType="end"/>
      </w:r>
      <w:bookmarkEnd w:id="64"/>
      <w:r w:rsidRPr="004D57B3">
        <w:tab/>
        <w:t xml:space="preserve">Registration of </w:t>
      </w:r>
      <w:proofErr w:type="spellStart"/>
      <w:r w:rsidRPr="004D57B3">
        <w:t>PillCam</w:t>
      </w:r>
      <w:proofErr w:type="spellEnd"/>
      <w:r w:rsidRPr="004D57B3">
        <w:t>® capsule endoscopy with the TGA</w:t>
      </w:r>
      <w:bookmarkEnd w:id="65"/>
      <w:r w:rsidRPr="004D57B3">
        <w:t xml:space="preserve"> </w:t>
      </w:r>
    </w:p>
    <w:tbl>
      <w:tblPr>
        <w:tblW w:w="0" w:type="auto"/>
        <w:tblInd w:w="817"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959"/>
        <w:gridCol w:w="1134"/>
        <w:gridCol w:w="2693"/>
        <w:gridCol w:w="1134"/>
        <w:gridCol w:w="1844"/>
      </w:tblGrid>
      <w:tr w:rsidR="0048417A" w:rsidRPr="004D57B3" w:rsidTr="00836B55">
        <w:tc>
          <w:tcPr>
            <w:tcW w:w="959" w:type="dxa"/>
          </w:tcPr>
          <w:p w:rsidR="0048417A" w:rsidRPr="004D57B3" w:rsidRDefault="0048417A" w:rsidP="00836B55">
            <w:pPr>
              <w:pStyle w:val="TableHeading"/>
            </w:pPr>
            <w:r>
              <w:t>ARTG n</w:t>
            </w:r>
            <w:r w:rsidRPr="004D57B3">
              <w:t>o</w:t>
            </w:r>
          </w:p>
        </w:tc>
        <w:tc>
          <w:tcPr>
            <w:tcW w:w="1134" w:type="dxa"/>
          </w:tcPr>
          <w:p w:rsidR="0048417A" w:rsidRPr="004D57B3" w:rsidRDefault="0048417A" w:rsidP="00836B55">
            <w:pPr>
              <w:pStyle w:val="TableHeading"/>
            </w:pPr>
            <w:r w:rsidRPr="004D57B3">
              <w:t xml:space="preserve">Product </w:t>
            </w:r>
            <w:r>
              <w:t>n</w:t>
            </w:r>
            <w:r w:rsidRPr="004D57B3">
              <w:t>o</w:t>
            </w:r>
          </w:p>
        </w:tc>
        <w:tc>
          <w:tcPr>
            <w:tcW w:w="2693" w:type="dxa"/>
          </w:tcPr>
          <w:p w:rsidR="0048417A" w:rsidRPr="004D57B3" w:rsidRDefault="0048417A" w:rsidP="00836B55">
            <w:pPr>
              <w:pStyle w:val="TableHeading"/>
            </w:pPr>
            <w:r w:rsidRPr="004D57B3">
              <w:t>Product description</w:t>
            </w:r>
          </w:p>
        </w:tc>
        <w:tc>
          <w:tcPr>
            <w:tcW w:w="1134" w:type="dxa"/>
          </w:tcPr>
          <w:p w:rsidR="0048417A" w:rsidRPr="004D57B3" w:rsidRDefault="0048417A" w:rsidP="00836B55">
            <w:pPr>
              <w:pStyle w:val="TableHeading"/>
            </w:pPr>
            <w:r w:rsidRPr="004D57B3">
              <w:t xml:space="preserve">Device </w:t>
            </w:r>
            <w:r>
              <w:t>c</w:t>
            </w:r>
            <w:r w:rsidRPr="004D57B3">
              <w:t>lass</w:t>
            </w:r>
          </w:p>
        </w:tc>
        <w:tc>
          <w:tcPr>
            <w:tcW w:w="1844" w:type="dxa"/>
          </w:tcPr>
          <w:p w:rsidR="0048417A" w:rsidRPr="004D57B3" w:rsidRDefault="0048417A" w:rsidP="00836B55">
            <w:pPr>
              <w:pStyle w:val="TableHeading"/>
            </w:pPr>
            <w:r w:rsidRPr="004D57B3">
              <w:t>Sponsor</w:t>
            </w:r>
          </w:p>
        </w:tc>
      </w:tr>
      <w:tr w:rsidR="0048417A" w:rsidRPr="004D57B3" w:rsidTr="00836B55">
        <w:tc>
          <w:tcPr>
            <w:tcW w:w="959" w:type="dxa"/>
          </w:tcPr>
          <w:p w:rsidR="0048417A" w:rsidRPr="004D57B3" w:rsidRDefault="0048417A" w:rsidP="00836B55">
            <w:pPr>
              <w:pStyle w:val="TableText"/>
            </w:pPr>
            <w:r w:rsidRPr="004D57B3">
              <w:t>130833</w:t>
            </w:r>
          </w:p>
        </w:tc>
        <w:tc>
          <w:tcPr>
            <w:tcW w:w="1134" w:type="dxa"/>
          </w:tcPr>
          <w:p w:rsidR="0048417A" w:rsidRPr="004D57B3" w:rsidRDefault="0048417A" w:rsidP="00836B55">
            <w:pPr>
              <w:pStyle w:val="TableText"/>
            </w:pPr>
            <w:r w:rsidRPr="004D57B3">
              <w:t>215817</w:t>
            </w:r>
          </w:p>
        </w:tc>
        <w:tc>
          <w:tcPr>
            <w:tcW w:w="2693" w:type="dxa"/>
          </w:tcPr>
          <w:p w:rsidR="0048417A" w:rsidRPr="004D57B3" w:rsidRDefault="0048417A" w:rsidP="00836B55">
            <w:pPr>
              <w:pStyle w:val="TableText"/>
            </w:pPr>
            <w:r w:rsidRPr="004D57B3">
              <w:t xml:space="preserve">Given diagnostic system and </w:t>
            </w:r>
            <w:proofErr w:type="spellStart"/>
            <w:r w:rsidRPr="004D57B3">
              <w:t>PillCam</w:t>
            </w:r>
            <w:proofErr w:type="spellEnd"/>
            <w:r w:rsidRPr="004D57B3">
              <w:t>® capsule endoscopy (</w:t>
            </w:r>
            <w:r>
              <w:t>c</w:t>
            </w:r>
            <w:r w:rsidRPr="004D57B3">
              <w:t>apsule, non-digestible, electronic tracking)</w:t>
            </w:r>
          </w:p>
        </w:tc>
        <w:tc>
          <w:tcPr>
            <w:tcW w:w="1134" w:type="dxa"/>
          </w:tcPr>
          <w:p w:rsidR="0048417A" w:rsidRPr="004D57B3" w:rsidRDefault="0048417A" w:rsidP="00836B55">
            <w:pPr>
              <w:pStyle w:val="TableText"/>
            </w:pPr>
            <w:r w:rsidRPr="004D57B3">
              <w:t xml:space="preserve">Class </w:t>
            </w:r>
            <w:proofErr w:type="spellStart"/>
            <w:r w:rsidRPr="004D57B3">
              <w:t>IIa</w:t>
            </w:r>
            <w:proofErr w:type="spellEnd"/>
          </w:p>
        </w:tc>
        <w:tc>
          <w:tcPr>
            <w:tcW w:w="1844" w:type="dxa"/>
          </w:tcPr>
          <w:p w:rsidR="0048417A" w:rsidRPr="004D57B3" w:rsidRDefault="0048417A" w:rsidP="00836B55">
            <w:pPr>
              <w:pStyle w:val="TableText"/>
            </w:pPr>
            <w:r w:rsidRPr="004D57B3">
              <w:t>Given Imaging Pty Ltd</w:t>
            </w:r>
          </w:p>
        </w:tc>
      </w:tr>
    </w:tbl>
    <w:p w:rsidR="0048417A" w:rsidRPr="004D57B3" w:rsidRDefault="0048417A" w:rsidP="00836B55">
      <w:pPr>
        <w:pStyle w:val="TableText"/>
        <w:ind w:left="567"/>
      </w:pPr>
      <w:r w:rsidRPr="004D57B3">
        <w:t xml:space="preserve">   Source: TGA </w:t>
      </w:r>
      <w:r w:rsidRPr="004D57B3">
        <w:rPr>
          <w:noProof/>
        </w:rPr>
        <w:t>(2011)</w:t>
      </w:r>
    </w:p>
    <w:p w:rsidR="0048417A" w:rsidRPr="004D57B3" w:rsidRDefault="0048417A" w:rsidP="00836B55">
      <w:pPr>
        <w:pStyle w:val="Heading2"/>
        <w:rPr>
          <w:bCs/>
        </w:rPr>
      </w:pPr>
      <w:bookmarkStart w:id="66" w:name="_Ref278293611"/>
      <w:bookmarkStart w:id="67" w:name="_Ref278293636"/>
      <w:bookmarkStart w:id="68" w:name="_Ref278293648"/>
      <w:bookmarkStart w:id="69" w:name="_Toc296517873"/>
      <w:r w:rsidRPr="004D57B3">
        <w:rPr>
          <w:bCs/>
        </w:rPr>
        <w:t>Current arrangements for public reimbursement</w:t>
      </w:r>
      <w:bookmarkEnd w:id="66"/>
      <w:bookmarkEnd w:id="67"/>
      <w:bookmarkEnd w:id="68"/>
      <w:bookmarkEnd w:id="69"/>
    </w:p>
    <w:p w:rsidR="0048417A" w:rsidRPr="004D57B3" w:rsidRDefault="0048417A" w:rsidP="00836B55">
      <w:r w:rsidRPr="004D57B3">
        <w:t xml:space="preserve">Capsule endoscopy is not listed on the MBS for the diagnosis of small bowel Crohn’s disease. Capsule endoscopy is currently listed on the MBS for two indications: small bowel surveillance in patients diagnosed with </w:t>
      </w:r>
      <w:proofErr w:type="gramStart"/>
      <w:r>
        <w:t>PJS</w:t>
      </w:r>
      <w:r w:rsidRPr="004D57B3">
        <w:t>,</w:t>
      </w:r>
      <w:proofErr w:type="gramEnd"/>
      <w:r w:rsidRPr="004D57B3">
        <w:t xml:space="preserve"> and the investigation of </w:t>
      </w:r>
      <w:r>
        <w:t>OGIB</w:t>
      </w:r>
      <w:r w:rsidRPr="004D57B3">
        <w:t xml:space="preserve"> when the cause of bleeding has not been identified by upper gastrointestinal endoscopy and colonoscopy. Details of these MBS items are listed in </w:t>
      </w:r>
      <w:r w:rsidR="00AE591B">
        <w:fldChar w:fldCharType="begin"/>
      </w:r>
      <w:r w:rsidR="00AE591B">
        <w:instrText xml:space="preserve"> REF _Ref282780986 \h  \* MERGEFORMAT </w:instrText>
      </w:r>
      <w:r w:rsidR="00AE591B">
        <w:fldChar w:fldCharType="separate"/>
      </w:r>
      <w:r w:rsidRPr="004D57B3">
        <w:t xml:space="preserve">Table </w:t>
      </w:r>
      <w:r>
        <w:t>7</w:t>
      </w:r>
      <w:r w:rsidR="00AE591B">
        <w:fldChar w:fldCharType="end"/>
      </w:r>
      <w:r w:rsidRPr="004D57B3">
        <w:t>.</w:t>
      </w:r>
      <w:r w:rsidRPr="004D57B3">
        <w:rPr>
          <w:bCs/>
        </w:rPr>
        <w:t xml:space="preserve"> </w:t>
      </w:r>
      <w:bookmarkStart w:id="70" w:name="_Ref273541607"/>
      <w:r>
        <w:t>C</w:t>
      </w:r>
      <w:r w:rsidRPr="004D57B3">
        <w:t xml:space="preserve">apsule endoscopy for the present indication is financed through self-pay and is usually performed as an outpatient procedure in private rooms or clinics. </w:t>
      </w:r>
    </w:p>
    <w:p w:rsidR="0048417A" w:rsidRPr="004D57B3" w:rsidRDefault="0048417A" w:rsidP="00836B55">
      <w:pPr>
        <w:pStyle w:val="TableName"/>
      </w:pPr>
      <w:bookmarkStart w:id="71" w:name="_Ref282780986"/>
      <w:bookmarkStart w:id="72" w:name="_Toc291859569"/>
      <w:r w:rsidRPr="004D57B3">
        <w:lastRenderedPageBreak/>
        <w:t xml:space="preserve">Table </w:t>
      </w:r>
      <w:r w:rsidR="00AE591B">
        <w:fldChar w:fldCharType="begin"/>
      </w:r>
      <w:r w:rsidR="00AE591B">
        <w:instrText xml:space="preserve"> SEQ Table \* ARABIC </w:instrText>
      </w:r>
      <w:r w:rsidR="00AE591B">
        <w:fldChar w:fldCharType="separate"/>
      </w:r>
      <w:r>
        <w:rPr>
          <w:noProof/>
        </w:rPr>
        <w:t>7</w:t>
      </w:r>
      <w:r w:rsidR="00AE591B">
        <w:rPr>
          <w:noProof/>
        </w:rPr>
        <w:fldChar w:fldCharType="end"/>
      </w:r>
      <w:bookmarkEnd w:id="71"/>
      <w:r w:rsidRPr="004D57B3">
        <w:tab/>
        <w:t>MBS items for capsule endoscopy</w:t>
      </w:r>
      <w:bookmarkEnd w:id="72"/>
    </w:p>
    <w:tbl>
      <w:tblPr>
        <w:tblW w:w="4788" w:type="pct"/>
        <w:tblInd w:w="720" w:type="dxa"/>
        <w:tblBorders>
          <w:top w:val="single" w:sz="4" w:space="0" w:color="auto"/>
          <w:bottom w:val="single" w:sz="4" w:space="0" w:color="auto"/>
        </w:tblBorders>
        <w:tblLook w:val="00A0" w:firstRow="1" w:lastRow="0" w:firstColumn="1" w:lastColumn="0" w:noHBand="0" w:noVBand="0"/>
      </w:tblPr>
      <w:tblGrid>
        <w:gridCol w:w="627"/>
        <w:gridCol w:w="3964"/>
        <w:gridCol w:w="873"/>
        <w:gridCol w:w="873"/>
        <w:gridCol w:w="1209"/>
        <w:gridCol w:w="1307"/>
      </w:tblGrid>
      <w:tr w:rsidR="0048417A" w:rsidRPr="004D57B3" w:rsidTr="00836B55">
        <w:tc>
          <w:tcPr>
            <w:tcW w:w="354" w:type="pct"/>
            <w:tcBorders>
              <w:top w:val="single" w:sz="4" w:space="0" w:color="auto"/>
              <w:bottom w:val="single" w:sz="4" w:space="0" w:color="auto"/>
            </w:tcBorders>
          </w:tcPr>
          <w:p w:rsidR="0048417A" w:rsidRPr="004D57B3" w:rsidRDefault="0048417A" w:rsidP="00836B55">
            <w:pPr>
              <w:pStyle w:val="TableHeading"/>
            </w:pPr>
            <w:r w:rsidRPr="004D57B3">
              <w:t>MBS item</w:t>
            </w:r>
          </w:p>
        </w:tc>
        <w:tc>
          <w:tcPr>
            <w:tcW w:w="2239" w:type="pct"/>
            <w:tcBorders>
              <w:top w:val="single" w:sz="4" w:space="0" w:color="auto"/>
              <w:bottom w:val="single" w:sz="4" w:space="0" w:color="auto"/>
            </w:tcBorders>
          </w:tcPr>
          <w:p w:rsidR="0048417A" w:rsidRPr="004D57B3" w:rsidRDefault="0048417A" w:rsidP="00836B55">
            <w:pPr>
              <w:pStyle w:val="TableHeading"/>
            </w:pPr>
            <w:r w:rsidRPr="004D57B3">
              <w:t>Descriptor</w:t>
            </w:r>
            <w:r w:rsidRPr="004D57B3">
              <w:rPr>
                <w:vertAlign w:val="superscript"/>
              </w:rPr>
              <w:t>α</w:t>
            </w:r>
          </w:p>
        </w:tc>
        <w:tc>
          <w:tcPr>
            <w:tcW w:w="493" w:type="pct"/>
            <w:tcBorders>
              <w:top w:val="single" w:sz="4" w:space="0" w:color="auto"/>
              <w:bottom w:val="single" w:sz="4" w:space="0" w:color="auto"/>
            </w:tcBorders>
          </w:tcPr>
          <w:p w:rsidR="0048417A" w:rsidRPr="004D57B3" w:rsidRDefault="0048417A" w:rsidP="00836B55">
            <w:pPr>
              <w:pStyle w:val="TableHeading"/>
            </w:pPr>
            <w:r w:rsidRPr="004D57B3">
              <w:t>Fee</w:t>
            </w:r>
          </w:p>
        </w:tc>
        <w:tc>
          <w:tcPr>
            <w:tcW w:w="493" w:type="pct"/>
            <w:tcBorders>
              <w:top w:val="single" w:sz="4" w:space="0" w:color="auto"/>
              <w:bottom w:val="single" w:sz="4" w:space="0" w:color="auto"/>
            </w:tcBorders>
          </w:tcPr>
          <w:p w:rsidR="0048417A" w:rsidRPr="004D57B3" w:rsidRDefault="0048417A" w:rsidP="00836B55">
            <w:pPr>
              <w:pStyle w:val="TableHeading"/>
            </w:pPr>
            <w:r w:rsidRPr="004D57B3">
              <w:t>Benefit</w:t>
            </w:r>
          </w:p>
        </w:tc>
        <w:tc>
          <w:tcPr>
            <w:tcW w:w="683" w:type="pct"/>
            <w:tcBorders>
              <w:top w:val="single" w:sz="4" w:space="0" w:color="auto"/>
              <w:bottom w:val="single" w:sz="4" w:space="0" w:color="auto"/>
            </w:tcBorders>
          </w:tcPr>
          <w:p w:rsidR="0048417A" w:rsidRPr="004D57B3" w:rsidRDefault="0048417A" w:rsidP="00836B55">
            <w:pPr>
              <w:pStyle w:val="TableHeading"/>
            </w:pPr>
            <w:r w:rsidRPr="004D57B3">
              <w:t>Indication</w:t>
            </w:r>
          </w:p>
        </w:tc>
        <w:tc>
          <w:tcPr>
            <w:tcW w:w="738" w:type="pct"/>
            <w:tcBorders>
              <w:top w:val="single" w:sz="4" w:space="0" w:color="auto"/>
              <w:bottom w:val="single" w:sz="4" w:space="0" w:color="auto"/>
            </w:tcBorders>
          </w:tcPr>
          <w:p w:rsidR="0048417A" w:rsidRPr="004D57B3" w:rsidRDefault="0048417A" w:rsidP="00836B55">
            <w:pPr>
              <w:pStyle w:val="TableHeading"/>
            </w:pPr>
            <w:r w:rsidRPr="004D57B3">
              <w:t>Date  listed/approved</w:t>
            </w:r>
          </w:p>
        </w:tc>
      </w:tr>
      <w:tr w:rsidR="0048417A" w:rsidRPr="004D57B3" w:rsidTr="00836B55">
        <w:tc>
          <w:tcPr>
            <w:tcW w:w="354" w:type="pct"/>
            <w:tcBorders>
              <w:top w:val="single" w:sz="4" w:space="0" w:color="auto"/>
            </w:tcBorders>
          </w:tcPr>
          <w:p w:rsidR="0048417A" w:rsidRPr="004D57B3" w:rsidRDefault="0048417A" w:rsidP="00836B55">
            <w:pPr>
              <w:pStyle w:val="TableText"/>
            </w:pPr>
            <w:r w:rsidRPr="004D57B3">
              <w:t>11820</w:t>
            </w:r>
          </w:p>
        </w:tc>
        <w:tc>
          <w:tcPr>
            <w:tcW w:w="2239" w:type="pct"/>
            <w:tcBorders>
              <w:top w:val="single" w:sz="4" w:space="0" w:color="auto"/>
            </w:tcBorders>
          </w:tcPr>
          <w:p w:rsidR="0048417A" w:rsidRPr="004D57B3" w:rsidRDefault="0048417A" w:rsidP="00836B55">
            <w:pPr>
              <w:pStyle w:val="TableText"/>
            </w:pPr>
            <w:r w:rsidRPr="004D57B3">
              <w:t xml:space="preserve">CAPSULE ENDOSCOPY to investigate an episode of obscure gastrointestinal bleeding, using a capsule endoscopy device approved by the Therapeutic Goods Administration (TGA) (including administration of the capsule, imaging, image reading and interpretation, and all attendances for providing the service on the day the capsule is administered), (not being a service associated with double balloon </w:t>
            </w:r>
            <w:proofErr w:type="spellStart"/>
            <w:r w:rsidRPr="004D57B3">
              <w:t>enteroscopy</w:t>
            </w:r>
            <w:proofErr w:type="spellEnd"/>
            <w:r w:rsidRPr="004D57B3">
              <w:t xml:space="preserve">), if: </w:t>
            </w:r>
          </w:p>
          <w:p w:rsidR="0048417A" w:rsidRPr="004D57B3" w:rsidRDefault="0048417A" w:rsidP="00836B55">
            <w:pPr>
              <w:pStyle w:val="TableText"/>
            </w:pPr>
            <w:r w:rsidRPr="004D57B3">
              <w:t>(a)</w:t>
            </w:r>
            <w:r w:rsidR="004269B3">
              <w:t xml:space="preserve"> </w:t>
            </w:r>
            <w:r w:rsidRPr="004D57B3">
              <w:t xml:space="preserve">the service is performed by a specialist or consultant physician with endoscopic training that is recognised by The Conjoint Committee for the Recognition of Training in Gastrointestinal Endoscopy; and </w:t>
            </w:r>
          </w:p>
          <w:p w:rsidR="00260BB3" w:rsidRPr="004D57B3" w:rsidRDefault="0048417A" w:rsidP="00260BB3">
            <w:pPr>
              <w:pStyle w:val="TableText"/>
            </w:pPr>
            <w:r w:rsidRPr="004D57B3">
              <w:t>(b)</w:t>
            </w:r>
            <w:r w:rsidR="004269B3">
              <w:t xml:space="preserve"> </w:t>
            </w:r>
            <w:r w:rsidRPr="004D57B3">
              <w:t>the patient to whom the service is provided:</w:t>
            </w:r>
            <w:r w:rsidR="00260BB3" w:rsidRPr="004D57B3">
              <w:t xml:space="preserve"> </w:t>
            </w:r>
          </w:p>
          <w:p w:rsidR="00260BB3" w:rsidRPr="004D57B3" w:rsidRDefault="0048417A" w:rsidP="00260BB3">
            <w:pPr>
              <w:pStyle w:val="TableText"/>
            </w:pPr>
            <w:r w:rsidRPr="004D57B3">
              <w:t>(</w:t>
            </w:r>
            <w:proofErr w:type="spellStart"/>
            <w:r w:rsidRPr="004D57B3">
              <w:t>i</w:t>
            </w:r>
            <w:proofErr w:type="spellEnd"/>
            <w:r w:rsidRPr="004D57B3">
              <w:t>)</w:t>
            </w:r>
            <w:r w:rsidR="004269B3">
              <w:t xml:space="preserve"> </w:t>
            </w:r>
            <w:r w:rsidRPr="004D57B3">
              <w:t>is aged 10 years or over; and</w:t>
            </w:r>
            <w:r w:rsidR="00260BB3" w:rsidRPr="004D57B3">
              <w:t xml:space="preserve"> </w:t>
            </w:r>
          </w:p>
          <w:p w:rsidR="00260BB3" w:rsidRPr="004D57B3" w:rsidRDefault="0048417A" w:rsidP="00260BB3">
            <w:pPr>
              <w:pStyle w:val="TableText"/>
            </w:pPr>
            <w:r w:rsidRPr="004D57B3">
              <w:t>(ii) has recurrent or persistent bleeding; and</w:t>
            </w:r>
            <w:r w:rsidR="00260BB3" w:rsidRPr="004D57B3">
              <w:t xml:space="preserve"> </w:t>
            </w:r>
          </w:p>
          <w:p w:rsidR="0048417A" w:rsidRPr="004D57B3" w:rsidRDefault="0048417A" w:rsidP="00260BB3">
            <w:pPr>
              <w:pStyle w:val="TableText"/>
            </w:pPr>
            <w:r w:rsidRPr="004D57B3">
              <w:t xml:space="preserve">(iii) is anaemic or has active bleeding; and </w:t>
            </w:r>
          </w:p>
          <w:p w:rsidR="0048417A" w:rsidRPr="004D57B3" w:rsidRDefault="0048417A" w:rsidP="00836B55">
            <w:pPr>
              <w:pStyle w:val="TableText"/>
            </w:pPr>
            <w:r w:rsidRPr="004D57B3">
              <w:t>(c)</w:t>
            </w:r>
            <w:r w:rsidR="00260BB3" w:rsidRPr="004D57B3">
              <w:t xml:space="preserve"> </w:t>
            </w:r>
            <w:r w:rsidRPr="004D57B3">
              <w:t xml:space="preserve">an upper gastrointestinal endoscopy and a colonoscopy have been performed on the patient and have not identified the cause of the bleeding; and </w:t>
            </w:r>
          </w:p>
          <w:p w:rsidR="0048417A" w:rsidRPr="004D57B3" w:rsidRDefault="0048417A" w:rsidP="00260BB3">
            <w:pPr>
              <w:pStyle w:val="TableText"/>
            </w:pPr>
            <w:r w:rsidRPr="004D57B3">
              <w:t>(d)</w:t>
            </w:r>
            <w:r w:rsidR="00260BB3" w:rsidRPr="004D57B3">
              <w:t xml:space="preserve"> </w:t>
            </w:r>
            <w:r w:rsidRPr="004D57B3">
              <w:t xml:space="preserve">the service is performed within 6 months of the upper gastrointestinal endoscopy and colonoscopy </w:t>
            </w:r>
          </w:p>
        </w:tc>
        <w:tc>
          <w:tcPr>
            <w:tcW w:w="493" w:type="pct"/>
            <w:tcBorders>
              <w:top w:val="single" w:sz="4" w:space="0" w:color="auto"/>
            </w:tcBorders>
          </w:tcPr>
          <w:p w:rsidR="0048417A" w:rsidRPr="004D57B3" w:rsidRDefault="0048417A" w:rsidP="00836B55">
            <w:pPr>
              <w:pStyle w:val="TableText"/>
            </w:pPr>
            <w:r w:rsidRPr="004D57B3">
              <w:t>$1,961.95</w:t>
            </w:r>
          </w:p>
        </w:tc>
        <w:tc>
          <w:tcPr>
            <w:tcW w:w="493" w:type="pct"/>
            <w:tcBorders>
              <w:top w:val="single" w:sz="4" w:space="0" w:color="auto"/>
            </w:tcBorders>
          </w:tcPr>
          <w:p w:rsidR="0048417A" w:rsidRPr="004D57B3" w:rsidRDefault="0048417A" w:rsidP="00836B55">
            <w:pPr>
              <w:pStyle w:val="TableText"/>
            </w:pPr>
            <w:r w:rsidRPr="004D57B3">
              <w:t>$1,471.50 (75%)</w:t>
            </w:r>
          </w:p>
          <w:p w:rsidR="0048417A" w:rsidRPr="004D57B3" w:rsidRDefault="0048417A" w:rsidP="00836B55">
            <w:pPr>
              <w:pStyle w:val="TableText"/>
            </w:pPr>
          </w:p>
          <w:p w:rsidR="0048417A" w:rsidRPr="004D57B3" w:rsidRDefault="0048417A" w:rsidP="00836B55">
            <w:pPr>
              <w:pStyle w:val="TableText"/>
            </w:pPr>
            <w:r w:rsidRPr="004D57B3">
              <w:t>$1,890.75 (85%)</w:t>
            </w:r>
          </w:p>
        </w:tc>
        <w:tc>
          <w:tcPr>
            <w:tcW w:w="683" w:type="pct"/>
            <w:tcBorders>
              <w:top w:val="single" w:sz="4" w:space="0" w:color="auto"/>
            </w:tcBorders>
          </w:tcPr>
          <w:p w:rsidR="0048417A" w:rsidRPr="004D57B3" w:rsidRDefault="0048417A" w:rsidP="00836B55">
            <w:pPr>
              <w:pStyle w:val="TableText"/>
            </w:pPr>
            <w:r>
              <w:t>OGIB</w:t>
            </w:r>
          </w:p>
        </w:tc>
        <w:tc>
          <w:tcPr>
            <w:tcW w:w="738" w:type="pct"/>
            <w:tcBorders>
              <w:top w:val="single" w:sz="4" w:space="0" w:color="auto"/>
            </w:tcBorders>
          </w:tcPr>
          <w:p w:rsidR="0048417A" w:rsidRPr="004D57B3" w:rsidRDefault="0048417A" w:rsidP="00836B55">
            <w:pPr>
              <w:pStyle w:val="TableText"/>
            </w:pPr>
            <w:r w:rsidRPr="004D57B3">
              <w:t>Interim funding:</w:t>
            </w:r>
          </w:p>
          <w:p w:rsidR="0048417A" w:rsidRPr="004D57B3" w:rsidRDefault="0048417A" w:rsidP="00836B55">
            <w:pPr>
              <w:pStyle w:val="TableText"/>
            </w:pPr>
            <w:r w:rsidRPr="004D57B3">
              <w:t>1 May 2004</w:t>
            </w:r>
          </w:p>
          <w:p w:rsidR="0048417A" w:rsidRPr="004D57B3" w:rsidRDefault="0048417A" w:rsidP="00836B55">
            <w:pPr>
              <w:pStyle w:val="TableText"/>
            </w:pPr>
          </w:p>
          <w:p w:rsidR="0048417A" w:rsidRPr="004D57B3" w:rsidRDefault="0048417A" w:rsidP="00836B55">
            <w:pPr>
              <w:pStyle w:val="TableText"/>
            </w:pPr>
            <w:r w:rsidRPr="004D57B3">
              <w:t>Approved for ongoing funding:</w:t>
            </w:r>
          </w:p>
          <w:p w:rsidR="0048417A" w:rsidRPr="004D57B3" w:rsidRDefault="0048417A" w:rsidP="00836B55">
            <w:pPr>
              <w:pStyle w:val="TableText"/>
            </w:pPr>
            <w:r w:rsidRPr="004D57B3">
              <w:t>23 November 2007</w:t>
            </w:r>
          </w:p>
        </w:tc>
      </w:tr>
      <w:tr w:rsidR="0048417A" w:rsidRPr="004D57B3" w:rsidTr="00836B55">
        <w:trPr>
          <w:trHeight w:val="4132"/>
        </w:trPr>
        <w:tc>
          <w:tcPr>
            <w:tcW w:w="354" w:type="pct"/>
            <w:tcBorders>
              <w:bottom w:val="single" w:sz="4" w:space="0" w:color="auto"/>
            </w:tcBorders>
          </w:tcPr>
          <w:p w:rsidR="0048417A" w:rsidRPr="004D57B3" w:rsidRDefault="0048417A" w:rsidP="00836B55">
            <w:pPr>
              <w:pStyle w:val="TableText"/>
            </w:pPr>
            <w:r w:rsidRPr="004D57B3">
              <w:t>11823</w:t>
            </w:r>
          </w:p>
        </w:tc>
        <w:tc>
          <w:tcPr>
            <w:tcW w:w="2239" w:type="pct"/>
            <w:tcBorders>
              <w:bottom w:val="single" w:sz="4" w:space="0" w:color="auto"/>
            </w:tcBorders>
          </w:tcPr>
          <w:p w:rsidR="0048417A" w:rsidRPr="004D57B3" w:rsidRDefault="0048417A" w:rsidP="00836B55">
            <w:pPr>
              <w:pStyle w:val="TableText"/>
            </w:pPr>
            <w:r w:rsidRPr="004D57B3">
              <w:t xml:space="preserve">CAPSULE ENDOSCOPY to conduct small bowel surveillance of a patient diagnosed with </w:t>
            </w:r>
            <w:proofErr w:type="spellStart"/>
            <w:r w:rsidRPr="004D57B3">
              <w:t>Peutz-Jeghers</w:t>
            </w:r>
            <w:proofErr w:type="spellEnd"/>
            <w:r w:rsidRPr="004D57B3">
              <w:t xml:space="preserve"> syndrome, using a capsule endoscopy device approved by the TGA.  The procedure includes the administration of the capsule, imaging, image reading and interpretation, and all attendances for providing the service on the day the capsule is administered (not being a service associated with double balloon </w:t>
            </w:r>
            <w:proofErr w:type="spellStart"/>
            <w:r w:rsidRPr="004D57B3">
              <w:t>enteroscopy</w:t>
            </w:r>
            <w:proofErr w:type="spellEnd"/>
            <w:r w:rsidRPr="004D57B3">
              <w:t xml:space="preserve">). </w:t>
            </w:r>
          </w:p>
          <w:p w:rsidR="0048417A" w:rsidRPr="004D57B3" w:rsidRDefault="0048417A" w:rsidP="00836B55">
            <w:pPr>
              <w:pStyle w:val="TableText"/>
            </w:pPr>
            <w:r w:rsidRPr="004D57B3">
              <w:t xml:space="preserve">Medicare benefits are only payable for this item if: </w:t>
            </w:r>
          </w:p>
          <w:p w:rsidR="0048417A" w:rsidRPr="004D57B3" w:rsidRDefault="0048417A" w:rsidP="00836B55">
            <w:pPr>
              <w:pStyle w:val="TableText"/>
            </w:pPr>
            <w:r w:rsidRPr="004D57B3">
              <w:t>1.</w:t>
            </w:r>
            <w:r w:rsidR="00260BB3" w:rsidRPr="004D57B3">
              <w:t xml:space="preserve"> </w:t>
            </w:r>
            <w:r w:rsidRPr="004D57B3">
              <w:t xml:space="preserve">the service has been performed by a specialist or consultant physician with endoscopic training that is recognised by the Conjoint Committee for the Recognition of Training in Gastrointestinal Endoscopy; and </w:t>
            </w:r>
          </w:p>
          <w:p w:rsidR="0048417A" w:rsidRPr="004D57B3" w:rsidRDefault="0048417A" w:rsidP="00836B55">
            <w:pPr>
              <w:pStyle w:val="TableText"/>
            </w:pPr>
            <w:r w:rsidRPr="004D57B3">
              <w:t>2.</w:t>
            </w:r>
            <w:r w:rsidR="00260BB3" w:rsidRPr="004D57B3">
              <w:t xml:space="preserve"> </w:t>
            </w:r>
            <w:proofErr w:type="gramStart"/>
            <w:r w:rsidRPr="004D57B3">
              <w:t>the</w:t>
            </w:r>
            <w:proofErr w:type="gramEnd"/>
            <w:r w:rsidRPr="004D57B3">
              <w:t xml:space="preserve"> patient to whom the service is provided has been conclusively diagnosed with </w:t>
            </w:r>
            <w:proofErr w:type="spellStart"/>
            <w:r w:rsidRPr="004D57B3">
              <w:t>Peutz-Jeghers</w:t>
            </w:r>
            <w:proofErr w:type="spellEnd"/>
            <w:r w:rsidRPr="004D57B3">
              <w:t xml:space="preserve"> syndrome</w:t>
            </w:r>
            <w:r>
              <w:t>.</w:t>
            </w:r>
            <w:r w:rsidRPr="004D57B3">
              <w:t xml:space="preserve"> </w:t>
            </w:r>
          </w:p>
          <w:p w:rsidR="0048417A" w:rsidRPr="004D57B3" w:rsidRDefault="0048417A" w:rsidP="00836B55">
            <w:pPr>
              <w:pStyle w:val="TableText"/>
            </w:pPr>
            <w:r w:rsidRPr="004D57B3">
              <w:t xml:space="preserve">This item is available once in any two year period. </w:t>
            </w:r>
          </w:p>
        </w:tc>
        <w:tc>
          <w:tcPr>
            <w:tcW w:w="493" w:type="pct"/>
            <w:tcBorders>
              <w:bottom w:val="single" w:sz="4" w:space="0" w:color="auto"/>
            </w:tcBorders>
          </w:tcPr>
          <w:p w:rsidR="0048417A" w:rsidRPr="004D57B3" w:rsidRDefault="0048417A" w:rsidP="00836B55">
            <w:pPr>
              <w:pStyle w:val="TableText"/>
            </w:pPr>
            <w:r w:rsidRPr="004D57B3">
              <w:t>$1,961.95</w:t>
            </w:r>
          </w:p>
        </w:tc>
        <w:tc>
          <w:tcPr>
            <w:tcW w:w="493" w:type="pct"/>
            <w:tcBorders>
              <w:bottom w:val="single" w:sz="4" w:space="0" w:color="auto"/>
            </w:tcBorders>
          </w:tcPr>
          <w:p w:rsidR="0048417A" w:rsidRPr="004D57B3" w:rsidRDefault="0048417A" w:rsidP="00836B55">
            <w:pPr>
              <w:pStyle w:val="TableText"/>
            </w:pPr>
            <w:r w:rsidRPr="004D57B3">
              <w:t>$1,471.50 (75%)</w:t>
            </w:r>
          </w:p>
          <w:p w:rsidR="0048417A" w:rsidRPr="004D57B3" w:rsidRDefault="0048417A" w:rsidP="00836B55">
            <w:pPr>
              <w:pStyle w:val="TableText"/>
            </w:pPr>
          </w:p>
          <w:p w:rsidR="0048417A" w:rsidRPr="004D57B3" w:rsidRDefault="0048417A" w:rsidP="00836B55">
            <w:pPr>
              <w:pStyle w:val="TableText"/>
            </w:pPr>
            <w:r w:rsidRPr="004D57B3">
              <w:t>$1,890.75 (85%)</w:t>
            </w:r>
          </w:p>
        </w:tc>
        <w:tc>
          <w:tcPr>
            <w:tcW w:w="683" w:type="pct"/>
            <w:tcBorders>
              <w:bottom w:val="single" w:sz="4" w:space="0" w:color="auto"/>
            </w:tcBorders>
          </w:tcPr>
          <w:p w:rsidR="0048417A" w:rsidRPr="004D57B3" w:rsidRDefault="0048417A" w:rsidP="00836B55">
            <w:pPr>
              <w:pStyle w:val="TableText"/>
            </w:pPr>
            <w:r w:rsidRPr="004D57B3">
              <w:t xml:space="preserve">Surveillance of </w:t>
            </w:r>
            <w:r>
              <w:t>PJS</w:t>
            </w:r>
          </w:p>
        </w:tc>
        <w:tc>
          <w:tcPr>
            <w:tcW w:w="738" w:type="pct"/>
            <w:tcBorders>
              <w:bottom w:val="single" w:sz="4" w:space="0" w:color="auto"/>
            </w:tcBorders>
          </w:tcPr>
          <w:p w:rsidR="0048417A" w:rsidRPr="004D57B3" w:rsidRDefault="0048417A" w:rsidP="00836B55">
            <w:pPr>
              <w:pStyle w:val="TableText"/>
            </w:pPr>
            <w:r w:rsidRPr="004D57B3">
              <w:t>Listed:</w:t>
            </w:r>
          </w:p>
          <w:p w:rsidR="0048417A" w:rsidRPr="004D57B3" w:rsidRDefault="0048417A" w:rsidP="00836B55">
            <w:pPr>
              <w:pStyle w:val="TableText"/>
            </w:pPr>
            <w:r w:rsidRPr="004D57B3">
              <w:t>1 March 2009</w:t>
            </w:r>
          </w:p>
        </w:tc>
      </w:tr>
    </w:tbl>
    <w:p w:rsidR="0048417A" w:rsidRPr="004D57B3" w:rsidRDefault="0048417A" w:rsidP="00836B55">
      <w:pPr>
        <w:pStyle w:val="TableText"/>
        <w:ind w:left="616"/>
      </w:pPr>
      <w:r w:rsidRPr="004D57B3">
        <w:t>α – Further details associated with these listings can be found in the explanatory notes D1.22 and D1.23 which are accessible via the Medicare Benefits Schedule.</w:t>
      </w:r>
    </w:p>
    <w:p w:rsidR="0048417A" w:rsidRPr="004D57B3" w:rsidRDefault="0048417A" w:rsidP="00260BB3">
      <w:pPr>
        <w:pStyle w:val="TableText"/>
        <w:ind w:left="616"/>
      </w:pPr>
      <w:r w:rsidRPr="004D57B3">
        <w:t xml:space="preserve">Source: Medicare Benefits Schedule </w:t>
      </w:r>
      <w:r>
        <w:rPr>
          <w:noProof/>
        </w:rPr>
        <w:t>(Commonwealth of Australia 2011a)</w:t>
      </w:r>
      <w:r w:rsidR="00260BB3" w:rsidRPr="004D57B3">
        <w:t xml:space="preserve"> </w:t>
      </w:r>
    </w:p>
    <w:p w:rsidR="0048417A" w:rsidRPr="004D57B3" w:rsidRDefault="0048417A" w:rsidP="00836B55">
      <w:pPr>
        <w:pStyle w:val="Heading1"/>
      </w:pPr>
      <w:bookmarkStart w:id="73" w:name="_Toc296517874"/>
      <w:bookmarkEnd w:id="70"/>
      <w:r w:rsidRPr="004D57B3">
        <w:lastRenderedPageBreak/>
        <w:t>Approach to assessment</w:t>
      </w:r>
      <w:bookmarkEnd w:id="73"/>
      <w:r w:rsidRPr="004D57B3">
        <w:t xml:space="preserve"> </w:t>
      </w:r>
    </w:p>
    <w:p w:rsidR="0048417A" w:rsidRPr="004D57B3" w:rsidRDefault="0048417A">
      <w:pPr>
        <w:pStyle w:val="Heading2"/>
      </w:pPr>
      <w:bookmarkStart w:id="74" w:name="_Toc296517875"/>
      <w:r w:rsidRPr="004D57B3">
        <w:t>Objective</w:t>
      </w:r>
      <w:bookmarkEnd w:id="74"/>
    </w:p>
    <w:p w:rsidR="0048417A" w:rsidRPr="004D57B3" w:rsidRDefault="0048417A" w:rsidP="00836B55">
      <w:r w:rsidRPr="004D57B3">
        <w:t xml:space="preserve">The objective of this assessment is to undertake a structured evaluation of the clinical need, safety, effectiveness and cost-effectiveness of capsule endoscopy for the diagnosis of suspected small bowel Crohn’s disease. </w:t>
      </w:r>
    </w:p>
    <w:p w:rsidR="0048417A" w:rsidRPr="004D57B3" w:rsidRDefault="0048417A" w:rsidP="00836B55">
      <w:pPr>
        <w:pStyle w:val="Heading2"/>
      </w:pPr>
      <w:bookmarkStart w:id="75" w:name="_Toc296517876"/>
      <w:r w:rsidRPr="004D57B3">
        <w:t>Research question</w:t>
      </w:r>
      <w:bookmarkEnd w:id="75"/>
    </w:p>
    <w:p w:rsidR="0048417A" w:rsidRPr="004D57B3" w:rsidRDefault="0048417A" w:rsidP="00836B55">
      <w:r w:rsidRPr="004D57B3">
        <w:t xml:space="preserve">A specific research question to assess the value of capsule endoscopy for the diagnosis of suspected small bowel Crohn’s disease was developed by the evaluators in consultation with the </w:t>
      </w:r>
      <w:r>
        <w:t>A</w:t>
      </w:r>
      <w:r w:rsidRPr="004D57B3">
        <w:t xml:space="preserve">dvisory </w:t>
      </w:r>
      <w:r>
        <w:t>P</w:t>
      </w:r>
      <w:r w:rsidRPr="004D57B3">
        <w:t xml:space="preserve">anel. This research question was structured according to the ‘PPICO’ (Population, Prior tests, Intervention, Comparator, </w:t>
      </w:r>
      <w:proofErr w:type="gramStart"/>
      <w:r w:rsidRPr="004D57B3">
        <w:t>Outcomes</w:t>
      </w:r>
      <w:proofErr w:type="gramEnd"/>
      <w:r w:rsidRPr="004D57B3">
        <w:t>) framework for well</w:t>
      </w:r>
      <w:r>
        <w:t>-</w:t>
      </w:r>
      <w:r w:rsidRPr="004D57B3">
        <w:t xml:space="preserve">built clinical questions </w:t>
      </w:r>
      <w:r w:rsidRPr="004D57B3">
        <w:rPr>
          <w:noProof/>
        </w:rPr>
        <w:t>(Richardson et al 1995)</w:t>
      </w:r>
      <w:r w:rsidRPr="004D57B3">
        <w:t xml:space="preserve">.  The research question was developed </w:t>
      </w:r>
      <w:r w:rsidRPr="004D57B3">
        <w:rPr>
          <w:i/>
        </w:rPr>
        <w:t xml:space="preserve">a priori </w:t>
      </w:r>
      <w:r w:rsidRPr="004D57B3">
        <w:t xml:space="preserve">on the basis of information in the application and advice provided by the </w:t>
      </w:r>
      <w:r>
        <w:t>A</w:t>
      </w:r>
      <w:r w:rsidRPr="004D57B3">
        <w:t xml:space="preserve">dvisory </w:t>
      </w:r>
      <w:r>
        <w:t>P</w:t>
      </w:r>
      <w:r w:rsidRPr="004D57B3">
        <w:t xml:space="preserve">anel about the characteristics of small bowel Crohn’s disease, current practice and the intended purpose of capsule endoscopy in clinical practice as depicted in the clinical flow chart (see </w:t>
      </w:r>
      <w:r w:rsidR="00AE591B">
        <w:fldChar w:fldCharType="begin"/>
      </w:r>
      <w:r w:rsidR="00AE591B">
        <w:instrText xml:space="preserve"> REF _Ref283280524 \h  \* MERGEFORMAT </w:instrText>
      </w:r>
      <w:r w:rsidR="00AE591B">
        <w:fldChar w:fldCharType="separate"/>
      </w:r>
      <w:r w:rsidRPr="004D57B3">
        <w:t xml:space="preserve">Figure </w:t>
      </w:r>
      <w:r>
        <w:t>2</w:t>
      </w:r>
      <w:r w:rsidR="00AE591B">
        <w:fldChar w:fldCharType="end"/>
      </w:r>
      <w:r w:rsidRPr="004D57B3">
        <w:t>).</w:t>
      </w:r>
    </w:p>
    <w:p w:rsidR="0048417A" w:rsidRPr="004D57B3" w:rsidRDefault="0048417A" w:rsidP="00836B55">
      <w:r w:rsidRPr="004D57B3">
        <w:t xml:space="preserve">The research question was: </w:t>
      </w:r>
    </w:p>
    <w:p w:rsidR="0048417A" w:rsidRPr="004D57B3" w:rsidRDefault="0048417A" w:rsidP="00836B55">
      <w:pPr>
        <w:ind w:left="1134"/>
      </w:pPr>
      <w:r w:rsidRPr="004D57B3">
        <w:t xml:space="preserve">In symptomatic patients with suspected but unconfirmed Crohn’s disease, what is the value of capsule endoscopy compared with abdomen </w:t>
      </w:r>
      <w:r>
        <w:t>CT</w:t>
      </w:r>
      <w:r w:rsidRPr="004D57B3">
        <w:t xml:space="preserve"> with or without </w:t>
      </w:r>
      <w:proofErr w:type="spellStart"/>
      <w:r w:rsidRPr="004D57B3">
        <w:t>enterography</w:t>
      </w:r>
      <w:proofErr w:type="spellEnd"/>
      <w:r w:rsidRPr="004D57B3">
        <w:t xml:space="preserve">, MR with or without </w:t>
      </w:r>
      <w:proofErr w:type="spellStart"/>
      <w:r w:rsidRPr="004D57B3">
        <w:t>enterography</w:t>
      </w:r>
      <w:proofErr w:type="spellEnd"/>
      <w:r w:rsidRPr="004D57B3">
        <w:t xml:space="preserve">, or empirical treatment for the diagnosis of suspected small bowel Crohn’s disease? </w:t>
      </w:r>
    </w:p>
    <w:p w:rsidR="0048417A" w:rsidRPr="004D57B3" w:rsidRDefault="0048417A" w:rsidP="00836B55">
      <w:r w:rsidRPr="004D57B3">
        <w:t xml:space="preserve">The complete details of the research question can be found in the PPICO table and its accompanying footnotes (see </w:t>
      </w:r>
      <w:r w:rsidR="00AE591B">
        <w:fldChar w:fldCharType="begin"/>
      </w:r>
      <w:r w:rsidR="00AE591B">
        <w:instrText xml:space="preserve"> REF _Ref278283642 \h  \* MERGEFORMAT </w:instrText>
      </w:r>
      <w:r w:rsidR="00AE591B">
        <w:fldChar w:fldCharType="separate"/>
      </w:r>
      <w:r w:rsidRPr="004D57B3">
        <w:t xml:space="preserve">Table </w:t>
      </w:r>
      <w:r>
        <w:t>8</w:t>
      </w:r>
      <w:r w:rsidR="00AE591B">
        <w:fldChar w:fldCharType="end"/>
      </w:r>
      <w:r w:rsidRPr="004D57B3">
        <w:t>).</w:t>
      </w:r>
    </w:p>
    <w:p w:rsidR="0048417A" w:rsidRPr="004D57B3" w:rsidRDefault="0048417A" w:rsidP="00836B55">
      <w:pPr>
        <w:rPr>
          <w:bCs/>
        </w:rPr>
      </w:pPr>
    </w:p>
    <w:p w:rsidR="0048417A" w:rsidRPr="004D57B3" w:rsidRDefault="0048417A" w:rsidP="00836B55">
      <w:pPr>
        <w:pStyle w:val="Caption"/>
        <w:rPr>
          <w:rFonts w:ascii="Arial Narrow" w:hAnsi="Arial Narrow"/>
          <w:sz w:val="22"/>
          <w:szCs w:val="22"/>
        </w:rPr>
      </w:pPr>
      <w:bookmarkStart w:id="76" w:name="_Ref273015539"/>
    </w:p>
    <w:p w:rsidR="0048417A" w:rsidRPr="004D57B3" w:rsidRDefault="0048417A" w:rsidP="00836B55">
      <w:pPr>
        <w:pStyle w:val="TableName"/>
        <w:ind w:left="1287"/>
        <w:rPr>
          <w:color w:val="0000FF"/>
          <w:lang w:val="en-US"/>
        </w:rPr>
      </w:pPr>
      <w:bookmarkStart w:id="77" w:name="_Ref278283642"/>
      <w:bookmarkStart w:id="78" w:name="_Toc291859570"/>
      <w:r w:rsidRPr="004D57B3">
        <w:lastRenderedPageBreak/>
        <w:t xml:space="preserve">Table </w:t>
      </w:r>
      <w:r w:rsidR="00AE591B">
        <w:fldChar w:fldCharType="begin"/>
      </w:r>
      <w:r w:rsidR="00AE591B">
        <w:instrText xml:space="preserve"> SEQ Table \* ARABIC </w:instrText>
      </w:r>
      <w:r w:rsidR="00AE591B">
        <w:fldChar w:fldCharType="separate"/>
      </w:r>
      <w:r>
        <w:rPr>
          <w:noProof/>
        </w:rPr>
        <w:t>8</w:t>
      </w:r>
      <w:r w:rsidR="00AE591B">
        <w:rPr>
          <w:noProof/>
        </w:rPr>
        <w:fldChar w:fldCharType="end"/>
      </w:r>
      <w:bookmarkEnd w:id="76"/>
      <w:bookmarkEnd w:id="77"/>
      <w:r w:rsidRPr="004D57B3">
        <w:tab/>
      </w:r>
      <w:r w:rsidRPr="004D57B3">
        <w:rPr>
          <w:szCs w:val="22"/>
        </w:rPr>
        <w:t>PPICO</w:t>
      </w:r>
      <w:r w:rsidRPr="004D57B3">
        <w:t xml:space="preserve"> criteria and clinical question for the diagnosis of suspected small bowel Crohn’s disease</w:t>
      </w:r>
      <w:bookmarkEnd w:id="78"/>
    </w:p>
    <w:tbl>
      <w:tblPr>
        <w:tblW w:w="4571" w:type="pct"/>
        <w:tblInd w:w="6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11"/>
        <w:gridCol w:w="1439"/>
        <w:gridCol w:w="1246"/>
        <w:gridCol w:w="1425"/>
        <w:gridCol w:w="1298"/>
        <w:gridCol w:w="1633"/>
      </w:tblGrid>
      <w:tr w:rsidR="0048417A" w:rsidRPr="004D57B3" w:rsidTr="00836B55">
        <w:trPr>
          <w:cantSplit/>
          <w:trHeight w:val="421"/>
        </w:trPr>
        <w:tc>
          <w:tcPr>
            <w:tcW w:w="835" w:type="pct"/>
          </w:tcPr>
          <w:p w:rsidR="0048417A" w:rsidRPr="004D57B3" w:rsidRDefault="0048417A" w:rsidP="00836B55">
            <w:pPr>
              <w:pStyle w:val="TableHeading"/>
            </w:pPr>
            <w:r w:rsidRPr="004D57B3">
              <w:t>Population</w:t>
            </w:r>
          </w:p>
        </w:tc>
        <w:tc>
          <w:tcPr>
            <w:tcW w:w="851" w:type="pct"/>
          </w:tcPr>
          <w:p w:rsidR="0048417A" w:rsidRPr="004D57B3" w:rsidRDefault="0048417A" w:rsidP="00836B55">
            <w:pPr>
              <w:pStyle w:val="TableHeading"/>
            </w:pPr>
            <w:r w:rsidRPr="004D57B3">
              <w:t>Prior tests</w:t>
            </w:r>
          </w:p>
        </w:tc>
        <w:tc>
          <w:tcPr>
            <w:tcW w:w="737" w:type="pct"/>
          </w:tcPr>
          <w:p w:rsidR="0048417A" w:rsidRPr="004D57B3" w:rsidRDefault="0048417A" w:rsidP="00836B55">
            <w:pPr>
              <w:pStyle w:val="TableHeading"/>
            </w:pPr>
            <w:r w:rsidRPr="004D57B3">
              <w:t>Intervention</w:t>
            </w:r>
          </w:p>
        </w:tc>
        <w:tc>
          <w:tcPr>
            <w:tcW w:w="843" w:type="pct"/>
          </w:tcPr>
          <w:p w:rsidR="0048417A" w:rsidRPr="004D57B3" w:rsidRDefault="0048417A" w:rsidP="00836B55">
            <w:pPr>
              <w:pStyle w:val="TableHeading"/>
            </w:pPr>
            <w:r w:rsidRPr="004D57B3">
              <w:t>Comparator</w:t>
            </w:r>
          </w:p>
        </w:tc>
        <w:tc>
          <w:tcPr>
            <w:tcW w:w="768" w:type="pct"/>
          </w:tcPr>
          <w:p w:rsidR="0048417A" w:rsidRPr="004D57B3" w:rsidRDefault="0048417A" w:rsidP="00836B55">
            <w:pPr>
              <w:pStyle w:val="TableHeading"/>
            </w:pPr>
            <w:r w:rsidRPr="004D57B3">
              <w:t>Reference standard</w:t>
            </w:r>
          </w:p>
        </w:tc>
        <w:tc>
          <w:tcPr>
            <w:tcW w:w="966" w:type="pct"/>
          </w:tcPr>
          <w:p w:rsidR="0048417A" w:rsidRPr="004D57B3" w:rsidRDefault="0048417A" w:rsidP="00836B55">
            <w:pPr>
              <w:pStyle w:val="TableHeading"/>
            </w:pPr>
            <w:r w:rsidRPr="004D57B3">
              <w:t>Outcomes</w:t>
            </w:r>
          </w:p>
        </w:tc>
      </w:tr>
      <w:tr w:rsidR="0048417A" w:rsidRPr="004D57B3" w:rsidTr="00836B55">
        <w:trPr>
          <w:cantSplit/>
          <w:trHeight w:val="3214"/>
        </w:trPr>
        <w:tc>
          <w:tcPr>
            <w:tcW w:w="835" w:type="pct"/>
          </w:tcPr>
          <w:p w:rsidR="0048417A" w:rsidRPr="004D57B3" w:rsidRDefault="0048417A" w:rsidP="00836B55">
            <w:pPr>
              <w:pStyle w:val="TableText"/>
            </w:pPr>
            <w:r w:rsidRPr="004D57B3">
              <w:t>Patients with suspected but unconfirmed non</w:t>
            </w:r>
            <w:r>
              <w:t>-</w:t>
            </w:r>
            <w:proofErr w:type="spellStart"/>
            <w:r w:rsidRPr="004D57B3">
              <w:t>stricturing</w:t>
            </w:r>
            <w:proofErr w:type="spellEnd"/>
            <w:r w:rsidRPr="004D57B3">
              <w:t xml:space="preserve"> small bowel Crohn’s disease, as indicated by ongoing symptoms suggestive of Crohn’s disease such as abdominal pain, diarrhoea, extra-intestinal symptoms or raised inflammatory markers on blood tests.</w:t>
            </w:r>
            <w:r w:rsidRPr="004D57B3">
              <w:rPr>
                <w:vertAlign w:val="superscript"/>
              </w:rPr>
              <w:t>1</w:t>
            </w:r>
          </w:p>
          <w:p w:rsidR="0048417A" w:rsidRPr="004D57B3" w:rsidRDefault="0048417A" w:rsidP="00836B55">
            <w:pPr>
              <w:pStyle w:val="TableText"/>
            </w:pPr>
          </w:p>
          <w:p w:rsidR="0048417A" w:rsidRPr="004D57B3" w:rsidRDefault="0048417A" w:rsidP="00836B55">
            <w:pPr>
              <w:pStyle w:val="TableText"/>
            </w:pPr>
          </w:p>
          <w:p w:rsidR="0048417A" w:rsidRPr="004D57B3" w:rsidRDefault="0048417A" w:rsidP="00836B55">
            <w:pPr>
              <w:pStyle w:val="TableText"/>
            </w:pPr>
          </w:p>
        </w:tc>
        <w:tc>
          <w:tcPr>
            <w:tcW w:w="851" w:type="pct"/>
          </w:tcPr>
          <w:p w:rsidR="0048417A" w:rsidRPr="004D57B3" w:rsidRDefault="0048417A" w:rsidP="00836B55">
            <w:pPr>
              <w:pStyle w:val="TableText"/>
            </w:pPr>
            <w:r w:rsidRPr="004D57B3">
              <w:t xml:space="preserve">Conventional diagnostic tests:  </w:t>
            </w:r>
          </w:p>
          <w:p w:rsidR="0048417A" w:rsidRPr="004D57B3" w:rsidRDefault="0048417A" w:rsidP="00836B55">
            <w:pPr>
              <w:pStyle w:val="TableText"/>
            </w:pPr>
            <w:r w:rsidRPr="004D57B3">
              <w:t>Colonoscopy</w:t>
            </w:r>
          </w:p>
          <w:p w:rsidR="0048417A" w:rsidRPr="004D57B3" w:rsidRDefault="0048417A" w:rsidP="00836B55">
            <w:pPr>
              <w:pStyle w:val="TableText"/>
            </w:pPr>
            <w:r w:rsidRPr="004D57B3">
              <w:rPr>
                <w:i/>
              </w:rPr>
              <w:t>and</w:t>
            </w:r>
          </w:p>
          <w:p w:rsidR="0048417A" w:rsidRPr="004D57B3" w:rsidRDefault="0048417A" w:rsidP="00836B55">
            <w:pPr>
              <w:pStyle w:val="TableText"/>
            </w:pPr>
            <w:r w:rsidRPr="004D57B3">
              <w:t xml:space="preserve">Attempted </w:t>
            </w:r>
            <w:proofErr w:type="spellStart"/>
            <w:r w:rsidRPr="004D57B3">
              <w:t>Ileoscopy</w:t>
            </w:r>
            <w:proofErr w:type="spellEnd"/>
            <w:r w:rsidRPr="004D57B3">
              <w:t xml:space="preserve"> (as part of colonoscopy)</w:t>
            </w:r>
          </w:p>
          <w:p w:rsidR="0048417A" w:rsidRPr="004D57B3" w:rsidRDefault="0048417A" w:rsidP="00836B55">
            <w:pPr>
              <w:pStyle w:val="TableText"/>
            </w:pPr>
            <w:r w:rsidRPr="004D57B3">
              <w:rPr>
                <w:i/>
              </w:rPr>
              <w:t>and</w:t>
            </w:r>
          </w:p>
          <w:p w:rsidR="0048417A" w:rsidRPr="004D57B3" w:rsidRDefault="0048417A" w:rsidP="00836B55">
            <w:pPr>
              <w:pStyle w:val="TableText"/>
            </w:pPr>
            <w:r w:rsidRPr="004D57B3">
              <w:t xml:space="preserve">Small bowel radiology: SBFT </w:t>
            </w:r>
            <w:r w:rsidRPr="004D57B3">
              <w:rPr>
                <w:i/>
              </w:rPr>
              <w:t xml:space="preserve">or </w:t>
            </w:r>
            <w:r w:rsidRPr="004D57B3">
              <w:t xml:space="preserve">small bowel </w:t>
            </w:r>
            <w:proofErr w:type="spellStart"/>
            <w:r w:rsidRPr="004D57B3">
              <w:t>enteroclysis</w:t>
            </w:r>
            <w:proofErr w:type="spellEnd"/>
            <w:r w:rsidRPr="004D57B3">
              <w:t xml:space="preserve"> (SBE) </w:t>
            </w:r>
            <w:r w:rsidRPr="004D57B3">
              <w:rPr>
                <w:i/>
              </w:rPr>
              <w:t xml:space="preserve">or </w:t>
            </w:r>
            <w:r w:rsidRPr="004D57B3">
              <w:t>Abdomen CT +/</w:t>
            </w:r>
            <w:r>
              <w:t>–</w:t>
            </w:r>
            <w:r w:rsidRPr="004D57B3">
              <w:t xml:space="preserve"> </w:t>
            </w:r>
            <w:proofErr w:type="spellStart"/>
            <w:r w:rsidRPr="004D57B3">
              <w:t>enterography</w:t>
            </w:r>
            <w:proofErr w:type="spellEnd"/>
          </w:p>
          <w:p w:rsidR="0048417A" w:rsidRPr="004D57B3" w:rsidRDefault="0048417A" w:rsidP="00836B55">
            <w:pPr>
              <w:pStyle w:val="TableText"/>
            </w:pPr>
            <w:r w:rsidRPr="004D57B3">
              <w:rPr>
                <w:i/>
              </w:rPr>
              <w:t>or</w:t>
            </w:r>
            <w:r w:rsidRPr="004D57B3">
              <w:t xml:space="preserve">  MR +/</w:t>
            </w:r>
            <w:r>
              <w:t>–</w:t>
            </w:r>
            <w:r w:rsidRPr="004D57B3">
              <w:t xml:space="preserve"> </w:t>
            </w:r>
            <w:proofErr w:type="spellStart"/>
            <w:r w:rsidRPr="004D57B3">
              <w:t>enterography</w:t>
            </w:r>
            <w:proofErr w:type="spellEnd"/>
          </w:p>
          <w:p w:rsidR="0048417A" w:rsidRPr="004D57B3" w:rsidRDefault="0048417A" w:rsidP="00836B55">
            <w:pPr>
              <w:pStyle w:val="TableText"/>
            </w:pPr>
            <w:r w:rsidRPr="004D57B3">
              <w:rPr>
                <w:i/>
              </w:rPr>
              <w:t>and</w:t>
            </w:r>
          </w:p>
          <w:p w:rsidR="0048417A" w:rsidRPr="004D57B3" w:rsidRDefault="0048417A" w:rsidP="00836B55">
            <w:pPr>
              <w:pStyle w:val="TableText"/>
            </w:pPr>
            <w:r w:rsidRPr="004D57B3">
              <w:t>Blood tests</w:t>
            </w:r>
          </w:p>
          <w:p w:rsidR="0048417A" w:rsidRPr="004D57B3" w:rsidRDefault="0048417A" w:rsidP="00836B55">
            <w:pPr>
              <w:pStyle w:val="TableText"/>
            </w:pPr>
          </w:p>
        </w:tc>
        <w:tc>
          <w:tcPr>
            <w:tcW w:w="737" w:type="pct"/>
          </w:tcPr>
          <w:p w:rsidR="0048417A" w:rsidRPr="004D57B3" w:rsidRDefault="0048417A" w:rsidP="00836B55">
            <w:pPr>
              <w:pStyle w:val="TableText"/>
            </w:pPr>
            <w:r w:rsidRPr="004D57B3">
              <w:t>Capsule endoscopy</w:t>
            </w:r>
          </w:p>
          <w:p w:rsidR="0048417A" w:rsidRPr="004D57B3" w:rsidRDefault="0048417A" w:rsidP="00836B55">
            <w:pPr>
              <w:pStyle w:val="TableText"/>
            </w:pPr>
          </w:p>
          <w:p w:rsidR="0048417A" w:rsidRPr="004D57B3" w:rsidRDefault="0048417A" w:rsidP="00836B55">
            <w:pPr>
              <w:pStyle w:val="TableText"/>
            </w:pPr>
          </w:p>
          <w:p w:rsidR="0048417A" w:rsidRPr="004D57B3" w:rsidRDefault="0048417A" w:rsidP="00836B55">
            <w:pPr>
              <w:pStyle w:val="TableText"/>
            </w:pPr>
          </w:p>
        </w:tc>
        <w:tc>
          <w:tcPr>
            <w:tcW w:w="843" w:type="pct"/>
          </w:tcPr>
          <w:p w:rsidR="0048417A" w:rsidRPr="004D57B3" w:rsidRDefault="0048417A" w:rsidP="00836B55">
            <w:pPr>
              <w:pStyle w:val="TableText"/>
            </w:pPr>
            <w:r w:rsidRPr="004D57B3">
              <w:t>Abdomen CT +/</w:t>
            </w:r>
            <w:r>
              <w:t>–</w:t>
            </w:r>
            <w:r w:rsidRPr="004D57B3">
              <w:t xml:space="preserve"> </w:t>
            </w:r>
            <w:proofErr w:type="spellStart"/>
            <w:r w:rsidRPr="004D57B3">
              <w:t>enterography</w:t>
            </w:r>
            <w:proofErr w:type="spellEnd"/>
            <w:r w:rsidRPr="004D57B3">
              <w:t xml:space="preserve"> </w:t>
            </w:r>
          </w:p>
          <w:p w:rsidR="0048417A" w:rsidRPr="004D57B3" w:rsidRDefault="0048417A" w:rsidP="00836B55">
            <w:pPr>
              <w:pStyle w:val="TableText"/>
            </w:pPr>
            <w:r w:rsidRPr="004D57B3">
              <w:rPr>
                <w:i/>
              </w:rPr>
              <w:t>or</w:t>
            </w:r>
          </w:p>
          <w:p w:rsidR="0048417A" w:rsidRPr="004D57B3" w:rsidRDefault="0048417A" w:rsidP="00836B55">
            <w:pPr>
              <w:pStyle w:val="TableText"/>
            </w:pPr>
            <w:r w:rsidRPr="004D57B3">
              <w:t>MR +/</w:t>
            </w:r>
            <w:r>
              <w:t>–</w:t>
            </w:r>
            <w:r w:rsidRPr="004D57B3">
              <w:t xml:space="preserve"> </w:t>
            </w:r>
            <w:proofErr w:type="spellStart"/>
            <w:r w:rsidRPr="004D57B3">
              <w:t>enterography</w:t>
            </w:r>
            <w:proofErr w:type="spellEnd"/>
          </w:p>
          <w:p w:rsidR="0048417A" w:rsidRPr="004D57B3" w:rsidRDefault="0048417A" w:rsidP="00836B55">
            <w:pPr>
              <w:pStyle w:val="TableText"/>
              <w:rPr>
                <w:i/>
              </w:rPr>
            </w:pPr>
            <w:r w:rsidRPr="004D57B3">
              <w:rPr>
                <w:i/>
              </w:rPr>
              <w:t>or</w:t>
            </w:r>
          </w:p>
          <w:p w:rsidR="0048417A" w:rsidRPr="004D57B3" w:rsidRDefault="0048417A" w:rsidP="00260BB3">
            <w:pPr>
              <w:pStyle w:val="TableText"/>
            </w:pPr>
            <w:r w:rsidRPr="004D57B3">
              <w:t>Empirical treatment</w:t>
            </w:r>
          </w:p>
        </w:tc>
        <w:tc>
          <w:tcPr>
            <w:tcW w:w="768" w:type="pct"/>
          </w:tcPr>
          <w:p w:rsidR="0048417A" w:rsidRPr="004D57B3" w:rsidRDefault="0048417A" w:rsidP="00836B55">
            <w:pPr>
              <w:pStyle w:val="TableText"/>
            </w:pPr>
            <w:r w:rsidRPr="004D57B3">
              <w:t>Long</w:t>
            </w:r>
            <w:r>
              <w:t>-</w:t>
            </w:r>
            <w:r w:rsidRPr="004D57B3">
              <w:t>term follow</w:t>
            </w:r>
            <w:r>
              <w:t>-</w:t>
            </w:r>
            <w:r w:rsidRPr="004D57B3">
              <w:t>up (&gt;12 months)</w:t>
            </w:r>
            <w:r w:rsidRPr="004D57B3">
              <w:rPr>
                <w:vertAlign w:val="superscript"/>
              </w:rPr>
              <w:t>2</w:t>
            </w:r>
          </w:p>
          <w:p w:rsidR="0048417A" w:rsidRPr="004D57B3" w:rsidRDefault="0048417A" w:rsidP="00836B55">
            <w:pPr>
              <w:pStyle w:val="TableText"/>
              <w:rPr>
                <w:i/>
              </w:rPr>
            </w:pPr>
            <w:r w:rsidRPr="004D57B3">
              <w:rPr>
                <w:i/>
              </w:rPr>
              <w:t>or</w:t>
            </w:r>
          </w:p>
          <w:p w:rsidR="0048417A" w:rsidRPr="004D57B3" w:rsidRDefault="0048417A" w:rsidP="00836B55">
            <w:pPr>
              <w:pStyle w:val="TableText"/>
            </w:pPr>
            <w:r w:rsidRPr="004D57B3">
              <w:t>Panel of tests</w:t>
            </w:r>
          </w:p>
          <w:p w:rsidR="0048417A" w:rsidRPr="004D57B3" w:rsidRDefault="0048417A" w:rsidP="00836B55">
            <w:pPr>
              <w:pStyle w:val="TableText"/>
              <w:rPr>
                <w:i/>
              </w:rPr>
            </w:pPr>
            <w:r w:rsidRPr="004D57B3">
              <w:rPr>
                <w:i/>
              </w:rPr>
              <w:t>or</w:t>
            </w:r>
          </w:p>
          <w:p w:rsidR="0048417A" w:rsidRPr="004D57B3" w:rsidRDefault="0048417A" w:rsidP="00836B55">
            <w:pPr>
              <w:pStyle w:val="TableText"/>
            </w:pPr>
            <w:r w:rsidRPr="004D57B3">
              <w:t xml:space="preserve">Abdomen CT with </w:t>
            </w:r>
            <w:proofErr w:type="spellStart"/>
            <w:r w:rsidRPr="004D57B3">
              <w:t>enterography</w:t>
            </w:r>
            <w:proofErr w:type="spellEnd"/>
            <w:r w:rsidRPr="004D57B3">
              <w:t xml:space="preserve"> or </w:t>
            </w:r>
            <w:proofErr w:type="spellStart"/>
            <w:r w:rsidRPr="004D57B3">
              <w:t>enteroclysis</w:t>
            </w:r>
            <w:proofErr w:type="spellEnd"/>
          </w:p>
          <w:p w:rsidR="0048417A" w:rsidRPr="004D57B3" w:rsidRDefault="0048417A" w:rsidP="00836B55">
            <w:pPr>
              <w:pStyle w:val="TableText"/>
              <w:rPr>
                <w:i/>
              </w:rPr>
            </w:pPr>
            <w:r w:rsidRPr="004D57B3">
              <w:rPr>
                <w:i/>
              </w:rPr>
              <w:t>or</w:t>
            </w:r>
          </w:p>
          <w:p w:rsidR="0048417A" w:rsidRPr="004D57B3" w:rsidRDefault="0048417A" w:rsidP="00836B55">
            <w:pPr>
              <w:pStyle w:val="TableText"/>
            </w:pPr>
            <w:r w:rsidRPr="004D57B3">
              <w:t xml:space="preserve">MR with </w:t>
            </w:r>
            <w:proofErr w:type="spellStart"/>
            <w:r w:rsidRPr="004D57B3">
              <w:t>enterography</w:t>
            </w:r>
            <w:proofErr w:type="spellEnd"/>
            <w:r w:rsidRPr="004D57B3">
              <w:t xml:space="preserve"> or </w:t>
            </w:r>
            <w:proofErr w:type="spellStart"/>
            <w:r w:rsidRPr="004D57B3">
              <w:t>enteroclysis</w:t>
            </w:r>
            <w:proofErr w:type="spellEnd"/>
          </w:p>
          <w:p w:rsidR="0048417A" w:rsidRPr="004D57B3" w:rsidRDefault="0048417A" w:rsidP="00836B55">
            <w:pPr>
              <w:pStyle w:val="TableText"/>
            </w:pPr>
          </w:p>
        </w:tc>
        <w:tc>
          <w:tcPr>
            <w:tcW w:w="966" w:type="pct"/>
          </w:tcPr>
          <w:p w:rsidR="0048417A" w:rsidRPr="004D57B3" w:rsidRDefault="0048417A" w:rsidP="00836B55">
            <w:pPr>
              <w:pStyle w:val="TableText"/>
            </w:pPr>
            <w:r w:rsidRPr="004D57B3">
              <w:t>Diagnostic performance</w:t>
            </w:r>
          </w:p>
          <w:p w:rsidR="0048417A" w:rsidRPr="004D57B3" w:rsidRDefault="0048417A" w:rsidP="00836B55">
            <w:pPr>
              <w:pStyle w:val="TableText"/>
              <w:numPr>
                <w:ilvl w:val="0"/>
                <w:numId w:val="9"/>
              </w:numPr>
            </w:pPr>
            <w:r w:rsidRPr="004D57B3">
              <w:t>sensitivity</w:t>
            </w:r>
          </w:p>
          <w:p w:rsidR="0048417A" w:rsidRPr="004D57B3" w:rsidRDefault="0048417A" w:rsidP="00836B55">
            <w:pPr>
              <w:pStyle w:val="TableText"/>
              <w:numPr>
                <w:ilvl w:val="0"/>
                <w:numId w:val="9"/>
              </w:numPr>
            </w:pPr>
            <w:r w:rsidRPr="004D57B3">
              <w:t>specificity</w:t>
            </w:r>
          </w:p>
          <w:p w:rsidR="0048417A" w:rsidRPr="004D57B3" w:rsidRDefault="0048417A" w:rsidP="00836B55">
            <w:pPr>
              <w:pStyle w:val="TableText"/>
              <w:numPr>
                <w:ilvl w:val="0"/>
                <w:numId w:val="9"/>
              </w:numPr>
            </w:pPr>
            <w:r w:rsidRPr="004D57B3">
              <w:t>additional TP &amp; FP</w:t>
            </w:r>
          </w:p>
          <w:p w:rsidR="0048417A" w:rsidRPr="004D57B3" w:rsidRDefault="0048417A" w:rsidP="00836B55">
            <w:pPr>
              <w:pStyle w:val="TableText"/>
              <w:numPr>
                <w:ilvl w:val="0"/>
                <w:numId w:val="9"/>
              </w:numPr>
            </w:pPr>
            <w:r w:rsidRPr="004D57B3">
              <w:t>ROC AUC, Q*, DOR</w:t>
            </w:r>
          </w:p>
          <w:p w:rsidR="0048417A" w:rsidRPr="004D57B3" w:rsidRDefault="0048417A" w:rsidP="00836B55">
            <w:pPr>
              <w:pStyle w:val="TableText"/>
              <w:numPr>
                <w:ilvl w:val="0"/>
                <w:numId w:val="9"/>
              </w:numPr>
            </w:pPr>
            <w:r w:rsidRPr="004D57B3">
              <w:t>diagnostic yield</w:t>
            </w:r>
            <w:r w:rsidRPr="004D57B3">
              <w:rPr>
                <w:vertAlign w:val="superscript"/>
              </w:rPr>
              <w:t>3</w:t>
            </w:r>
          </w:p>
          <w:p w:rsidR="0048417A" w:rsidRPr="004D57B3" w:rsidRDefault="0048417A" w:rsidP="00836B55">
            <w:pPr>
              <w:pStyle w:val="TableText"/>
            </w:pPr>
          </w:p>
          <w:p w:rsidR="0048417A" w:rsidRPr="004D57B3" w:rsidRDefault="0048417A" w:rsidP="00836B55">
            <w:pPr>
              <w:pStyle w:val="TableText"/>
            </w:pPr>
            <w:r w:rsidRPr="004D57B3">
              <w:t>Impact on patient management</w:t>
            </w:r>
          </w:p>
          <w:p w:rsidR="0048417A" w:rsidRPr="004D57B3" w:rsidRDefault="0048417A" w:rsidP="00836B55">
            <w:pPr>
              <w:pStyle w:val="TableText"/>
            </w:pPr>
          </w:p>
          <w:p w:rsidR="0048417A" w:rsidRPr="004D57B3" w:rsidRDefault="0048417A" w:rsidP="00836B55">
            <w:pPr>
              <w:pStyle w:val="TableText"/>
            </w:pPr>
            <w:r w:rsidRPr="004D57B3">
              <w:t>Patient outcomes</w:t>
            </w:r>
          </w:p>
          <w:p w:rsidR="0048417A" w:rsidRPr="004D57B3" w:rsidRDefault="0048417A" w:rsidP="00836B55">
            <w:pPr>
              <w:pStyle w:val="TableText"/>
              <w:numPr>
                <w:ilvl w:val="0"/>
                <w:numId w:val="10"/>
              </w:numPr>
            </w:pPr>
            <w:r w:rsidRPr="004D57B3">
              <w:t>Crohn’s disease progression</w:t>
            </w:r>
            <w:r w:rsidRPr="004D57B3">
              <w:rPr>
                <w:vertAlign w:val="superscript"/>
              </w:rPr>
              <w:t>4</w:t>
            </w:r>
          </w:p>
          <w:p w:rsidR="0048417A" w:rsidRPr="004D57B3" w:rsidRDefault="0048417A" w:rsidP="00836B55">
            <w:pPr>
              <w:pStyle w:val="TableText"/>
              <w:numPr>
                <w:ilvl w:val="0"/>
                <w:numId w:val="10"/>
              </w:numPr>
            </w:pPr>
            <w:r w:rsidRPr="004D57B3">
              <w:t>treatment morbidity</w:t>
            </w:r>
          </w:p>
          <w:p w:rsidR="0048417A" w:rsidRPr="004D57B3" w:rsidRDefault="0048417A" w:rsidP="00836B55">
            <w:pPr>
              <w:pStyle w:val="TableText"/>
              <w:numPr>
                <w:ilvl w:val="0"/>
                <w:numId w:val="10"/>
              </w:numPr>
            </w:pPr>
            <w:r w:rsidRPr="004D57B3">
              <w:t>quality of life</w:t>
            </w:r>
          </w:p>
        </w:tc>
      </w:tr>
      <w:tr w:rsidR="0048417A" w:rsidRPr="004D57B3" w:rsidTr="00836B55">
        <w:trPr>
          <w:cantSplit/>
          <w:trHeight w:val="1164"/>
        </w:trPr>
        <w:tc>
          <w:tcPr>
            <w:tcW w:w="5000" w:type="pct"/>
            <w:gridSpan w:val="6"/>
          </w:tcPr>
          <w:p w:rsidR="0048417A" w:rsidRPr="004D57B3" w:rsidRDefault="0048417A" w:rsidP="00836B55">
            <w:pPr>
              <w:pStyle w:val="TableHeading"/>
            </w:pPr>
            <w:r w:rsidRPr="004D57B3">
              <w:t xml:space="preserve">Clinical question </w:t>
            </w:r>
          </w:p>
          <w:p w:rsidR="0048417A" w:rsidRPr="004D57B3" w:rsidRDefault="0048417A" w:rsidP="00836B55">
            <w:pPr>
              <w:pStyle w:val="TableText"/>
            </w:pPr>
            <w:r w:rsidRPr="004D57B3">
              <w:t xml:space="preserve">In </w:t>
            </w:r>
            <w:r>
              <w:t xml:space="preserve">symptomatic </w:t>
            </w:r>
            <w:r w:rsidRPr="004D57B3">
              <w:t xml:space="preserve">patients with suspected but unconfirmed Crohn’s disease, what is the value of capsule endoscopy compared with abdomen CT with or without </w:t>
            </w:r>
            <w:proofErr w:type="spellStart"/>
            <w:r w:rsidRPr="004D57B3">
              <w:t>enterography</w:t>
            </w:r>
            <w:proofErr w:type="spellEnd"/>
            <w:r w:rsidRPr="004D57B3">
              <w:t xml:space="preserve">, MR with or without </w:t>
            </w:r>
            <w:proofErr w:type="spellStart"/>
            <w:r w:rsidRPr="004D57B3">
              <w:t>enterography</w:t>
            </w:r>
            <w:proofErr w:type="spellEnd"/>
            <w:r w:rsidRPr="004D57B3">
              <w:t xml:space="preserve"> or empirical treatment for the diagnosis of suspected small bowel Crohn’s disease?  </w:t>
            </w:r>
          </w:p>
        </w:tc>
      </w:tr>
    </w:tbl>
    <w:p w:rsidR="0048417A" w:rsidRPr="004D57B3" w:rsidRDefault="0048417A" w:rsidP="00836B55">
      <w:pPr>
        <w:spacing w:after="80"/>
        <w:ind w:left="405"/>
        <w:rPr>
          <w:sz w:val="20"/>
        </w:rPr>
      </w:pPr>
    </w:p>
    <w:p w:rsidR="0048417A" w:rsidRPr="004D57B3" w:rsidRDefault="0048417A" w:rsidP="00836B55">
      <w:pPr>
        <w:pStyle w:val="TableNotes"/>
        <w:numPr>
          <w:ilvl w:val="0"/>
          <w:numId w:val="8"/>
        </w:numPr>
        <w:ind w:left="993" w:hanging="426"/>
      </w:pPr>
      <w:r w:rsidRPr="004D57B3">
        <w:t xml:space="preserve">The criteria for enrolling patients in the </w:t>
      </w:r>
      <w:proofErr w:type="spellStart"/>
      <w:r w:rsidRPr="004D57B3">
        <w:t>Multicenter</w:t>
      </w:r>
      <w:proofErr w:type="spellEnd"/>
      <w:r w:rsidRPr="004D57B3">
        <w:t xml:space="preserve"> Australian Capsule Endoscopy in Patients with Suspected Crohn’s Disease Study</w:t>
      </w:r>
      <w:r>
        <w:t xml:space="preserve"> (the MACCS study</w:t>
      </w:r>
      <w:r w:rsidRPr="004D57B3">
        <w:t xml:space="preserve">, Clinical Trials identifier: NCT00434551) </w:t>
      </w:r>
      <w:r>
        <w:rPr>
          <w:noProof/>
        </w:rPr>
        <w:t>(Selby et al 2008)</w:t>
      </w:r>
      <w:r w:rsidRPr="004D57B3">
        <w:t xml:space="preserve"> may be used to further define this patient population. This study includes patients ≥10 years old, who have suffered from abdominal pain and/or diarrhoea for the last six weeks and/or have extra-intestinal manifestations of Crohn’s disease, who have at least one of a number of signs over the preceding six months such as positive inflammatory markers on blood tests (C-reactive protein, erythrocyte sedimentation rate, abnormal white cell scan or platelet count or low albumin) or </w:t>
      </w:r>
      <w:proofErr w:type="spellStart"/>
      <w:r w:rsidRPr="004D57B3">
        <w:t>fecal</w:t>
      </w:r>
      <w:proofErr w:type="spellEnd"/>
      <w:r w:rsidRPr="004D57B3">
        <w:t xml:space="preserve"> </w:t>
      </w:r>
      <w:proofErr w:type="spellStart"/>
      <w:r w:rsidRPr="004D57B3">
        <w:t>calprotectin</w:t>
      </w:r>
      <w:proofErr w:type="spellEnd"/>
      <w:r w:rsidRPr="004D57B3">
        <w:t xml:space="preserve">  or recurrent fever and in whom a diagnosis of Crohn’s disease remains unconfirmed following prior tests conducted within six months prior to enrolment and blood tests within one month of enrolment. The study excludes patients with known intestinal obstruction, suspected strictures or strictures seen on </w:t>
      </w:r>
      <w:r>
        <w:t>SBFT</w:t>
      </w:r>
      <w:r w:rsidRPr="004D57B3">
        <w:t xml:space="preserve">; who are on nonsteroidal anti-inflammatory drugs (NSAIDs) during the three months preceding enrolment; who have indeterminate colitis being evaluated only to make a definitive diagnosis; are undergoing treatment for active inflammatory bowel disease; or that have suspected celiac disease (see Selby et al </w:t>
      </w:r>
      <w:r>
        <w:t>(</w:t>
      </w:r>
      <w:r>
        <w:rPr>
          <w:noProof/>
        </w:rPr>
        <w:t>(2008)</w:t>
      </w:r>
      <w:r>
        <w:t>)</w:t>
      </w:r>
      <w:r w:rsidRPr="004D57B3">
        <w:t xml:space="preserve"> for the complete inclusion and exclusion criteria). </w:t>
      </w:r>
      <w:r w:rsidRPr="004D57B3">
        <w:br/>
      </w:r>
    </w:p>
    <w:p w:rsidR="0048417A" w:rsidRPr="004D57B3" w:rsidRDefault="0048417A" w:rsidP="00836B55">
      <w:pPr>
        <w:pStyle w:val="TableNotes"/>
        <w:numPr>
          <w:ilvl w:val="0"/>
          <w:numId w:val="8"/>
        </w:numPr>
        <w:ind w:left="993" w:hanging="426"/>
      </w:pPr>
      <w:r w:rsidRPr="004D57B3">
        <w:rPr>
          <w:rFonts w:cs="Arial"/>
        </w:rPr>
        <w:t xml:space="preserve">In the absence of studies that use </w:t>
      </w:r>
      <w:r>
        <w:rPr>
          <w:rFonts w:cs="Arial"/>
        </w:rPr>
        <w:t>long-term</w:t>
      </w:r>
      <w:r w:rsidRPr="004D57B3">
        <w:rPr>
          <w:rFonts w:cs="Arial"/>
        </w:rPr>
        <w:t xml:space="preserve"> follow</w:t>
      </w:r>
      <w:r>
        <w:rPr>
          <w:rFonts w:cs="Arial"/>
        </w:rPr>
        <w:t>-</w:t>
      </w:r>
      <w:r w:rsidRPr="004D57B3">
        <w:rPr>
          <w:rFonts w:cs="Arial"/>
        </w:rPr>
        <w:t>up (&gt;12 months) as a reference standard, studies using the other listed reference standards will be considered.</w:t>
      </w:r>
      <w:r w:rsidRPr="004D57B3">
        <w:rPr>
          <w:rFonts w:cs="Arial"/>
        </w:rPr>
        <w:br/>
      </w:r>
    </w:p>
    <w:p w:rsidR="0048417A" w:rsidRPr="004D57B3" w:rsidRDefault="0048417A" w:rsidP="00836B55">
      <w:pPr>
        <w:pStyle w:val="TableNotes"/>
        <w:numPr>
          <w:ilvl w:val="0"/>
          <w:numId w:val="8"/>
        </w:numPr>
        <w:ind w:left="993" w:hanging="426"/>
      </w:pPr>
      <w:r w:rsidRPr="004D57B3">
        <w:rPr>
          <w:rFonts w:cs="Arial"/>
        </w:rPr>
        <w:t>Diagnostic yield will only be used as an outcome if there are insufficient findings arising from studies that use measures of diagnostic accuracy.</w:t>
      </w:r>
      <w:r w:rsidRPr="004D57B3">
        <w:rPr>
          <w:rFonts w:cs="Arial"/>
        </w:rPr>
        <w:br/>
      </w:r>
    </w:p>
    <w:p w:rsidR="0048417A" w:rsidRPr="004D57B3" w:rsidRDefault="0048417A" w:rsidP="00836B55">
      <w:pPr>
        <w:pStyle w:val="TableNotes"/>
        <w:numPr>
          <w:ilvl w:val="0"/>
          <w:numId w:val="8"/>
        </w:numPr>
        <w:ind w:left="993" w:hanging="426"/>
        <w:rPr>
          <w:bCs/>
        </w:rPr>
      </w:pPr>
      <w:r w:rsidRPr="004D57B3">
        <w:rPr>
          <w:rFonts w:cs="Arial"/>
        </w:rPr>
        <w:t>Improvement in, or prevention of, Crohn’s disease progression may be measured by the Crohn’s Disease Activity Index or the Harvey Bradshaw Index.</w:t>
      </w:r>
    </w:p>
    <w:p w:rsidR="0048417A" w:rsidRPr="004D57B3" w:rsidRDefault="0048417A" w:rsidP="00836B55">
      <w:pPr>
        <w:pStyle w:val="Heading2"/>
        <w:rPr>
          <w:bCs/>
        </w:rPr>
      </w:pPr>
      <w:r w:rsidRPr="004D57B3">
        <w:rPr>
          <w:bCs/>
        </w:rPr>
        <w:br w:type="page"/>
      </w:r>
      <w:bookmarkStart w:id="79" w:name="_Ref282076142"/>
      <w:bookmarkStart w:id="80" w:name="_Ref282076145"/>
      <w:bookmarkStart w:id="81" w:name="_Toc296517877"/>
      <w:r w:rsidRPr="004D57B3">
        <w:rPr>
          <w:bCs/>
        </w:rPr>
        <w:lastRenderedPageBreak/>
        <w:t>Clinical decision pathway</w:t>
      </w:r>
      <w:bookmarkEnd w:id="79"/>
      <w:bookmarkEnd w:id="80"/>
      <w:bookmarkEnd w:id="81"/>
    </w:p>
    <w:p w:rsidR="0048417A" w:rsidRPr="004D57B3" w:rsidRDefault="0048417A" w:rsidP="00836B55">
      <w:r w:rsidRPr="004D57B3">
        <w:t xml:space="preserve">A flow chart depicting the diagnosis of patients with suspected small bowel Crohn’s disease was developed based on the information contained in the application submitted to MSAC and the advice of the </w:t>
      </w:r>
      <w:r>
        <w:t>A</w:t>
      </w:r>
      <w:r w:rsidRPr="004D57B3">
        <w:t xml:space="preserve">dvisory </w:t>
      </w:r>
      <w:r>
        <w:t>P</w:t>
      </w:r>
      <w:r w:rsidRPr="004D57B3">
        <w:t xml:space="preserve">anel (see </w:t>
      </w:r>
      <w:r w:rsidR="00AE591B">
        <w:fldChar w:fldCharType="begin"/>
      </w:r>
      <w:r w:rsidR="00AE591B">
        <w:instrText xml:space="preserve"> REF _Ref283280524 \h  \* MERGEFORMAT </w:instrText>
      </w:r>
      <w:r w:rsidR="00AE591B">
        <w:fldChar w:fldCharType="separate"/>
      </w:r>
      <w:r w:rsidRPr="004D57B3">
        <w:t xml:space="preserve">Figure </w:t>
      </w:r>
      <w:r>
        <w:t>2</w:t>
      </w:r>
      <w:r w:rsidR="00AE591B">
        <w:fldChar w:fldCharType="end"/>
      </w:r>
      <w:r w:rsidRPr="004D57B3">
        <w:t xml:space="preserve">). This clinical flow chart depicts the potential role of capsule endoscopy in the diagnosis of patients with suspected but unconfirmed small bowel Crohn’s </w:t>
      </w:r>
      <w:bookmarkStart w:id="82" w:name="_Ref277945384"/>
      <w:r w:rsidRPr="004D57B3">
        <w:t>disease.</w:t>
      </w:r>
      <w:r w:rsidRPr="004D57B3">
        <w:rPr>
          <w:rFonts w:cs="Arial"/>
          <w:szCs w:val="24"/>
          <w:lang w:val="en-US"/>
        </w:rPr>
        <w:tab/>
      </w:r>
      <w:bookmarkStart w:id="83" w:name="_Ref277946354"/>
      <w:bookmarkStart w:id="84" w:name="_Ref281912047"/>
      <w:r w:rsidRPr="004D57B3">
        <w:rPr>
          <w:rFonts w:cs="Arial"/>
          <w:szCs w:val="24"/>
          <w:lang w:val="en-US"/>
        </w:rPr>
        <w:tab/>
      </w:r>
    </w:p>
    <w:p w:rsidR="0048417A" w:rsidRPr="004D57B3" w:rsidRDefault="0048417A" w:rsidP="00836B55">
      <w:pPr>
        <w:pStyle w:val="TableName"/>
      </w:pPr>
      <w:bookmarkStart w:id="85" w:name="_Toc291859596"/>
      <w:r w:rsidRPr="004D57B3">
        <w:t xml:space="preserve">Figure </w:t>
      </w:r>
      <w:r w:rsidR="00AE591B">
        <w:fldChar w:fldCharType="begin"/>
      </w:r>
      <w:r w:rsidR="00AE591B">
        <w:instrText xml:space="preserve"> SEQ Figure \* ARABIC </w:instrText>
      </w:r>
      <w:r w:rsidR="00AE591B">
        <w:fldChar w:fldCharType="separate"/>
      </w:r>
      <w:proofErr w:type="gramStart"/>
      <w:r>
        <w:rPr>
          <w:noProof/>
        </w:rPr>
        <w:t>2</w:t>
      </w:r>
      <w:r w:rsidR="00AE591B">
        <w:rPr>
          <w:noProof/>
        </w:rPr>
        <w:fldChar w:fldCharType="end"/>
      </w:r>
      <w:bookmarkEnd w:id="0"/>
      <w:r w:rsidRPr="004D57B3">
        <w:tab/>
        <w:t>Clinical flow chart</w:t>
      </w:r>
      <w:bookmarkEnd w:id="1"/>
      <w:bookmarkEnd w:id="85"/>
      <w:proofErr w:type="gramEnd"/>
      <w:r w:rsidRPr="004D57B3">
        <w:t xml:space="preserve"> </w:t>
      </w:r>
    </w:p>
    <w:p w:rsidR="0048417A" w:rsidRPr="004D57B3" w:rsidRDefault="00A7744C" w:rsidP="00836B55">
      <w:pPr>
        <w:pStyle w:val="TableName"/>
      </w:pPr>
      <w:r>
        <w:rPr>
          <w:noProof/>
        </w:rPr>
        <w:drawing>
          <wp:inline distT="0" distB="0" distL="0" distR="0">
            <wp:extent cx="5733415" cy="5424170"/>
            <wp:effectExtent l="0" t="0" r="635" b="5080"/>
            <wp:docPr id="81" name="Picture 81" title="Clinical flow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1.tif"/>
                    <pic:cNvPicPr/>
                  </pic:nvPicPr>
                  <pic:blipFill>
                    <a:blip r:embed="rId19">
                      <a:extLst>
                        <a:ext uri="{28A0092B-C50C-407E-A947-70E740481C1C}">
                          <a14:useLocalDpi xmlns:a14="http://schemas.microsoft.com/office/drawing/2010/main" val="0"/>
                        </a:ext>
                      </a:extLst>
                    </a:blip>
                    <a:stretch>
                      <a:fillRect/>
                    </a:stretch>
                  </pic:blipFill>
                  <pic:spPr>
                    <a:xfrm>
                      <a:off x="0" y="0"/>
                      <a:ext cx="5733415" cy="5424170"/>
                    </a:xfrm>
                    <a:prstGeom prst="rect">
                      <a:avLst/>
                    </a:prstGeom>
                  </pic:spPr>
                </pic:pic>
              </a:graphicData>
            </a:graphic>
          </wp:inline>
        </w:drawing>
      </w:r>
    </w:p>
    <w:bookmarkEnd w:id="82"/>
    <w:bookmarkEnd w:id="83"/>
    <w:bookmarkEnd w:id="84"/>
    <w:p w:rsidR="0048417A" w:rsidRPr="004D57B3" w:rsidRDefault="0048417A" w:rsidP="00836B55">
      <w:pPr>
        <w:pStyle w:val="TableNotes"/>
      </w:pPr>
    </w:p>
    <w:p w:rsidR="0048417A" w:rsidRPr="004D57B3" w:rsidRDefault="0048417A" w:rsidP="00836B55">
      <w:pPr>
        <w:pStyle w:val="TableNotes"/>
        <w:numPr>
          <w:ilvl w:val="0"/>
          <w:numId w:val="7"/>
        </w:numPr>
      </w:pPr>
      <w:r w:rsidRPr="004D57B3">
        <w:t>+ refers to a diagnosis of definite Crohn’s, +/</w:t>
      </w:r>
      <w:r>
        <w:t>–</w:t>
      </w:r>
      <w:r w:rsidRPr="004D57B3">
        <w:t xml:space="preserve"> refers to a diagnosis of possible Crohn’s and - refers to Normal (no findings). These choices are based on the criteria defined by Mow et al </w:t>
      </w:r>
      <w:r w:rsidRPr="004D57B3">
        <w:rPr>
          <w:noProof/>
        </w:rPr>
        <w:t>(2004)</w:t>
      </w:r>
      <w:r w:rsidRPr="004D57B3">
        <w:t xml:space="preserve">. </w:t>
      </w:r>
    </w:p>
    <w:p w:rsidR="0048417A" w:rsidRPr="004D57B3" w:rsidRDefault="0048417A" w:rsidP="00836B55">
      <w:pPr>
        <w:pStyle w:val="TableNotes"/>
        <w:ind w:left="1080"/>
      </w:pPr>
    </w:p>
    <w:p w:rsidR="0048417A" w:rsidRPr="004D57B3" w:rsidRDefault="0048417A" w:rsidP="00836B55">
      <w:pPr>
        <w:pStyle w:val="TableNotes"/>
        <w:numPr>
          <w:ilvl w:val="0"/>
          <w:numId w:val="7"/>
        </w:numPr>
      </w:pPr>
      <w:r w:rsidRPr="004D57B3">
        <w:t xml:space="preserve">Patients with suspected small bowel Crohn’s disease as indicated by ongoing symptoms suggestive of Crohn’s disease such as abdominal pain, diarrhoea, extra-intestinal symptoms or raised inflammatory markers on blood tests (C-reactive protein, erythrocyte sedimentation rate, white cell or platelet count or low albumin) and/or </w:t>
      </w:r>
      <w:proofErr w:type="spellStart"/>
      <w:r w:rsidRPr="004D57B3">
        <w:t>fecal</w:t>
      </w:r>
      <w:proofErr w:type="spellEnd"/>
      <w:r w:rsidRPr="004D57B3">
        <w:t xml:space="preserve"> </w:t>
      </w:r>
      <w:proofErr w:type="spellStart"/>
      <w:r w:rsidRPr="004D57B3">
        <w:t>calprotectin</w:t>
      </w:r>
      <w:proofErr w:type="spellEnd"/>
      <w:r w:rsidRPr="004D57B3">
        <w:t xml:space="preserve"> for whom a definitive diagnosis of Crohn’s disease (in any area of the bowel) remains unconfirmed following the above listed prior tests.</w:t>
      </w:r>
    </w:p>
    <w:p w:rsidR="0048417A" w:rsidRPr="004D57B3" w:rsidRDefault="0048417A" w:rsidP="00836B55">
      <w:pPr>
        <w:pStyle w:val="TableNotes"/>
      </w:pPr>
    </w:p>
    <w:p w:rsidR="0048417A" w:rsidRPr="004D57B3" w:rsidRDefault="0048417A" w:rsidP="00836B55">
      <w:pPr>
        <w:pStyle w:val="TableNotes"/>
        <w:numPr>
          <w:ilvl w:val="0"/>
          <w:numId w:val="7"/>
        </w:numPr>
      </w:pPr>
      <w:r w:rsidRPr="004D57B3">
        <w:t xml:space="preserve">This includes a diagnosis of Crohn’s disease in areas other than the small bowel; a patient diagnosed with colonic Crohn’s disease following a colonoscopy would be excluded from this patient population. </w:t>
      </w:r>
    </w:p>
    <w:p w:rsidR="0048417A" w:rsidRPr="004D57B3" w:rsidRDefault="0048417A" w:rsidP="00836B55">
      <w:pPr>
        <w:pStyle w:val="Heading2"/>
        <w:rPr>
          <w:bCs/>
        </w:rPr>
      </w:pPr>
      <w:bookmarkStart w:id="86" w:name="_Toc296517878"/>
      <w:r w:rsidRPr="004D57B3">
        <w:rPr>
          <w:bCs/>
        </w:rPr>
        <w:lastRenderedPageBreak/>
        <w:t>Comparator</w:t>
      </w:r>
      <w:bookmarkEnd w:id="86"/>
    </w:p>
    <w:p w:rsidR="0048417A" w:rsidRPr="004D57B3" w:rsidRDefault="0048417A" w:rsidP="00836B55">
      <w:pPr>
        <w:rPr>
          <w:bCs/>
        </w:rPr>
      </w:pPr>
      <w:r w:rsidRPr="004D57B3">
        <w:rPr>
          <w:bCs/>
        </w:rPr>
        <w:t>This report compares capsule endoscopy for the diagnosis of suspected small bowel Crohn’s disease with three alternative tests:</w:t>
      </w:r>
    </w:p>
    <w:p w:rsidR="0048417A" w:rsidRPr="004D57B3" w:rsidRDefault="0048417A" w:rsidP="00836B55">
      <w:pPr>
        <w:numPr>
          <w:ilvl w:val="0"/>
          <w:numId w:val="2"/>
        </w:numPr>
        <w:rPr>
          <w:bCs/>
        </w:rPr>
      </w:pPr>
      <w:r w:rsidRPr="004D57B3">
        <w:rPr>
          <w:bCs/>
        </w:rPr>
        <w:t>empirical treatment</w:t>
      </w:r>
    </w:p>
    <w:p w:rsidR="0048417A" w:rsidRPr="004D57B3" w:rsidRDefault="0048417A" w:rsidP="00836B55">
      <w:pPr>
        <w:numPr>
          <w:ilvl w:val="0"/>
          <w:numId w:val="2"/>
        </w:numPr>
        <w:rPr>
          <w:bCs/>
        </w:rPr>
      </w:pPr>
      <w:r w:rsidRPr="004D57B3">
        <w:rPr>
          <w:bCs/>
        </w:rPr>
        <w:t>MR +/</w:t>
      </w:r>
      <w:r>
        <w:rPr>
          <w:bCs/>
        </w:rPr>
        <w:t>–</w:t>
      </w:r>
      <w:r w:rsidRPr="004D57B3">
        <w:rPr>
          <w:bCs/>
        </w:rPr>
        <w:t xml:space="preserve"> </w:t>
      </w:r>
      <w:proofErr w:type="spellStart"/>
      <w:r w:rsidRPr="004D57B3">
        <w:rPr>
          <w:bCs/>
        </w:rPr>
        <w:t>enterography</w:t>
      </w:r>
      <w:proofErr w:type="spellEnd"/>
    </w:p>
    <w:p w:rsidR="0048417A" w:rsidRPr="004D57B3" w:rsidRDefault="0048417A" w:rsidP="00836B55">
      <w:pPr>
        <w:numPr>
          <w:ilvl w:val="0"/>
          <w:numId w:val="2"/>
        </w:numPr>
        <w:rPr>
          <w:bCs/>
        </w:rPr>
      </w:pPr>
      <w:proofErr w:type="gramStart"/>
      <w:r w:rsidRPr="004D57B3">
        <w:rPr>
          <w:bCs/>
        </w:rPr>
        <w:t>abdomen</w:t>
      </w:r>
      <w:proofErr w:type="gramEnd"/>
      <w:r w:rsidRPr="004D57B3">
        <w:rPr>
          <w:bCs/>
        </w:rPr>
        <w:t xml:space="preserve"> CT +/</w:t>
      </w:r>
      <w:r>
        <w:rPr>
          <w:bCs/>
        </w:rPr>
        <w:t>–</w:t>
      </w:r>
      <w:r w:rsidRPr="004D57B3">
        <w:rPr>
          <w:bCs/>
        </w:rPr>
        <w:t xml:space="preserve"> </w:t>
      </w:r>
      <w:proofErr w:type="spellStart"/>
      <w:r w:rsidRPr="004D57B3">
        <w:rPr>
          <w:bCs/>
        </w:rPr>
        <w:t>enterography</w:t>
      </w:r>
      <w:proofErr w:type="spellEnd"/>
      <w:r w:rsidRPr="004D57B3">
        <w:rPr>
          <w:bCs/>
        </w:rPr>
        <w:t>.</w:t>
      </w:r>
    </w:p>
    <w:p w:rsidR="0048417A" w:rsidRPr="004D57B3" w:rsidRDefault="0048417A" w:rsidP="00836B55">
      <w:pPr>
        <w:pStyle w:val="Heading2"/>
        <w:rPr>
          <w:bCs/>
        </w:rPr>
      </w:pPr>
      <w:bookmarkStart w:id="87" w:name="_Toc296517879"/>
      <w:r w:rsidRPr="004D57B3">
        <w:rPr>
          <w:bCs/>
        </w:rPr>
        <w:t>The reference standard</w:t>
      </w:r>
      <w:bookmarkEnd w:id="87"/>
    </w:p>
    <w:p w:rsidR="0048417A" w:rsidRPr="004D57B3" w:rsidRDefault="0048417A" w:rsidP="00836B55">
      <w:r w:rsidRPr="004D57B3">
        <w:t>The diagnosis obtained at long</w:t>
      </w:r>
      <w:r>
        <w:t>-</w:t>
      </w:r>
      <w:r w:rsidRPr="004D57B3">
        <w:t>term follow</w:t>
      </w:r>
      <w:r>
        <w:t>-</w:t>
      </w:r>
      <w:r w:rsidRPr="004D57B3">
        <w:t xml:space="preserve">up (&gt;12 months) was considered the most valid reference standard against which to determine the true disease status of patients for the assessment of capsule endoscopy in this </w:t>
      </w:r>
      <w:r>
        <w:t>assessment</w:t>
      </w:r>
      <w:r w:rsidRPr="004D57B3">
        <w:t xml:space="preserve">; however, given the lack of an agreed reference standard for capsule endoscopy, other reference standards were considered eligible for inclusion. </w:t>
      </w:r>
    </w:p>
    <w:p w:rsidR="0048417A" w:rsidRPr="004D57B3" w:rsidRDefault="0048417A" w:rsidP="00836B55">
      <w:pPr>
        <w:rPr>
          <w:color w:val="000000"/>
        </w:rPr>
      </w:pPr>
      <w:r w:rsidRPr="004D57B3">
        <w:rPr>
          <w:color w:val="000000"/>
        </w:rPr>
        <w:t>Given that a proposed benefit of capsule endoscopy is the earlier diagnosis of Crohn’s disease, long</w:t>
      </w:r>
      <w:r>
        <w:rPr>
          <w:color w:val="000000"/>
        </w:rPr>
        <w:t>-</w:t>
      </w:r>
      <w:r w:rsidRPr="004D57B3">
        <w:rPr>
          <w:color w:val="000000"/>
        </w:rPr>
        <w:t>term follow</w:t>
      </w:r>
      <w:r>
        <w:rPr>
          <w:color w:val="000000"/>
        </w:rPr>
        <w:t>-</w:t>
      </w:r>
      <w:r w:rsidRPr="004D57B3">
        <w:rPr>
          <w:color w:val="000000"/>
        </w:rPr>
        <w:t>up (&gt;12 months) is considered the most valid reference standard for this review. However, clinical follow</w:t>
      </w:r>
      <w:r>
        <w:rPr>
          <w:color w:val="000000"/>
        </w:rPr>
        <w:t>-</w:t>
      </w:r>
      <w:r w:rsidRPr="004D57B3">
        <w:rPr>
          <w:color w:val="000000"/>
        </w:rPr>
        <w:t xml:space="preserve">up is an imperfect reference standard. Crohn’s disease has periods of activity and remission, and when restricted to the small bowel, is known to be difficult to diagnose </w:t>
      </w:r>
      <w:r w:rsidRPr="004D57B3">
        <w:rPr>
          <w:noProof/>
          <w:color w:val="000000"/>
        </w:rPr>
        <w:t>(Satsangi et al 2006)</w:t>
      </w:r>
      <w:r w:rsidRPr="004D57B3">
        <w:rPr>
          <w:color w:val="000000"/>
        </w:rPr>
        <w:t xml:space="preserve">. Hence, the reference standard may not adequately discriminate between a true and false diagnosis: </w:t>
      </w:r>
      <w:r>
        <w:rPr>
          <w:color w:val="000000"/>
        </w:rPr>
        <w:t>12</w:t>
      </w:r>
      <w:r w:rsidRPr="004D57B3">
        <w:rPr>
          <w:color w:val="000000"/>
        </w:rPr>
        <w:t xml:space="preserve"> months may not be sufficient time for a definitive diagnosis to occur. The validity of clinical follow</w:t>
      </w:r>
      <w:r>
        <w:rPr>
          <w:color w:val="000000"/>
        </w:rPr>
        <w:t>-</w:t>
      </w:r>
      <w:r w:rsidRPr="004D57B3">
        <w:rPr>
          <w:color w:val="000000"/>
        </w:rPr>
        <w:t>up as a reference standard is further compromised in circumstances where capsule endoscopy test results are not independent of the reference standard, resulting in incorporation bias and increasing the apparent sensitivity and specificity of the test. Variations in the extent of the follow</w:t>
      </w:r>
      <w:r>
        <w:rPr>
          <w:color w:val="000000"/>
        </w:rPr>
        <w:t>-</w:t>
      </w:r>
      <w:r w:rsidRPr="004D57B3">
        <w:rPr>
          <w:color w:val="000000"/>
        </w:rPr>
        <w:t xml:space="preserve">up used across the included studies, such as blinding, included tests and criteria for </w:t>
      </w:r>
      <w:r>
        <w:rPr>
          <w:color w:val="000000"/>
        </w:rPr>
        <w:t xml:space="preserve">the </w:t>
      </w:r>
      <w:r w:rsidRPr="004D57B3">
        <w:rPr>
          <w:color w:val="000000"/>
        </w:rPr>
        <w:t>diagnos</w:t>
      </w:r>
      <w:r>
        <w:rPr>
          <w:color w:val="000000"/>
        </w:rPr>
        <w:t>i</w:t>
      </w:r>
      <w:r w:rsidRPr="004D57B3">
        <w:rPr>
          <w:color w:val="000000"/>
        </w:rPr>
        <w:t>s</w:t>
      </w:r>
      <w:r>
        <w:rPr>
          <w:color w:val="000000"/>
        </w:rPr>
        <w:t>,</w:t>
      </w:r>
      <w:r w:rsidRPr="004D57B3">
        <w:rPr>
          <w:color w:val="000000"/>
        </w:rPr>
        <w:t xml:space="preserve"> are likely to contribute to variations in the reported accuracy of capsule endoscopy and its comparators. The reference standard could be improved by establishing </w:t>
      </w:r>
      <w:r w:rsidRPr="004D57B3">
        <w:rPr>
          <w:i/>
          <w:iCs/>
          <w:color w:val="000000"/>
        </w:rPr>
        <w:t>a priori</w:t>
      </w:r>
      <w:r w:rsidRPr="004D57B3">
        <w:rPr>
          <w:color w:val="000000"/>
        </w:rPr>
        <w:t xml:space="preserve"> the specific tests and criteria which will be used to define a positive diagnosis of Crohn’s disease at </w:t>
      </w:r>
      <w:r>
        <w:rPr>
          <w:color w:val="000000"/>
        </w:rPr>
        <w:t xml:space="preserve">the </w:t>
      </w:r>
      <w:r w:rsidRPr="004D57B3">
        <w:rPr>
          <w:color w:val="000000"/>
        </w:rPr>
        <w:t>12</w:t>
      </w:r>
      <w:r>
        <w:rPr>
          <w:color w:val="000000"/>
        </w:rPr>
        <w:t>-</w:t>
      </w:r>
      <w:r w:rsidRPr="004D57B3">
        <w:rPr>
          <w:color w:val="000000"/>
        </w:rPr>
        <w:t>month follow</w:t>
      </w:r>
      <w:r>
        <w:rPr>
          <w:color w:val="000000"/>
        </w:rPr>
        <w:t>-</w:t>
      </w:r>
      <w:r w:rsidRPr="004D57B3">
        <w:rPr>
          <w:color w:val="000000"/>
        </w:rPr>
        <w:t>up and ensuring this is independent and blind to the test results.</w:t>
      </w:r>
    </w:p>
    <w:p w:rsidR="0048417A" w:rsidRPr="004D57B3" w:rsidRDefault="0048417A" w:rsidP="00836B55">
      <w:pPr>
        <w:pStyle w:val="Heading2"/>
      </w:pPr>
      <w:bookmarkStart w:id="88" w:name="_Toc296517880"/>
      <w:r w:rsidRPr="004D57B3">
        <w:t>Diagnostic assessment framework</w:t>
      </w:r>
      <w:bookmarkEnd w:id="88"/>
    </w:p>
    <w:p w:rsidR="0048417A" w:rsidRDefault="0048417A" w:rsidP="00836B55">
      <w:r w:rsidRPr="004D57B3">
        <w:t>In the absence of any direct evidence for the effectiveness of capsule endoscopy for the diagnosis of small bowel Crohn’s disease, effectiveness evidence is presented using a linked evidence approach in which the evidence for accuracy, change in patient management and the expected benefit of changes in management on health outcomes are linked in order to draw inferences on the effectiveness of capsule endoscopy (see ‘</w:t>
      </w:r>
      <w:r w:rsidR="00AE591B">
        <w:fldChar w:fldCharType="begin"/>
      </w:r>
      <w:r w:rsidR="00AE591B">
        <w:instrText xml:space="preserve"> REF _Ref284578924 \h  \* MERGEFORMAT </w:instrText>
      </w:r>
      <w:r w:rsidR="00AE591B">
        <w:fldChar w:fldCharType="separate"/>
      </w:r>
      <w:r w:rsidRPr="004D57B3">
        <w:t>Methodological considerations</w:t>
      </w:r>
      <w:r w:rsidR="00AE591B">
        <w:fldChar w:fldCharType="end"/>
      </w:r>
      <w:r w:rsidRPr="004D57B3">
        <w:t xml:space="preserve">’, page </w:t>
      </w:r>
      <w:r w:rsidRPr="004D57B3">
        <w:fldChar w:fldCharType="begin"/>
      </w:r>
      <w:r w:rsidRPr="004D57B3">
        <w:instrText xml:space="preserve"> PAGEREF _Ref284578926 \h </w:instrText>
      </w:r>
      <w:r w:rsidRPr="004D57B3">
        <w:fldChar w:fldCharType="separate"/>
      </w:r>
      <w:r>
        <w:rPr>
          <w:noProof/>
        </w:rPr>
        <w:t>26</w:t>
      </w:r>
      <w:r w:rsidRPr="004D57B3">
        <w:fldChar w:fldCharType="end"/>
      </w:r>
      <w:r w:rsidRPr="004D57B3">
        <w:t>).</w:t>
      </w:r>
    </w:p>
    <w:p w:rsidR="0048417A" w:rsidRPr="004D57B3" w:rsidRDefault="0048417A" w:rsidP="00836B55">
      <w:pPr>
        <w:rPr>
          <w:bCs/>
        </w:rPr>
      </w:pPr>
    </w:p>
    <w:p w:rsidR="0048417A" w:rsidRPr="004D57B3" w:rsidRDefault="0048417A" w:rsidP="00836B55">
      <w:pPr>
        <w:pStyle w:val="Heading2"/>
      </w:pPr>
      <w:bookmarkStart w:id="89" w:name="_Toc296517881"/>
      <w:r w:rsidRPr="004D57B3">
        <w:lastRenderedPageBreak/>
        <w:t>Review of the literature</w:t>
      </w:r>
      <w:bookmarkEnd w:id="89"/>
      <w:r w:rsidRPr="004D57B3">
        <w:t xml:space="preserve"> </w:t>
      </w:r>
    </w:p>
    <w:p w:rsidR="0048417A" w:rsidRPr="004D57B3" w:rsidRDefault="0048417A" w:rsidP="00836B55">
      <w:pPr>
        <w:pStyle w:val="Heading3"/>
      </w:pPr>
      <w:r w:rsidRPr="004D57B3">
        <w:t>Literature sources and search strategies</w:t>
      </w:r>
    </w:p>
    <w:p w:rsidR="0048417A" w:rsidRPr="004D57B3" w:rsidRDefault="0048417A" w:rsidP="00836B55">
      <w:r w:rsidRPr="004D57B3">
        <w:t xml:space="preserve">A systematic review of the medical literature was conducted to identify relevant studies, systematic reviews and </w:t>
      </w:r>
      <w:r>
        <w:t>health technology assessment (</w:t>
      </w:r>
      <w:r w:rsidRPr="004D57B3">
        <w:t>HTA</w:t>
      </w:r>
      <w:r>
        <w:t>)</w:t>
      </w:r>
      <w:r w:rsidRPr="004D57B3">
        <w:t xml:space="preserve"> reports published up to October 2010. Electronic databases of published research were searched for original research papers, including systematic reviews (</w:t>
      </w:r>
      <w:r>
        <w:t xml:space="preserve">see </w:t>
      </w:r>
      <w:r w:rsidR="00AE591B">
        <w:fldChar w:fldCharType="begin"/>
      </w:r>
      <w:r w:rsidR="00AE591B">
        <w:instrText xml:space="preserve"> REF _Ref276645391 \h  \* MERGEFORMAT </w:instrText>
      </w:r>
      <w:r w:rsidR="00AE591B">
        <w:fldChar w:fldCharType="separate"/>
      </w:r>
      <w:r w:rsidRPr="004D57B3">
        <w:t xml:space="preserve">Table </w:t>
      </w:r>
      <w:r>
        <w:t>9</w:t>
      </w:r>
      <w:r w:rsidR="00AE591B">
        <w:fldChar w:fldCharType="end"/>
      </w:r>
      <w:r w:rsidRPr="004D57B3">
        <w:t>) and the websites of international HTA agencies were searched for existing HTA reports (</w:t>
      </w:r>
      <w:r w:rsidR="00AE591B">
        <w:fldChar w:fldCharType="begin"/>
      </w:r>
      <w:r w:rsidR="00AE591B">
        <w:instrText xml:space="preserve"> REF _Ref280083643 \h  \* MERGEFORMAT </w:instrText>
      </w:r>
      <w:r w:rsidR="00AE591B">
        <w:fldChar w:fldCharType="separate"/>
      </w:r>
      <w:r w:rsidRPr="004D57B3">
        <w:rPr>
          <w:bCs/>
        </w:rPr>
        <w:t xml:space="preserve">Appendix </w:t>
      </w:r>
      <w:r>
        <w:rPr>
          <w:bCs/>
        </w:rPr>
        <w:t>C</w:t>
      </w:r>
      <w:r w:rsidR="00AE591B">
        <w:fldChar w:fldCharType="end"/>
      </w:r>
      <w:r w:rsidRPr="004D57B3">
        <w:t>). Clinical trials databases were searched to identify ongoing studies (</w:t>
      </w:r>
      <w:r>
        <w:t xml:space="preserve">see </w:t>
      </w:r>
      <w:r w:rsidR="00AE591B">
        <w:fldChar w:fldCharType="begin"/>
      </w:r>
      <w:r w:rsidR="00AE591B">
        <w:instrText xml:space="preserve"> REF _Ref283377733 \h  \* MERGEFORMAT </w:instrText>
      </w:r>
      <w:r w:rsidR="00AE591B">
        <w:fldChar w:fldCharType="separate"/>
      </w:r>
      <w:r w:rsidRPr="004D57B3">
        <w:t xml:space="preserve">Table </w:t>
      </w:r>
      <w:r>
        <w:rPr>
          <w:noProof/>
        </w:rPr>
        <w:t>10</w:t>
      </w:r>
      <w:r w:rsidR="00AE591B">
        <w:fldChar w:fldCharType="end"/>
      </w:r>
      <w:r w:rsidRPr="004D57B3">
        <w:t>) and specialty websites were searched for relevant grey literature (</w:t>
      </w:r>
      <w:r w:rsidR="00AE591B">
        <w:fldChar w:fldCharType="begin"/>
      </w:r>
      <w:r w:rsidR="00AE591B">
        <w:instrText xml:space="preserve"> REF _Ref280083643 \h  \* MERGEFORMAT </w:instrText>
      </w:r>
      <w:r w:rsidR="00AE591B">
        <w:fldChar w:fldCharType="separate"/>
      </w:r>
      <w:r w:rsidRPr="004D57B3">
        <w:rPr>
          <w:bCs/>
        </w:rPr>
        <w:t xml:space="preserve">Appendix </w:t>
      </w:r>
      <w:r>
        <w:rPr>
          <w:bCs/>
        </w:rPr>
        <w:t>C</w:t>
      </w:r>
      <w:r w:rsidR="00AE591B">
        <w:fldChar w:fldCharType="end"/>
      </w:r>
      <w:r w:rsidRPr="004D57B3">
        <w:t>).</w:t>
      </w:r>
    </w:p>
    <w:p w:rsidR="0048417A" w:rsidRPr="004D57B3" w:rsidRDefault="0048417A" w:rsidP="00836B55">
      <w:pPr>
        <w:pStyle w:val="TableName"/>
      </w:pPr>
      <w:bookmarkStart w:id="90" w:name="_Ref276645391"/>
      <w:bookmarkStart w:id="91" w:name="_Toc291859571"/>
      <w:r w:rsidRPr="004D57B3">
        <w:t xml:space="preserve">Table </w:t>
      </w:r>
      <w:r w:rsidR="00AE591B">
        <w:fldChar w:fldCharType="begin"/>
      </w:r>
      <w:r w:rsidR="00AE591B">
        <w:instrText xml:space="preserve"> SEQ Table \* ARABIC </w:instrText>
      </w:r>
      <w:r w:rsidR="00AE591B">
        <w:fldChar w:fldCharType="separate"/>
      </w:r>
      <w:r>
        <w:rPr>
          <w:noProof/>
        </w:rPr>
        <w:t>9</w:t>
      </w:r>
      <w:r w:rsidR="00AE591B">
        <w:rPr>
          <w:noProof/>
        </w:rPr>
        <w:fldChar w:fldCharType="end"/>
      </w:r>
      <w:bookmarkEnd w:id="90"/>
      <w:r w:rsidRPr="004D57B3">
        <w:tab/>
        <w:t>Electronic databases searched</w:t>
      </w:r>
      <w:bookmarkEnd w:id="91"/>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559"/>
      </w:tblGrid>
      <w:tr w:rsidR="0048417A" w:rsidRPr="004D57B3" w:rsidTr="00836B55">
        <w:tc>
          <w:tcPr>
            <w:tcW w:w="1992" w:type="dxa"/>
          </w:tcPr>
          <w:p w:rsidR="0048417A" w:rsidRPr="004D57B3" w:rsidRDefault="0048417A" w:rsidP="00836B55">
            <w:pPr>
              <w:pStyle w:val="TableHeading"/>
            </w:pPr>
            <w:r w:rsidRPr="004D57B3">
              <w:t>Database</w:t>
            </w:r>
          </w:p>
        </w:tc>
        <w:tc>
          <w:tcPr>
            <w:tcW w:w="1559" w:type="dxa"/>
          </w:tcPr>
          <w:p w:rsidR="0048417A" w:rsidRPr="004D57B3" w:rsidRDefault="0048417A" w:rsidP="00836B55">
            <w:pPr>
              <w:pStyle w:val="TableHeading"/>
            </w:pPr>
            <w:r w:rsidRPr="004D57B3">
              <w:t>Period covered</w:t>
            </w:r>
          </w:p>
        </w:tc>
      </w:tr>
      <w:tr w:rsidR="0048417A" w:rsidRPr="004D57B3" w:rsidTr="00836B55">
        <w:tc>
          <w:tcPr>
            <w:tcW w:w="1992" w:type="dxa"/>
          </w:tcPr>
          <w:p w:rsidR="0048417A" w:rsidRPr="004D57B3" w:rsidRDefault="0048417A" w:rsidP="00836B55">
            <w:pPr>
              <w:pStyle w:val="TableText"/>
            </w:pPr>
            <w:r w:rsidRPr="004D57B3">
              <w:t>EMBASE.com</w:t>
            </w:r>
            <w:r w:rsidRPr="004D57B3">
              <w:rPr>
                <w:vertAlign w:val="superscript"/>
              </w:rPr>
              <w:t>1</w:t>
            </w:r>
          </w:p>
        </w:tc>
        <w:tc>
          <w:tcPr>
            <w:tcW w:w="1559" w:type="dxa"/>
          </w:tcPr>
          <w:p w:rsidR="0048417A" w:rsidRPr="004D57B3" w:rsidRDefault="0048417A" w:rsidP="00836B55">
            <w:pPr>
              <w:pStyle w:val="TableText"/>
            </w:pPr>
            <w:r w:rsidRPr="004D57B3">
              <w:t>Up to October 2010</w:t>
            </w:r>
          </w:p>
        </w:tc>
      </w:tr>
      <w:tr w:rsidR="0048417A" w:rsidRPr="004D57B3" w:rsidTr="00836B55">
        <w:tc>
          <w:tcPr>
            <w:tcW w:w="1992" w:type="dxa"/>
          </w:tcPr>
          <w:p w:rsidR="0048417A" w:rsidRPr="004D57B3" w:rsidRDefault="0048417A" w:rsidP="00836B55">
            <w:pPr>
              <w:pStyle w:val="TableText"/>
            </w:pPr>
            <w:proofErr w:type="spellStart"/>
            <w:r w:rsidRPr="004D57B3">
              <w:t>PreMEDLINE</w:t>
            </w:r>
            <w:proofErr w:type="spellEnd"/>
          </w:p>
        </w:tc>
        <w:tc>
          <w:tcPr>
            <w:tcW w:w="1559" w:type="dxa"/>
          </w:tcPr>
          <w:p w:rsidR="0048417A" w:rsidRPr="004D57B3" w:rsidRDefault="0048417A" w:rsidP="00836B55">
            <w:pPr>
              <w:pStyle w:val="TableText"/>
            </w:pPr>
            <w:r w:rsidRPr="004D57B3">
              <w:t>Up to October 2010</w:t>
            </w:r>
          </w:p>
        </w:tc>
      </w:tr>
      <w:tr w:rsidR="0048417A" w:rsidRPr="004D57B3" w:rsidTr="00836B55">
        <w:tc>
          <w:tcPr>
            <w:tcW w:w="1992" w:type="dxa"/>
          </w:tcPr>
          <w:p w:rsidR="0048417A" w:rsidRPr="004D57B3" w:rsidRDefault="0048417A" w:rsidP="00836B55">
            <w:pPr>
              <w:pStyle w:val="TableText"/>
            </w:pPr>
            <w:r w:rsidRPr="004D57B3">
              <w:t>All EBM</w:t>
            </w:r>
            <w:r w:rsidRPr="004D57B3">
              <w:rPr>
                <w:vertAlign w:val="superscript"/>
              </w:rPr>
              <w:t>2</w:t>
            </w:r>
          </w:p>
        </w:tc>
        <w:tc>
          <w:tcPr>
            <w:tcW w:w="1559" w:type="dxa"/>
          </w:tcPr>
          <w:p w:rsidR="0048417A" w:rsidRPr="004D57B3" w:rsidRDefault="0048417A" w:rsidP="00836B55">
            <w:pPr>
              <w:pStyle w:val="TableText"/>
            </w:pPr>
            <w:r w:rsidRPr="004D57B3">
              <w:t>Up to October 2010</w:t>
            </w:r>
          </w:p>
        </w:tc>
      </w:tr>
    </w:tbl>
    <w:p w:rsidR="0048417A" w:rsidRPr="004D57B3" w:rsidRDefault="0048417A" w:rsidP="00836B55">
      <w:pPr>
        <w:spacing w:after="0"/>
        <w:rPr>
          <w:rFonts w:ascii="Arial Narrow" w:hAnsi="Arial Narrow"/>
          <w:sz w:val="16"/>
          <w:szCs w:val="16"/>
        </w:rPr>
      </w:pPr>
      <w:bookmarkStart w:id="92" w:name="_Ref144282428"/>
      <w:bookmarkStart w:id="93" w:name="_Toc144284096"/>
      <w:bookmarkStart w:id="94" w:name="_Ref161564606"/>
      <w:bookmarkStart w:id="95" w:name="_Toc161636576"/>
      <w:bookmarkStart w:id="96" w:name="_Toc174795176"/>
      <w:r w:rsidRPr="004D57B3">
        <w:rPr>
          <w:rFonts w:ascii="Arial Narrow" w:hAnsi="Arial Narrow"/>
          <w:sz w:val="16"/>
          <w:szCs w:val="16"/>
          <w:vertAlign w:val="superscript"/>
        </w:rPr>
        <w:t>1</w:t>
      </w:r>
      <w:r w:rsidRPr="004D57B3">
        <w:rPr>
          <w:rFonts w:ascii="Arial Narrow" w:hAnsi="Arial Narrow"/>
          <w:sz w:val="16"/>
          <w:szCs w:val="16"/>
        </w:rPr>
        <w:t xml:space="preserve"> Includes EMBASE and MEDLINE</w:t>
      </w:r>
      <w:r>
        <w:rPr>
          <w:rFonts w:ascii="Arial Narrow" w:hAnsi="Arial Narrow"/>
          <w:sz w:val="16"/>
          <w:szCs w:val="16"/>
        </w:rPr>
        <w:t>.</w:t>
      </w:r>
    </w:p>
    <w:p w:rsidR="0048417A" w:rsidRPr="004D57B3" w:rsidRDefault="0048417A" w:rsidP="00836B55">
      <w:pPr>
        <w:spacing w:after="0"/>
        <w:rPr>
          <w:rFonts w:ascii="Arial Narrow" w:hAnsi="Arial Narrow"/>
          <w:sz w:val="16"/>
          <w:szCs w:val="16"/>
        </w:rPr>
      </w:pPr>
      <w:r w:rsidRPr="004D57B3">
        <w:rPr>
          <w:rFonts w:ascii="Arial Narrow" w:hAnsi="Arial Narrow"/>
          <w:sz w:val="16"/>
          <w:szCs w:val="16"/>
          <w:vertAlign w:val="superscript"/>
        </w:rPr>
        <w:t>2</w:t>
      </w:r>
      <w:r w:rsidRPr="004D57B3">
        <w:rPr>
          <w:rFonts w:ascii="Arial Narrow" w:hAnsi="Arial Narrow"/>
          <w:sz w:val="16"/>
          <w:szCs w:val="16"/>
        </w:rPr>
        <w:t xml:space="preserve"> Includes Cochrane Database of Systematic Reviews, ACP Journal Club, Database of Abstracts of Reviews of Effects, </w:t>
      </w:r>
    </w:p>
    <w:p w:rsidR="0048417A" w:rsidRDefault="0048417A" w:rsidP="00836B55">
      <w:pPr>
        <w:spacing w:after="0"/>
        <w:rPr>
          <w:rFonts w:ascii="Arial Narrow" w:hAnsi="Arial Narrow"/>
          <w:sz w:val="16"/>
          <w:szCs w:val="16"/>
        </w:rPr>
      </w:pPr>
      <w:r w:rsidRPr="004D57B3">
        <w:rPr>
          <w:rFonts w:ascii="Arial Narrow" w:hAnsi="Arial Narrow"/>
          <w:sz w:val="16"/>
          <w:szCs w:val="16"/>
        </w:rPr>
        <w:t>Cochrane Central Register of Controlled Trials, NHS Economic Evaluation Database, HTA and Cochrane Methodology Register</w:t>
      </w:r>
      <w:bookmarkEnd w:id="92"/>
      <w:bookmarkEnd w:id="93"/>
      <w:bookmarkEnd w:id="94"/>
      <w:bookmarkEnd w:id="95"/>
      <w:bookmarkEnd w:id="96"/>
      <w:r>
        <w:rPr>
          <w:rFonts w:ascii="Arial Narrow" w:hAnsi="Arial Narrow"/>
          <w:sz w:val="16"/>
          <w:szCs w:val="16"/>
        </w:rPr>
        <w:t>.</w:t>
      </w:r>
    </w:p>
    <w:p w:rsidR="0048417A" w:rsidRPr="004D57B3" w:rsidRDefault="0048417A" w:rsidP="00836B55">
      <w:pPr>
        <w:pStyle w:val="TableName"/>
      </w:pPr>
      <w:bookmarkStart w:id="97" w:name="_Ref278534716"/>
    </w:p>
    <w:p w:rsidR="0048417A" w:rsidRPr="004D57B3" w:rsidRDefault="0048417A" w:rsidP="00836B55">
      <w:pPr>
        <w:pStyle w:val="TableName"/>
        <w:ind w:left="1485" w:hanging="765"/>
        <w:rPr>
          <w:sz w:val="16"/>
          <w:szCs w:val="16"/>
        </w:rPr>
      </w:pPr>
      <w:bookmarkStart w:id="98" w:name="_Ref283377733"/>
      <w:bookmarkStart w:id="99" w:name="_Toc291859572"/>
      <w:r w:rsidRPr="004D57B3">
        <w:t xml:space="preserve">Table </w:t>
      </w:r>
      <w:r w:rsidR="00AE591B">
        <w:fldChar w:fldCharType="begin"/>
      </w:r>
      <w:r w:rsidR="00AE591B">
        <w:instrText xml:space="preserve"> SEQ Table \* ARABIC </w:instrText>
      </w:r>
      <w:r w:rsidR="00AE591B">
        <w:fldChar w:fldCharType="separate"/>
      </w:r>
      <w:r>
        <w:rPr>
          <w:noProof/>
        </w:rPr>
        <w:t>10</w:t>
      </w:r>
      <w:r w:rsidR="00AE591B">
        <w:rPr>
          <w:noProof/>
        </w:rPr>
        <w:fldChar w:fldCharType="end"/>
      </w:r>
      <w:bookmarkEnd w:id="97"/>
      <w:bookmarkEnd w:id="98"/>
      <w:r w:rsidRPr="004D57B3">
        <w:tab/>
        <w:t>Clinical trials databases searched to identify ongoing studies</w:t>
      </w:r>
      <w:bookmarkEnd w:id="99"/>
    </w:p>
    <w:tbl>
      <w:tblPr>
        <w:tblW w:w="0" w:type="auto"/>
        <w:tblInd w:w="720" w:type="dxa"/>
        <w:tblBorders>
          <w:top w:val="single" w:sz="4" w:space="0" w:color="auto"/>
          <w:bottom w:val="single" w:sz="4" w:space="0" w:color="auto"/>
        </w:tblBorders>
        <w:tblLook w:val="00A0" w:firstRow="1" w:lastRow="0" w:firstColumn="1" w:lastColumn="0" w:noHBand="0" w:noVBand="0"/>
      </w:tblPr>
      <w:tblGrid>
        <w:gridCol w:w="3783"/>
        <w:gridCol w:w="2268"/>
      </w:tblGrid>
      <w:tr w:rsidR="0048417A" w:rsidRPr="004D57B3" w:rsidTr="00836B55">
        <w:tc>
          <w:tcPr>
            <w:tcW w:w="3783" w:type="dxa"/>
            <w:tcBorders>
              <w:top w:val="single" w:sz="4" w:space="0" w:color="auto"/>
              <w:bottom w:val="single" w:sz="4" w:space="0" w:color="auto"/>
            </w:tcBorders>
          </w:tcPr>
          <w:p w:rsidR="0048417A" w:rsidRPr="004D57B3" w:rsidRDefault="0048417A" w:rsidP="00836B55">
            <w:pPr>
              <w:pStyle w:val="TableHeading"/>
            </w:pPr>
            <w:r w:rsidRPr="004D57B3">
              <w:t>Source</w:t>
            </w:r>
          </w:p>
        </w:tc>
        <w:tc>
          <w:tcPr>
            <w:tcW w:w="2268" w:type="dxa"/>
            <w:tcBorders>
              <w:top w:val="single" w:sz="4" w:space="0" w:color="auto"/>
              <w:bottom w:val="single" w:sz="4" w:space="0" w:color="auto"/>
            </w:tcBorders>
          </w:tcPr>
          <w:p w:rsidR="0048417A" w:rsidRPr="004D57B3" w:rsidRDefault="0048417A" w:rsidP="00836B55">
            <w:pPr>
              <w:pStyle w:val="TableHeading"/>
            </w:pPr>
            <w:r w:rsidRPr="004D57B3">
              <w:t>Location</w:t>
            </w:r>
          </w:p>
        </w:tc>
      </w:tr>
      <w:tr w:rsidR="0048417A" w:rsidRPr="004D57B3" w:rsidTr="00836B55">
        <w:tc>
          <w:tcPr>
            <w:tcW w:w="3783" w:type="dxa"/>
            <w:tcBorders>
              <w:top w:val="single" w:sz="4" w:space="0" w:color="auto"/>
            </w:tcBorders>
          </w:tcPr>
          <w:p w:rsidR="0048417A" w:rsidRPr="004D57B3" w:rsidRDefault="0048417A" w:rsidP="00836B55">
            <w:pPr>
              <w:pStyle w:val="TableText"/>
            </w:pPr>
            <w:r w:rsidRPr="004D57B3">
              <w:t xml:space="preserve">Current Controlled Trials – International Standard Randomised Controlled Trial Number Register and </w:t>
            </w:r>
            <w:proofErr w:type="spellStart"/>
            <w:r w:rsidRPr="004D57B3">
              <w:rPr>
                <w:i/>
              </w:rPr>
              <w:t>meta</w:t>
            </w:r>
            <w:r w:rsidRPr="004D57B3">
              <w:t>Register</w:t>
            </w:r>
            <w:proofErr w:type="spellEnd"/>
            <w:r w:rsidRPr="004D57B3">
              <w:t xml:space="preserve"> of Controlled Trials</w:t>
            </w:r>
          </w:p>
        </w:tc>
        <w:tc>
          <w:tcPr>
            <w:tcW w:w="2268" w:type="dxa"/>
            <w:tcBorders>
              <w:top w:val="single" w:sz="4" w:space="0" w:color="auto"/>
            </w:tcBorders>
          </w:tcPr>
          <w:p w:rsidR="0048417A" w:rsidRPr="004D57B3" w:rsidRDefault="00B81800" w:rsidP="00836B55">
            <w:pPr>
              <w:pStyle w:val="TableText"/>
            </w:pPr>
            <w:hyperlink r:id="rId20" w:tooltip="This link goes to the Current Controlled Trials website" w:history="1">
              <w:r w:rsidR="0048417A" w:rsidRPr="004D57B3">
                <w:rPr>
                  <w:rStyle w:val="Hyperlink"/>
                  <w:sz w:val="16"/>
                  <w:szCs w:val="16"/>
                </w:rPr>
                <w:t>http://www.controlled-trials.com</w:t>
              </w:r>
            </w:hyperlink>
          </w:p>
          <w:p w:rsidR="0048417A" w:rsidRPr="004D57B3" w:rsidRDefault="0048417A" w:rsidP="00836B55">
            <w:pPr>
              <w:pStyle w:val="TableText"/>
            </w:pPr>
          </w:p>
        </w:tc>
      </w:tr>
      <w:tr w:rsidR="0048417A" w:rsidRPr="004D57B3" w:rsidTr="00836B55">
        <w:tc>
          <w:tcPr>
            <w:tcW w:w="3783" w:type="dxa"/>
          </w:tcPr>
          <w:p w:rsidR="0048417A" w:rsidRPr="004D57B3" w:rsidRDefault="0048417A" w:rsidP="00836B55">
            <w:pPr>
              <w:pStyle w:val="TableText"/>
            </w:pPr>
            <w:r w:rsidRPr="004D57B3">
              <w:t>ClinicalTrials.Gov</w:t>
            </w:r>
          </w:p>
        </w:tc>
        <w:tc>
          <w:tcPr>
            <w:tcW w:w="2268" w:type="dxa"/>
          </w:tcPr>
          <w:p w:rsidR="0048417A" w:rsidRPr="004D57B3" w:rsidRDefault="00B81800" w:rsidP="00836B55">
            <w:pPr>
              <w:pStyle w:val="TableText"/>
            </w:pPr>
            <w:hyperlink r:id="rId21" w:tooltip="This link goes to the Clinical Trials website" w:history="1">
              <w:r w:rsidR="0048417A" w:rsidRPr="004D57B3">
                <w:rPr>
                  <w:rStyle w:val="Hyperlink"/>
                  <w:sz w:val="16"/>
                  <w:szCs w:val="16"/>
                </w:rPr>
                <w:t>http://www.clinicaltrials.gov</w:t>
              </w:r>
            </w:hyperlink>
          </w:p>
        </w:tc>
      </w:tr>
      <w:tr w:rsidR="0048417A" w:rsidRPr="004D57B3" w:rsidTr="00836B55">
        <w:tc>
          <w:tcPr>
            <w:tcW w:w="3783" w:type="dxa"/>
          </w:tcPr>
          <w:p w:rsidR="0048417A" w:rsidRPr="004D57B3" w:rsidRDefault="0048417A" w:rsidP="00836B55">
            <w:pPr>
              <w:pStyle w:val="TableText"/>
            </w:pPr>
            <w:r w:rsidRPr="004D57B3">
              <w:t>Australian New Zealand Clinical Trials Registry</w:t>
            </w:r>
          </w:p>
        </w:tc>
        <w:tc>
          <w:tcPr>
            <w:tcW w:w="2268" w:type="dxa"/>
          </w:tcPr>
          <w:p w:rsidR="0048417A" w:rsidRPr="004D57B3" w:rsidRDefault="00B81800" w:rsidP="00836B55">
            <w:pPr>
              <w:pStyle w:val="TableText"/>
            </w:pPr>
            <w:hyperlink r:id="rId22" w:tooltip="This link goes to the Australian New Zealand Clinical Trials Registry website" w:history="1">
              <w:r w:rsidR="0048417A" w:rsidRPr="004D57B3">
                <w:rPr>
                  <w:rStyle w:val="Hyperlink"/>
                  <w:sz w:val="16"/>
                  <w:szCs w:val="16"/>
                </w:rPr>
                <w:t>http://www.actr.org.au</w:t>
              </w:r>
            </w:hyperlink>
          </w:p>
          <w:p w:rsidR="0048417A" w:rsidRPr="004D57B3" w:rsidRDefault="0048417A" w:rsidP="00836B55">
            <w:pPr>
              <w:pStyle w:val="TableText"/>
            </w:pPr>
          </w:p>
        </w:tc>
      </w:tr>
      <w:tr w:rsidR="0048417A" w:rsidRPr="004D57B3" w:rsidTr="00836B55">
        <w:tc>
          <w:tcPr>
            <w:tcW w:w="3783" w:type="dxa"/>
            <w:tcBorders>
              <w:bottom w:val="single" w:sz="4" w:space="0" w:color="auto"/>
            </w:tcBorders>
          </w:tcPr>
          <w:p w:rsidR="0048417A" w:rsidRPr="004D57B3" w:rsidRDefault="0048417A" w:rsidP="00836B55">
            <w:pPr>
              <w:pStyle w:val="TableText"/>
            </w:pPr>
            <w:r w:rsidRPr="004D57B3">
              <w:t>WHO International Clinical Trials Registry Platform</w:t>
            </w:r>
          </w:p>
        </w:tc>
        <w:tc>
          <w:tcPr>
            <w:tcW w:w="2268" w:type="dxa"/>
            <w:tcBorders>
              <w:bottom w:val="single" w:sz="4" w:space="0" w:color="auto"/>
            </w:tcBorders>
          </w:tcPr>
          <w:p w:rsidR="0048417A" w:rsidRPr="004D57B3" w:rsidRDefault="00B81800" w:rsidP="00836B55">
            <w:pPr>
              <w:pStyle w:val="TableText"/>
            </w:pPr>
            <w:hyperlink r:id="rId23" w:tooltip="This link goes to the WHO International Clinical Trials Registry Platform website" w:history="1">
              <w:r w:rsidR="0048417A" w:rsidRPr="004D57B3">
                <w:rPr>
                  <w:rStyle w:val="Hyperlink"/>
                  <w:sz w:val="16"/>
                  <w:szCs w:val="16"/>
                </w:rPr>
                <w:t>http://apps.who.int/trialsearch</w:t>
              </w:r>
            </w:hyperlink>
          </w:p>
        </w:tc>
      </w:tr>
    </w:tbl>
    <w:p w:rsidR="0048417A" w:rsidRPr="004D57B3" w:rsidRDefault="0048417A" w:rsidP="00836B55"/>
    <w:p w:rsidR="0048417A" w:rsidRPr="004D57B3" w:rsidRDefault="0048417A" w:rsidP="00836B55">
      <w:r w:rsidRPr="004D57B3">
        <w:t>A strategy for searching the medical literature was developed to identify literature on the safety, effectiveness and cost-effectiveness of capsule endoscopy for the diagnosis of suspected small bowel Crohn’s disease. The search strategy was developed on the EMBASE platform (</w:t>
      </w:r>
      <w:r>
        <w:t xml:space="preserve">see </w:t>
      </w:r>
      <w:r w:rsidR="00AE591B">
        <w:fldChar w:fldCharType="begin"/>
      </w:r>
      <w:r w:rsidR="00AE591B">
        <w:instrText xml:space="preserve"> REF _Ref276646401 \h  \* MERGEFORMAT </w:instrText>
      </w:r>
      <w:r w:rsidR="00AE591B">
        <w:fldChar w:fldCharType="separate"/>
      </w:r>
      <w:r w:rsidRPr="004D57B3">
        <w:t xml:space="preserve">Table </w:t>
      </w:r>
      <w:r>
        <w:rPr>
          <w:noProof/>
        </w:rPr>
        <w:t>11</w:t>
      </w:r>
      <w:r w:rsidR="00AE591B">
        <w:fldChar w:fldCharType="end"/>
      </w:r>
      <w:r w:rsidRPr="004D57B3">
        <w:t xml:space="preserve">) and adapted for the other databases listed in </w:t>
      </w:r>
      <w:r w:rsidR="00AE591B">
        <w:fldChar w:fldCharType="begin"/>
      </w:r>
      <w:r w:rsidR="00AE591B">
        <w:instrText xml:space="preserve"> REF _Ref276645391 \h  \* MERGEFORMAT </w:instrText>
      </w:r>
      <w:r w:rsidR="00AE591B">
        <w:fldChar w:fldCharType="separate"/>
      </w:r>
      <w:r w:rsidRPr="004D57B3">
        <w:t xml:space="preserve">Table </w:t>
      </w:r>
      <w:r>
        <w:t>9</w:t>
      </w:r>
      <w:r w:rsidR="00AE591B">
        <w:fldChar w:fldCharType="end"/>
      </w:r>
      <w:r w:rsidRPr="004D57B3">
        <w:t xml:space="preserve"> where necessary.</w:t>
      </w:r>
    </w:p>
    <w:p w:rsidR="0048417A" w:rsidRPr="004D57B3" w:rsidRDefault="0048417A" w:rsidP="00836B55">
      <w:pPr>
        <w:pStyle w:val="TableName"/>
        <w:ind w:left="1485" w:hanging="765"/>
      </w:pPr>
      <w:bookmarkStart w:id="100" w:name="_Ref276646401"/>
      <w:bookmarkStart w:id="101" w:name="_Toc291859573"/>
      <w:r w:rsidRPr="004D57B3">
        <w:lastRenderedPageBreak/>
        <w:t xml:space="preserve">Table </w:t>
      </w:r>
      <w:r w:rsidR="00AE591B">
        <w:fldChar w:fldCharType="begin"/>
      </w:r>
      <w:r w:rsidR="00AE591B">
        <w:instrText xml:space="preserve"> SEQ Table \* ARABIC </w:instrText>
      </w:r>
      <w:r w:rsidR="00AE591B">
        <w:fldChar w:fldCharType="separate"/>
      </w:r>
      <w:r>
        <w:rPr>
          <w:noProof/>
        </w:rPr>
        <w:t>11</w:t>
      </w:r>
      <w:r w:rsidR="00AE591B">
        <w:rPr>
          <w:noProof/>
        </w:rPr>
        <w:fldChar w:fldCharType="end"/>
      </w:r>
      <w:bookmarkEnd w:id="100"/>
      <w:r w:rsidRPr="004D57B3">
        <w:tab/>
        <w:t>Search strategy for EMBASE.com (containing MEDLINE and EMBASE)</w:t>
      </w:r>
      <w:bookmarkEnd w:id="101"/>
    </w:p>
    <w:tbl>
      <w:tblPr>
        <w:tblW w:w="7513" w:type="dxa"/>
        <w:tblInd w:w="840" w:type="dxa"/>
        <w:tblBorders>
          <w:top w:val="single" w:sz="4" w:space="0" w:color="auto"/>
          <w:bottom w:val="single" w:sz="4" w:space="0" w:color="auto"/>
        </w:tblBorders>
        <w:tblLook w:val="0000" w:firstRow="0" w:lastRow="0" w:firstColumn="0" w:lastColumn="0" w:noHBand="0" w:noVBand="0"/>
      </w:tblPr>
      <w:tblGrid>
        <w:gridCol w:w="2410"/>
        <w:gridCol w:w="5103"/>
      </w:tblGrid>
      <w:tr w:rsidR="0048417A" w:rsidRPr="004D57B3" w:rsidTr="00836B55">
        <w:tc>
          <w:tcPr>
            <w:tcW w:w="2410" w:type="dxa"/>
            <w:tcBorders>
              <w:top w:val="single" w:sz="4" w:space="0" w:color="auto"/>
              <w:bottom w:val="single" w:sz="4" w:space="0" w:color="auto"/>
            </w:tcBorders>
          </w:tcPr>
          <w:p w:rsidR="0048417A" w:rsidRPr="004D57B3" w:rsidRDefault="0048417A" w:rsidP="00836B55">
            <w:pPr>
              <w:pStyle w:val="TableText"/>
              <w:spacing w:before="100" w:beforeAutospacing="1" w:after="100" w:afterAutospacing="1"/>
              <w:rPr>
                <w:rFonts w:cs="Arial"/>
                <w:b/>
                <w:bCs/>
                <w:szCs w:val="18"/>
              </w:rPr>
            </w:pPr>
            <w:r w:rsidRPr="004D57B3">
              <w:rPr>
                <w:rFonts w:cs="Arial"/>
                <w:b/>
                <w:bCs/>
                <w:szCs w:val="18"/>
              </w:rPr>
              <w:t>Element of clinical question</w:t>
            </w:r>
          </w:p>
        </w:tc>
        <w:tc>
          <w:tcPr>
            <w:tcW w:w="5103" w:type="dxa"/>
            <w:tcBorders>
              <w:top w:val="single" w:sz="4" w:space="0" w:color="auto"/>
              <w:bottom w:val="single" w:sz="4" w:space="0" w:color="auto"/>
            </w:tcBorders>
          </w:tcPr>
          <w:p w:rsidR="0048417A" w:rsidRPr="004D57B3" w:rsidRDefault="0048417A" w:rsidP="00836B55">
            <w:pPr>
              <w:pStyle w:val="TableText"/>
              <w:spacing w:before="100" w:beforeAutospacing="1" w:after="100" w:afterAutospacing="1"/>
              <w:rPr>
                <w:rFonts w:cs="Arial"/>
                <w:b/>
                <w:bCs/>
                <w:szCs w:val="18"/>
              </w:rPr>
            </w:pPr>
            <w:r w:rsidRPr="004D57B3">
              <w:rPr>
                <w:rFonts w:cs="Arial"/>
                <w:b/>
                <w:bCs/>
                <w:szCs w:val="18"/>
              </w:rPr>
              <w:t>Search terms</w:t>
            </w:r>
          </w:p>
        </w:tc>
      </w:tr>
      <w:tr w:rsidR="0048417A" w:rsidRPr="004D57B3" w:rsidTr="00836B55">
        <w:tc>
          <w:tcPr>
            <w:tcW w:w="2410" w:type="dxa"/>
            <w:tcBorders>
              <w:top w:val="single" w:sz="4" w:space="0" w:color="auto"/>
              <w:bottom w:val="single" w:sz="4" w:space="0" w:color="auto"/>
            </w:tcBorders>
          </w:tcPr>
          <w:p w:rsidR="0048417A" w:rsidRPr="004D57B3" w:rsidRDefault="0048417A" w:rsidP="00836B55">
            <w:pPr>
              <w:pStyle w:val="TableText"/>
              <w:spacing w:before="100" w:beforeAutospacing="1" w:after="100" w:afterAutospacing="1"/>
              <w:rPr>
                <w:rFonts w:cs="Arial"/>
                <w:szCs w:val="18"/>
              </w:rPr>
            </w:pPr>
            <w:r w:rsidRPr="004D57B3">
              <w:rPr>
                <w:rFonts w:cs="Arial"/>
                <w:szCs w:val="18"/>
              </w:rPr>
              <w:t>Population</w:t>
            </w:r>
          </w:p>
        </w:tc>
        <w:tc>
          <w:tcPr>
            <w:tcW w:w="5103" w:type="dxa"/>
            <w:tcBorders>
              <w:top w:val="single" w:sz="4" w:space="0" w:color="auto"/>
              <w:bottom w:val="single" w:sz="4" w:space="0" w:color="auto"/>
            </w:tcBorders>
          </w:tcPr>
          <w:p w:rsidR="0048417A" w:rsidRPr="004D57B3" w:rsidRDefault="0048417A" w:rsidP="00836B55">
            <w:pPr>
              <w:pStyle w:val="ListParagraph"/>
              <w:numPr>
                <w:ilvl w:val="0"/>
                <w:numId w:val="4"/>
              </w:numPr>
              <w:spacing w:before="60"/>
              <w:ind w:left="357" w:hanging="357"/>
              <w:rPr>
                <w:rFonts w:ascii="Arial Narrow" w:hAnsi="Arial Narrow"/>
                <w:sz w:val="18"/>
                <w:szCs w:val="18"/>
              </w:rPr>
            </w:pPr>
            <w:r w:rsidRPr="004D57B3">
              <w:rPr>
                <w:rFonts w:ascii="Arial Narrow" w:hAnsi="Arial Narrow"/>
                <w:sz w:val="18"/>
                <w:szCs w:val="18"/>
              </w:rPr>
              <w:t>'enteritis'/</w:t>
            </w:r>
            <w:proofErr w:type="spellStart"/>
            <w:r w:rsidRPr="004D57B3">
              <w:rPr>
                <w:rFonts w:ascii="Arial Narrow" w:hAnsi="Arial Narrow"/>
                <w:sz w:val="18"/>
                <w:szCs w:val="18"/>
              </w:rPr>
              <w:t>exp</w:t>
            </w:r>
            <w:proofErr w:type="spellEnd"/>
            <w:r w:rsidRPr="004D57B3">
              <w:rPr>
                <w:rFonts w:ascii="Arial Narrow" w:hAnsi="Arial Narrow"/>
                <w:sz w:val="18"/>
                <w:szCs w:val="18"/>
              </w:rPr>
              <w:t xml:space="preserve"> OR 'enteritis'</w:t>
            </w:r>
          </w:p>
          <w:p w:rsidR="0048417A" w:rsidRPr="004D57B3" w:rsidRDefault="0048417A" w:rsidP="00836B55">
            <w:pPr>
              <w:pStyle w:val="ListParagraph"/>
              <w:numPr>
                <w:ilvl w:val="0"/>
                <w:numId w:val="4"/>
              </w:numPr>
              <w:spacing w:before="60"/>
              <w:ind w:left="357" w:hanging="357"/>
              <w:rPr>
                <w:rFonts w:ascii="Arial Narrow" w:hAnsi="Arial Narrow"/>
                <w:sz w:val="18"/>
                <w:szCs w:val="18"/>
              </w:rPr>
            </w:pPr>
            <w:r w:rsidRPr="004D57B3">
              <w:rPr>
                <w:rFonts w:ascii="Arial Narrow" w:hAnsi="Arial Narrow"/>
                <w:sz w:val="18"/>
                <w:szCs w:val="18"/>
              </w:rPr>
              <w:t>'colitis'/</w:t>
            </w:r>
            <w:proofErr w:type="spellStart"/>
            <w:r w:rsidRPr="004D57B3">
              <w:rPr>
                <w:rFonts w:ascii="Arial Narrow" w:hAnsi="Arial Narrow"/>
                <w:sz w:val="18"/>
                <w:szCs w:val="18"/>
              </w:rPr>
              <w:t>exp</w:t>
            </w:r>
            <w:proofErr w:type="spellEnd"/>
            <w:r w:rsidRPr="004D57B3">
              <w:rPr>
                <w:rFonts w:ascii="Arial Narrow" w:hAnsi="Arial Narrow"/>
                <w:sz w:val="18"/>
                <w:szCs w:val="18"/>
              </w:rPr>
              <w:t xml:space="preserve"> OR 'colitis'</w:t>
            </w:r>
          </w:p>
          <w:p w:rsidR="0048417A" w:rsidRPr="004D57B3" w:rsidRDefault="0048417A" w:rsidP="00836B55">
            <w:pPr>
              <w:pStyle w:val="ListParagraph"/>
              <w:numPr>
                <w:ilvl w:val="0"/>
                <w:numId w:val="4"/>
              </w:numPr>
              <w:spacing w:before="60"/>
              <w:ind w:left="357" w:hanging="357"/>
              <w:rPr>
                <w:rFonts w:ascii="Arial Narrow" w:hAnsi="Arial Narrow"/>
                <w:sz w:val="18"/>
                <w:szCs w:val="18"/>
              </w:rPr>
            </w:pPr>
            <w:r w:rsidRPr="004D57B3">
              <w:rPr>
                <w:rFonts w:ascii="Arial Narrow" w:hAnsi="Arial Narrow"/>
                <w:sz w:val="18"/>
                <w:szCs w:val="18"/>
              </w:rPr>
              <w:t>'</w:t>
            </w:r>
            <w:proofErr w:type="spellStart"/>
            <w:r w:rsidRPr="004D57B3">
              <w:rPr>
                <w:rFonts w:ascii="Arial Narrow" w:hAnsi="Arial Narrow"/>
                <w:sz w:val="18"/>
                <w:szCs w:val="18"/>
              </w:rPr>
              <w:t>crohn</w:t>
            </w:r>
            <w:proofErr w:type="spellEnd"/>
            <w:r w:rsidRPr="004D57B3">
              <w:rPr>
                <w:rFonts w:ascii="Arial Narrow" w:hAnsi="Arial Narrow"/>
                <w:sz w:val="18"/>
                <w:szCs w:val="18"/>
              </w:rPr>
              <w:t xml:space="preserve"> disease'/de OR '</w:t>
            </w:r>
            <w:proofErr w:type="spellStart"/>
            <w:r w:rsidRPr="004D57B3">
              <w:rPr>
                <w:rFonts w:ascii="Arial Narrow" w:hAnsi="Arial Narrow"/>
                <w:sz w:val="18"/>
                <w:szCs w:val="18"/>
              </w:rPr>
              <w:t>crohn</w:t>
            </w:r>
            <w:proofErr w:type="spellEnd"/>
            <w:r w:rsidRPr="004D57B3">
              <w:rPr>
                <w:rFonts w:ascii="Arial Narrow" w:hAnsi="Arial Narrow"/>
                <w:sz w:val="18"/>
                <w:szCs w:val="18"/>
              </w:rPr>
              <w:t xml:space="preserve"> disease' </w:t>
            </w:r>
          </w:p>
          <w:p w:rsidR="0048417A" w:rsidRPr="004D57B3" w:rsidRDefault="0048417A" w:rsidP="00836B55">
            <w:pPr>
              <w:pStyle w:val="ListParagraph"/>
              <w:numPr>
                <w:ilvl w:val="0"/>
                <w:numId w:val="4"/>
              </w:numPr>
              <w:spacing w:before="60"/>
              <w:ind w:left="357" w:hanging="357"/>
              <w:rPr>
                <w:rFonts w:ascii="Arial Narrow" w:hAnsi="Arial Narrow"/>
                <w:sz w:val="18"/>
                <w:szCs w:val="18"/>
              </w:rPr>
            </w:pPr>
            <w:proofErr w:type="spellStart"/>
            <w:r w:rsidRPr="004D57B3">
              <w:rPr>
                <w:rFonts w:ascii="Arial Narrow" w:hAnsi="Arial Narrow"/>
                <w:sz w:val="18"/>
                <w:szCs w:val="18"/>
              </w:rPr>
              <w:t>crohn</w:t>
            </w:r>
            <w:proofErr w:type="spellEnd"/>
            <w:r w:rsidRPr="004D57B3">
              <w:rPr>
                <w:rFonts w:ascii="Arial Narrow" w:hAnsi="Arial Narrow"/>
                <w:sz w:val="18"/>
                <w:szCs w:val="18"/>
              </w:rPr>
              <w:t>*</w:t>
            </w:r>
          </w:p>
          <w:p w:rsidR="0048417A" w:rsidRPr="004D57B3" w:rsidRDefault="0048417A" w:rsidP="00836B55">
            <w:pPr>
              <w:pStyle w:val="ListParagraph"/>
              <w:numPr>
                <w:ilvl w:val="0"/>
                <w:numId w:val="4"/>
              </w:numPr>
              <w:spacing w:before="60"/>
              <w:ind w:left="357" w:hanging="357"/>
              <w:rPr>
                <w:rFonts w:ascii="Arial Narrow" w:hAnsi="Arial Narrow"/>
                <w:sz w:val="18"/>
                <w:szCs w:val="18"/>
              </w:rPr>
            </w:pPr>
            <w:proofErr w:type="spellStart"/>
            <w:r w:rsidRPr="004D57B3">
              <w:rPr>
                <w:rFonts w:ascii="Arial Narrow" w:hAnsi="Arial Narrow"/>
                <w:sz w:val="18"/>
                <w:szCs w:val="18"/>
              </w:rPr>
              <w:t>enterocolitis:ab,ti</w:t>
            </w:r>
            <w:proofErr w:type="spellEnd"/>
          </w:p>
          <w:p w:rsidR="0048417A" w:rsidRPr="004D57B3" w:rsidRDefault="0048417A" w:rsidP="00836B55">
            <w:pPr>
              <w:pStyle w:val="ListParagraph"/>
              <w:numPr>
                <w:ilvl w:val="0"/>
                <w:numId w:val="4"/>
              </w:numPr>
              <w:spacing w:before="60"/>
              <w:ind w:left="357" w:hanging="357"/>
              <w:rPr>
                <w:rFonts w:ascii="Arial Narrow" w:hAnsi="Arial Narrow"/>
                <w:sz w:val="18"/>
                <w:szCs w:val="18"/>
              </w:rPr>
            </w:pPr>
            <w:r w:rsidRPr="004D57B3">
              <w:rPr>
                <w:rFonts w:ascii="Arial Narrow" w:hAnsi="Arial Narrow"/>
                <w:sz w:val="18"/>
                <w:szCs w:val="18"/>
              </w:rPr>
              <w:t>'small bowel'/de OR 'small bowel'</w:t>
            </w:r>
          </w:p>
          <w:p w:rsidR="0048417A" w:rsidRPr="004D57B3" w:rsidRDefault="0048417A" w:rsidP="00836B55">
            <w:pPr>
              <w:pStyle w:val="ListParagraph"/>
              <w:numPr>
                <w:ilvl w:val="0"/>
                <w:numId w:val="4"/>
              </w:numPr>
              <w:spacing w:before="60"/>
              <w:ind w:left="357" w:hanging="357"/>
              <w:rPr>
                <w:rFonts w:ascii="Arial Narrow" w:hAnsi="Arial Narrow"/>
                <w:sz w:val="18"/>
                <w:szCs w:val="18"/>
              </w:rPr>
            </w:pPr>
            <w:r w:rsidRPr="004D57B3">
              <w:rPr>
                <w:rFonts w:ascii="Arial Narrow" w:hAnsi="Arial Narrow"/>
                <w:sz w:val="18"/>
                <w:szCs w:val="18"/>
              </w:rPr>
              <w:t>(disease* OR inflammation*):</w:t>
            </w:r>
            <w:proofErr w:type="spellStart"/>
            <w:r w:rsidRPr="004D57B3">
              <w:rPr>
                <w:rFonts w:ascii="Arial Narrow" w:hAnsi="Arial Narrow"/>
                <w:sz w:val="18"/>
                <w:szCs w:val="18"/>
              </w:rPr>
              <w:t>ab,ti</w:t>
            </w:r>
            <w:proofErr w:type="spellEnd"/>
          </w:p>
          <w:p w:rsidR="0048417A" w:rsidRPr="004D57B3" w:rsidRDefault="0048417A" w:rsidP="00836B55">
            <w:pPr>
              <w:pStyle w:val="ListParagraph"/>
              <w:numPr>
                <w:ilvl w:val="0"/>
                <w:numId w:val="4"/>
              </w:numPr>
              <w:spacing w:before="60"/>
              <w:ind w:left="357" w:hanging="357"/>
              <w:rPr>
                <w:rFonts w:ascii="Arial Narrow" w:hAnsi="Arial Narrow"/>
                <w:sz w:val="18"/>
                <w:szCs w:val="18"/>
              </w:rPr>
            </w:pPr>
            <w:r w:rsidRPr="004D57B3">
              <w:rPr>
                <w:rFonts w:ascii="Arial Narrow" w:hAnsi="Arial Narrow"/>
                <w:sz w:val="18"/>
                <w:szCs w:val="18"/>
              </w:rPr>
              <w:t>6 and 7</w:t>
            </w:r>
          </w:p>
          <w:p w:rsidR="0048417A" w:rsidRPr="004D57B3" w:rsidRDefault="0048417A" w:rsidP="00836B55">
            <w:pPr>
              <w:pStyle w:val="ListParagraph"/>
              <w:numPr>
                <w:ilvl w:val="0"/>
                <w:numId w:val="4"/>
              </w:numPr>
              <w:spacing w:before="60"/>
              <w:ind w:left="357" w:hanging="357"/>
              <w:rPr>
                <w:rFonts w:ascii="Arial Narrow" w:hAnsi="Arial Narrow"/>
                <w:sz w:val="18"/>
                <w:szCs w:val="18"/>
              </w:rPr>
            </w:pPr>
            <w:r w:rsidRPr="004D57B3">
              <w:rPr>
                <w:rFonts w:ascii="Arial Narrow" w:hAnsi="Arial Narrow"/>
                <w:sz w:val="18"/>
                <w:szCs w:val="18"/>
              </w:rPr>
              <w:t>Or/1-5,8</w:t>
            </w:r>
          </w:p>
        </w:tc>
      </w:tr>
      <w:tr w:rsidR="0048417A" w:rsidRPr="004D57B3" w:rsidTr="00836B55">
        <w:tc>
          <w:tcPr>
            <w:tcW w:w="2410" w:type="dxa"/>
            <w:tcBorders>
              <w:top w:val="single" w:sz="4" w:space="0" w:color="auto"/>
              <w:bottom w:val="single" w:sz="4" w:space="0" w:color="auto"/>
            </w:tcBorders>
          </w:tcPr>
          <w:p w:rsidR="0048417A" w:rsidRPr="004D57B3" w:rsidRDefault="0048417A" w:rsidP="00836B55">
            <w:pPr>
              <w:pStyle w:val="TableText"/>
              <w:spacing w:before="100" w:beforeAutospacing="1" w:after="100" w:afterAutospacing="1"/>
              <w:rPr>
                <w:rFonts w:cs="Arial"/>
                <w:szCs w:val="18"/>
              </w:rPr>
            </w:pPr>
            <w:r w:rsidRPr="004D57B3">
              <w:rPr>
                <w:rFonts w:cs="Arial"/>
                <w:szCs w:val="18"/>
              </w:rPr>
              <w:t>Intervention/test</w:t>
            </w:r>
          </w:p>
        </w:tc>
        <w:tc>
          <w:tcPr>
            <w:tcW w:w="5103" w:type="dxa"/>
            <w:tcBorders>
              <w:top w:val="single" w:sz="4" w:space="0" w:color="auto"/>
              <w:bottom w:val="single" w:sz="4" w:space="0" w:color="auto"/>
            </w:tcBorders>
          </w:tcPr>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'wireless capsule endoscopy'/</w:t>
            </w:r>
            <w:proofErr w:type="spellStart"/>
            <w:r w:rsidRPr="004D57B3">
              <w:rPr>
                <w:rFonts w:ascii="Arial Narrow" w:hAnsi="Arial Narrow"/>
                <w:sz w:val="18"/>
                <w:szCs w:val="18"/>
              </w:rPr>
              <w:t>exp</w:t>
            </w:r>
            <w:proofErr w:type="spellEnd"/>
            <w:r w:rsidRPr="004D57B3">
              <w:rPr>
                <w:rFonts w:ascii="Arial Narrow" w:hAnsi="Arial Narrow"/>
                <w:sz w:val="18"/>
                <w:szCs w:val="18"/>
              </w:rPr>
              <w:t xml:space="preserve"> OR 'wireless capsule endoscopy'</w:t>
            </w:r>
            <w:r w:rsidRPr="004D57B3">
              <w:rPr>
                <w:rFonts w:ascii="Times New Roman" w:hAnsi="Times New Roman"/>
                <w:sz w:val="18"/>
                <w:szCs w:val="18"/>
                <w:lang w:eastAsia="en-AU"/>
              </w:rPr>
              <w:t xml:space="preserve"> </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'capsule endoscopy'/</w:t>
            </w:r>
            <w:proofErr w:type="spellStart"/>
            <w:r w:rsidRPr="004D57B3">
              <w:rPr>
                <w:rFonts w:ascii="Arial Narrow" w:hAnsi="Arial Narrow"/>
                <w:sz w:val="18"/>
                <w:szCs w:val="18"/>
              </w:rPr>
              <w:t>exp</w:t>
            </w:r>
            <w:proofErr w:type="spellEnd"/>
            <w:r w:rsidRPr="004D57B3">
              <w:rPr>
                <w:rFonts w:ascii="Arial Narrow" w:hAnsi="Arial Narrow"/>
                <w:sz w:val="18"/>
                <w:szCs w:val="18"/>
              </w:rPr>
              <w:t xml:space="preserve"> OR 'capsule endoscopy'</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(capsule NEXT/3 (</w:t>
            </w:r>
            <w:proofErr w:type="spellStart"/>
            <w:r w:rsidRPr="004D57B3">
              <w:rPr>
                <w:rFonts w:ascii="Arial Narrow" w:hAnsi="Arial Narrow"/>
                <w:sz w:val="18"/>
                <w:szCs w:val="18"/>
              </w:rPr>
              <w:t>endoscop</w:t>
            </w:r>
            <w:proofErr w:type="spellEnd"/>
            <w:r w:rsidRPr="004D57B3">
              <w:rPr>
                <w:rFonts w:ascii="Arial Narrow" w:hAnsi="Arial Narrow"/>
                <w:sz w:val="18"/>
                <w:szCs w:val="18"/>
              </w:rPr>
              <w:t xml:space="preserve">* OR </w:t>
            </w:r>
            <w:proofErr w:type="spellStart"/>
            <w:r w:rsidRPr="004D57B3">
              <w:rPr>
                <w:rFonts w:ascii="Arial Narrow" w:hAnsi="Arial Narrow"/>
                <w:sz w:val="18"/>
                <w:szCs w:val="18"/>
              </w:rPr>
              <w:t>enteroscop</w:t>
            </w:r>
            <w:proofErr w:type="spellEnd"/>
            <w:r w:rsidRPr="004D57B3">
              <w:rPr>
                <w:rFonts w:ascii="Arial Narrow" w:hAnsi="Arial Narrow"/>
                <w:sz w:val="18"/>
                <w:szCs w:val="18"/>
              </w:rPr>
              <w:t>*)):</w:t>
            </w:r>
            <w:proofErr w:type="spellStart"/>
            <w:r w:rsidRPr="004D57B3">
              <w:rPr>
                <w:rFonts w:ascii="Arial Narrow" w:hAnsi="Arial Narrow"/>
                <w:sz w:val="18"/>
                <w:szCs w:val="18"/>
              </w:rPr>
              <w:t>tn,ab,ti</w:t>
            </w:r>
            <w:proofErr w:type="spellEnd"/>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w:t>
            </w:r>
            <w:proofErr w:type="spellStart"/>
            <w:r w:rsidRPr="004D57B3">
              <w:rPr>
                <w:rFonts w:ascii="Arial Narrow" w:hAnsi="Arial Narrow"/>
                <w:sz w:val="18"/>
                <w:szCs w:val="18"/>
              </w:rPr>
              <w:t>videocapsule</w:t>
            </w:r>
            <w:proofErr w:type="spellEnd"/>
            <w:r w:rsidRPr="004D57B3">
              <w:rPr>
                <w:rFonts w:ascii="Arial Narrow" w:hAnsi="Arial Narrow"/>
                <w:sz w:val="18"/>
                <w:szCs w:val="18"/>
              </w:rPr>
              <w:t xml:space="preserve"> endoscopy' OR 'video capsule endoscopy'</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(wireless NEAR/3 (</w:t>
            </w:r>
            <w:proofErr w:type="spellStart"/>
            <w:r w:rsidRPr="004D57B3">
              <w:rPr>
                <w:rFonts w:ascii="Arial Narrow" w:hAnsi="Arial Narrow"/>
                <w:sz w:val="18"/>
                <w:szCs w:val="18"/>
              </w:rPr>
              <w:t>endoscop</w:t>
            </w:r>
            <w:proofErr w:type="spellEnd"/>
            <w:r w:rsidRPr="004D57B3">
              <w:rPr>
                <w:rFonts w:ascii="Arial Narrow" w:hAnsi="Arial Narrow"/>
                <w:sz w:val="18"/>
                <w:szCs w:val="18"/>
              </w:rPr>
              <w:t>* OR record*)):</w:t>
            </w:r>
            <w:proofErr w:type="spellStart"/>
            <w:r w:rsidRPr="004D57B3">
              <w:rPr>
                <w:rFonts w:ascii="Arial Narrow" w:hAnsi="Arial Narrow"/>
                <w:sz w:val="18"/>
                <w:szCs w:val="18"/>
              </w:rPr>
              <w:t>tn,ab,ti</w:t>
            </w:r>
            <w:proofErr w:type="spellEnd"/>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((disposable OR ingestible OR capsule) NEAR/3 imaging):</w:t>
            </w:r>
            <w:proofErr w:type="spellStart"/>
            <w:r w:rsidRPr="004D57B3">
              <w:rPr>
                <w:rFonts w:ascii="Arial Narrow" w:hAnsi="Arial Narrow"/>
                <w:sz w:val="18"/>
                <w:szCs w:val="18"/>
              </w:rPr>
              <w:t>tn,ab,ti</w:t>
            </w:r>
            <w:proofErr w:type="spellEnd"/>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(m2a NEXT/3 capsule):</w:t>
            </w:r>
            <w:proofErr w:type="spellStart"/>
            <w:r w:rsidRPr="004D57B3">
              <w:rPr>
                <w:rFonts w:ascii="Arial Narrow" w:hAnsi="Arial Narrow"/>
                <w:sz w:val="18"/>
                <w:szCs w:val="18"/>
              </w:rPr>
              <w:t>tn,ab,ti</w:t>
            </w:r>
            <w:proofErr w:type="spellEnd"/>
          </w:p>
          <w:p w:rsidR="0048417A" w:rsidRPr="004D57B3" w:rsidRDefault="0048417A" w:rsidP="00836B55">
            <w:pPr>
              <w:pStyle w:val="ListParagraph"/>
              <w:numPr>
                <w:ilvl w:val="0"/>
                <w:numId w:val="3"/>
              </w:numPr>
              <w:spacing w:before="60"/>
              <w:rPr>
                <w:rFonts w:ascii="Arial Narrow" w:hAnsi="Arial Narrow"/>
                <w:sz w:val="18"/>
                <w:szCs w:val="18"/>
              </w:rPr>
            </w:pPr>
            <w:proofErr w:type="spellStart"/>
            <w:r w:rsidRPr="004D57B3">
              <w:rPr>
                <w:rFonts w:ascii="Arial Narrow" w:hAnsi="Arial Narrow"/>
                <w:sz w:val="18"/>
                <w:szCs w:val="18"/>
              </w:rPr>
              <w:t>pillcam</w:t>
            </w:r>
            <w:proofErr w:type="spellEnd"/>
            <w:r w:rsidRPr="004D57B3">
              <w:rPr>
                <w:rFonts w:ascii="Arial Narrow" w:hAnsi="Arial Narrow"/>
                <w:sz w:val="18"/>
                <w:szCs w:val="18"/>
              </w:rPr>
              <w:t xml:space="preserve"> OR 'pill cam'</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(given NEXT/3 (imaging OR diagnostic*)):</w:t>
            </w:r>
            <w:proofErr w:type="spellStart"/>
            <w:r w:rsidRPr="004D57B3">
              <w:rPr>
                <w:rFonts w:ascii="Arial Narrow" w:hAnsi="Arial Narrow"/>
                <w:sz w:val="18"/>
                <w:szCs w:val="18"/>
              </w:rPr>
              <w:t>tn,ab,ti</w:t>
            </w:r>
            <w:proofErr w:type="spellEnd"/>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w:t>
            </w:r>
            <w:proofErr w:type="spellStart"/>
            <w:r w:rsidRPr="004D57B3">
              <w:rPr>
                <w:rFonts w:ascii="Arial Narrow" w:hAnsi="Arial Narrow"/>
                <w:sz w:val="18"/>
                <w:szCs w:val="18"/>
              </w:rPr>
              <w:t>endo</w:t>
            </w:r>
            <w:proofErr w:type="spellEnd"/>
            <w:r w:rsidRPr="004D57B3">
              <w:rPr>
                <w:rFonts w:ascii="Arial Narrow" w:hAnsi="Arial Narrow"/>
                <w:sz w:val="18"/>
                <w:szCs w:val="18"/>
              </w:rPr>
              <w:t xml:space="preserve"> capsule' OR '</w:t>
            </w:r>
            <w:proofErr w:type="spellStart"/>
            <w:r w:rsidRPr="004D57B3">
              <w:rPr>
                <w:rFonts w:ascii="Arial Narrow" w:hAnsi="Arial Narrow"/>
                <w:sz w:val="18"/>
                <w:szCs w:val="18"/>
              </w:rPr>
              <w:t>endocapsule</w:t>
            </w:r>
            <w:proofErr w:type="spellEnd"/>
            <w:r w:rsidRPr="004D57B3">
              <w:rPr>
                <w:rFonts w:ascii="Arial Narrow" w:hAnsi="Arial Narrow"/>
                <w:sz w:val="18"/>
                <w:szCs w:val="18"/>
              </w:rPr>
              <w:t>'</w:t>
            </w:r>
          </w:p>
          <w:p w:rsidR="0048417A" w:rsidRPr="004D57B3" w:rsidRDefault="0048417A" w:rsidP="00836B55">
            <w:pPr>
              <w:pStyle w:val="ListParagraph"/>
              <w:numPr>
                <w:ilvl w:val="0"/>
                <w:numId w:val="3"/>
              </w:numPr>
              <w:spacing w:before="60"/>
              <w:rPr>
                <w:rFonts w:ascii="Arial Narrow" w:hAnsi="Arial Narrow"/>
                <w:sz w:val="18"/>
                <w:szCs w:val="18"/>
              </w:rPr>
            </w:pPr>
            <w:proofErr w:type="spellStart"/>
            <w:r w:rsidRPr="004D57B3">
              <w:rPr>
                <w:rFonts w:ascii="Arial Narrow" w:hAnsi="Arial Narrow"/>
                <w:sz w:val="18"/>
                <w:szCs w:val="18"/>
              </w:rPr>
              <w:t>olympus</w:t>
            </w:r>
            <w:proofErr w:type="spellEnd"/>
            <w:r w:rsidRPr="004D57B3">
              <w:rPr>
                <w:rFonts w:ascii="Arial Narrow" w:hAnsi="Arial Narrow"/>
                <w:sz w:val="18"/>
                <w:szCs w:val="18"/>
              </w:rPr>
              <w:t xml:space="preserve"> NEAR/3 capsule</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OMOM NEAR/3 capsule</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MIRO NEAR/3 capsule</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or/1-13</w:t>
            </w:r>
          </w:p>
          <w:p w:rsidR="0048417A" w:rsidRPr="004D57B3" w:rsidRDefault="0048417A" w:rsidP="00836B55">
            <w:pPr>
              <w:pStyle w:val="ListParagraph"/>
              <w:numPr>
                <w:ilvl w:val="0"/>
                <w:numId w:val="3"/>
              </w:numPr>
              <w:spacing w:before="60"/>
              <w:rPr>
                <w:rFonts w:ascii="Arial Narrow" w:hAnsi="Arial Narrow"/>
                <w:sz w:val="18"/>
                <w:szCs w:val="18"/>
              </w:rPr>
            </w:pPr>
            <w:r w:rsidRPr="004D57B3">
              <w:rPr>
                <w:rFonts w:ascii="Arial Narrow" w:hAnsi="Arial Narrow"/>
                <w:sz w:val="18"/>
                <w:szCs w:val="18"/>
              </w:rPr>
              <w:t>14  AND [Population search string]</w:t>
            </w:r>
          </w:p>
        </w:tc>
      </w:tr>
    </w:tbl>
    <w:p w:rsidR="0048417A" w:rsidRPr="004D57B3" w:rsidRDefault="0048417A" w:rsidP="00836B55">
      <w:pPr>
        <w:pStyle w:val="Heading3"/>
      </w:pPr>
      <w:r w:rsidRPr="004D57B3">
        <w:t>Selection criteria</w:t>
      </w:r>
    </w:p>
    <w:p w:rsidR="0048417A" w:rsidRPr="004D57B3" w:rsidRDefault="0048417A" w:rsidP="00836B55">
      <w:r w:rsidRPr="004D57B3">
        <w:t xml:space="preserve">The selection criteria outlined in </w:t>
      </w:r>
      <w:r w:rsidR="00AE591B">
        <w:fldChar w:fldCharType="begin"/>
      </w:r>
      <w:r w:rsidR="00AE591B">
        <w:instrText xml:space="preserve"> REF _Ref276648693 \h  \* MERGEFORMAT </w:instrText>
      </w:r>
      <w:r w:rsidR="00AE591B">
        <w:fldChar w:fldCharType="separate"/>
      </w:r>
      <w:r w:rsidRPr="004D57B3">
        <w:t xml:space="preserve">Table </w:t>
      </w:r>
      <w:r>
        <w:rPr>
          <w:noProof/>
        </w:rPr>
        <w:t>12</w:t>
      </w:r>
      <w:r w:rsidR="00AE591B">
        <w:fldChar w:fldCharType="end"/>
      </w:r>
      <w:r w:rsidRPr="004D57B3">
        <w:t xml:space="preserve"> were developed </w:t>
      </w:r>
      <w:r w:rsidRPr="004D57B3">
        <w:rPr>
          <w:i/>
        </w:rPr>
        <w:t xml:space="preserve">a priori </w:t>
      </w:r>
      <w:r w:rsidRPr="004D57B3">
        <w:t xml:space="preserve">and were applied to all articles identified by the literature search. </w:t>
      </w:r>
    </w:p>
    <w:p w:rsidR="0048417A" w:rsidRPr="004D57B3" w:rsidRDefault="0048417A" w:rsidP="00836B55"/>
    <w:p w:rsidR="0048417A" w:rsidRPr="004D57B3" w:rsidRDefault="0048417A" w:rsidP="00836B55">
      <w:pPr>
        <w:pStyle w:val="TableName"/>
        <w:ind w:left="1485" w:hanging="765"/>
      </w:pPr>
      <w:bookmarkStart w:id="102" w:name="_Ref276648693"/>
      <w:bookmarkStart w:id="103" w:name="_Ref278292809"/>
      <w:bookmarkStart w:id="104" w:name="_Toc291859574"/>
      <w:r w:rsidRPr="004D57B3">
        <w:lastRenderedPageBreak/>
        <w:t xml:space="preserve">Table </w:t>
      </w:r>
      <w:r w:rsidR="00AE591B">
        <w:fldChar w:fldCharType="begin"/>
      </w:r>
      <w:r w:rsidR="00AE591B">
        <w:instrText xml:space="preserve"> SEQ Table \* ARABIC </w:instrText>
      </w:r>
      <w:r w:rsidR="00AE591B">
        <w:fldChar w:fldCharType="separate"/>
      </w:r>
      <w:r>
        <w:rPr>
          <w:noProof/>
        </w:rPr>
        <w:t>12</w:t>
      </w:r>
      <w:r w:rsidR="00AE591B">
        <w:rPr>
          <w:noProof/>
        </w:rPr>
        <w:fldChar w:fldCharType="end"/>
      </w:r>
      <w:bookmarkEnd w:id="102"/>
      <w:r w:rsidRPr="004D57B3">
        <w:tab/>
        <w:t>Selection criteria for the identification of relevant studies</w:t>
      </w:r>
      <w:bookmarkEnd w:id="103"/>
      <w:bookmarkEnd w:id="104"/>
    </w:p>
    <w:tbl>
      <w:tblPr>
        <w:tblW w:w="0" w:type="auto"/>
        <w:tblInd w:w="817" w:type="dxa"/>
        <w:tblBorders>
          <w:top w:val="single" w:sz="4" w:space="0" w:color="auto"/>
        </w:tblBorders>
        <w:tblLook w:val="0000" w:firstRow="0" w:lastRow="0" w:firstColumn="0" w:lastColumn="0" w:noHBand="0" w:noVBand="0"/>
      </w:tblPr>
      <w:tblGrid>
        <w:gridCol w:w="1384"/>
        <w:gridCol w:w="6768"/>
      </w:tblGrid>
      <w:tr w:rsidR="0048417A" w:rsidRPr="004D57B3" w:rsidTr="00836B55">
        <w:trPr>
          <w:tblHeader/>
        </w:trPr>
        <w:tc>
          <w:tcPr>
            <w:tcW w:w="1384"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Characteristic</w:t>
            </w:r>
          </w:p>
        </w:tc>
        <w:tc>
          <w:tcPr>
            <w:tcW w:w="6768"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Inclusion criteria</w:t>
            </w:r>
          </w:p>
        </w:tc>
      </w:tr>
      <w:tr w:rsidR="0048417A" w:rsidRPr="004D57B3" w:rsidTr="00836B55">
        <w:tc>
          <w:tcPr>
            <w:tcW w:w="1384" w:type="dxa"/>
            <w:tcBorders>
              <w:top w:val="single" w:sz="4" w:space="0" w:color="auto"/>
              <w:bottom w:val="single" w:sz="4" w:space="0" w:color="auto"/>
            </w:tcBorders>
          </w:tcPr>
          <w:p w:rsidR="0048417A" w:rsidRPr="004D57B3" w:rsidRDefault="0048417A" w:rsidP="00836B55">
            <w:pPr>
              <w:pStyle w:val="TableText"/>
            </w:pPr>
            <w:r w:rsidRPr="004D57B3">
              <w:t>Publication type</w:t>
            </w:r>
          </w:p>
        </w:tc>
        <w:tc>
          <w:tcPr>
            <w:tcW w:w="6768" w:type="dxa"/>
            <w:tcBorders>
              <w:top w:val="single" w:sz="4" w:space="0" w:color="auto"/>
              <w:bottom w:val="single" w:sz="4" w:space="0" w:color="auto"/>
            </w:tcBorders>
          </w:tcPr>
          <w:p w:rsidR="0048417A" w:rsidRPr="004D57B3" w:rsidRDefault="0048417A" w:rsidP="00836B55">
            <w:pPr>
              <w:pStyle w:val="TableText"/>
            </w:pPr>
            <w:r w:rsidRPr="004D57B3">
              <w:t xml:space="preserve">Clinical studies included. Non-systematic reviews, letters, editorials, animal, in-vitro, laboratory studies, conference abstracts and technical reports excluded. </w:t>
            </w:r>
          </w:p>
          <w:p w:rsidR="0048417A" w:rsidRPr="004D57B3" w:rsidRDefault="0048417A" w:rsidP="00836B55">
            <w:pPr>
              <w:pStyle w:val="TableTextCharChar"/>
              <w:keepNext w:val="0"/>
              <w:widowControl w:val="0"/>
              <w:spacing w:after="60"/>
              <w:rPr>
                <w:rFonts w:ascii="Arial Narrow" w:hAnsi="Arial Narrow" w:cs="Arial"/>
                <w:b/>
                <w:lang w:val="en-US"/>
              </w:rPr>
            </w:pPr>
            <w:r w:rsidRPr="004D57B3">
              <w:rPr>
                <w:rFonts w:ascii="Arial Narrow" w:hAnsi="Arial Narrow" w:cs="Arial"/>
                <w:b/>
                <w:lang w:val="en-US"/>
              </w:rPr>
              <w:t>Systematic reviews</w:t>
            </w:r>
          </w:p>
          <w:p w:rsidR="0048417A" w:rsidRPr="004D57B3" w:rsidRDefault="0048417A" w:rsidP="00836B55">
            <w:pPr>
              <w:pStyle w:val="TableText"/>
              <w:rPr>
                <w:lang w:val="en-US"/>
              </w:rPr>
            </w:pPr>
            <w:r w:rsidRPr="004D57B3">
              <w:rPr>
                <w:lang w:val="en-US"/>
              </w:rPr>
              <w:t xml:space="preserve">Systematic reviews that have been </w:t>
            </w:r>
            <w:r w:rsidRPr="004D57B3">
              <w:t>superseded</w:t>
            </w:r>
            <w:r w:rsidRPr="004D57B3">
              <w:rPr>
                <w:lang w:val="en-US"/>
              </w:rPr>
              <w:t xml:space="preserve"> will be excluded</w:t>
            </w:r>
          </w:p>
          <w:p w:rsidR="0048417A" w:rsidRPr="004D57B3" w:rsidRDefault="0048417A" w:rsidP="00836B55">
            <w:pPr>
              <w:pStyle w:val="TableTextCharChar"/>
              <w:keepNext w:val="0"/>
              <w:widowControl w:val="0"/>
              <w:spacing w:after="60"/>
              <w:rPr>
                <w:rFonts w:ascii="Arial Narrow" w:hAnsi="Arial Narrow" w:cs="Arial"/>
                <w:b/>
                <w:lang w:val="en-US"/>
              </w:rPr>
            </w:pPr>
            <w:r w:rsidRPr="004D57B3">
              <w:rPr>
                <w:rFonts w:ascii="Arial Narrow" w:hAnsi="Arial Narrow" w:cs="Arial"/>
                <w:b/>
                <w:lang w:val="en-US"/>
              </w:rPr>
              <w:t>Primary studies</w:t>
            </w:r>
          </w:p>
          <w:p w:rsidR="0048417A" w:rsidRPr="004D57B3" w:rsidRDefault="0048417A" w:rsidP="00836B55">
            <w:pPr>
              <w:pStyle w:val="TableText"/>
              <w:rPr>
                <w:lang w:val="en-US"/>
              </w:rPr>
            </w:pPr>
            <w:r w:rsidRPr="004D57B3">
              <w:rPr>
                <w:lang w:val="en-US"/>
              </w:rPr>
              <w:t>Primary studies published during the search period of included systematic reviews excluded.</w:t>
            </w:r>
          </w:p>
          <w:p w:rsidR="0048417A" w:rsidRPr="004D57B3" w:rsidRDefault="0048417A" w:rsidP="00836B55">
            <w:pPr>
              <w:pStyle w:val="TableText"/>
              <w:rPr>
                <w:lang w:val="en-US"/>
              </w:rPr>
            </w:pPr>
            <w:r w:rsidRPr="004D57B3">
              <w:rPr>
                <w:lang w:val="en-US"/>
              </w:rPr>
              <w:t>Accuracy studies excluded if:</w:t>
            </w:r>
          </w:p>
          <w:p w:rsidR="0048417A" w:rsidRPr="004D57B3" w:rsidRDefault="0048417A" w:rsidP="00836B55">
            <w:pPr>
              <w:pStyle w:val="TableTextCharCharChar"/>
              <w:keepNext w:val="0"/>
              <w:widowControl w:val="0"/>
              <w:numPr>
                <w:ilvl w:val="0"/>
                <w:numId w:val="27"/>
              </w:numPr>
              <w:rPr>
                <w:rFonts w:cs="Arial"/>
                <w:lang w:val="en-US"/>
              </w:rPr>
            </w:pPr>
            <w:r w:rsidRPr="004D57B3">
              <w:rPr>
                <w:rFonts w:cs="Arial"/>
                <w:lang w:val="en-US"/>
              </w:rPr>
              <w:t xml:space="preserve">patients </w:t>
            </w:r>
            <w:r w:rsidRPr="004D57B3">
              <w:rPr>
                <w:szCs w:val="18"/>
              </w:rPr>
              <w:t>were</w:t>
            </w:r>
            <w:r w:rsidRPr="004D57B3">
              <w:rPr>
                <w:rFonts w:cs="Arial"/>
                <w:lang w:val="en-US"/>
              </w:rPr>
              <w:t xml:space="preserve"> selected for inclusion in the study based on their known disease (case-referent, case-control studies)</w:t>
            </w:r>
          </w:p>
          <w:p w:rsidR="0048417A" w:rsidRPr="004D57B3" w:rsidRDefault="0048417A" w:rsidP="00836B55">
            <w:pPr>
              <w:pStyle w:val="TableTextCharCharChar"/>
              <w:keepNext w:val="0"/>
              <w:widowControl w:val="0"/>
              <w:ind w:firstLine="82"/>
              <w:rPr>
                <w:rFonts w:cs="Arial"/>
                <w:lang w:val="en-US"/>
              </w:rPr>
            </w:pPr>
            <w:r w:rsidRPr="004D57B3">
              <w:rPr>
                <w:rFonts w:cs="Arial"/>
                <w:lang w:val="en-US"/>
              </w:rPr>
              <w:t>Diagnostic yield studies excluded if:</w:t>
            </w:r>
          </w:p>
          <w:p w:rsidR="0048417A" w:rsidRPr="004D57B3" w:rsidRDefault="0048417A" w:rsidP="00836B55">
            <w:pPr>
              <w:pStyle w:val="TableTextCharCharChar"/>
              <w:keepNext w:val="0"/>
              <w:widowControl w:val="0"/>
              <w:numPr>
                <w:ilvl w:val="0"/>
                <w:numId w:val="28"/>
              </w:numPr>
              <w:rPr>
                <w:rFonts w:cs="Arial"/>
                <w:lang w:val="en-US"/>
              </w:rPr>
            </w:pPr>
            <w:r w:rsidRPr="004D57B3">
              <w:rPr>
                <w:rFonts w:cs="Arial"/>
                <w:lang w:val="en-US"/>
              </w:rPr>
              <w:t>retrospective or non-consecutive</w:t>
            </w:r>
          </w:p>
          <w:p w:rsidR="0048417A" w:rsidRPr="004D57B3" w:rsidRDefault="0048417A" w:rsidP="00836B55">
            <w:pPr>
              <w:pStyle w:val="TableTextCharChar"/>
              <w:keepNext w:val="0"/>
              <w:widowControl w:val="0"/>
              <w:spacing w:after="60"/>
              <w:ind w:left="45"/>
              <w:rPr>
                <w:rFonts w:ascii="Arial Narrow" w:hAnsi="Arial Narrow" w:cs="Arial"/>
                <w:lang w:val="en-US"/>
              </w:rPr>
            </w:pPr>
            <w:r w:rsidRPr="004D57B3">
              <w:rPr>
                <w:rFonts w:ascii="Arial Narrow" w:hAnsi="Arial Narrow" w:cs="Arial"/>
                <w:lang w:val="en-US"/>
              </w:rPr>
              <w:t>Change in patient management studies excluded if:</w:t>
            </w:r>
          </w:p>
          <w:p w:rsidR="0048417A" w:rsidRPr="004D57B3" w:rsidRDefault="0048417A" w:rsidP="00836B55">
            <w:pPr>
              <w:pStyle w:val="TableTextCharCharChar"/>
              <w:keepNext w:val="0"/>
              <w:widowControl w:val="0"/>
              <w:numPr>
                <w:ilvl w:val="0"/>
                <w:numId w:val="29"/>
              </w:numPr>
              <w:rPr>
                <w:szCs w:val="18"/>
              </w:rPr>
            </w:pPr>
            <w:r w:rsidRPr="004D57B3">
              <w:rPr>
                <w:szCs w:val="18"/>
              </w:rPr>
              <w:t>change in therapeutic impact is not determined by comparison to a clearly defined non-CE or pre-CE management plan</w:t>
            </w:r>
          </w:p>
          <w:p w:rsidR="0048417A" w:rsidRPr="004D57B3" w:rsidRDefault="0048417A" w:rsidP="00836B55">
            <w:pPr>
              <w:pStyle w:val="TableTextCharCharChar"/>
              <w:keepNext w:val="0"/>
              <w:widowControl w:val="0"/>
              <w:numPr>
                <w:ilvl w:val="0"/>
                <w:numId w:val="29"/>
              </w:numPr>
              <w:rPr>
                <w:szCs w:val="18"/>
              </w:rPr>
            </w:pPr>
            <w:r w:rsidRPr="004D57B3">
              <w:rPr>
                <w:szCs w:val="18"/>
              </w:rPr>
              <w:t>reported outcomes are a subjective rating of physician’s perceived usefulness of the test without actual changes in management plan</w:t>
            </w:r>
          </w:p>
          <w:p w:rsidR="0048417A" w:rsidRPr="004D57B3" w:rsidRDefault="0048417A" w:rsidP="00836B55">
            <w:pPr>
              <w:pStyle w:val="TableTextCharChar"/>
              <w:keepNext w:val="0"/>
              <w:widowControl w:val="0"/>
              <w:spacing w:after="60"/>
              <w:ind w:left="45"/>
              <w:rPr>
                <w:rFonts w:ascii="Arial Narrow" w:hAnsi="Arial Narrow" w:cs="Arial"/>
                <w:lang w:val="en-US"/>
              </w:rPr>
            </w:pPr>
            <w:r w:rsidRPr="004D57B3">
              <w:rPr>
                <w:rFonts w:ascii="Arial Narrow" w:hAnsi="Arial Narrow" w:cs="Arial"/>
                <w:lang w:val="en-US"/>
              </w:rPr>
              <w:t>Prognostic studies of outcomes included if:</w:t>
            </w:r>
          </w:p>
          <w:p w:rsidR="0048417A" w:rsidRPr="004D57B3" w:rsidRDefault="0048417A" w:rsidP="00836B55">
            <w:pPr>
              <w:pStyle w:val="TableTextCharCharChar"/>
              <w:keepNext w:val="0"/>
              <w:widowControl w:val="0"/>
              <w:numPr>
                <w:ilvl w:val="0"/>
                <w:numId w:val="30"/>
              </w:numPr>
              <w:rPr>
                <w:rFonts w:cs="Arial"/>
                <w:lang w:val="en-US"/>
              </w:rPr>
            </w:pPr>
            <w:proofErr w:type="gramStart"/>
            <w:r w:rsidRPr="004D57B3">
              <w:rPr>
                <w:rFonts w:cs="Arial"/>
                <w:lang w:val="en-US"/>
              </w:rPr>
              <w:t>all</w:t>
            </w:r>
            <w:proofErr w:type="gramEnd"/>
            <w:r w:rsidRPr="004D57B3">
              <w:rPr>
                <w:rFonts w:cs="Arial"/>
                <w:lang w:val="en-US"/>
              </w:rPr>
              <w:t xml:space="preserve"> patients </w:t>
            </w:r>
            <w:r w:rsidRPr="004D57B3">
              <w:rPr>
                <w:szCs w:val="18"/>
              </w:rPr>
              <w:t>receive</w:t>
            </w:r>
            <w:r w:rsidRPr="004D57B3">
              <w:rPr>
                <w:rFonts w:cs="Arial"/>
                <w:lang w:val="en-US"/>
              </w:rPr>
              <w:t xml:space="preserve"> the same treatment following CE, regardless of whether CE+ (for  confirmation of suspected small bowel Crohn’s disease) or CE– (for no small bowel Crohn’s disease). </w:t>
            </w:r>
          </w:p>
          <w:p w:rsidR="0048417A" w:rsidRPr="004D57B3" w:rsidRDefault="0048417A" w:rsidP="00836B55">
            <w:pPr>
              <w:pStyle w:val="TableTextCharCharChar"/>
              <w:keepNext w:val="0"/>
              <w:widowControl w:val="0"/>
              <w:numPr>
                <w:ilvl w:val="0"/>
                <w:numId w:val="30"/>
              </w:numPr>
              <w:rPr>
                <w:rFonts w:cs="Arial"/>
                <w:lang w:val="en-US"/>
              </w:rPr>
            </w:pPr>
            <w:r w:rsidRPr="004D57B3">
              <w:rPr>
                <w:rFonts w:cs="Arial"/>
                <w:lang w:val="en-US"/>
              </w:rPr>
              <w:t xml:space="preserve">all patients receive a specific therapy selected with versus without CE </w:t>
            </w:r>
          </w:p>
          <w:p w:rsidR="0048417A" w:rsidRPr="004D57B3" w:rsidRDefault="0048417A" w:rsidP="00836B55">
            <w:pPr>
              <w:pStyle w:val="TableTextCharChar"/>
              <w:keepNext w:val="0"/>
              <w:widowControl w:val="0"/>
              <w:spacing w:after="60"/>
              <w:ind w:left="45"/>
              <w:rPr>
                <w:rFonts w:ascii="Arial Narrow" w:hAnsi="Arial Narrow" w:cs="Arial"/>
                <w:lang w:val="en-US"/>
              </w:rPr>
            </w:pPr>
            <w:r w:rsidRPr="004D57B3">
              <w:rPr>
                <w:rFonts w:ascii="Arial Narrow" w:hAnsi="Arial Narrow" w:cs="Arial"/>
                <w:lang w:val="en-US"/>
              </w:rPr>
              <w:t>Prognostic studies of outcomes excluded if:</w:t>
            </w:r>
          </w:p>
          <w:p w:rsidR="0048417A" w:rsidRPr="004D57B3" w:rsidRDefault="0048417A" w:rsidP="00836B55">
            <w:pPr>
              <w:pStyle w:val="TableTextCharCharChar"/>
              <w:keepNext w:val="0"/>
              <w:widowControl w:val="0"/>
              <w:numPr>
                <w:ilvl w:val="0"/>
                <w:numId w:val="31"/>
              </w:numPr>
              <w:rPr>
                <w:rFonts w:cs="Arial"/>
                <w:lang w:val="en-US"/>
              </w:rPr>
            </w:pPr>
            <w:r w:rsidRPr="004D57B3">
              <w:rPr>
                <w:rFonts w:cs="Arial"/>
                <w:lang w:val="en-US"/>
              </w:rPr>
              <w:t>the original treatment plan of patients was altered based on a CE result</w:t>
            </w:r>
          </w:p>
        </w:tc>
      </w:tr>
      <w:tr w:rsidR="0048417A" w:rsidRPr="004D57B3" w:rsidTr="00836B55">
        <w:tc>
          <w:tcPr>
            <w:tcW w:w="1384" w:type="dxa"/>
            <w:tcBorders>
              <w:top w:val="single" w:sz="4" w:space="0" w:color="auto"/>
              <w:bottom w:val="single" w:sz="4" w:space="0" w:color="auto"/>
            </w:tcBorders>
          </w:tcPr>
          <w:p w:rsidR="0048417A" w:rsidRPr="004D57B3" w:rsidRDefault="0048417A" w:rsidP="00836B55">
            <w:pPr>
              <w:pStyle w:val="TableText"/>
            </w:pPr>
            <w:r w:rsidRPr="004D57B3">
              <w:t xml:space="preserve">Patients </w:t>
            </w:r>
          </w:p>
        </w:tc>
        <w:tc>
          <w:tcPr>
            <w:tcW w:w="6768" w:type="dxa"/>
            <w:tcBorders>
              <w:top w:val="single" w:sz="4" w:space="0" w:color="auto"/>
              <w:bottom w:val="single" w:sz="4" w:space="0" w:color="auto"/>
            </w:tcBorders>
          </w:tcPr>
          <w:p w:rsidR="0048417A" w:rsidRPr="004D57B3" w:rsidRDefault="0048417A" w:rsidP="00836B55">
            <w:pPr>
              <w:pStyle w:val="TableTextCharChar"/>
              <w:keepNext w:val="0"/>
              <w:widowControl w:val="0"/>
              <w:spacing w:before="40"/>
              <w:ind w:left="45"/>
              <w:rPr>
                <w:rFonts w:ascii="Arial Narrow" w:hAnsi="Arial Narrow" w:cs="Arial"/>
                <w:lang w:val="en-US"/>
              </w:rPr>
            </w:pPr>
            <w:r w:rsidRPr="004D57B3">
              <w:rPr>
                <w:rFonts w:ascii="Arial Narrow" w:hAnsi="Arial Narrow" w:cs="Arial"/>
                <w:lang w:val="en-US"/>
              </w:rPr>
              <w:t>≥ 70% of patients with suspected small bowel Crohn’s disease undiagnosed by standard tests:</w:t>
            </w:r>
          </w:p>
          <w:p w:rsidR="0048417A" w:rsidRPr="004D57B3" w:rsidRDefault="0048417A" w:rsidP="00836B55">
            <w:pPr>
              <w:pStyle w:val="TableTextCharChar"/>
              <w:keepNext w:val="0"/>
              <w:widowControl w:val="0"/>
              <w:numPr>
                <w:ilvl w:val="0"/>
                <w:numId w:val="26"/>
              </w:numPr>
              <w:spacing w:before="40"/>
              <w:rPr>
                <w:rFonts w:ascii="Arial Narrow" w:hAnsi="Arial Narrow" w:cs="Arial"/>
                <w:lang w:val="en-US"/>
              </w:rPr>
            </w:pPr>
            <w:r w:rsidRPr="004D57B3">
              <w:rPr>
                <w:rFonts w:ascii="Arial Narrow" w:hAnsi="Arial Narrow" w:cs="Arial"/>
                <w:lang w:val="en-US"/>
              </w:rPr>
              <w:t>≥10 years of age (in line with TGA requirements)</w:t>
            </w:r>
          </w:p>
          <w:p w:rsidR="0048417A" w:rsidRPr="004D57B3" w:rsidRDefault="0048417A" w:rsidP="00836B55">
            <w:pPr>
              <w:pStyle w:val="TableTextCharChar"/>
              <w:keepNext w:val="0"/>
              <w:widowControl w:val="0"/>
              <w:numPr>
                <w:ilvl w:val="0"/>
                <w:numId w:val="26"/>
              </w:numPr>
              <w:spacing w:before="40"/>
              <w:rPr>
                <w:rFonts w:ascii="Arial Narrow" w:hAnsi="Arial Narrow" w:cs="Arial"/>
                <w:lang w:val="en-US"/>
              </w:rPr>
            </w:pPr>
            <w:r w:rsidRPr="004D57B3">
              <w:rPr>
                <w:rFonts w:ascii="Arial Narrow" w:hAnsi="Arial Narrow" w:cs="Arial"/>
                <w:lang w:val="en-US"/>
              </w:rPr>
              <w:t>No clinical or radiographic evidence of bowel obstruction or pseudo-obstruction</w:t>
            </w:r>
          </w:p>
          <w:p w:rsidR="0048417A" w:rsidRPr="004D57B3" w:rsidRDefault="0048417A" w:rsidP="00836B55">
            <w:pPr>
              <w:pStyle w:val="TableTextCharCharChar"/>
              <w:keepNext w:val="0"/>
              <w:widowControl w:val="0"/>
              <w:spacing w:before="0" w:after="60"/>
            </w:pPr>
            <w:r w:rsidRPr="004D57B3">
              <w:rPr>
                <w:rFonts w:cs="Arial"/>
                <w:szCs w:val="18"/>
              </w:rPr>
              <w:t>Studies with &lt;20 patients undergoing</w:t>
            </w:r>
            <w:r w:rsidRPr="004D57B3">
              <w:rPr>
                <w:szCs w:val="18"/>
              </w:rPr>
              <w:t xml:space="preserve"> CE for the indication of interest excluded (unless there are none).</w:t>
            </w:r>
            <w:r w:rsidRPr="004D57B3">
              <w:rPr>
                <w:szCs w:val="18"/>
                <w:vertAlign w:val="superscript"/>
              </w:rPr>
              <w:t>1</w:t>
            </w:r>
          </w:p>
        </w:tc>
      </w:tr>
      <w:tr w:rsidR="0048417A" w:rsidRPr="004D57B3" w:rsidTr="00836B55">
        <w:tc>
          <w:tcPr>
            <w:tcW w:w="1384" w:type="dxa"/>
            <w:tcBorders>
              <w:top w:val="single" w:sz="4" w:space="0" w:color="auto"/>
              <w:bottom w:val="single" w:sz="4" w:space="0" w:color="auto"/>
            </w:tcBorders>
          </w:tcPr>
          <w:p w:rsidR="0048417A" w:rsidRPr="004D57B3" w:rsidRDefault="0048417A" w:rsidP="00836B55">
            <w:pPr>
              <w:pStyle w:val="TableText"/>
            </w:pPr>
            <w:r w:rsidRPr="004D57B3">
              <w:t>Intervention/test</w:t>
            </w:r>
          </w:p>
        </w:tc>
        <w:tc>
          <w:tcPr>
            <w:tcW w:w="6768" w:type="dxa"/>
            <w:tcBorders>
              <w:top w:val="single" w:sz="4" w:space="0" w:color="auto"/>
              <w:bottom w:val="single" w:sz="4" w:space="0" w:color="auto"/>
            </w:tcBorders>
          </w:tcPr>
          <w:p w:rsidR="0048417A" w:rsidRPr="004D57B3" w:rsidRDefault="0048417A" w:rsidP="00836B55">
            <w:pPr>
              <w:pStyle w:val="TableText"/>
              <w:rPr>
                <w:szCs w:val="18"/>
              </w:rPr>
            </w:pPr>
            <w:r w:rsidRPr="004D57B3">
              <w:rPr>
                <w:szCs w:val="18"/>
              </w:rPr>
              <w:t>Capsule endoscopy (CE)</w:t>
            </w:r>
          </w:p>
          <w:p w:rsidR="0048417A" w:rsidRPr="004D57B3" w:rsidRDefault="0048417A" w:rsidP="00836B55">
            <w:pPr>
              <w:pStyle w:val="TableText"/>
              <w:rPr>
                <w:szCs w:val="18"/>
              </w:rPr>
            </w:pPr>
            <w:r w:rsidRPr="004D57B3">
              <w:rPr>
                <w:szCs w:val="18"/>
              </w:rPr>
              <w:t>Plus prior tests</w:t>
            </w:r>
          </w:p>
        </w:tc>
      </w:tr>
      <w:tr w:rsidR="0048417A" w:rsidRPr="004D57B3" w:rsidTr="00836B55">
        <w:tc>
          <w:tcPr>
            <w:tcW w:w="1384" w:type="dxa"/>
            <w:tcBorders>
              <w:top w:val="single" w:sz="4" w:space="0" w:color="auto"/>
              <w:bottom w:val="single" w:sz="4" w:space="0" w:color="auto"/>
            </w:tcBorders>
          </w:tcPr>
          <w:p w:rsidR="0048417A" w:rsidRPr="004D57B3" w:rsidRDefault="0048417A" w:rsidP="00836B55">
            <w:pPr>
              <w:pStyle w:val="TableText"/>
            </w:pPr>
            <w:r w:rsidRPr="004D57B3">
              <w:t xml:space="preserve">Comparator </w:t>
            </w:r>
          </w:p>
        </w:tc>
        <w:tc>
          <w:tcPr>
            <w:tcW w:w="6768" w:type="dxa"/>
            <w:tcBorders>
              <w:top w:val="single" w:sz="4" w:space="0" w:color="auto"/>
              <w:bottom w:val="single" w:sz="4" w:space="0" w:color="auto"/>
            </w:tcBorders>
          </w:tcPr>
          <w:p w:rsidR="0048417A" w:rsidRPr="004D57B3" w:rsidRDefault="0048417A" w:rsidP="00836B55">
            <w:pPr>
              <w:pStyle w:val="TableText"/>
              <w:rPr>
                <w:szCs w:val="18"/>
              </w:rPr>
            </w:pPr>
            <w:r w:rsidRPr="004D57B3">
              <w:rPr>
                <w:szCs w:val="18"/>
              </w:rPr>
              <w:t>Abdomen CT +/</w:t>
            </w:r>
            <w:r>
              <w:rPr>
                <w:szCs w:val="18"/>
              </w:rPr>
              <w:t>–</w:t>
            </w:r>
            <w:r w:rsidRPr="004D57B3">
              <w:rPr>
                <w:szCs w:val="18"/>
              </w:rPr>
              <w:t xml:space="preserve"> </w:t>
            </w:r>
            <w:proofErr w:type="spellStart"/>
            <w:r w:rsidRPr="004D57B3">
              <w:rPr>
                <w:szCs w:val="18"/>
              </w:rPr>
              <w:t>enterography</w:t>
            </w:r>
            <w:proofErr w:type="spellEnd"/>
          </w:p>
          <w:p w:rsidR="0048417A" w:rsidRPr="004D57B3" w:rsidRDefault="0048417A" w:rsidP="00836B55">
            <w:pPr>
              <w:pStyle w:val="TableText"/>
              <w:rPr>
                <w:szCs w:val="18"/>
              </w:rPr>
            </w:pPr>
            <w:r w:rsidRPr="004D57B3">
              <w:rPr>
                <w:szCs w:val="18"/>
              </w:rPr>
              <w:t>MR +/</w:t>
            </w:r>
            <w:r>
              <w:rPr>
                <w:szCs w:val="18"/>
              </w:rPr>
              <w:t>–</w:t>
            </w:r>
            <w:r w:rsidRPr="004D57B3">
              <w:rPr>
                <w:szCs w:val="18"/>
              </w:rPr>
              <w:t xml:space="preserve"> </w:t>
            </w:r>
            <w:proofErr w:type="spellStart"/>
            <w:r w:rsidRPr="004D57B3">
              <w:rPr>
                <w:szCs w:val="18"/>
              </w:rPr>
              <w:t>enterography</w:t>
            </w:r>
            <w:proofErr w:type="spellEnd"/>
          </w:p>
          <w:p w:rsidR="0048417A" w:rsidRPr="004D57B3" w:rsidRDefault="0048417A" w:rsidP="00836B55">
            <w:pPr>
              <w:pStyle w:val="TableText"/>
              <w:rPr>
                <w:szCs w:val="18"/>
              </w:rPr>
            </w:pPr>
            <w:r w:rsidRPr="004D57B3">
              <w:rPr>
                <w:szCs w:val="18"/>
              </w:rPr>
              <w:t>Empirical treatment</w:t>
            </w:r>
          </w:p>
        </w:tc>
      </w:tr>
      <w:tr w:rsidR="0048417A" w:rsidRPr="004D57B3" w:rsidTr="00836B55">
        <w:tc>
          <w:tcPr>
            <w:tcW w:w="1384" w:type="dxa"/>
            <w:tcBorders>
              <w:top w:val="single" w:sz="4" w:space="0" w:color="auto"/>
              <w:bottom w:val="single" w:sz="4" w:space="0" w:color="auto"/>
            </w:tcBorders>
          </w:tcPr>
          <w:p w:rsidR="0048417A" w:rsidRPr="004D57B3" w:rsidRDefault="0048417A" w:rsidP="00836B55">
            <w:pPr>
              <w:pStyle w:val="TableText"/>
            </w:pPr>
            <w:r w:rsidRPr="004D57B3">
              <w:t>Outcome</w:t>
            </w:r>
          </w:p>
        </w:tc>
        <w:tc>
          <w:tcPr>
            <w:tcW w:w="6768" w:type="dxa"/>
            <w:tcBorders>
              <w:top w:val="single" w:sz="4" w:space="0" w:color="auto"/>
              <w:bottom w:val="single" w:sz="4" w:space="0" w:color="auto"/>
            </w:tcBorders>
          </w:tcPr>
          <w:p w:rsidR="0048417A" w:rsidRPr="004D57B3" w:rsidRDefault="0048417A" w:rsidP="00836B55">
            <w:pPr>
              <w:pStyle w:val="TableText"/>
            </w:pPr>
            <w:r w:rsidRPr="004D57B3">
              <w:t>Studies must report on at least one of the following outcomes:</w:t>
            </w:r>
          </w:p>
          <w:p w:rsidR="0048417A" w:rsidRPr="004D57B3" w:rsidRDefault="0048417A" w:rsidP="00836B55">
            <w:pPr>
              <w:pStyle w:val="TableTextCharCharChar"/>
              <w:keepNext w:val="0"/>
              <w:numPr>
                <w:ilvl w:val="0"/>
                <w:numId w:val="25"/>
              </w:numPr>
              <w:spacing w:before="0"/>
              <w:rPr>
                <w:szCs w:val="18"/>
              </w:rPr>
            </w:pPr>
            <w:r w:rsidRPr="004D57B3">
              <w:rPr>
                <w:szCs w:val="18"/>
              </w:rPr>
              <w:t>diagnostic accuracy: sensitivity and specificity (or data enabling calculation); diagnostic odds ratio or ROC curves; Q*, additional TP and FP</w:t>
            </w:r>
          </w:p>
          <w:p w:rsidR="0048417A" w:rsidRPr="004D57B3" w:rsidRDefault="0048417A" w:rsidP="00836B55">
            <w:pPr>
              <w:pStyle w:val="TableTextCharCharChar"/>
              <w:keepNext w:val="0"/>
              <w:numPr>
                <w:ilvl w:val="0"/>
                <w:numId w:val="25"/>
              </w:numPr>
              <w:spacing w:before="0"/>
              <w:rPr>
                <w:szCs w:val="18"/>
              </w:rPr>
            </w:pPr>
            <w:r w:rsidRPr="004D57B3">
              <w:rPr>
                <w:szCs w:val="18"/>
              </w:rPr>
              <w:t>yield (may be used when accuracy cannot be calculated)</w:t>
            </w:r>
          </w:p>
          <w:p w:rsidR="0048417A" w:rsidRPr="004D57B3" w:rsidRDefault="0048417A" w:rsidP="00836B55">
            <w:pPr>
              <w:pStyle w:val="TableTextCharCharChar"/>
              <w:numPr>
                <w:ilvl w:val="0"/>
                <w:numId w:val="25"/>
              </w:numPr>
              <w:rPr>
                <w:szCs w:val="18"/>
              </w:rPr>
            </w:pPr>
            <w:r w:rsidRPr="004D57B3">
              <w:rPr>
                <w:szCs w:val="18"/>
              </w:rPr>
              <w:t>impact of CE results on clinical management (definitive treatment avoided, investigations avoided, definitive treatment instigated, overall change, type of change occurring  in ≥10% patients)</w:t>
            </w:r>
          </w:p>
          <w:p w:rsidR="0048417A" w:rsidRPr="004D57B3" w:rsidRDefault="0048417A" w:rsidP="00836B55">
            <w:pPr>
              <w:pStyle w:val="TableTextCharCharChar"/>
              <w:keepNext w:val="0"/>
              <w:numPr>
                <w:ilvl w:val="0"/>
                <w:numId w:val="25"/>
              </w:numPr>
              <w:spacing w:before="0"/>
              <w:rPr>
                <w:szCs w:val="18"/>
              </w:rPr>
            </w:pPr>
            <w:r w:rsidRPr="004D57B3">
              <w:rPr>
                <w:szCs w:val="18"/>
              </w:rPr>
              <w:t xml:space="preserve">patient outcomes (Crohn’s disease progression, treatment morbidity, adverse events, quality of life) </w:t>
            </w:r>
          </w:p>
          <w:p w:rsidR="0048417A" w:rsidRPr="004D57B3" w:rsidRDefault="0048417A" w:rsidP="00836B55">
            <w:pPr>
              <w:pStyle w:val="TableTextCharCharChar"/>
              <w:numPr>
                <w:ilvl w:val="0"/>
                <w:numId w:val="25"/>
              </w:numPr>
              <w:rPr>
                <w:szCs w:val="18"/>
              </w:rPr>
            </w:pPr>
            <w:r w:rsidRPr="004D57B3">
              <w:rPr>
                <w:szCs w:val="18"/>
              </w:rPr>
              <w:t>prognostic value of CE results (patient outcomes following specific therapy selected with CE v</w:t>
            </w:r>
            <w:r>
              <w:rPr>
                <w:szCs w:val="18"/>
              </w:rPr>
              <w:t>ersu</w:t>
            </w:r>
            <w:r w:rsidRPr="004D57B3">
              <w:rPr>
                <w:szCs w:val="18"/>
              </w:rPr>
              <w:t>s without CE; patient outcomes in CE+ or CE</w:t>
            </w:r>
            <w:r>
              <w:rPr>
                <w:szCs w:val="18"/>
              </w:rPr>
              <w:t>–</w:t>
            </w:r>
            <w:r w:rsidRPr="004D57B3">
              <w:rPr>
                <w:szCs w:val="18"/>
              </w:rPr>
              <w:t xml:space="preserve"> undergoing same treatment, no change of original treatment plan of patients was altered based on a CE result)</w:t>
            </w:r>
          </w:p>
        </w:tc>
      </w:tr>
      <w:tr w:rsidR="0048417A" w:rsidRPr="004D57B3" w:rsidTr="00836B55">
        <w:tc>
          <w:tcPr>
            <w:tcW w:w="1384" w:type="dxa"/>
            <w:tcBorders>
              <w:top w:val="single" w:sz="4" w:space="0" w:color="auto"/>
            </w:tcBorders>
          </w:tcPr>
          <w:p w:rsidR="0048417A" w:rsidRPr="004D57B3" w:rsidRDefault="0048417A" w:rsidP="00836B55">
            <w:pPr>
              <w:pStyle w:val="TableText"/>
              <w:rPr>
                <w:lang w:val="en-US"/>
              </w:rPr>
            </w:pPr>
            <w:r w:rsidRPr="004D57B3">
              <w:rPr>
                <w:lang w:val="en-US"/>
              </w:rPr>
              <w:t>Language</w:t>
            </w:r>
          </w:p>
        </w:tc>
        <w:tc>
          <w:tcPr>
            <w:tcW w:w="6768" w:type="dxa"/>
            <w:tcBorders>
              <w:top w:val="single" w:sz="4" w:space="0" w:color="auto"/>
            </w:tcBorders>
          </w:tcPr>
          <w:p w:rsidR="0048417A" w:rsidRPr="004D57B3" w:rsidRDefault="0048417A" w:rsidP="00836B55">
            <w:pPr>
              <w:pStyle w:val="TableText"/>
            </w:pPr>
            <w:r w:rsidRPr="004D57B3">
              <w:t>Non-English language articles will be excluded.</w:t>
            </w:r>
          </w:p>
        </w:tc>
      </w:tr>
    </w:tbl>
    <w:p w:rsidR="0048417A" w:rsidRPr="004D57B3" w:rsidRDefault="0048417A" w:rsidP="00836B55">
      <w:pPr>
        <w:pStyle w:val="Footer"/>
        <w:rPr>
          <w:rFonts w:ascii="Arial Narrow" w:hAnsi="Arial Narrow" w:cs="Arial"/>
          <w:b w:val="0"/>
          <w:sz w:val="16"/>
          <w:szCs w:val="16"/>
        </w:rPr>
      </w:pPr>
      <w:r w:rsidRPr="004D57B3">
        <w:rPr>
          <w:rFonts w:ascii="Arial Narrow" w:hAnsi="Arial Narrow"/>
          <w:b w:val="0"/>
          <w:i/>
          <w:sz w:val="16"/>
          <w:szCs w:val="16"/>
        </w:rPr>
        <w:t xml:space="preserve">Abbreviations: </w:t>
      </w:r>
      <w:r w:rsidRPr="00617712">
        <w:rPr>
          <w:rFonts w:ascii="Arial Narrow" w:hAnsi="Arial Narrow"/>
          <w:b w:val="0"/>
          <w:sz w:val="16"/>
          <w:szCs w:val="16"/>
        </w:rPr>
        <w:t xml:space="preserve">CE </w:t>
      </w:r>
      <w:r w:rsidRPr="004D57B3">
        <w:rPr>
          <w:rFonts w:ascii="Arial Narrow" w:hAnsi="Arial Narrow"/>
          <w:b w:val="0"/>
          <w:sz w:val="16"/>
          <w:szCs w:val="16"/>
        </w:rPr>
        <w:t>= capsule endoscopy, FP = false-positive, TP = true</w:t>
      </w:r>
      <w:r>
        <w:rPr>
          <w:rFonts w:ascii="Arial Narrow" w:hAnsi="Arial Narrow"/>
          <w:b w:val="0"/>
          <w:sz w:val="16"/>
          <w:szCs w:val="16"/>
        </w:rPr>
        <w:t>-</w:t>
      </w:r>
      <w:r w:rsidRPr="004D57B3">
        <w:rPr>
          <w:rFonts w:ascii="Arial Narrow" w:hAnsi="Arial Narrow"/>
          <w:b w:val="0"/>
          <w:sz w:val="16"/>
          <w:szCs w:val="16"/>
        </w:rPr>
        <w:t xml:space="preserve">positive, </w:t>
      </w:r>
      <w:r w:rsidRPr="004D57B3">
        <w:rPr>
          <w:rFonts w:ascii="Arial Narrow" w:hAnsi="Arial Narrow" w:cs="Arial"/>
          <w:b w:val="0"/>
          <w:sz w:val="16"/>
          <w:szCs w:val="16"/>
        </w:rPr>
        <w:t>ROC = receiver operating characteristic, Q* = Cochran’s Q test</w:t>
      </w:r>
    </w:p>
    <w:p w:rsidR="0048417A" w:rsidRPr="004D57B3" w:rsidRDefault="0048417A" w:rsidP="00836B55">
      <w:pPr>
        <w:pStyle w:val="TableNotes"/>
        <w:numPr>
          <w:ilvl w:val="0"/>
          <w:numId w:val="11"/>
        </w:numPr>
        <w:rPr>
          <w:sz w:val="20"/>
        </w:rPr>
      </w:pPr>
      <w:r w:rsidRPr="004D57B3">
        <w:t xml:space="preserve">For studies reporting diagnostic accuracy outcomes, the size criterion was lowered from &lt;20 to &lt;15 owing to the paucity of studies meeting the inclusion criteria. </w:t>
      </w:r>
    </w:p>
    <w:p w:rsidR="0048417A" w:rsidRPr="004D57B3" w:rsidRDefault="0048417A" w:rsidP="00836B55">
      <w:pPr>
        <w:pStyle w:val="Heading3"/>
      </w:pPr>
      <w:r w:rsidRPr="004D57B3">
        <w:lastRenderedPageBreak/>
        <w:t>Search results</w:t>
      </w:r>
    </w:p>
    <w:p w:rsidR="0048417A" w:rsidRPr="004D57B3" w:rsidRDefault="0048417A" w:rsidP="00836B55">
      <w:r w:rsidRPr="004D57B3">
        <w:t xml:space="preserve">The search strategy retrieved a total of 1,222 non-duplicate citations. The citations were evaluated by two independent reviewers who determined whether the studies met the </w:t>
      </w:r>
      <w:r>
        <w:t>selection</w:t>
      </w:r>
      <w:r w:rsidRPr="004D57B3">
        <w:t xml:space="preserve"> criteria outlined in </w:t>
      </w:r>
      <w:r w:rsidR="00AE591B">
        <w:fldChar w:fldCharType="begin"/>
      </w:r>
      <w:r w:rsidR="00AE591B">
        <w:instrText xml:space="preserve"> REF _Ref276648693 \h  \* MERGEFORMAT </w:instrText>
      </w:r>
      <w:r w:rsidR="00AE591B">
        <w:fldChar w:fldCharType="separate"/>
      </w:r>
      <w:r w:rsidRPr="004D57B3">
        <w:t xml:space="preserve">Table </w:t>
      </w:r>
      <w:r>
        <w:rPr>
          <w:noProof/>
        </w:rPr>
        <w:t>12</w:t>
      </w:r>
      <w:r w:rsidR="00AE591B">
        <w:fldChar w:fldCharType="end"/>
      </w:r>
      <w:r w:rsidRPr="004D57B3">
        <w:t>. Discrepancies in the results of the screening process were resolved by discussion.</w:t>
      </w:r>
    </w:p>
    <w:p w:rsidR="0048417A" w:rsidRPr="004D57B3" w:rsidRDefault="0048417A" w:rsidP="00836B55">
      <w:r w:rsidRPr="004D57B3">
        <w:t>On the basis of the criteria, 1</w:t>
      </w:r>
      <w:r>
        <w:t>,</w:t>
      </w:r>
      <w:r w:rsidRPr="004D57B3">
        <w:t>20</w:t>
      </w:r>
      <w:r>
        <w:t>2</w:t>
      </w:r>
      <w:r w:rsidRPr="004D57B3">
        <w:t xml:space="preserve"> citations were excluded from the review (</w:t>
      </w:r>
      <w:r w:rsidR="00AE591B">
        <w:fldChar w:fldCharType="begin"/>
      </w:r>
      <w:r w:rsidR="00AE591B">
        <w:instrText xml:space="preserve"> REF _Ref280083825 \h  \* MERGEFORMAT </w:instrText>
      </w:r>
      <w:r w:rsidR="00AE591B">
        <w:fldChar w:fldCharType="separate"/>
      </w:r>
      <w:r w:rsidRPr="004D57B3">
        <w:t xml:space="preserve">Appendix </w:t>
      </w:r>
      <w:r>
        <w:t>E</w:t>
      </w:r>
      <w:r w:rsidR="00AE591B">
        <w:fldChar w:fldCharType="end"/>
      </w:r>
      <w:r w:rsidRPr="004D57B3">
        <w:t>). The QUOROM (Quality of Reporting of Meta-analyses) flow chart (</w:t>
      </w:r>
      <w:r w:rsidR="00AE591B">
        <w:fldChar w:fldCharType="begin"/>
      </w:r>
      <w:r w:rsidR="00AE591B">
        <w:instrText xml:space="preserve"> REF _Ref276649180 \h  \* MERGEFORMAT </w:instrText>
      </w:r>
      <w:r w:rsidR="00AE591B">
        <w:fldChar w:fldCharType="separate"/>
      </w:r>
      <w:r w:rsidRPr="004D57B3">
        <w:t xml:space="preserve">Figure </w:t>
      </w:r>
      <w:r>
        <w:t>3</w:t>
      </w:r>
      <w:r w:rsidR="00AE591B">
        <w:fldChar w:fldCharType="end"/>
      </w:r>
      <w:r w:rsidRPr="004D57B3">
        <w:t>) summarises the results of the literature search and the application of the study inclusion and exclusion criteria. The 21 studies meeting the criteria for inclusion in the review were 5 studies of diagnostic accuracy, 9 studies of diagnostic yield, 1 study with safety data only, 3 economic studies, 1 HTA and 2 systematic reviews.</w:t>
      </w:r>
    </w:p>
    <w:p w:rsidR="0048417A" w:rsidRPr="004D57B3" w:rsidRDefault="0048417A" w:rsidP="00836B55">
      <w:pPr>
        <w:pStyle w:val="Heading4"/>
      </w:pPr>
      <w:bookmarkStart w:id="105" w:name="_Toc188861182"/>
      <w:r w:rsidRPr="004D57B3">
        <w:t>Q</w:t>
      </w:r>
      <w:r>
        <w:t>UOROM</w:t>
      </w:r>
      <w:r w:rsidRPr="004D57B3">
        <w:t xml:space="preserve"> flow chart</w:t>
      </w:r>
      <w:bookmarkEnd w:id="105"/>
    </w:p>
    <w:p w:rsidR="0048417A" w:rsidRPr="004D57B3" w:rsidRDefault="0048417A" w:rsidP="00836B55">
      <w:pPr>
        <w:pStyle w:val="TableName"/>
      </w:pPr>
      <w:bookmarkStart w:id="106" w:name="_Ref276649180"/>
      <w:bookmarkStart w:id="107" w:name="_Toc86678670"/>
      <w:bookmarkStart w:id="108" w:name="_Toc188861228"/>
      <w:bookmarkStart w:id="109" w:name="_Ref276649162"/>
      <w:bookmarkStart w:id="110" w:name="_Toc291859597"/>
      <w:r w:rsidRPr="004D57B3">
        <w:t xml:space="preserve">Figure </w:t>
      </w:r>
      <w:r w:rsidR="00AE591B">
        <w:fldChar w:fldCharType="begin"/>
      </w:r>
      <w:r w:rsidR="00AE591B">
        <w:instrText xml:space="preserve"> SEQ Figure \* ARABIC </w:instrText>
      </w:r>
      <w:r w:rsidR="00AE591B">
        <w:fldChar w:fldCharType="separate"/>
      </w:r>
      <w:r>
        <w:rPr>
          <w:noProof/>
        </w:rPr>
        <w:t>3</w:t>
      </w:r>
      <w:r w:rsidR="00AE591B">
        <w:rPr>
          <w:noProof/>
        </w:rPr>
        <w:fldChar w:fldCharType="end"/>
      </w:r>
      <w:bookmarkEnd w:id="106"/>
      <w:r w:rsidRPr="004D57B3">
        <w:tab/>
        <w:t>Summary of the process used to identify and select studies for the review</w:t>
      </w:r>
      <w:bookmarkEnd w:id="107"/>
      <w:bookmarkEnd w:id="108"/>
      <w:bookmarkEnd w:id="109"/>
      <w:bookmarkEnd w:id="110"/>
    </w:p>
    <w:p w:rsidR="0048417A" w:rsidRPr="004D57B3" w:rsidRDefault="00A7744C" w:rsidP="00A7744C">
      <w:pPr>
        <w:rPr>
          <w:lang w:val="nb-NO"/>
        </w:rPr>
      </w:pPr>
      <w:r>
        <w:rPr>
          <w:noProof/>
        </w:rPr>
        <w:drawing>
          <wp:inline distT="0" distB="0" distL="0" distR="0">
            <wp:extent cx="5286375" cy="5943600"/>
            <wp:effectExtent l="0" t="0" r="9525" b="0"/>
            <wp:docPr id="79" name="Picture 79" title="Summary of the process used to identify and select studies for th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1.tif"/>
                    <pic:cNvPicPr/>
                  </pic:nvPicPr>
                  <pic:blipFill>
                    <a:blip r:embed="rId24">
                      <a:extLst>
                        <a:ext uri="{28A0092B-C50C-407E-A947-70E740481C1C}">
                          <a14:useLocalDpi xmlns:a14="http://schemas.microsoft.com/office/drawing/2010/main" val="0"/>
                        </a:ext>
                      </a:extLst>
                    </a:blip>
                    <a:stretch>
                      <a:fillRect/>
                    </a:stretch>
                  </pic:blipFill>
                  <pic:spPr>
                    <a:xfrm>
                      <a:off x="0" y="0"/>
                      <a:ext cx="5286375" cy="5943600"/>
                    </a:xfrm>
                    <a:prstGeom prst="rect">
                      <a:avLst/>
                    </a:prstGeom>
                  </pic:spPr>
                </pic:pic>
              </a:graphicData>
            </a:graphic>
          </wp:inline>
        </w:drawing>
      </w:r>
    </w:p>
    <w:p w:rsidR="0048417A" w:rsidRPr="004D57B3" w:rsidRDefault="0048417A" w:rsidP="00836B55">
      <w:pPr>
        <w:pStyle w:val="Heading3"/>
      </w:pPr>
      <w:r w:rsidRPr="004D57B3">
        <w:lastRenderedPageBreak/>
        <w:t>Data extraction and analysis</w:t>
      </w:r>
    </w:p>
    <w:p w:rsidR="0048417A" w:rsidRPr="004D57B3" w:rsidRDefault="0048417A" w:rsidP="00836B55">
      <w:r w:rsidRPr="004D57B3">
        <w:t xml:space="preserve">Data were extracted using a standardised instrument designed for this review. Items extracted included characteristics of the study objective and design, study population, type of diagnostic test, reference standard, comparator, study quality and relevant endpoints. Data were extracted by one reviewer and checked by a second reviewer. Any discrepancies were resolved by discussion and by the involvement of a third reviewer if necessary. The data extraction tables are provided in </w:t>
      </w:r>
      <w:r w:rsidR="00AE591B">
        <w:fldChar w:fldCharType="begin"/>
      </w:r>
      <w:r w:rsidR="00AE591B">
        <w:instrText xml:space="preserve"> REF _Ref281981704 \h  \* MERGEFORMAT </w:instrText>
      </w:r>
      <w:r w:rsidR="00AE591B">
        <w:fldChar w:fldCharType="separate"/>
      </w:r>
      <w:r w:rsidRPr="004D57B3">
        <w:rPr>
          <w:bCs/>
        </w:rPr>
        <w:t xml:space="preserve">Appendix </w:t>
      </w:r>
      <w:r>
        <w:rPr>
          <w:bCs/>
        </w:rPr>
        <w:t>D</w:t>
      </w:r>
      <w:r w:rsidR="00AE591B">
        <w:fldChar w:fldCharType="end"/>
      </w:r>
      <w:r w:rsidRPr="004D57B3">
        <w:t xml:space="preserve">.  </w:t>
      </w:r>
    </w:p>
    <w:p w:rsidR="0048417A" w:rsidRPr="004D57B3" w:rsidRDefault="0048417A" w:rsidP="00836B55">
      <w:r w:rsidRPr="004D57B3">
        <w:t xml:space="preserve">Where possible, two-by-two tables were reconstructed from study data to estimate measures of diagnostic accuracy (sensitivity, specificity, positive predictive value, negative predictive value and </w:t>
      </w:r>
      <w:r>
        <w:t>LRs</w:t>
      </w:r>
      <w:r w:rsidRPr="004D57B3">
        <w:t xml:space="preserve">) and associated 95% CIs for each test. Where study data were not available, the 95% CIs reported by the authors were presented. </w:t>
      </w:r>
    </w:p>
    <w:p w:rsidR="0048417A" w:rsidRPr="004D57B3" w:rsidRDefault="0048417A" w:rsidP="004376A2">
      <w:pPr>
        <w:pStyle w:val="Heading3"/>
      </w:pPr>
      <w:r w:rsidRPr="004D57B3">
        <w:t>Measurement of test accuracy</w:t>
      </w:r>
    </w:p>
    <w:p w:rsidR="0048417A" w:rsidRPr="004D57B3" w:rsidRDefault="0048417A" w:rsidP="00836B55">
      <w:r w:rsidRPr="004D57B3">
        <w:t>The accuracy of a test is determined by its ability to identify the target condition compared with a reference standard test that is used as a proxy for true disease status. Subjects who test positive using the reference standard are classified as having the disease; those who test negative are classified as disease-free.</w:t>
      </w:r>
    </w:p>
    <w:p w:rsidR="0048417A" w:rsidRPr="004D57B3" w:rsidRDefault="0048417A" w:rsidP="00836B55">
      <w:r w:rsidRPr="004D57B3">
        <w:t>Results of the index test and reference standard for a group of tested subjects were summarised in a two-by-two table where appropriate (</w:t>
      </w:r>
      <w:r>
        <w:t xml:space="preserve">see </w:t>
      </w:r>
      <w:r w:rsidR="00AE591B">
        <w:fldChar w:fldCharType="begin"/>
      </w:r>
      <w:r w:rsidR="00AE591B">
        <w:instrText xml:space="preserve"> REF _Ref202174689 \h  \* MERGEFORMAT </w:instrText>
      </w:r>
      <w:r w:rsidR="00AE591B">
        <w:fldChar w:fldCharType="separate"/>
      </w:r>
      <w:r w:rsidRPr="00FD4D11">
        <w:rPr>
          <w:szCs w:val="24"/>
        </w:rPr>
        <w:t>Figure 4</w:t>
      </w:r>
      <w:r w:rsidR="00AE591B">
        <w:fldChar w:fldCharType="end"/>
      </w:r>
      <w:r w:rsidRPr="004D57B3">
        <w:t>)</w:t>
      </w:r>
      <w:r w:rsidRPr="004D57B3">
        <w:rPr>
          <w:szCs w:val="24"/>
        </w:rPr>
        <w:t>.</w:t>
      </w:r>
    </w:p>
    <w:p w:rsidR="0048417A" w:rsidRPr="00DB7BC6" w:rsidRDefault="0048417A" w:rsidP="00DB7BC6">
      <w:pPr>
        <w:pStyle w:val="TableName"/>
      </w:pPr>
      <w:bookmarkStart w:id="111" w:name="_Ref202174689"/>
      <w:bookmarkStart w:id="112" w:name="_Toc89238419"/>
      <w:bookmarkStart w:id="113" w:name="_Toc94932185"/>
      <w:bookmarkStart w:id="114" w:name="_Toc103151649"/>
      <w:bookmarkStart w:id="115" w:name="_Toc124155068"/>
      <w:bookmarkStart w:id="116" w:name="_Ref136839077"/>
      <w:bookmarkStart w:id="117" w:name="_Toc136961751"/>
      <w:bookmarkStart w:id="118" w:name="_Toc213485967"/>
      <w:bookmarkStart w:id="119" w:name="_Toc243737556"/>
      <w:bookmarkStart w:id="120" w:name="_Toc253752010"/>
      <w:bookmarkStart w:id="121" w:name="_Toc291859598"/>
      <w:r w:rsidRPr="004D57B3">
        <w:t xml:space="preserve">Figure </w:t>
      </w:r>
      <w:r w:rsidR="00AE591B">
        <w:fldChar w:fldCharType="begin"/>
      </w:r>
      <w:r w:rsidR="00AE591B">
        <w:instrText xml:space="preserve"> SEQ Figure \* ARABIC </w:instrText>
      </w:r>
      <w:r w:rsidR="00AE591B">
        <w:fldChar w:fldCharType="separate"/>
      </w:r>
      <w:r>
        <w:rPr>
          <w:noProof/>
        </w:rPr>
        <w:t>4</w:t>
      </w:r>
      <w:r w:rsidR="00AE591B">
        <w:rPr>
          <w:noProof/>
        </w:rPr>
        <w:fldChar w:fldCharType="end"/>
      </w:r>
      <w:bookmarkEnd w:id="111"/>
      <w:r w:rsidRPr="004D57B3">
        <w:tab/>
        <w:t>Two-by-two table of data used to determine test accuracy</w:t>
      </w:r>
      <w:bookmarkEnd w:id="112"/>
      <w:bookmarkEnd w:id="113"/>
      <w:bookmarkEnd w:id="114"/>
      <w:bookmarkEnd w:id="115"/>
      <w:bookmarkEnd w:id="116"/>
      <w:bookmarkEnd w:id="117"/>
      <w:bookmarkEnd w:id="118"/>
      <w:bookmarkEnd w:id="119"/>
      <w:bookmarkEnd w:id="120"/>
      <w:bookmarkEnd w:id="121"/>
      <w:r w:rsidRPr="004D57B3">
        <w:br/>
      </w:r>
    </w:p>
    <w:p w:rsidR="00DB7BC6" w:rsidRDefault="00DB7BC6" w:rsidP="00836B55">
      <w:r>
        <w:rPr>
          <w:noProof/>
        </w:rPr>
        <w:drawing>
          <wp:inline distT="0" distB="0" distL="0" distR="0">
            <wp:extent cx="3493698" cy="1376503"/>
            <wp:effectExtent l="0" t="0" r="0" b="0"/>
            <wp:docPr id="3" name="Picture 3" descr="Figure 4 Two-by-two table of data used to determine test accuracy&#10;&#10;" title="Figure 4 Two-by-two table of data used to determine test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3788" cy="1376538"/>
                    </a:xfrm>
                    <a:prstGeom prst="rect">
                      <a:avLst/>
                    </a:prstGeom>
                    <a:noFill/>
                    <a:ln>
                      <a:noFill/>
                    </a:ln>
                  </pic:spPr>
                </pic:pic>
              </a:graphicData>
            </a:graphic>
          </wp:inline>
        </w:drawing>
      </w:r>
    </w:p>
    <w:p w:rsidR="0048417A" w:rsidRPr="004D57B3" w:rsidRDefault="0048417A" w:rsidP="00836B55">
      <w:r w:rsidRPr="004D57B3">
        <w:t>As shown, subjects who test positive for the disease of interest by both the index test and the reference standard were recorded as true-positive (TP). Subjects without the target condition who test negative by both tests were recorded as true-negative (TN). The index test result was recorded as a false-positive (FP) if it detected the target condition and the reference standard did not. A false-negative (FN) was recorded if the reference standard confirmed the target condition and the index test did not.</w:t>
      </w:r>
    </w:p>
    <w:p w:rsidR="0048417A" w:rsidRPr="004D57B3" w:rsidRDefault="0048417A" w:rsidP="004376A2">
      <w:pPr>
        <w:pStyle w:val="Heading3"/>
      </w:pPr>
      <w:r w:rsidRPr="004D57B3">
        <w:t>Sensitivity and specificity</w:t>
      </w:r>
    </w:p>
    <w:p w:rsidR="0048417A" w:rsidRPr="004D57B3" w:rsidRDefault="0048417A" w:rsidP="00836B55">
      <w:r w:rsidRPr="004D57B3">
        <w:t>The sensitivity of a test is the probability of a positive test in subjects with the disease of interest. The specificity of a test is the probability of a negative result in subjects without the disease. The sensitivity and specificity of a test are always considered together and vary according to the threshold used to define a positive test. Sensitivity and specificity vary according to the spectrum of disease (</w:t>
      </w:r>
      <w:proofErr w:type="spellStart"/>
      <w:r>
        <w:t>eg</w:t>
      </w:r>
      <w:proofErr w:type="spellEnd"/>
      <w:r w:rsidRPr="004D57B3">
        <w:t xml:space="preserve"> variation in disease severity) in the patient group tested. </w:t>
      </w:r>
      <w:r w:rsidRPr="004D57B3">
        <w:rPr>
          <w:rFonts w:cs="Arial"/>
        </w:rPr>
        <w:t xml:space="preserve">High sensitivity is particularly important if the penalty for missing a disease is high. However, </w:t>
      </w:r>
      <w:r w:rsidRPr="004D57B3">
        <w:t>high specificity is particularly important if a false-positive result can harm the patient.</w:t>
      </w:r>
    </w:p>
    <w:p w:rsidR="0048417A" w:rsidRPr="004D57B3" w:rsidRDefault="0048417A" w:rsidP="00836B55">
      <w:pPr>
        <w:pStyle w:val="Heading5"/>
      </w:pPr>
      <w:r w:rsidRPr="004D57B3">
        <w:lastRenderedPageBreak/>
        <w:t>Calculation</w:t>
      </w:r>
    </w:p>
    <w:p w:rsidR="0048417A" w:rsidRPr="004D57B3" w:rsidRDefault="0048417A" w:rsidP="00836B55">
      <w:r w:rsidRPr="004D57B3">
        <w:t>Sensitivity = TP</w:t>
      </w:r>
      <w:proofErr w:type="gramStart"/>
      <w:r w:rsidRPr="004D57B3">
        <w:t>/(</w:t>
      </w:r>
      <w:proofErr w:type="gramEnd"/>
      <w:r w:rsidRPr="004D57B3">
        <w:t>TP + FN)</w:t>
      </w:r>
    </w:p>
    <w:p w:rsidR="0048417A" w:rsidRPr="004D57B3" w:rsidRDefault="0048417A" w:rsidP="00836B55">
      <w:r w:rsidRPr="004D57B3">
        <w:t>Specificity = TN</w:t>
      </w:r>
      <w:proofErr w:type="gramStart"/>
      <w:r w:rsidRPr="004D57B3">
        <w:t>/(</w:t>
      </w:r>
      <w:proofErr w:type="gramEnd"/>
      <w:r w:rsidRPr="004D57B3">
        <w:t>TN + FP)</w:t>
      </w:r>
    </w:p>
    <w:p w:rsidR="0048417A" w:rsidRPr="004D57B3" w:rsidRDefault="0048417A" w:rsidP="004376A2">
      <w:pPr>
        <w:pStyle w:val="Heading3"/>
      </w:pPr>
      <w:r w:rsidRPr="004D57B3">
        <w:t>Positive and negative predictive values</w:t>
      </w:r>
    </w:p>
    <w:p w:rsidR="0048417A" w:rsidRPr="004D57B3" w:rsidRDefault="0048417A" w:rsidP="00836B55">
      <w:r w:rsidRPr="004D57B3">
        <w:t xml:space="preserve">In studies reporting the additional value of a test, only patients testing positive may receive follow-up with the reference standard. In this case the proportion of positive test results that were correct (positive predictive value </w:t>
      </w:r>
      <w:r>
        <w:t>(</w:t>
      </w:r>
      <w:r w:rsidRPr="004D57B3">
        <w:t>PPV</w:t>
      </w:r>
      <w:r>
        <w:t>)</w:t>
      </w:r>
      <w:r w:rsidRPr="004D57B3">
        <w:t xml:space="preserve">) was calculated. Where patients with discordant negative results also receive the reference standard, the proportion of negative test results that were correct (negative predictive value </w:t>
      </w:r>
      <w:r>
        <w:t>(</w:t>
      </w:r>
      <w:r w:rsidRPr="004D57B3">
        <w:t>NPV</w:t>
      </w:r>
      <w:r>
        <w:t>)</w:t>
      </w:r>
      <w:r w:rsidRPr="004D57B3">
        <w:t>) was calculated. PPV and NPV vary according to the prevalence of disease in the population.</w:t>
      </w:r>
    </w:p>
    <w:p w:rsidR="0048417A" w:rsidRPr="004D57B3" w:rsidRDefault="0048417A" w:rsidP="00836B55">
      <w:pPr>
        <w:pStyle w:val="Heading5"/>
      </w:pPr>
      <w:r w:rsidRPr="004D57B3">
        <w:t>Calculation</w:t>
      </w:r>
    </w:p>
    <w:p w:rsidR="0048417A" w:rsidRPr="004D57B3" w:rsidRDefault="0048417A" w:rsidP="00836B55">
      <w:r w:rsidRPr="004D57B3">
        <w:t>Positive predictive value = TP</w:t>
      </w:r>
      <w:proofErr w:type="gramStart"/>
      <w:r w:rsidRPr="004D57B3">
        <w:t>/(</w:t>
      </w:r>
      <w:proofErr w:type="gramEnd"/>
      <w:r w:rsidRPr="004D57B3">
        <w:t>TP + FP)</w:t>
      </w:r>
    </w:p>
    <w:p w:rsidR="0048417A" w:rsidRPr="004D57B3" w:rsidRDefault="0048417A" w:rsidP="00836B55">
      <w:r w:rsidRPr="004D57B3">
        <w:t>Negative predictive value = TN</w:t>
      </w:r>
      <w:proofErr w:type="gramStart"/>
      <w:r w:rsidRPr="004D57B3">
        <w:t>/(</w:t>
      </w:r>
      <w:proofErr w:type="gramEnd"/>
      <w:r w:rsidRPr="004D57B3">
        <w:t>TN + FN)</w:t>
      </w:r>
    </w:p>
    <w:p w:rsidR="0048417A" w:rsidRPr="004D57B3" w:rsidRDefault="0048417A" w:rsidP="004376A2">
      <w:pPr>
        <w:pStyle w:val="Heading3"/>
      </w:pPr>
      <w:r w:rsidRPr="004D57B3">
        <w:t>Likelihood ratio</w:t>
      </w:r>
      <w:r>
        <w:t xml:space="preserve"> (LR)</w:t>
      </w:r>
    </w:p>
    <w:p w:rsidR="0048417A" w:rsidRPr="004D57B3" w:rsidRDefault="0048417A" w:rsidP="00836B55">
      <w:r w:rsidRPr="004D57B3">
        <w:t xml:space="preserve">The </w:t>
      </w:r>
      <w:r>
        <w:t xml:space="preserve">LR </w:t>
      </w:r>
      <w:r w:rsidRPr="004D57B3">
        <w:t>measures the probability of the test result in patients with the disease compared with those without the disease.</w:t>
      </w:r>
    </w:p>
    <w:p w:rsidR="0048417A" w:rsidRPr="004D57B3" w:rsidRDefault="0048417A" w:rsidP="00836B55">
      <w:pPr>
        <w:pStyle w:val="Heading5"/>
      </w:pPr>
      <w:r w:rsidRPr="004D57B3">
        <w:t>Calculation</w:t>
      </w:r>
    </w:p>
    <w:p w:rsidR="0048417A" w:rsidRPr="004D57B3" w:rsidRDefault="0048417A" w:rsidP="00836B55">
      <w:pPr>
        <w:spacing w:before="100" w:beforeAutospacing="1" w:after="100" w:afterAutospacing="1"/>
        <w:rPr>
          <w:rFonts w:cs="Garamond"/>
        </w:rPr>
      </w:pPr>
      <w:r w:rsidRPr="004D57B3">
        <w:rPr>
          <w:rFonts w:cs="Garamond"/>
          <w:b/>
        </w:rPr>
        <w:t xml:space="preserve">Positive </w:t>
      </w:r>
      <w:r>
        <w:rPr>
          <w:rFonts w:cs="Garamond"/>
          <w:b/>
        </w:rPr>
        <w:t>LR</w:t>
      </w:r>
      <w:r w:rsidRPr="004D57B3">
        <w:rPr>
          <w:rFonts w:cs="Garamond"/>
          <w:b/>
        </w:rPr>
        <w:t xml:space="preserve"> (LR+):</w:t>
      </w:r>
      <w:r w:rsidRPr="004D57B3">
        <w:rPr>
          <w:rFonts w:cs="Garamond"/>
        </w:rPr>
        <w:t xml:space="preserve"> the odds that a positive test result would be found in a patient with, versus without, a disease.</w:t>
      </w:r>
    </w:p>
    <w:p w:rsidR="0048417A" w:rsidRPr="004D57B3" w:rsidRDefault="0048417A" w:rsidP="00836B55">
      <w:pPr>
        <w:spacing w:before="100" w:beforeAutospacing="1" w:after="100" w:afterAutospacing="1"/>
        <w:rPr>
          <w:rFonts w:cs="Garamond"/>
        </w:rPr>
      </w:pPr>
      <w:proofErr w:type="gramStart"/>
      <w:r w:rsidRPr="004D57B3">
        <w:rPr>
          <w:rFonts w:cs="Garamond"/>
        </w:rPr>
        <w:t>LR(</w:t>
      </w:r>
      <w:proofErr w:type="gramEnd"/>
      <w:r w:rsidRPr="004D57B3">
        <w:rPr>
          <w:rFonts w:cs="Garamond"/>
        </w:rPr>
        <w:t>+) = [TP / (TP + FN)] / [FP / (FP + TN)]</w:t>
      </w:r>
    </w:p>
    <w:p w:rsidR="0048417A" w:rsidRPr="004D57B3" w:rsidRDefault="0048417A" w:rsidP="00836B55">
      <w:pPr>
        <w:spacing w:before="100" w:beforeAutospacing="1" w:after="100" w:afterAutospacing="1"/>
        <w:rPr>
          <w:rFonts w:cs="Garamond"/>
        </w:rPr>
      </w:pPr>
      <w:r w:rsidRPr="004D57B3">
        <w:rPr>
          <w:rFonts w:cs="Garamond"/>
          <w:b/>
        </w:rPr>
        <w:t xml:space="preserve">Negative </w:t>
      </w:r>
      <w:r>
        <w:rPr>
          <w:rFonts w:cs="Garamond"/>
          <w:b/>
        </w:rPr>
        <w:t>LR</w:t>
      </w:r>
      <w:r w:rsidRPr="004D57B3">
        <w:rPr>
          <w:rFonts w:cs="Garamond"/>
          <w:b/>
        </w:rPr>
        <w:t xml:space="preserve"> (LR–):</w:t>
      </w:r>
      <w:r w:rsidRPr="004D57B3">
        <w:rPr>
          <w:rFonts w:cs="Garamond"/>
        </w:rPr>
        <w:t xml:space="preserve"> the odds that a negative test result would be found in a patient with, versus without, a disease.</w:t>
      </w:r>
    </w:p>
    <w:p w:rsidR="0048417A" w:rsidRDefault="0048417A" w:rsidP="00836B55">
      <w:pPr>
        <w:spacing w:before="100" w:beforeAutospacing="1" w:after="100" w:afterAutospacing="1"/>
      </w:pPr>
      <w:proofErr w:type="gramStart"/>
      <w:r w:rsidRPr="004D57B3">
        <w:t>LR(</w:t>
      </w:r>
      <w:proofErr w:type="gramEnd"/>
      <w:r w:rsidRPr="004D57B3">
        <w:t>–) = [FN / (TP + FN)] / [TN / (FP + TN)]</w:t>
      </w:r>
    </w:p>
    <w:p w:rsidR="0048417A" w:rsidRPr="004D57B3" w:rsidRDefault="0048417A" w:rsidP="00836B55">
      <w:pPr>
        <w:spacing w:before="100" w:beforeAutospacing="1" w:after="100" w:afterAutospacing="1"/>
      </w:pPr>
    </w:p>
    <w:p w:rsidR="0048417A" w:rsidRPr="004D57B3" w:rsidRDefault="0048417A" w:rsidP="00836B55">
      <w:pPr>
        <w:pStyle w:val="Heading5"/>
      </w:pPr>
      <w:r w:rsidRPr="004D57B3">
        <w:t>Interpretation</w:t>
      </w:r>
    </w:p>
    <w:p w:rsidR="0048417A" w:rsidRPr="004D57B3" w:rsidRDefault="0048417A" w:rsidP="00836B55">
      <w:pPr>
        <w:pStyle w:val="Bullet"/>
      </w:pPr>
      <w:r w:rsidRPr="004D57B3">
        <w:t>A</w:t>
      </w:r>
      <w:r>
        <w:t>n LR</w:t>
      </w:r>
      <w:r w:rsidRPr="004D57B3">
        <w:t xml:space="preserve"> of 1 indicates that the test does not provide any useful diagnostic information.</w:t>
      </w:r>
    </w:p>
    <w:p w:rsidR="0048417A" w:rsidRPr="004D57B3" w:rsidRDefault="0048417A" w:rsidP="00836B55">
      <w:pPr>
        <w:pStyle w:val="Bullet"/>
      </w:pPr>
      <w:r w:rsidRPr="004D57B3">
        <w:t xml:space="preserve">Positive </w:t>
      </w:r>
      <w:r>
        <w:t>LRs</w:t>
      </w:r>
      <w:r w:rsidRPr="004D57B3">
        <w:t xml:space="preserve"> &gt;10 and negative </w:t>
      </w:r>
      <w:r>
        <w:t>LRs</w:t>
      </w:r>
      <w:r w:rsidRPr="004D57B3">
        <w:t xml:space="preserve"> &lt;0.1 can provide convincing evidence of diagnostic effectiveness.</w:t>
      </w:r>
    </w:p>
    <w:p w:rsidR="0048417A" w:rsidRPr="004D57B3" w:rsidRDefault="0048417A" w:rsidP="00836B55">
      <w:pPr>
        <w:pStyle w:val="Bullet"/>
      </w:pPr>
      <w:r w:rsidRPr="004D57B3">
        <w:t xml:space="preserve">Positive </w:t>
      </w:r>
      <w:r>
        <w:t>LRs</w:t>
      </w:r>
      <w:r w:rsidRPr="004D57B3">
        <w:t xml:space="preserve"> &gt;5 and </w:t>
      </w:r>
      <w:r>
        <w:t>LRs</w:t>
      </w:r>
      <w:r w:rsidRPr="004D57B3">
        <w:t xml:space="preserve"> &lt;0.2 can provide strong evidence of diagnostic effectiveness.</w:t>
      </w:r>
    </w:p>
    <w:p w:rsidR="0048417A" w:rsidRPr="004D57B3" w:rsidRDefault="0048417A" w:rsidP="00836B55">
      <w:r w:rsidRPr="004D57B3">
        <w:t>However, the interpretation depends on the context in which the test is used.</w:t>
      </w:r>
    </w:p>
    <w:p w:rsidR="0048417A" w:rsidRPr="004D57B3" w:rsidRDefault="0048417A" w:rsidP="004376A2">
      <w:pPr>
        <w:pStyle w:val="Heading3"/>
      </w:pPr>
      <w:r w:rsidRPr="004D57B3">
        <w:lastRenderedPageBreak/>
        <w:t>Diagnostic yield</w:t>
      </w:r>
    </w:p>
    <w:p w:rsidR="0048417A" w:rsidRPr="004D57B3" w:rsidRDefault="0048417A" w:rsidP="00836B55">
      <w:r w:rsidRPr="004D57B3">
        <w:t>The diagnostic yield measures the proportion of capsule endoscopy tests in which an (apparent) positive result or diagnosis occurred. The number of positive results and negative results are not compared against a reference standard and hence the extent of false</w:t>
      </w:r>
      <w:r>
        <w:t>-</w:t>
      </w:r>
      <w:r w:rsidRPr="004D57B3">
        <w:t>positives and false</w:t>
      </w:r>
      <w:r>
        <w:t>-</w:t>
      </w:r>
      <w:r w:rsidRPr="004D57B3">
        <w:t xml:space="preserve">negatives is unknown. </w:t>
      </w:r>
    </w:p>
    <w:p w:rsidR="0048417A" w:rsidRPr="004D57B3" w:rsidRDefault="0048417A" w:rsidP="00836B55">
      <w:pPr>
        <w:pStyle w:val="Heading5"/>
      </w:pPr>
      <w:r w:rsidRPr="004D57B3">
        <w:t xml:space="preserve">Calculation </w:t>
      </w:r>
    </w:p>
    <w:p w:rsidR="0048417A" w:rsidRPr="004D57B3" w:rsidRDefault="0048417A" w:rsidP="00836B55">
      <w:r w:rsidRPr="004D57B3">
        <w:t xml:space="preserve">Diagnostic yield = </w:t>
      </w:r>
      <w:r>
        <w:t>N</w:t>
      </w:r>
      <w:r w:rsidRPr="004D57B3">
        <w:t>umber of diagnoses/</w:t>
      </w:r>
      <w:r>
        <w:t>N</w:t>
      </w:r>
      <w:r w:rsidRPr="004D57B3">
        <w:t>umber of tests performed.</w:t>
      </w:r>
    </w:p>
    <w:p w:rsidR="0048417A" w:rsidRPr="004D57B3" w:rsidRDefault="0048417A" w:rsidP="00836B55">
      <w:pPr>
        <w:pStyle w:val="Heading2"/>
      </w:pPr>
      <w:bookmarkStart w:id="122" w:name="_Toc296517882"/>
      <w:r w:rsidRPr="004D57B3">
        <w:t>Appraisal of the evidence</w:t>
      </w:r>
      <w:bookmarkEnd w:id="122"/>
    </w:p>
    <w:p w:rsidR="0048417A" w:rsidRPr="004D57B3" w:rsidRDefault="0048417A" w:rsidP="00836B55">
      <w:pPr>
        <w:rPr>
          <w:lang w:val="en-US"/>
        </w:rPr>
      </w:pPr>
      <w:r w:rsidRPr="004D57B3">
        <w:rPr>
          <w:lang w:val="en-US"/>
        </w:rPr>
        <w:t>Appraisal of the evidence was conducted at three stages:</w:t>
      </w:r>
    </w:p>
    <w:p w:rsidR="0048417A" w:rsidRPr="004D57B3" w:rsidRDefault="0048417A" w:rsidP="00836B55">
      <w:pPr>
        <w:ind w:left="1498" w:hanging="789"/>
        <w:rPr>
          <w:lang w:val="en-US"/>
        </w:rPr>
      </w:pPr>
      <w:proofErr w:type="gramStart"/>
      <w:r w:rsidRPr="004D57B3">
        <w:rPr>
          <w:lang w:val="en-US"/>
        </w:rPr>
        <w:t>Stage 1: Appraisal of the applicability and quality of individual studies included in the review.</w:t>
      </w:r>
      <w:proofErr w:type="gramEnd"/>
    </w:p>
    <w:p w:rsidR="0048417A" w:rsidRPr="004D57B3" w:rsidRDefault="0048417A" w:rsidP="00836B55">
      <w:pPr>
        <w:ind w:left="1498" w:hanging="789"/>
        <w:rPr>
          <w:lang w:val="en-US"/>
        </w:rPr>
      </w:pPr>
      <w:r w:rsidRPr="004D57B3">
        <w:rPr>
          <w:lang w:val="en-US"/>
        </w:rPr>
        <w:t xml:space="preserve">Stage 2: Appraisal of the precision, size and clinical importance of the primary outcomes used to determine the safety and effectiveness of the intervention.  </w:t>
      </w:r>
    </w:p>
    <w:p w:rsidR="0048417A" w:rsidRPr="004D57B3" w:rsidRDefault="0048417A" w:rsidP="00836B55">
      <w:pPr>
        <w:ind w:left="1498" w:hanging="789"/>
      </w:pPr>
      <w:proofErr w:type="gramStart"/>
      <w:r w:rsidRPr="004D57B3">
        <w:t>Stage 3: Integration of this evidence for conclusions about the net clinical benefit of the intervention in the context of Australian clinical practice.</w:t>
      </w:r>
      <w:proofErr w:type="gramEnd"/>
      <w:r w:rsidRPr="004D57B3">
        <w:t xml:space="preserve"> </w:t>
      </w:r>
    </w:p>
    <w:p w:rsidR="0048417A" w:rsidRPr="004D57B3" w:rsidRDefault="0048417A" w:rsidP="00836B55">
      <w:pPr>
        <w:pStyle w:val="Heading3"/>
      </w:pPr>
      <w:r w:rsidRPr="004D57B3">
        <w:t>Validity assessment of individual studies</w:t>
      </w:r>
    </w:p>
    <w:p w:rsidR="0048417A" w:rsidRPr="004D57B3" w:rsidRDefault="0048417A" w:rsidP="00836B55">
      <w:r w:rsidRPr="004D57B3">
        <w:t xml:space="preserve">The evidence presented in the selected studies was assessed and classified using the dimensions of evidence defined by the </w:t>
      </w:r>
      <w:r>
        <w:t>NHMRC</w:t>
      </w:r>
      <w:r w:rsidRPr="004D57B3">
        <w:t xml:space="preserve"> </w:t>
      </w:r>
      <w:r w:rsidRPr="004D57B3">
        <w:rPr>
          <w:noProof/>
        </w:rPr>
        <w:t>(NHMRC 2000b; NHMRC 2009)</w:t>
      </w:r>
      <w:r w:rsidRPr="004D57B3">
        <w:t>. These dimensions (</w:t>
      </w:r>
      <w:r>
        <w:t xml:space="preserve">see </w:t>
      </w:r>
      <w:r w:rsidR="00AE591B">
        <w:fldChar w:fldCharType="begin"/>
      </w:r>
      <w:r w:rsidR="00AE591B">
        <w:instrText xml:space="preserve"> REF _Ref278534811 \h  \* MERGEFORMAT </w:instrText>
      </w:r>
      <w:r w:rsidR="00AE591B">
        <w:fldChar w:fldCharType="separate"/>
      </w:r>
      <w:r w:rsidRPr="004D57B3">
        <w:t xml:space="preserve">Table </w:t>
      </w:r>
      <w:r>
        <w:rPr>
          <w:noProof/>
        </w:rPr>
        <w:t>13</w:t>
      </w:r>
      <w:r w:rsidR="00AE591B">
        <w:fldChar w:fldCharType="end"/>
      </w:r>
      <w:r w:rsidRPr="004D57B3">
        <w:t>) consider important aspects of the evidence supporting a particular intervention and include three main domains: strength of the evidence, size of the effect and relevance of the evidence. The first domain is derived directly from the literature identified as informing a particular intervention. The last two require expert clinical input as part of their determination.</w:t>
      </w:r>
    </w:p>
    <w:p w:rsidR="0048417A" w:rsidRPr="004D57B3" w:rsidRDefault="0048417A" w:rsidP="00836B55">
      <w:pPr>
        <w:pStyle w:val="TableName"/>
        <w:ind w:left="1485" w:hanging="765"/>
      </w:pPr>
      <w:bookmarkStart w:id="123" w:name="_Ref278534811"/>
      <w:bookmarkStart w:id="124" w:name="_Toc291859575"/>
      <w:r w:rsidRPr="004D57B3">
        <w:t xml:space="preserve">Table </w:t>
      </w:r>
      <w:r w:rsidR="00AE591B">
        <w:fldChar w:fldCharType="begin"/>
      </w:r>
      <w:r w:rsidR="00AE591B">
        <w:instrText xml:space="preserve"> SEQ Table \* ARABIC </w:instrText>
      </w:r>
      <w:r w:rsidR="00AE591B">
        <w:fldChar w:fldCharType="separate"/>
      </w:r>
      <w:r>
        <w:rPr>
          <w:noProof/>
        </w:rPr>
        <w:t>13</w:t>
      </w:r>
      <w:r w:rsidR="00AE591B">
        <w:rPr>
          <w:noProof/>
        </w:rPr>
        <w:fldChar w:fldCharType="end"/>
      </w:r>
      <w:bookmarkEnd w:id="123"/>
      <w:r w:rsidRPr="004D57B3">
        <w:tab/>
        <w:t>Evidence dimensions</w:t>
      </w:r>
      <w:bookmarkEnd w:id="124"/>
    </w:p>
    <w:tbl>
      <w:tblPr>
        <w:tblW w:w="0" w:type="auto"/>
        <w:tblInd w:w="810" w:type="dxa"/>
        <w:tblBorders>
          <w:top w:val="single" w:sz="4" w:space="0" w:color="auto"/>
          <w:bottom w:val="single" w:sz="4" w:space="0" w:color="auto"/>
        </w:tblBorders>
        <w:tblLayout w:type="fixed"/>
        <w:tblLook w:val="0000" w:firstRow="0" w:lastRow="0" w:firstColumn="0" w:lastColumn="0" w:noHBand="0" w:noVBand="0"/>
      </w:tblPr>
      <w:tblGrid>
        <w:gridCol w:w="2058"/>
        <w:gridCol w:w="6120"/>
      </w:tblGrid>
      <w:tr w:rsidR="0048417A" w:rsidRPr="004D57B3" w:rsidTr="00836B55">
        <w:tc>
          <w:tcPr>
            <w:tcW w:w="2058" w:type="dxa"/>
            <w:tcBorders>
              <w:top w:val="single" w:sz="4" w:space="0" w:color="auto"/>
              <w:bottom w:val="single" w:sz="4" w:space="0" w:color="auto"/>
            </w:tcBorders>
          </w:tcPr>
          <w:p w:rsidR="0048417A" w:rsidRPr="004D57B3" w:rsidRDefault="0048417A" w:rsidP="00836B55">
            <w:pPr>
              <w:pStyle w:val="TableHeading"/>
            </w:pPr>
            <w:r w:rsidRPr="004D57B3">
              <w:t>Type of evidence</w:t>
            </w:r>
          </w:p>
        </w:tc>
        <w:tc>
          <w:tcPr>
            <w:tcW w:w="6120" w:type="dxa"/>
            <w:tcBorders>
              <w:top w:val="single" w:sz="4" w:space="0" w:color="auto"/>
              <w:bottom w:val="single" w:sz="4" w:space="0" w:color="auto"/>
            </w:tcBorders>
          </w:tcPr>
          <w:p w:rsidR="0048417A" w:rsidRPr="004D57B3" w:rsidRDefault="0048417A" w:rsidP="00836B55">
            <w:pPr>
              <w:pStyle w:val="TableHeading"/>
            </w:pPr>
            <w:r w:rsidRPr="004D57B3">
              <w:t>Definition</w:t>
            </w:r>
          </w:p>
        </w:tc>
      </w:tr>
      <w:tr w:rsidR="0048417A" w:rsidRPr="004D57B3" w:rsidTr="00836B55">
        <w:tc>
          <w:tcPr>
            <w:tcW w:w="2058" w:type="dxa"/>
            <w:tcBorders>
              <w:top w:val="single" w:sz="4" w:space="0" w:color="auto"/>
              <w:bottom w:val="single" w:sz="4" w:space="0" w:color="auto"/>
            </w:tcBorders>
          </w:tcPr>
          <w:p w:rsidR="0048417A" w:rsidRPr="004D57B3" w:rsidRDefault="0048417A" w:rsidP="00836B55">
            <w:pPr>
              <w:pStyle w:val="TableText"/>
            </w:pPr>
            <w:r w:rsidRPr="004D57B3">
              <w:t>Strength of the evidence</w:t>
            </w:r>
          </w:p>
          <w:p w:rsidR="0048417A" w:rsidRPr="004D57B3" w:rsidRDefault="0048417A" w:rsidP="00836B55">
            <w:pPr>
              <w:pStyle w:val="TableText"/>
            </w:pPr>
            <w:r w:rsidRPr="004D57B3">
              <w:tab/>
              <w:t>Level</w:t>
            </w:r>
            <w:r w:rsidRPr="004D57B3">
              <w:br/>
            </w:r>
          </w:p>
          <w:p w:rsidR="0048417A" w:rsidRPr="004D57B3" w:rsidRDefault="0048417A" w:rsidP="00836B55">
            <w:pPr>
              <w:pStyle w:val="TableText"/>
            </w:pPr>
            <w:r w:rsidRPr="004D57B3">
              <w:tab/>
              <w:t>Quality</w:t>
            </w:r>
          </w:p>
          <w:p w:rsidR="0048417A" w:rsidRPr="004D57B3" w:rsidRDefault="0048417A" w:rsidP="00836B55">
            <w:pPr>
              <w:pStyle w:val="TableText"/>
            </w:pPr>
            <w:r w:rsidRPr="004D57B3">
              <w:tab/>
              <w:t>Statistical precision</w:t>
            </w:r>
          </w:p>
        </w:tc>
        <w:tc>
          <w:tcPr>
            <w:tcW w:w="6120" w:type="dxa"/>
            <w:tcBorders>
              <w:top w:val="single" w:sz="4" w:space="0" w:color="auto"/>
              <w:bottom w:val="single" w:sz="4" w:space="0" w:color="auto"/>
            </w:tcBorders>
          </w:tcPr>
          <w:p w:rsidR="0048417A" w:rsidRPr="004D57B3" w:rsidRDefault="0048417A" w:rsidP="00836B55">
            <w:pPr>
              <w:pStyle w:val="TableText"/>
            </w:pPr>
          </w:p>
          <w:p w:rsidR="0048417A" w:rsidRPr="004D57B3" w:rsidRDefault="0048417A" w:rsidP="00836B55">
            <w:pPr>
              <w:pStyle w:val="TableText"/>
            </w:pPr>
            <w:r w:rsidRPr="004D57B3">
              <w:t>The study design used, as an indicator of the degree to which bias has been eliminated by design.*</w:t>
            </w:r>
          </w:p>
          <w:p w:rsidR="0048417A" w:rsidRPr="004D57B3" w:rsidRDefault="0048417A" w:rsidP="00836B55">
            <w:pPr>
              <w:pStyle w:val="TableText"/>
            </w:pPr>
            <w:r w:rsidRPr="004D57B3">
              <w:t>The methods used by investigators to minimise bias within a study design.</w:t>
            </w:r>
          </w:p>
          <w:p w:rsidR="0048417A" w:rsidRPr="004D57B3" w:rsidRDefault="0048417A" w:rsidP="00836B55">
            <w:pPr>
              <w:pStyle w:val="TableText"/>
            </w:pPr>
            <w:r w:rsidRPr="004D57B3">
              <w:t xml:space="preserve">The </w:t>
            </w:r>
            <w:r w:rsidRPr="004D57B3">
              <w:rPr>
                <w:i/>
              </w:rPr>
              <w:t>p</w:t>
            </w:r>
            <w:r w:rsidRPr="004D57B3">
              <w:t>-value or, alternatively, the precision of the estimate of the effect. It reflects the degree of certainty about the existence of a true effect.</w:t>
            </w:r>
          </w:p>
        </w:tc>
      </w:tr>
      <w:tr w:rsidR="0048417A" w:rsidRPr="004D57B3" w:rsidTr="00836B55">
        <w:tc>
          <w:tcPr>
            <w:tcW w:w="2058" w:type="dxa"/>
            <w:tcBorders>
              <w:top w:val="single" w:sz="4" w:space="0" w:color="auto"/>
              <w:bottom w:val="single" w:sz="4" w:space="0" w:color="auto"/>
            </w:tcBorders>
          </w:tcPr>
          <w:p w:rsidR="0048417A" w:rsidRPr="004D57B3" w:rsidRDefault="0048417A" w:rsidP="00836B55">
            <w:pPr>
              <w:pStyle w:val="TableText"/>
            </w:pPr>
            <w:r w:rsidRPr="004D57B3">
              <w:t>Size of effect</w:t>
            </w:r>
          </w:p>
        </w:tc>
        <w:tc>
          <w:tcPr>
            <w:tcW w:w="6120" w:type="dxa"/>
            <w:tcBorders>
              <w:top w:val="single" w:sz="4" w:space="0" w:color="auto"/>
              <w:bottom w:val="single" w:sz="4" w:space="0" w:color="auto"/>
            </w:tcBorders>
          </w:tcPr>
          <w:p w:rsidR="0048417A" w:rsidRPr="004D57B3" w:rsidRDefault="0048417A" w:rsidP="00836B55">
            <w:pPr>
              <w:pStyle w:val="TableText"/>
            </w:pPr>
            <w:r w:rsidRPr="004D57B3">
              <w:t xml:space="preserve">The distance of the study estimate from the </w:t>
            </w:r>
            <w:r>
              <w:t>‘</w:t>
            </w:r>
            <w:r w:rsidRPr="004D57B3">
              <w:t>null</w:t>
            </w:r>
            <w:r>
              <w:t>’</w:t>
            </w:r>
            <w:r w:rsidRPr="004D57B3">
              <w:t xml:space="preserve"> value and the inclusion of only clinically important effects in the confidence interval.</w:t>
            </w:r>
          </w:p>
        </w:tc>
      </w:tr>
      <w:tr w:rsidR="0048417A" w:rsidRPr="004D57B3" w:rsidTr="00836B55">
        <w:tc>
          <w:tcPr>
            <w:tcW w:w="2058" w:type="dxa"/>
            <w:tcBorders>
              <w:top w:val="single" w:sz="4" w:space="0" w:color="auto"/>
              <w:bottom w:val="single" w:sz="4" w:space="0" w:color="auto"/>
            </w:tcBorders>
          </w:tcPr>
          <w:p w:rsidR="0048417A" w:rsidRPr="004D57B3" w:rsidRDefault="0048417A" w:rsidP="00836B55">
            <w:pPr>
              <w:pStyle w:val="TableText"/>
            </w:pPr>
            <w:r w:rsidRPr="004D57B3">
              <w:t>Relevance of evidence</w:t>
            </w:r>
          </w:p>
        </w:tc>
        <w:tc>
          <w:tcPr>
            <w:tcW w:w="6120" w:type="dxa"/>
            <w:tcBorders>
              <w:top w:val="single" w:sz="4" w:space="0" w:color="auto"/>
              <w:bottom w:val="single" w:sz="4" w:space="0" w:color="auto"/>
            </w:tcBorders>
          </w:tcPr>
          <w:p w:rsidR="0048417A" w:rsidRPr="004D57B3" w:rsidRDefault="0048417A" w:rsidP="00836B55">
            <w:pPr>
              <w:pStyle w:val="TableText"/>
            </w:pPr>
            <w:r w:rsidRPr="004D57B3">
              <w:t>The usefulness of the evidence in clinical practice, particularly the appropriateness of the outcome measures used.</w:t>
            </w:r>
          </w:p>
        </w:tc>
      </w:tr>
    </w:tbl>
    <w:p w:rsidR="0048417A" w:rsidRPr="004D57B3" w:rsidRDefault="0048417A" w:rsidP="00836B55">
      <w:pPr>
        <w:pStyle w:val="TableNotes"/>
      </w:pPr>
      <w:r w:rsidRPr="004D57B3">
        <w:t xml:space="preserve">* See </w:t>
      </w:r>
      <w:r w:rsidR="00AE591B">
        <w:fldChar w:fldCharType="begin"/>
      </w:r>
      <w:r w:rsidR="00AE591B">
        <w:instrText xml:space="preserve"> REF _Ref206478826 \h  \* MERGEFORMAT </w:instrText>
      </w:r>
      <w:r w:rsidR="00AE591B">
        <w:fldChar w:fldCharType="separate"/>
      </w:r>
      <w:r w:rsidRPr="004D57B3">
        <w:t xml:space="preserve">Table </w:t>
      </w:r>
      <w:r>
        <w:rPr>
          <w:noProof/>
        </w:rPr>
        <w:t>14</w:t>
      </w:r>
      <w:r w:rsidR="00AE591B">
        <w:fldChar w:fldCharType="end"/>
      </w:r>
      <w:r>
        <w:t>.</w:t>
      </w:r>
    </w:p>
    <w:p w:rsidR="0048417A" w:rsidRPr="004D57B3" w:rsidRDefault="0048417A" w:rsidP="00836B55">
      <w:pPr>
        <w:pStyle w:val="Heading3"/>
      </w:pPr>
      <w:bookmarkStart w:id="125" w:name="_Toc124833662"/>
      <w:r w:rsidRPr="004D57B3">
        <w:t>Strength of the evidence</w:t>
      </w:r>
    </w:p>
    <w:bookmarkEnd w:id="125"/>
    <w:p w:rsidR="0048417A" w:rsidRPr="004D57B3" w:rsidRDefault="0048417A" w:rsidP="00836B55">
      <w:r w:rsidRPr="004D57B3">
        <w:t xml:space="preserve">The three subdomains (level, quality and statistical precision) are collectively a measure of the strength of the evidence. </w:t>
      </w:r>
    </w:p>
    <w:p w:rsidR="0048417A" w:rsidRPr="004D57B3" w:rsidRDefault="0048417A" w:rsidP="00836B55">
      <w:pPr>
        <w:pStyle w:val="Heading4"/>
      </w:pPr>
      <w:r w:rsidRPr="004D57B3">
        <w:lastRenderedPageBreak/>
        <w:t>Level</w:t>
      </w:r>
    </w:p>
    <w:p w:rsidR="0048417A" w:rsidRPr="004D57B3" w:rsidRDefault="0048417A" w:rsidP="00836B55">
      <w:r w:rsidRPr="004D57B3">
        <w:t xml:space="preserve">The </w:t>
      </w:r>
      <w:r>
        <w:t>‘</w:t>
      </w:r>
      <w:r w:rsidRPr="004D57B3">
        <w:t>level of evidence</w:t>
      </w:r>
      <w:r>
        <w:t>’</w:t>
      </w:r>
      <w:r w:rsidRPr="004D57B3">
        <w:t xml:space="preserve"> reflects the effectiveness of a study design to answer a particular research question. Effectiveness is based on the probability that the design of the study has reduced or eliminated the impact of bias on the results. </w:t>
      </w:r>
    </w:p>
    <w:p w:rsidR="0048417A" w:rsidRPr="004D57B3" w:rsidRDefault="0048417A" w:rsidP="00836B55">
      <w:r w:rsidRPr="004D57B3">
        <w:t xml:space="preserve">The NHMRC evidence hierarchy provides a ranking of various study designs (‘levels of evidence’) by the type of research question being addressed (see </w:t>
      </w:r>
      <w:r w:rsidR="00AE591B">
        <w:fldChar w:fldCharType="begin"/>
      </w:r>
      <w:r w:rsidR="00AE591B">
        <w:instrText xml:space="preserve"> REF _Ref206478826 \h  \* MERGEFORMAT </w:instrText>
      </w:r>
      <w:r w:rsidR="00AE591B">
        <w:fldChar w:fldCharType="separate"/>
      </w:r>
      <w:r w:rsidRPr="004D57B3">
        <w:t xml:space="preserve">Table </w:t>
      </w:r>
      <w:r>
        <w:rPr>
          <w:noProof/>
        </w:rPr>
        <w:t>14</w:t>
      </w:r>
      <w:r w:rsidR="00AE591B">
        <w:fldChar w:fldCharType="end"/>
      </w:r>
      <w:r w:rsidRPr="004D57B3">
        <w:t>).</w:t>
      </w:r>
    </w:p>
    <w:p w:rsidR="0048417A" w:rsidRPr="004D57B3" w:rsidRDefault="0048417A" w:rsidP="00836B55">
      <w:pPr>
        <w:pStyle w:val="TableName"/>
        <w:ind w:left="1485" w:hanging="765"/>
      </w:pPr>
      <w:bookmarkStart w:id="126" w:name="_Ref206478826"/>
      <w:bookmarkStart w:id="127" w:name="_Toc291859576"/>
      <w:r w:rsidRPr="004D57B3">
        <w:t xml:space="preserve">Table </w:t>
      </w:r>
      <w:r w:rsidR="00AE591B">
        <w:fldChar w:fldCharType="begin"/>
      </w:r>
      <w:r w:rsidR="00AE591B">
        <w:instrText xml:space="preserve"> SEQ Table \* ARABIC </w:instrText>
      </w:r>
      <w:r w:rsidR="00AE591B">
        <w:fldChar w:fldCharType="separate"/>
      </w:r>
      <w:r>
        <w:rPr>
          <w:noProof/>
        </w:rPr>
        <w:t>14</w:t>
      </w:r>
      <w:r w:rsidR="00AE591B">
        <w:rPr>
          <w:noProof/>
        </w:rPr>
        <w:fldChar w:fldCharType="end"/>
      </w:r>
      <w:bookmarkEnd w:id="126"/>
      <w:r w:rsidRPr="004D57B3">
        <w:tab/>
        <w:t xml:space="preserve">Designations of levels of evidence according to type of research question (including table notes) from NHMRC </w:t>
      </w:r>
      <w:r w:rsidRPr="004D57B3">
        <w:rPr>
          <w:noProof/>
        </w:rPr>
        <w:t>(2008; 2009)</w:t>
      </w:r>
      <w:r w:rsidRPr="004D57B3">
        <w:t>.</w:t>
      </w:r>
      <w:bookmarkEnd w:id="127"/>
    </w:p>
    <w:tbl>
      <w:tblPr>
        <w:tblW w:w="77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376"/>
        <w:gridCol w:w="3377"/>
      </w:tblGrid>
      <w:tr w:rsidR="0048417A" w:rsidRPr="004D57B3" w:rsidTr="00836B55">
        <w:trPr>
          <w:trHeight w:val="270"/>
        </w:trPr>
        <w:tc>
          <w:tcPr>
            <w:tcW w:w="985" w:type="dxa"/>
          </w:tcPr>
          <w:p w:rsidR="0048417A" w:rsidRPr="004D57B3" w:rsidRDefault="0048417A" w:rsidP="00836B55">
            <w:pPr>
              <w:pStyle w:val="TableHeading"/>
            </w:pPr>
            <w:bookmarkStart w:id="128" w:name="_Toc188861188"/>
            <w:r w:rsidRPr="004D57B3">
              <w:t>Level</w:t>
            </w:r>
          </w:p>
        </w:tc>
        <w:tc>
          <w:tcPr>
            <w:tcW w:w="3376" w:type="dxa"/>
          </w:tcPr>
          <w:p w:rsidR="0048417A" w:rsidRPr="004D57B3" w:rsidRDefault="0048417A" w:rsidP="00836B55">
            <w:pPr>
              <w:pStyle w:val="TableHeading"/>
            </w:pPr>
            <w:r w:rsidRPr="004D57B3">
              <w:t>Intervention</w:t>
            </w:r>
          </w:p>
        </w:tc>
        <w:tc>
          <w:tcPr>
            <w:tcW w:w="3377" w:type="dxa"/>
          </w:tcPr>
          <w:p w:rsidR="0048417A" w:rsidRPr="004D57B3" w:rsidRDefault="0048417A" w:rsidP="00836B55">
            <w:pPr>
              <w:pStyle w:val="TableHeading"/>
            </w:pPr>
            <w:r w:rsidRPr="004D57B3">
              <w:t>Diagnostic accuracy</w:t>
            </w:r>
          </w:p>
        </w:tc>
      </w:tr>
      <w:tr w:rsidR="0048417A" w:rsidRPr="004D57B3" w:rsidTr="00836B55">
        <w:trPr>
          <w:trHeight w:val="495"/>
        </w:trPr>
        <w:tc>
          <w:tcPr>
            <w:tcW w:w="985" w:type="dxa"/>
          </w:tcPr>
          <w:p w:rsidR="0048417A" w:rsidRPr="004D57B3" w:rsidRDefault="0048417A" w:rsidP="00836B55">
            <w:pPr>
              <w:pStyle w:val="TableHeading"/>
            </w:pPr>
            <w:r w:rsidRPr="004D57B3">
              <w:t xml:space="preserve">I </w:t>
            </w:r>
          </w:p>
        </w:tc>
        <w:tc>
          <w:tcPr>
            <w:tcW w:w="3376" w:type="dxa"/>
          </w:tcPr>
          <w:p w:rsidR="0048417A" w:rsidRPr="004D57B3" w:rsidRDefault="0048417A" w:rsidP="00836B55">
            <w:pPr>
              <w:pStyle w:val="TableText"/>
            </w:pPr>
            <w:r w:rsidRPr="004D57B3">
              <w:t>A systematic review of level II studies</w:t>
            </w:r>
          </w:p>
        </w:tc>
        <w:tc>
          <w:tcPr>
            <w:tcW w:w="3377" w:type="dxa"/>
          </w:tcPr>
          <w:p w:rsidR="0048417A" w:rsidRPr="004D57B3" w:rsidRDefault="0048417A" w:rsidP="00836B55">
            <w:pPr>
              <w:pStyle w:val="TableText"/>
            </w:pPr>
            <w:r w:rsidRPr="004D57B3">
              <w:t>A systematic review of level II studies</w:t>
            </w:r>
          </w:p>
        </w:tc>
      </w:tr>
      <w:tr w:rsidR="0048417A" w:rsidRPr="004D57B3" w:rsidTr="00836B55">
        <w:trPr>
          <w:trHeight w:val="817"/>
        </w:trPr>
        <w:tc>
          <w:tcPr>
            <w:tcW w:w="985" w:type="dxa"/>
          </w:tcPr>
          <w:p w:rsidR="0048417A" w:rsidRPr="004D57B3" w:rsidRDefault="0048417A" w:rsidP="00836B55">
            <w:pPr>
              <w:pStyle w:val="TableHeading"/>
            </w:pPr>
            <w:r w:rsidRPr="004D57B3">
              <w:t>II</w:t>
            </w:r>
          </w:p>
        </w:tc>
        <w:tc>
          <w:tcPr>
            <w:tcW w:w="3376" w:type="dxa"/>
          </w:tcPr>
          <w:p w:rsidR="0048417A" w:rsidRPr="004D57B3" w:rsidRDefault="0048417A" w:rsidP="00836B55">
            <w:pPr>
              <w:pStyle w:val="TableText"/>
            </w:pPr>
            <w:r w:rsidRPr="004D57B3">
              <w:t>A randomised controlled trial</w:t>
            </w:r>
          </w:p>
        </w:tc>
        <w:tc>
          <w:tcPr>
            <w:tcW w:w="3377" w:type="dxa"/>
          </w:tcPr>
          <w:p w:rsidR="0048417A" w:rsidRPr="004D57B3" w:rsidRDefault="0048417A" w:rsidP="00836B55">
            <w:pPr>
              <w:pStyle w:val="TableText"/>
            </w:pPr>
            <w:r w:rsidRPr="004D57B3">
              <w:t>A study of test accuracy with: an independent, blinded comparison with a valid reference standard, among consecutive persons with a defined clinical presentation</w:t>
            </w:r>
          </w:p>
        </w:tc>
      </w:tr>
      <w:tr w:rsidR="0048417A" w:rsidRPr="004D57B3" w:rsidTr="00836B55">
        <w:trPr>
          <w:trHeight w:val="974"/>
        </w:trPr>
        <w:tc>
          <w:tcPr>
            <w:tcW w:w="985" w:type="dxa"/>
          </w:tcPr>
          <w:p w:rsidR="0048417A" w:rsidRPr="004D57B3" w:rsidRDefault="0048417A" w:rsidP="00836B55">
            <w:pPr>
              <w:pStyle w:val="TableHeading"/>
            </w:pPr>
            <w:r w:rsidRPr="004D57B3">
              <w:t>III-1</w:t>
            </w:r>
          </w:p>
        </w:tc>
        <w:tc>
          <w:tcPr>
            <w:tcW w:w="3376" w:type="dxa"/>
          </w:tcPr>
          <w:p w:rsidR="0048417A" w:rsidRPr="004D57B3" w:rsidRDefault="0048417A" w:rsidP="00836B55">
            <w:pPr>
              <w:pStyle w:val="TableText"/>
            </w:pPr>
            <w:r w:rsidRPr="004D57B3">
              <w:t>A pseudo randomised controlled trial</w:t>
            </w:r>
          </w:p>
          <w:p w:rsidR="0048417A" w:rsidRPr="004D57B3" w:rsidRDefault="0048417A" w:rsidP="00836B55">
            <w:pPr>
              <w:pStyle w:val="TableText"/>
            </w:pPr>
            <w:r w:rsidRPr="004D57B3">
              <w:t>(</w:t>
            </w:r>
            <w:proofErr w:type="spellStart"/>
            <w:r w:rsidRPr="004D57B3">
              <w:t>ie</w:t>
            </w:r>
            <w:proofErr w:type="spellEnd"/>
            <w:r w:rsidRPr="004D57B3">
              <w:t xml:space="preserve"> alternate allocation or some other method)</w:t>
            </w:r>
          </w:p>
        </w:tc>
        <w:tc>
          <w:tcPr>
            <w:tcW w:w="3377" w:type="dxa"/>
          </w:tcPr>
          <w:p w:rsidR="0048417A" w:rsidRPr="004D57B3" w:rsidRDefault="0048417A" w:rsidP="00836B55">
            <w:pPr>
              <w:pStyle w:val="TableText"/>
            </w:pPr>
            <w:r w:rsidRPr="004D57B3">
              <w:t>A study of test accuracy with: an independent, blinded comparison with a valid reference standard, among non-consecutive persons with a defined clinical presentation</w:t>
            </w:r>
          </w:p>
        </w:tc>
      </w:tr>
      <w:tr w:rsidR="0048417A" w:rsidRPr="004D57B3" w:rsidTr="00836B55">
        <w:trPr>
          <w:trHeight w:val="1481"/>
        </w:trPr>
        <w:tc>
          <w:tcPr>
            <w:tcW w:w="985" w:type="dxa"/>
          </w:tcPr>
          <w:p w:rsidR="0048417A" w:rsidRPr="004D57B3" w:rsidRDefault="0048417A" w:rsidP="00836B55">
            <w:pPr>
              <w:pStyle w:val="TableHeading"/>
            </w:pPr>
            <w:r w:rsidRPr="004D57B3">
              <w:t>III-2</w:t>
            </w:r>
          </w:p>
        </w:tc>
        <w:tc>
          <w:tcPr>
            <w:tcW w:w="3376" w:type="dxa"/>
          </w:tcPr>
          <w:p w:rsidR="0048417A" w:rsidRPr="004D57B3" w:rsidRDefault="0048417A" w:rsidP="00836B55">
            <w:pPr>
              <w:pStyle w:val="TableText"/>
            </w:pPr>
            <w:r w:rsidRPr="004D57B3">
              <w:t>A comparative study with concurrent controls:</w:t>
            </w:r>
          </w:p>
          <w:p w:rsidR="0048417A" w:rsidRPr="004D57B3" w:rsidRDefault="0048417A" w:rsidP="00836B55">
            <w:pPr>
              <w:pStyle w:val="TableText"/>
              <w:numPr>
                <w:ilvl w:val="0"/>
                <w:numId w:val="32"/>
              </w:numPr>
            </w:pPr>
            <w:r w:rsidRPr="004D57B3">
              <w:t>Non-randomised, experimental trial</w:t>
            </w:r>
          </w:p>
          <w:p w:rsidR="0048417A" w:rsidRPr="004D57B3" w:rsidRDefault="0048417A" w:rsidP="00836B55">
            <w:pPr>
              <w:pStyle w:val="TableText"/>
              <w:numPr>
                <w:ilvl w:val="0"/>
                <w:numId w:val="32"/>
              </w:numPr>
            </w:pPr>
            <w:r w:rsidRPr="004D57B3">
              <w:t>Cohort study</w:t>
            </w:r>
          </w:p>
          <w:p w:rsidR="0048417A" w:rsidRPr="004D57B3" w:rsidRDefault="0048417A" w:rsidP="00836B55">
            <w:pPr>
              <w:pStyle w:val="TableText"/>
              <w:numPr>
                <w:ilvl w:val="0"/>
                <w:numId w:val="32"/>
              </w:numPr>
            </w:pPr>
            <w:r w:rsidRPr="004D57B3">
              <w:t>Case-control study</w:t>
            </w:r>
          </w:p>
          <w:p w:rsidR="0048417A" w:rsidRPr="004D57B3" w:rsidRDefault="0048417A" w:rsidP="00836B55">
            <w:pPr>
              <w:pStyle w:val="TableText"/>
              <w:numPr>
                <w:ilvl w:val="0"/>
                <w:numId w:val="32"/>
              </w:numPr>
            </w:pPr>
            <w:r w:rsidRPr="004D57B3">
              <w:t>Interrupted time series with a control group</w:t>
            </w:r>
          </w:p>
        </w:tc>
        <w:tc>
          <w:tcPr>
            <w:tcW w:w="3377" w:type="dxa"/>
          </w:tcPr>
          <w:p w:rsidR="0048417A" w:rsidRPr="004D57B3" w:rsidRDefault="0048417A" w:rsidP="00836B55">
            <w:pPr>
              <w:pStyle w:val="TableText"/>
            </w:pPr>
            <w:r w:rsidRPr="004D57B3">
              <w:t>A comparison with reference standard that does not meet the criteria required for</w:t>
            </w:r>
          </w:p>
          <w:p w:rsidR="0048417A" w:rsidRPr="004D57B3" w:rsidRDefault="0048417A" w:rsidP="00836B55">
            <w:pPr>
              <w:pStyle w:val="TableText"/>
            </w:pPr>
            <w:r w:rsidRPr="004D57B3">
              <w:t>Level II and III-1 evidence</w:t>
            </w:r>
          </w:p>
        </w:tc>
      </w:tr>
      <w:tr w:rsidR="0048417A" w:rsidRPr="004D57B3" w:rsidTr="00836B55">
        <w:trPr>
          <w:trHeight w:val="1560"/>
        </w:trPr>
        <w:tc>
          <w:tcPr>
            <w:tcW w:w="985" w:type="dxa"/>
          </w:tcPr>
          <w:p w:rsidR="0048417A" w:rsidRPr="004D57B3" w:rsidRDefault="0048417A" w:rsidP="00836B55">
            <w:pPr>
              <w:pStyle w:val="TableHeading"/>
            </w:pPr>
            <w:r w:rsidRPr="004D57B3">
              <w:t>III-3</w:t>
            </w:r>
          </w:p>
        </w:tc>
        <w:tc>
          <w:tcPr>
            <w:tcW w:w="3376" w:type="dxa"/>
          </w:tcPr>
          <w:p w:rsidR="0048417A" w:rsidRPr="004D57B3" w:rsidRDefault="0048417A" w:rsidP="00836B55">
            <w:pPr>
              <w:pStyle w:val="TableText"/>
            </w:pPr>
            <w:r w:rsidRPr="004D57B3">
              <w:t>A comparative study without concurrent controls:</w:t>
            </w:r>
          </w:p>
          <w:p w:rsidR="0048417A" w:rsidRPr="004D57B3" w:rsidRDefault="0048417A" w:rsidP="00836B55">
            <w:pPr>
              <w:pStyle w:val="TableText"/>
              <w:numPr>
                <w:ilvl w:val="0"/>
                <w:numId w:val="33"/>
              </w:numPr>
            </w:pPr>
            <w:r w:rsidRPr="004D57B3">
              <w:t>Historical control study</w:t>
            </w:r>
          </w:p>
          <w:p w:rsidR="0048417A" w:rsidRPr="004D57B3" w:rsidRDefault="0048417A" w:rsidP="00836B55">
            <w:pPr>
              <w:pStyle w:val="TableText"/>
              <w:numPr>
                <w:ilvl w:val="0"/>
                <w:numId w:val="33"/>
              </w:numPr>
            </w:pPr>
            <w:r w:rsidRPr="004D57B3">
              <w:t>Two or more single arm study</w:t>
            </w:r>
          </w:p>
          <w:p w:rsidR="0048417A" w:rsidRPr="004D57B3" w:rsidRDefault="0048417A" w:rsidP="00836B55">
            <w:pPr>
              <w:pStyle w:val="TableText"/>
              <w:numPr>
                <w:ilvl w:val="0"/>
                <w:numId w:val="33"/>
              </w:numPr>
            </w:pPr>
            <w:r w:rsidRPr="004D57B3">
              <w:t>Interrupted time series without a parallel control group</w:t>
            </w:r>
          </w:p>
        </w:tc>
        <w:tc>
          <w:tcPr>
            <w:tcW w:w="3377" w:type="dxa"/>
          </w:tcPr>
          <w:p w:rsidR="0048417A" w:rsidRPr="004D57B3" w:rsidRDefault="0048417A" w:rsidP="00836B55">
            <w:pPr>
              <w:pStyle w:val="TableText"/>
            </w:pPr>
            <w:r w:rsidRPr="004D57B3">
              <w:t>Diagnostic case-control study</w:t>
            </w:r>
          </w:p>
        </w:tc>
      </w:tr>
      <w:tr w:rsidR="0048417A" w:rsidRPr="004D57B3" w:rsidTr="00836B55">
        <w:trPr>
          <w:trHeight w:val="495"/>
        </w:trPr>
        <w:tc>
          <w:tcPr>
            <w:tcW w:w="985" w:type="dxa"/>
          </w:tcPr>
          <w:p w:rsidR="0048417A" w:rsidRPr="004D57B3" w:rsidRDefault="0048417A" w:rsidP="00836B55">
            <w:pPr>
              <w:pStyle w:val="TableHeading"/>
            </w:pPr>
            <w:r w:rsidRPr="004D57B3">
              <w:t>IV</w:t>
            </w:r>
          </w:p>
        </w:tc>
        <w:tc>
          <w:tcPr>
            <w:tcW w:w="3376" w:type="dxa"/>
          </w:tcPr>
          <w:p w:rsidR="0048417A" w:rsidRPr="004D57B3" w:rsidRDefault="0048417A" w:rsidP="00836B55">
            <w:pPr>
              <w:pStyle w:val="TableText"/>
            </w:pPr>
            <w:r w:rsidRPr="004D57B3">
              <w:t>Case series with either post-test or pre-test/post-test outcomes</w:t>
            </w:r>
          </w:p>
        </w:tc>
        <w:tc>
          <w:tcPr>
            <w:tcW w:w="3377" w:type="dxa"/>
          </w:tcPr>
          <w:p w:rsidR="0048417A" w:rsidRPr="004D57B3" w:rsidRDefault="0048417A" w:rsidP="00836B55">
            <w:pPr>
              <w:pStyle w:val="TableText"/>
            </w:pPr>
            <w:r w:rsidRPr="004D57B3">
              <w:t>Study of diagnostic yield (no reference standard)</w:t>
            </w:r>
          </w:p>
        </w:tc>
      </w:tr>
    </w:tbl>
    <w:p w:rsidR="0048417A" w:rsidRPr="004D57B3" w:rsidRDefault="0048417A" w:rsidP="00836B55">
      <w:pPr>
        <w:pStyle w:val="TableNotes"/>
      </w:pPr>
    </w:p>
    <w:p w:rsidR="0048417A" w:rsidRPr="004D57B3" w:rsidDel="0089665D" w:rsidRDefault="0048417A" w:rsidP="00836B55">
      <w:pPr>
        <w:pStyle w:val="TableNotes"/>
      </w:pPr>
      <w:r w:rsidRPr="004D57B3">
        <w:t xml:space="preserve">Table notes can be found in NHMRC </w:t>
      </w:r>
      <w:r w:rsidRPr="004D57B3">
        <w:rPr>
          <w:noProof/>
        </w:rPr>
        <w:t>(2008; 2009)</w:t>
      </w:r>
      <w:r w:rsidRPr="004D57B3">
        <w:t>.</w:t>
      </w:r>
      <w:r w:rsidRPr="004D57B3" w:rsidDel="0089665D">
        <w:t xml:space="preserve"> </w:t>
      </w:r>
    </w:p>
    <w:bookmarkEnd w:id="128"/>
    <w:p w:rsidR="0048417A" w:rsidRPr="004D57B3" w:rsidRDefault="0048417A" w:rsidP="00836B55">
      <w:pPr>
        <w:pStyle w:val="Heading4"/>
      </w:pPr>
      <w:r w:rsidRPr="004D57B3">
        <w:t>Quality</w:t>
      </w:r>
    </w:p>
    <w:p w:rsidR="0048417A" w:rsidRPr="004D57B3" w:rsidRDefault="0048417A" w:rsidP="00836B55">
      <w:r w:rsidRPr="004D57B3">
        <w:t xml:space="preserve">The quality of a study refers to the extent to which it has been designed and conducted to reduce bias in the estimation of the outcome. The potential sources of bias vary according to whether the study is designed to estimate the impact of the test on health outcomes (where the ideal is a randomised trial of alternative tests) or to estimate the diagnostic accuracy of the test (for which the ideal is cross-sectional analytic studies of consecutive patients tested using both the test of interest and a valid reference standard). </w:t>
      </w:r>
    </w:p>
    <w:p w:rsidR="0048417A" w:rsidRDefault="0048417A" w:rsidP="00836B55">
      <w:pPr>
        <w:rPr>
          <w:rFonts w:cs="Garamond"/>
          <w:szCs w:val="24"/>
        </w:rPr>
      </w:pPr>
      <w:r w:rsidRPr="004D57B3">
        <w:t xml:space="preserve">Individual studies assessing diagnostic effectiveness were graded according to pre-specified quality and applicability criteria (MSAC 2005), as shown in </w:t>
      </w:r>
      <w:r w:rsidR="00AE591B">
        <w:fldChar w:fldCharType="begin"/>
      </w:r>
      <w:r w:rsidR="00AE591B">
        <w:instrText xml:space="preserve"> REF _Ref206477516 \h  \* MERGEFORMAT </w:instrText>
      </w:r>
      <w:r w:rsidR="00AE591B">
        <w:fldChar w:fldCharType="separate"/>
      </w:r>
      <w:r w:rsidRPr="004D57B3">
        <w:t xml:space="preserve">Table </w:t>
      </w:r>
      <w:r>
        <w:rPr>
          <w:noProof/>
        </w:rPr>
        <w:t>15</w:t>
      </w:r>
      <w:r w:rsidR="00AE591B">
        <w:fldChar w:fldCharType="end"/>
      </w:r>
      <w:r w:rsidRPr="004D57B3">
        <w:t xml:space="preserve">. </w:t>
      </w:r>
      <w:r w:rsidRPr="004D57B3">
        <w:rPr>
          <w:rFonts w:cs="Garamond"/>
          <w:szCs w:val="24"/>
        </w:rPr>
        <w:t xml:space="preserve">The quality and applicability of all individual studies included in the review are appraised and the results presented in a table in the results section of the assessment report. </w:t>
      </w:r>
    </w:p>
    <w:p w:rsidR="0048417A" w:rsidRDefault="0048417A" w:rsidP="00836B55">
      <w:pPr>
        <w:rPr>
          <w:rFonts w:cs="Garamond"/>
          <w:szCs w:val="24"/>
        </w:rPr>
      </w:pPr>
    </w:p>
    <w:p w:rsidR="0048417A" w:rsidRPr="004D57B3" w:rsidRDefault="0048417A" w:rsidP="00836B55">
      <w:pPr>
        <w:rPr>
          <w:rFonts w:cs="Garamond"/>
          <w:szCs w:val="24"/>
        </w:rPr>
      </w:pPr>
      <w:r w:rsidRPr="004D57B3">
        <w:rPr>
          <w:rFonts w:cs="Garamond"/>
          <w:szCs w:val="24"/>
        </w:rPr>
        <w:lastRenderedPageBreak/>
        <w:t xml:space="preserve">This appraisal included an assessment of: </w:t>
      </w:r>
    </w:p>
    <w:p w:rsidR="0048417A" w:rsidRPr="004D57B3" w:rsidRDefault="0048417A" w:rsidP="00836B55">
      <w:pPr>
        <w:numPr>
          <w:ilvl w:val="0"/>
          <w:numId w:val="36"/>
        </w:numPr>
      </w:pPr>
      <w:r w:rsidRPr="004D57B3">
        <w:t>the availability of evidence from a direct comparison of the index test strategy and the existing test strategy</w:t>
      </w:r>
    </w:p>
    <w:p w:rsidR="0048417A" w:rsidRPr="004D57B3" w:rsidRDefault="0048417A" w:rsidP="00836B55">
      <w:pPr>
        <w:numPr>
          <w:ilvl w:val="0"/>
          <w:numId w:val="36"/>
        </w:numPr>
      </w:pPr>
      <w:r w:rsidRPr="004D57B3">
        <w:t>the applicability of the evidence to the intended use of the index test</w:t>
      </w:r>
    </w:p>
    <w:p w:rsidR="0048417A" w:rsidRPr="004D57B3" w:rsidRDefault="0048417A" w:rsidP="00836B55">
      <w:pPr>
        <w:numPr>
          <w:ilvl w:val="0"/>
          <w:numId w:val="36"/>
        </w:numPr>
        <w:rPr>
          <w:sz w:val="20"/>
        </w:rPr>
      </w:pPr>
      <w:proofErr w:type="gramStart"/>
      <w:r w:rsidRPr="004D57B3">
        <w:t>the</w:t>
      </w:r>
      <w:proofErr w:type="gramEnd"/>
      <w:r w:rsidRPr="004D57B3">
        <w:t xml:space="preserve"> quality of the evidence.</w:t>
      </w:r>
    </w:p>
    <w:p w:rsidR="0048417A" w:rsidRPr="004D57B3" w:rsidRDefault="0048417A" w:rsidP="00836B55">
      <w:pPr>
        <w:pStyle w:val="TableName"/>
        <w:ind w:left="1485" w:hanging="765"/>
      </w:pPr>
      <w:bookmarkStart w:id="129" w:name="_Ref206477516"/>
      <w:bookmarkStart w:id="130" w:name="_Ref278200913"/>
      <w:bookmarkStart w:id="131" w:name="_Toc291859577"/>
      <w:r w:rsidRPr="004D57B3">
        <w:t xml:space="preserve">Table </w:t>
      </w:r>
      <w:r w:rsidR="00AE591B">
        <w:fldChar w:fldCharType="begin"/>
      </w:r>
      <w:r w:rsidR="00AE591B">
        <w:instrText xml:space="preserve"> SEQ Table \* ARABIC </w:instrText>
      </w:r>
      <w:r w:rsidR="00AE591B">
        <w:fldChar w:fldCharType="separate"/>
      </w:r>
      <w:proofErr w:type="gramStart"/>
      <w:r>
        <w:rPr>
          <w:noProof/>
        </w:rPr>
        <w:t>15</w:t>
      </w:r>
      <w:r w:rsidR="00AE591B">
        <w:rPr>
          <w:noProof/>
        </w:rPr>
        <w:fldChar w:fldCharType="end"/>
      </w:r>
      <w:bookmarkEnd w:id="129"/>
      <w:bookmarkEnd w:id="130"/>
      <w:r w:rsidRPr="004D57B3">
        <w:tab/>
        <w:t>Grading system</w:t>
      </w:r>
      <w:proofErr w:type="gramEnd"/>
      <w:r w:rsidRPr="004D57B3">
        <w:t xml:space="preserve"> used to rank included studies</w:t>
      </w:r>
      <w:bookmarkEnd w:id="131"/>
    </w:p>
    <w:tbl>
      <w:tblPr>
        <w:tblW w:w="0" w:type="auto"/>
        <w:tblInd w:w="828" w:type="dxa"/>
        <w:tblBorders>
          <w:top w:val="single" w:sz="4" w:space="0" w:color="auto"/>
          <w:bottom w:val="single" w:sz="4" w:space="0" w:color="auto"/>
        </w:tblBorders>
        <w:tblLook w:val="0000" w:firstRow="0" w:lastRow="0" w:firstColumn="0" w:lastColumn="0" w:noHBand="0" w:noVBand="0"/>
      </w:tblPr>
      <w:tblGrid>
        <w:gridCol w:w="1832"/>
        <w:gridCol w:w="3636"/>
        <w:gridCol w:w="2946"/>
      </w:tblGrid>
      <w:tr w:rsidR="0048417A" w:rsidRPr="004D57B3" w:rsidTr="00836B55">
        <w:tc>
          <w:tcPr>
            <w:tcW w:w="1832"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Validity criteria</w:t>
            </w:r>
          </w:p>
        </w:tc>
        <w:tc>
          <w:tcPr>
            <w:tcW w:w="3636"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Description</w:t>
            </w:r>
          </w:p>
        </w:tc>
        <w:tc>
          <w:tcPr>
            <w:tcW w:w="2946"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 xml:space="preserve">Grading </w:t>
            </w:r>
            <w:r>
              <w:rPr>
                <w:lang w:val="en-US"/>
              </w:rPr>
              <w:t>s</w:t>
            </w:r>
            <w:r w:rsidRPr="004D57B3">
              <w:rPr>
                <w:lang w:val="en-US"/>
              </w:rPr>
              <w:t>ystem</w:t>
            </w:r>
          </w:p>
        </w:tc>
      </w:tr>
      <w:tr w:rsidR="0048417A" w:rsidRPr="004D57B3" w:rsidTr="00836B55">
        <w:tc>
          <w:tcPr>
            <w:tcW w:w="1832"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Appropriate comparison</w:t>
            </w:r>
          </w:p>
        </w:tc>
        <w:tc>
          <w:tcPr>
            <w:tcW w:w="3636" w:type="dxa"/>
            <w:tcBorders>
              <w:top w:val="single" w:sz="4" w:space="0" w:color="auto"/>
              <w:bottom w:val="single" w:sz="4" w:space="0" w:color="auto"/>
            </w:tcBorders>
          </w:tcPr>
          <w:p w:rsidR="0048417A" w:rsidRPr="004D57B3" w:rsidRDefault="0048417A" w:rsidP="00836B55">
            <w:pPr>
              <w:pStyle w:val="TableText"/>
            </w:pPr>
            <w:r w:rsidRPr="004D57B3">
              <w:t>Did the study evaluate a direct comparison of the index test strategy versus the comparator test strategy?</w:t>
            </w:r>
          </w:p>
          <w:p w:rsidR="0048417A" w:rsidRPr="004D57B3" w:rsidRDefault="0048417A" w:rsidP="00836B55">
            <w:pPr>
              <w:pStyle w:val="TableText"/>
            </w:pPr>
          </w:p>
        </w:tc>
        <w:tc>
          <w:tcPr>
            <w:tcW w:w="2946" w:type="dxa"/>
            <w:tcBorders>
              <w:top w:val="single" w:sz="4" w:space="0" w:color="auto"/>
              <w:bottom w:val="single" w:sz="4" w:space="0" w:color="auto"/>
            </w:tcBorders>
          </w:tcPr>
          <w:p w:rsidR="0048417A" w:rsidRPr="004D57B3" w:rsidRDefault="0048417A" w:rsidP="00836B55">
            <w:pPr>
              <w:pStyle w:val="TableText"/>
            </w:pPr>
            <w:r w:rsidRPr="004D57B3">
              <w:t xml:space="preserve">C1 direct comparison </w:t>
            </w:r>
          </w:p>
          <w:p w:rsidR="0048417A" w:rsidRPr="004D57B3" w:rsidRDefault="0048417A" w:rsidP="00836B55">
            <w:pPr>
              <w:pStyle w:val="TableText"/>
            </w:pPr>
            <w:r w:rsidRPr="004D57B3">
              <w:t>CX other comparison</w:t>
            </w:r>
          </w:p>
        </w:tc>
      </w:tr>
      <w:tr w:rsidR="0048417A" w:rsidRPr="004D57B3" w:rsidTr="00836B55">
        <w:tc>
          <w:tcPr>
            <w:tcW w:w="1832"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Applicable population</w:t>
            </w:r>
          </w:p>
        </w:tc>
        <w:tc>
          <w:tcPr>
            <w:tcW w:w="3636" w:type="dxa"/>
            <w:tcBorders>
              <w:top w:val="single" w:sz="4" w:space="0" w:color="auto"/>
              <w:bottom w:val="single" w:sz="4" w:space="0" w:color="auto"/>
            </w:tcBorders>
          </w:tcPr>
          <w:p w:rsidR="0048417A" w:rsidRPr="004D57B3" w:rsidRDefault="0048417A" w:rsidP="00836B55">
            <w:pPr>
              <w:pStyle w:val="TableText"/>
            </w:pPr>
            <w:r w:rsidRPr="004D57B3">
              <w:t>Did the study evaluate the index test in a population that is representative of the subject characteristics (age and sex) and clinical setting (disease prevalence, disease severity, referral filter and sequence of tests) for the clinical indication of interest?</w:t>
            </w:r>
          </w:p>
          <w:p w:rsidR="0048417A" w:rsidRPr="004D57B3" w:rsidRDefault="0048417A" w:rsidP="00836B55">
            <w:pPr>
              <w:pStyle w:val="TableText"/>
            </w:pPr>
          </w:p>
        </w:tc>
        <w:tc>
          <w:tcPr>
            <w:tcW w:w="2946" w:type="dxa"/>
            <w:tcBorders>
              <w:top w:val="single" w:sz="4" w:space="0" w:color="auto"/>
              <w:bottom w:val="single" w:sz="4" w:space="0" w:color="auto"/>
            </w:tcBorders>
          </w:tcPr>
          <w:p w:rsidR="0048417A" w:rsidRPr="004D57B3" w:rsidRDefault="0048417A" w:rsidP="00836B55">
            <w:pPr>
              <w:pStyle w:val="TableText"/>
            </w:pPr>
            <w:r w:rsidRPr="004D57B3">
              <w:t>P1 applicable</w:t>
            </w:r>
          </w:p>
          <w:p w:rsidR="0048417A" w:rsidRPr="004D57B3" w:rsidRDefault="0048417A" w:rsidP="00836B55">
            <w:pPr>
              <w:pStyle w:val="TableText"/>
            </w:pPr>
            <w:r w:rsidRPr="004D57B3">
              <w:t xml:space="preserve">P2 limited </w:t>
            </w:r>
          </w:p>
          <w:p w:rsidR="0048417A" w:rsidRPr="004D57B3" w:rsidRDefault="0048417A" w:rsidP="00836B55">
            <w:pPr>
              <w:pStyle w:val="TableText"/>
            </w:pPr>
            <w:r w:rsidRPr="004D57B3">
              <w:t>P3 different population</w:t>
            </w:r>
          </w:p>
        </w:tc>
      </w:tr>
      <w:tr w:rsidR="0048417A" w:rsidRPr="004D57B3" w:rsidTr="00836B55">
        <w:tc>
          <w:tcPr>
            <w:tcW w:w="1832" w:type="dxa"/>
            <w:tcBorders>
              <w:top w:val="single" w:sz="4" w:space="0" w:color="auto"/>
              <w:bottom w:val="single" w:sz="4" w:space="0" w:color="auto"/>
            </w:tcBorders>
          </w:tcPr>
          <w:p w:rsidR="0048417A" w:rsidRPr="004D57B3" w:rsidRDefault="0048417A" w:rsidP="00836B55">
            <w:pPr>
              <w:pStyle w:val="TableHeading"/>
              <w:rPr>
                <w:lang w:val="en-US"/>
              </w:rPr>
            </w:pPr>
            <w:r w:rsidRPr="004D57B3">
              <w:rPr>
                <w:lang w:val="en-US"/>
              </w:rPr>
              <w:t>Quality of study</w:t>
            </w:r>
          </w:p>
        </w:tc>
        <w:tc>
          <w:tcPr>
            <w:tcW w:w="3636" w:type="dxa"/>
            <w:tcBorders>
              <w:top w:val="single" w:sz="4" w:space="0" w:color="auto"/>
              <w:bottom w:val="single" w:sz="4" w:space="0" w:color="auto"/>
            </w:tcBorders>
          </w:tcPr>
          <w:p w:rsidR="0048417A" w:rsidRPr="004D57B3" w:rsidRDefault="0048417A" w:rsidP="00836B55">
            <w:pPr>
              <w:pStyle w:val="TableText"/>
            </w:pPr>
            <w:r w:rsidRPr="004D57B3">
              <w:t>Was the study designed and to avoid bias?</w:t>
            </w:r>
          </w:p>
          <w:p w:rsidR="0048417A" w:rsidRPr="004D57B3" w:rsidRDefault="0048417A" w:rsidP="00836B55">
            <w:pPr>
              <w:pStyle w:val="TableText"/>
            </w:pPr>
            <w:r w:rsidRPr="004D57B3">
              <w:t xml:space="preserve">High quality = no potential for bias based on pre-defined key quality criteria </w:t>
            </w:r>
          </w:p>
          <w:p w:rsidR="0048417A" w:rsidRPr="004D57B3" w:rsidRDefault="0048417A" w:rsidP="00836B55">
            <w:pPr>
              <w:pStyle w:val="TableText"/>
            </w:pPr>
            <w:r w:rsidRPr="004D57B3">
              <w:t>Medium quality = some potential for bias in areas other than those pre-specified as key criteria</w:t>
            </w:r>
          </w:p>
          <w:p w:rsidR="0048417A" w:rsidRPr="004D57B3" w:rsidRDefault="0048417A" w:rsidP="00836B55">
            <w:pPr>
              <w:pStyle w:val="TableText"/>
            </w:pPr>
            <w:r w:rsidRPr="004D57B3">
              <w:t>Poor quality = poor reference standard and/or potential for bias based on key pre-specified criteria</w:t>
            </w:r>
          </w:p>
          <w:p w:rsidR="0048417A" w:rsidRPr="004D57B3" w:rsidRDefault="0048417A" w:rsidP="00836B55">
            <w:pPr>
              <w:pStyle w:val="TableText"/>
            </w:pPr>
          </w:p>
        </w:tc>
        <w:tc>
          <w:tcPr>
            <w:tcW w:w="2946" w:type="dxa"/>
            <w:tcBorders>
              <w:top w:val="single" w:sz="4" w:space="0" w:color="auto"/>
              <w:bottom w:val="single" w:sz="4" w:space="0" w:color="auto"/>
            </w:tcBorders>
          </w:tcPr>
          <w:p w:rsidR="0048417A" w:rsidRPr="004D57B3" w:rsidRDefault="0048417A" w:rsidP="00836B55">
            <w:pPr>
              <w:pStyle w:val="TableText"/>
            </w:pPr>
          </w:p>
          <w:p w:rsidR="0048417A" w:rsidRPr="004D57B3" w:rsidRDefault="0048417A" w:rsidP="00836B55">
            <w:pPr>
              <w:pStyle w:val="TableText"/>
            </w:pPr>
            <w:r w:rsidRPr="004D57B3">
              <w:t xml:space="preserve">Q1 high quality </w:t>
            </w:r>
          </w:p>
          <w:p w:rsidR="0048417A" w:rsidRPr="004D57B3" w:rsidRDefault="0048417A" w:rsidP="00836B55">
            <w:pPr>
              <w:pStyle w:val="TableText"/>
            </w:pPr>
            <w:r w:rsidRPr="004D57B3">
              <w:t xml:space="preserve">Q2 medium </w:t>
            </w:r>
          </w:p>
          <w:p w:rsidR="0048417A" w:rsidRPr="004D57B3" w:rsidRDefault="0048417A" w:rsidP="000E4781">
            <w:pPr>
              <w:pStyle w:val="TableText"/>
            </w:pPr>
            <w:r w:rsidRPr="004D57B3">
              <w:t xml:space="preserve">Q3 poor reference </w:t>
            </w:r>
            <w:proofErr w:type="spellStart"/>
            <w:r w:rsidRPr="004D57B3">
              <w:t>standardpoor</w:t>
            </w:r>
            <w:proofErr w:type="spellEnd"/>
            <w:r w:rsidRPr="004D57B3">
              <w:t xml:space="preserve"> quality </w:t>
            </w:r>
          </w:p>
          <w:p w:rsidR="0048417A" w:rsidRPr="004D57B3" w:rsidRDefault="0048417A" w:rsidP="00836B55">
            <w:pPr>
              <w:pStyle w:val="TableText"/>
            </w:pPr>
            <w:r w:rsidRPr="004D57B3">
              <w:t xml:space="preserve"> or insufficient information</w:t>
            </w:r>
          </w:p>
        </w:tc>
      </w:tr>
    </w:tbl>
    <w:p w:rsidR="0048417A" w:rsidRPr="004D57B3" w:rsidRDefault="0048417A" w:rsidP="00836B55">
      <w:pPr>
        <w:pStyle w:val="TableNotes"/>
      </w:pPr>
      <w:r w:rsidRPr="004D57B3">
        <w:t xml:space="preserve">Source: MSAC </w:t>
      </w:r>
      <w:r w:rsidRPr="004D57B3">
        <w:rPr>
          <w:noProof/>
        </w:rPr>
        <w:t>(2005)</w:t>
      </w:r>
    </w:p>
    <w:p w:rsidR="0048417A" w:rsidRDefault="0048417A" w:rsidP="00836B55">
      <w:r w:rsidRPr="004D57B3">
        <w:t xml:space="preserve">A structured appraisal was performed to assess the quality of all included studies. The quality of studies of diagnostic accuracy was assessed against a checklist of 11 items adapted from the QUADAS (Quality Assessment of Studies of Diagnostic Accuracy Included in Meta-Analyses) tool developed by Whiting et al </w:t>
      </w:r>
      <w:r w:rsidRPr="004D57B3">
        <w:rPr>
          <w:noProof/>
        </w:rPr>
        <w:t>(2003)</w:t>
      </w:r>
      <w:r w:rsidRPr="004D57B3">
        <w:t xml:space="preserve"> (</w:t>
      </w:r>
      <w:r>
        <w:t xml:space="preserve">see </w:t>
      </w:r>
      <w:r w:rsidR="00AE591B">
        <w:fldChar w:fldCharType="begin"/>
      </w:r>
      <w:r w:rsidR="00AE591B">
        <w:instrText xml:space="preserve"> REF _Ref161566552 \h  \* MERGEFORMAT </w:instrText>
      </w:r>
      <w:r w:rsidR="00AE591B">
        <w:fldChar w:fldCharType="separate"/>
      </w:r>
      <w:r w:rsidRPr="004D57B3">
        <w:t xml:space="preserve">Table </w:t>
      </w:r>
      <w:r>
        <w:rPr>
          <w:noProof/>
        </w:rPr>
        <w:t>16</w:t>
      </w:r>
      <w:r w:rsidR="00AE591B">
        <w:fldChar w:fldCharType="end"/>
      </w:r>
      <w:r w:rsidRPr="004D57B3">
        <w:t xml:space="preserve">). This tool was developed by experts in the field following a systematic review of the evidence relating to sources of bias and variation relevant to studies of diagnostic test accuracy. Studies were required to meet all </w:t>
      </w:r>
      <w:r>
        <w:t>11</w:t>
      </w:r>
      <w:r w:rsidRPr="004D57B3">
        <w:t xml:space="preserve"> criteria to be assessed as high quality (see details in footnote to </w:t>
      </w:r>
      <w:r w:rsidR="00AE591B">
        <w:fldChar w:fldCharType="begin"/>
      </w:r>
      <w:r w:rsidR="00AE591B">
        <w:instrText xml:space="preserve"> REF _Ref161566552 \h  \* MERGEFORMAT </w:instrText>
      </w:r>
      <w:r w:rsidR="00AE591B">
        <w:fldChar w:fldCharType="separate"/>
      </w:r>
      <w:r w:rsidRPr="004D57B3">
        <w:t xml:space="preserve">Table </w:t>
      </w:r>
      <w:r>
        <w:rPr>
          <w:noProof/>
        </w:rPr>
        <w:t>16</w:t>
      </w:r>
      <w:r w:rsidR="00AE591B">
        <w:fldChar w:fldCharType="end"/>
      </w:r>
      <w:r w:rsidRPr="004D57B3">
        <w:t>). Only prospective diagnostic test accuracy studies were assessed as high quality. Studies that did not use a valid reference standard in all patients were classified as low quality. Studies that did not clearly define the suspected small bowel Crohn’s disease patient population were rated as ‘No’ for Item 3 even if some inclusion and exclusion criteria were explicitly described.</w:t>
      </w:r>
      <w:r w:rsidR="00260BB3">
        <w:t xml:space="preserve"> </w:t>
      </w:r>
    </w:p>
    <w:p w:rsidR="0048417A" w:rsidRPr="004D57B3" w:rsidRDefault="0048417A" w:rsidP="00836B55">
      <w:pPr>
        <w:pStyle w:val="TableName"/>
        <w:ind w:left="1485" w:hanging="765"/>
      </w:pPr>
      <w:bookmarkStart w:id="132" w:name="_Ref161566552"/>
      <w:bookmarkStart w:id="133" w:name="_Ref243707436"/>
      <w:bookmarkStart w:id="134" w:name="_Toc161636580"/>
      <w:bookmarkStart w:id="135" w:name="_Toc213486390"/>
      <w:bookmarkStart w:id="136" w:name="_Toc243828921"/>
      <w:bookmarkStart w:id="137" w:name="_Toc255305582"/>
      <w:bookmarkStart w:id="138" w:name="_Toc291859578"/>
      <w:r w:rsidRPr="004D57B3">
        <w:lastRenderedPageBreak/>
        <w:t xml:space="preserve">Table </w:t>
      </w:r>
      <w:r w:rsidR="00AE591B">
        <w:fldChar w:fldCharType="begin"/>
      </w:r>
      <w:r w:rsidR="00AE591B">
        <w:instrText xml:space="preserve"> SEQ Table \* ARABIC </w:instrText>
      </w:r>
      <w:r w:rsidR="00AE591B">
        <w:fldChar w:fldCharType="separate"/>
      </w:r>
      <w:r>
        <w:rPr>
          <w:noProof/>
        </w:rPr>
        <w:t>16</w:t>
      </w:r>
      <w:r w:rsidR="00AE591B">
        <w:rPr>
          <w:noProof/>
        </w:rPr>
        <w:fldChar w:fldCharType="end"/>
      </w:r>
      <w:bookmarkEnd w:id="132"/>
      <w:bookmarkEnd w:id="133"/>
      <w:r w:rsidRPr="004D57B3">
        <w:tab/>
        <w:t>Criteria used to assess the quality of diagnostic accuracy studies</w:t>
      </w:r>
      <w:r>
        <w:t xml:space="preserve"> – </w:t>
      </w:r>
      <w:r w:rsidRPr="004D57B3">
        <w:t xml:space="preserve">the QUADAS tool </w:t>
      </w:r>
      <w:r>
        <w:rPr>
          <w:noProof/>
        </w:rPr>
        <w:t>(Adapted from Whiting et al 2003)</w:t>
      </w:r>
      <w:bookmarkEnd w:id="134"/>
      <w:bookmarkEnd w:id="135"/>
      <w:bookmarkEnd w:id="136"/>
      <w:r>
        <w:t>)</w:t>
      </w:r>
      <w:r w:rsidRPr="004D57B3">
        <w:t>.</w:t>
      </w:r>
      <w:bookmarkEnd w:id="137"/>
      <w:bookmarkEnd w:id="138"/>
    </w:p>
    <w:tbl>
      <w:tblPr>
        <w:tblW w:w="0" w:type="auto"/>
        <w:tblInd w:w="817" w:type="dxa"/>
        <w:tblLook w:val="01E0" w:firstRow="1" w:lastRow="1" w:firstColumn="1" w:lastColumn="1" w:noHBand="0" w:noVBand="0"/>
      </w:tblPr>
      <w:tblGrid>
        <w:gridCol w:w="991"/>
        <w:gridCol w:w="6947"/>
      </w:tblGrid>
      <w:tr w:rsidR="0048417A" w:rsidRPr="004D57B3" w:rsidTr="00836B55">
        <w:tc>
          <w:tcPr>
            <w:tcW w:w="991" w:type="dxa"/>
            <w:tcBorders>
              <w:top w:val="single" w:sz="4" w:space="0" w:color="auto"/>
              <w:left w:val="nil"/>
              <w:bottom w:val="single" w:sz="4" w:space="0" w:color="auto"/>
              <w:right w:val="nil"/>
            </w:tcBorders>
          </w:tcPr>
          <w:p w:rsidR="0048417A" w:rsidRPr="004D57B3" w:rsidRDefault="0048417A" w:rsidP="00836B55">
            <w:pPr>
              <w:pStyle w:val="TableTextChar1"/>
              <w:spacing w:beforeAutospacing="1" w:afterAutospacing="1"/>
              <w:jc w:val="center"/>
              <w:rPr>
                <w:b/>
                <w:szCs w:val="24"/>
              </w:rPr>
            </w:pPr>
            <w:r w:rsidRPr="004D57B3">
              <w:rPr>
                <w:b/>
                <w:szCs w:val="24"/>
              </w:rPr>
              <w:t>Item</w:t>
            </w:r>
          </w:p>
        </w:tc>
        <w:tc>
          <w:tcPr>
            <w:tcW w:w="6947" w:type="dxa"/>
            <w:tcBorders>
              <w:top w:val="single" w:sz="4" w:space="0" w:color="auto"/>
              <w:left w:val="nil"/>
              <w:bottom w:val="single" w:sz="4" w:space="0" w:color="auto"/>
              <w:right w:val="nil"/>
            </w:tcBorders>
          </w:tcPr>
          <w:p w:rsidR="0048417A" w:rsidRPr="004D57B3" w:rsidRDefault="0048417A" w:rsidP="00836B55">
            <w:pPr>
              <w:pStyle w:val="TableHeading"/>
            </w:pPr>
            <w:r w:rsidRPr="004D57B3">
              <w:t>Criteria</w:t>
            </w:r>
          </w:p>
        </w:tc>
      </w:tr>
      <w:tr w:rsidR="0048417A" w:rsidRPr="004D57B3" w:rsidTr="00836B55">
        <w:tc>
          <w:tcPr>
            <w:tcW w:w="991" w:type="dxa"/>
            <w:tcBorders>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1</w:t>
            </w:r>
          </w:p>
        </w:tc>
        <w:tc>
          <w:tcPr>
            <w:tcW w:w="6947" w:type="dxa"/>
            <w:tcBorders>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 xml:space="preserve">Were patients prospectively recruited? </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2</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Were patients consecutively recruited (</w:t>
            </w:r>
            <w:proofErr w:type="spellStart"/>
            <w:r w:rsidRPr="004D57B3">
              <w:rPr>
                <w:szCs w:val="18"/>
              </w:rPr>
              <w:t>ie</w:t>
            </w:r>
            <w:proofErr w:type="spellEnd"/>
            <w:r w:rsidRPr="004D57B3">
              <w:rPr>
                <w:szCs w:val="18"/>
              </w:rPr>
              <w:t xml:space="preserve"> a consecutive group of patients presenting with a defined clinical presentation)? </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3</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Were selection criteria explicitly described (</w:t>
            </w:r>
            <w:proofErr w:type="spellStart"/>
            <w:r w:rsidRPr="004D57B3">
              <w:rPr>
                <w:szCs w:val="18"/>
              </w:rPr>
              <w:t>ie</w:t>
            </w:r>
            <w:proofErr w:type="spellEnd"/>
            <w:r w:rsidRPr="004D57B3">
              <w:rPr>
                <w:szCs w:val="18"/>
              </w:rPr>
              <w:t xml:space="preserve"> in enough detail to clearly define eligibility of patients and to be reproducible)?</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4</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Is the reference standard likely to correctly classify the target condition (valid/invalid/optimal)?</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5</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 xml:space="preserve">Did all patients receive verification using a reference standard? </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6</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Is the time period between reference standard, comparator and index test short enough to be reasonably sure that the target condition did not change between the tests?</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7</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Were CE/comparator results interpreted blind to reference standard?</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8</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Were reference standard results interpreted blind to CE/comparator results?</w:t>
            </w:r>
          </w:p>
        </w:tc>
      </w:tr>
      <w:tr w:rsidR="0048417A" w:rsidRPr="004D57B3" w:rsidTr="00836B55">
        <w:tc>
          <w:tcPr>
            <w:tcW w:w="991" w:type="dxa"/>
            <w:tcBorders>
              <w:top w:val="nil"/>
              <w:left w:val="nil"/>
              <w:bottom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9</w:t>
            </w:r>
          </w:p>
        </w:tc>
        <w:tc>
          <w:tcPr>
            <w:tcW w:w="6947" w:type="dxa"/>
            <w:tcBorders>
              <w:top w:val="nil"/>
              <w:left w:val="nil"/>
              <w:bottom w:val="nil"/>
              <w:right w:val="nil"/>
            </w:tcBorders>
          </w:tcPr>
          <w:p w:rsidR="0048417A" w:rsidRPr="004D57B3" w:rsidRDefault="0048417A" w:rsidP="00836B55">
            <w:pPr>
              <w:pStyle w:val="TableTextChar1"/>
              <w:spacing w:beforeAutospacing="1" w:afterAutospacing="1"/>
              <w:rPr>
                <w:szCs w:val="18"/>
              </w:rPr>
            </w:pPr>
            <w:r w:rsidRPr="004D57B3">
              <w:rPr>
                <w:szCs w:val="18"/>
              </w:rPr>
              <w:t>Were the same clinical data, including conventional imaging, available when test results were interpreted as would be available when the test is used in practice?</w:t>
            </w:r>
          </w:p>
        </w:tc>
      </w:tr>
      <w:tr w:rsidR="0048417A" w:rsidRPr="004D57B3" w:rsidTr="00836B55">
        <w:tc>
          <w:tcPr>
            <w:tcW w:w="991" w:type="dxa"/>
            <w:tcBorders>
              <w:top w:val="nil"/>
              <w:left w:val="nil"/>
              <w:right w:val="nil"/>
            </w:tcBorders>
          </w:tcPr>
          <w:p w:rsidR="0048417A" w:rsidRPr="004D57B3" w:rsidRDefault="0048417A" w:rsidP="00836B55">
            <w:pPr>
              <w:pStyle w:val="TableTextChar1"/>
              <w:spacing w:beforeAutospacing="1" w:afterAutospacing="1"/>
              <w:jc w:val="center"/>
              <w:rPr>
                <w:szCs w:val="24"/>
              </w:rPr>
            </w:pPr>
            <w:r w:rsidRPr="004D57B3">
              <w:rPr>
                <w:szCs w:val="24"/>
              </w:rPr>
              <w:t>10</w:t>
            </w:r>
          </w:p>
        </w:tc>
        <w:tc>
          <w:tcPr>
            <w:tcW w:w="6947" w:type="dxa"/>
            <w:tcBorders>
              <w:top w:val="nil"/>
              <w:left w:val="nil"/>
              <w:right w:val="nil"/>
            </w:tcBorders>
          </w:tcPr>
          <w:p w:rsidR="0048417A" w:rsidRPr="004D57B3" w:rsidRDefault="0048417A" w:rsidP="00836B55">
            <w:pPr>
              <w:pStyle w:val="TableTextChar1"/>
              <w:spacing w:beforeAutospacing="1" w:afterAutospacing="1"/>
              <w:rPr>
                <w:szCs w:val="18"/>
              </w:rPr>
            </w:pPr>
            <w:r w:rsidRPr="004D57B3">
              <w:rPr>
                <w:szCs w:val="18"/>
              </w:rPr>
              <w:t>Were uninterpretable/intermediate test results reported?</w:t>
            </w:r>
          </w:p>
        </w:tc>
      </w:tr>
      <w:tr w:rsidR="0048417A" w:rsidRPr="004D57B3" w:rsidTr="00836B55">
        <w:tc>
          <w:tcPr>
            <w:tcW w:w="991" w:type="dxa"/>
            <w:tcBorders>
              <w:top w:val="nil"/>
              <w:left w:val="nil"/>
              <w:bottom w:val="single" w:sz="4" w:space="0" w:color="auto"/>
              <w:right w:val="nil"/>
            </w:tcBorders>
          </w:tcPr>
          <w:p w:rsidR="0048417A" w:rsidRPr="004D57B3" w:rsidRDefault="0048417A" w:rsidP="00836B55">
            <w:pPr>
              <w:pStyle w:val="TableTextChar1"/>
              <w:spacing w:beforeAutospacing="1" w:afterAutospacing="1"/>
              <w:jc w:val="center"/>
              <w:rPr>
                <w:szCs w:val="24"/>
              </w:rPr>
            </w:pPr>
            <w:r w:rsidRPr="004D57B3">
              <w:rPr>
                <w:szCs w:val="24"/>
              </w:rPr>
              <w:t>11</w:t>
            </w:r>
          </w:p>
        </w:tc>
        <w:tc>
          <w:tcPr>
            <w:tcW w:w="6947" w:type="dxa"/>
            <w:tcBorders>
              <w:top w:val="nil"/>
              <w:left w:val="nil"/>
              <w:bottom w:val="single" w:sz="4" w:space="0" w:color="auto"/>
              <w:right w:val="nil"/>
            </w:tcBorders>
          </w:tcPr>
          <w:p w:rsidR="0048417A" w:rsidRPr="004D57B3" w:rsidRDefault="0048417A" w:rsidP="00836B55">
            <w:pPr>
              <w:pStyle w:val="TableTextChar1"/>
              <w:spacing w:beforeAutospacing="1" w:afterAutospacing="1"/>
              <w:rPr>
                <w:szCs w:val="18"/>
              </w:rPr>
            </w:pPr>
            <w:r w:rsidRPr="004D57B3">
              <w:rPr>
                <w:szCs w:val="18"/>
              </w:rPr>
              <w:t>Were withdrawals from the study explained?</w:t>
            </w:r>
          </w:p>
        </w:tc>
      </w:tr>
    </w:tbl>
    <w:p w:rsidR="0048417A" w:rsidRPr="004D57B3" w:rsidRDefault="0048417A" w:rsidP="00836B55">
      <w:pPr>
        <w:pStyle w:val="TableNotes"/>
      </w:pPr>
      <w:r w:rsidRPr="004D57B3">
        <w:t>CE = capsule endoscopy</w:t>
      </w:r>
    </w:p>
    <w:p w:rsidR="0048417A" w:rsidRPr="004D57B3" w:rsidRDefault="0048417A" w:rsidP="00836B55">
      <w:pPr>
        <w:pStyle w:val="TableNotes"/>
      </w:pPr>
      <w:r w:rsidRPr="004D57B3">
        <w:t>High quality: Yes to 1, 3, 4, 5, 9, 10; other items required to be either Yes or Unclear.</w:t>
      </w:r>
    </w:p>
    <w:p w:rsidR="0048417A" w:rsidRPr="004D57B3" w:rsidRDefault="0048417A" w:rsidP="00836B55">
      <w:pPr>
        <w:pStyle w:val="TableNotes"/>
      </w:pPr>
      <w:r w:rsidRPr="004D57B3">
        <w:t>Poor quality: No/Unclear for 4, 5 or 6.</w:t>
      </w:r>
    </w:p>
    <w:p w:rsidR="0048417A" w:rsidRPr="004D57B3" w:rsidRDefault="0048417A" w:rsidP="00836B55">
      <w:pPr>
        <w:pStyle w:val="TableNotes"/>
      </w:pPr>
      <w:r w:rsidRPr="004D57B3">
        <w:t>Other studies are assessed as fair quality.</w:t>
      </w:r>
    </w:p>
    <w:p w:rsidR="0048417A" w:rsidRPr="004D57B3" w:rsidRDefault="0048417A" w:rsidP="00836B55">
      <w:r w:rsidRPr="004D57B3">
        <w:t xml:space="preserve">Seven criteria were used to assess the quality of systematic reviews, as outlined in </w:t>
      </w:r>
      <w:r w:rsidR="00AE591B">
        <w:fldChar w:fldCharType="begin"/>
      </w:r>
      <w:r w:rsidR="00AE591B">
        <w:instrText xml:space="preserve"> REF _Ref278534842 \h  \* MERGEFORMAT </w:instrText>
      </w:r>
      <w:r w:rsidR="00AE591B">
        <w:fldChar w:fldCharType="separate"/>
      </w:r>
      <w:r w:rsidRPr="004D57B3">
        <w:t xml:space="preserve">Table </w:t>
      </w:r>
      <w:r>
        <w:rPr>
          <w:noProof/>
        </w:rPr>
        <w:t>17</w:t>
      </w:r>
      <w:r w:rsidR="00AE591B">
        <w:fldChar w:fldCharType="end"/>
      </w:r>
      <w:r w:rsidRPr="004D57B3">
        <w:t xml:space="preserve">. For the criterion addressing heterogeneity, systematic reviews that did not undertake a meta-analysis were rated ‘not applicable’ (N/A), unless heterogeneity was specifically mentioned. Studies were required to meet all </w:t>
      </w:r>
      <w:r>
        <w:t>seven</w:t>
      </w:r>
      <w:r w:rsidRPr="004D57B3">
        <w:t xml:space="preserve"> criteria to be assessed as high quality. A study with </w:t>
      </w:r>
      <w:r>
        <w:t>four</w:t>
      </w:r>
      <w:r w:rsidRPr="004D57B3">
        <w:t xml:space="preserve"> or fewer ‘Yes’ or ‘N/A’ ratings was considered to be of low quality.</w:t>
      </w:r>
      <w:r w:rsidRPr="002069B1">
        <w:t xml:space="preserve"> </w:t>
      </w:r>
      <w:r w:rsidRPr="004D57B3">
        <w:t>Seven criteria were used to assess the quality of case series, as outlined</w:t>
      </w:r>
      <w:r>
        <w:t xml:space="preserve"> in </w:t>
      </w:r>
      <w:r w:rsidR="00AE591B">
        <w:fldChar w:fldCharType="begin"/>
      </w:r>
      <w:r w:rsidR="00AE591B">
        <w:instrText xml:space="preserve"> REF _Ref278534842 \h  \* MERGEFORMAT </w:instrText>
      </w:r>
      <w:r w:rsidR="00AE591B">
        <w:fldChar w:fldCharType="separate"/>
      </w:r>
      <w:r w:rsidRPr="004D57B3">
        <w:t xml:space="preserve">Table </w:t>
      </w:r>
      <w:r>
        <w:rPr>
          <w:noProof/>
        </w:rPr>
        <w:t>17</w:t>
      </w:r>
      <w:r w:rsidR="00AE591B">
        <w:fldChar w:fldCharType="end"/>
      </w:r>
      <w:r>
        <w:t>.</w:t>
      </w:r>
    </w:p>
    <w:p w:rsidR="0048417A" w:rsidRPr="004D57B3" w:rsidRDefault="0048417A" w:rsidP="00836B55">
      <w:pPr>
        <w:pStyle w:val="TableName"/>
        <w:ind w:left="1485" w:hanging="765"/>
      </w:pPr>
      <w:bookmarkStart w:id="139" w:name="_Ref278534842"/>
      <w:bookmarkStart w:id="140" w:name="_Toc291859579"/>
      <w:r w:rsidRPr="004D57B3">
        <w:t xml:space="preserve">Table </w:t>
      </w:r>
      <w:r w:rsidR="00AE591B">
        <w:fldChar w:fldCharType="begin"/>
      </w:r>
      <w:r w:rsidR="00AE591B">
        <w:instrText xml:space="preserve"> SEQ Table \* ARABIC </w:instrText>
      </w:r>
      <w:r w:rsidR="00AE591B">
        <w:fldChar w:fldCharType="separate"/>
      </w:r>
      <w:r>
        <w:rPr>
          <w:noProof/>
        </w:rPr>
        <w:t>17</w:t>
      </w:r>
      <w:r w:rsidR="00AE591B">
        <w:rPr>
          <w:noProof/>
        </w:rPr>
        <w:fldChar w:fldCharType="end"/>
      </w:r>
      <w:bookmarkEnd w:id="139"/>
      <w:r w:rsidRPr="004D57B3">
        <w:tab/>
        <w:t xml:space="preserve">Criteria used to assess the quality of effectiveness studies (adapted from NHMRC </w:t>
      </w:r>
      <w:r w:rsidRPr="004D57B3">
        <w:rPr>
          <w:noProof/>
        </w:rPr>
        <w:t>(2000a)</w:t>
      </w:r>
      <w:r w:rsidRPr="004D57B3">
        <w:t xml:space="preserve"> and CRD </w:t>
      </w:r>
      <w:r w:rsidRPr="004D57B3">
        <w:rPr>
          <w:noProof/>
        </w:rPr>
        <w:t>(2009)</w:t>
      </w:r>
      <w:r w:rsidRPr="004D57B3">
        <w:t>)</w:t>
      </w:r>
      <w:bookmarkEnd w:id="140"/>
    </w:p>
    <w:tbl>
      <w:tblPr>
        <w:tblW w:w="0" w:type="auto"/>
        <w:tblInd w:w="674" w:type="dxa"/>
        <w:tblBorders>
          <w:top w:val="single" w:sz="4" w:space="0" w:color="auto"/>
          <w:bottom w:val="single" w:sz="4" w:space="0" w:color="auto"/>
        </w:tblBorders>
        <w:tblLook w:val="00A0" w:firstRow="1" w:lastRow="0" w:firstColumn="1" w:lastColumn="0" w:noHBand="0" w:noVBand="0"/>
      </w:tblPr>
      <w:tblGrid>
        <w:gridCol w:w="2352"/>
        <w:gridCol w:w="5485"/>
      </w:tblGrid>
      <w:tr w:rsidR="0048417A" w:rsidRPr="004D57B3" w:rsidTr="00836B55">
        <w:trPr>
          <w:trHeight w:val="285"/>
          <w:tblHeader/>
        </w:trPr>
        <w:tc>
          <w:tcPr>
            <w:tcW w:w="2352" w:type="dxa"/>
            <w:tcBorders>
              <w:top w:val="single" w:sz="4" w:space="0" w:color="auto"/>
              <w:bottom w:val="single" w:sz="4" w:space="0" w:color="auto"/>
            </w:tcBorders>
          </w:tcPr>
          <w:p w:rsidR="0048417A" w:rsidRPr="004D57B3" w:rsidRDefault="0048417A" w:rsidP="00836B55">
            <w:pPr>
              <w:pStyle w:val="TableHeading"/>
            </w:pPr>
            <w:r w:rsidRPr="004D57B3">
              <w:t>Study design</w:t>
            </w:r>
          </w:p>
        </w:tc>
        <w:tc>
          <w:tcPr>
            <w:tcW w:w="5485" w:type="dxa"/>
            <w:tcBorders>
              <w:top w:val="single" w:sz="4" w:space="0" w:color="auto"/>
              <w:bottom w:val="single" w:sz="4" w:space="0" w:color="auto"/>
            </w:tcBorders>
          </w:tcPr>
          <w:p w:rsidR="0048417A" w:rsidRPr="004D57B3" w:rsidRDefault="0048417A" w:rsidP="00836B55">
            <w:pPr>
              <w:pStyle w:val="TableHeading"/>
            </w:pPr>
            <w:r w:rsidRPr="004D57B3">
              <w:t xml:space="preserve">Quality checklist </w:t>
            </w:r>
          </w:p>
        </w:tc>
      </w:tr>
      <w:tr w:rsidR="0048417A" w:rsidRPr="004D57B3" w:rsidTr="00836B55">
        <w:trPr>
          <w:trHeight w:val="1995"/>
        </w:trPr>
        <w:tc>
          <w:tcPr>
            <w:tcW w:w="2352" w:type="dxa"/>
            <w:tcBorders>
              <w:top w:val="single" w:sz="4" w:space="0" w:color="auto"/>
              <w:bottom w:val="single" w:sz="4" w:space="0" w:color="auto"/>
            </w:tcBorders>
          </w:tcPr>
          <w:p w:rsidR="0048417A" w:rsidRPr="004D57B3" w:rsidRDefault="0048417A" w:rsidP="00836B55">
            <w:pPr>
              <w:ind w:left="0"/>
              <w:rPr>
                <w:rFonts w:ascii="Arial Narrow" w:hAnsi="Arial Narrow" w:cs="Arial"/>
                <w:b/>
                <w:sz w:val="20"/>
              </w:rPr>
            </w:pPr>
            <w:r w:rsidRPr="004D57B3">
              <w:rPr>
                <w:rFonts w:ascii="Arial Narrow" w:hAnsi="Arial Narrow" w:cs="Arial"/>
                <w:b/>
                <w:sz w:val="20"/>
              </w:rPr>
              <w:t>Systematic review</w:t>
            </w:r>
          </w:p>
        </w:tc>
        <w:tc>
          <w:tcPr>
            <w:tcW w:w="5485" w:type="dxa"/>
            <w:tcBorders>
              <w:top w:val="single" w:sz="4" w:space="0" w:color="auto"/>
              <w:bottom w:val="single" w:sz="4" w:space="0" w:color="auto"/>
            </w:tcBorders>
          </w:tcPr>
          <w:p w:rsidR="0048417A" w:rsidRPr="004D57B3" w:rsidRDefault="0048417A" w:rsidP="00836B55">
            <w:pPr>
              <w:pStyle w:val="TableText"/>
            </w:pPr>
            <w:r w:rsidRPr="004D57B3">
              <w:t>Was the research question specified?</w:t>
            </w:r>
          </w:p>
          <w:p w:rsidR="0048417A" w:rsidRPr="004D57B3" w:rsidRDefault="0048417A" w:rsidP="00836B55">
            <w:pPr>
              <w:pStyle w:val="TableText"/>
            </w:pPr>
            <w:r w:rsidRPr="004D57B3">
              <w:t>Was the search strategy explicit and comprehensive?</w:t>
            </w:r>
          </w:p>
          <w:p w:rsidR="0048417A" w:rsidRPr="004D57B3" w:rsidRDefault="0048417A" w:rsidP="00836B55">
            <w:pPr>
              <w:pStyle w:val="TableText"/>
            </w:pPr>
            <w:r w:rsidRPr="004D57B3">
              <w:t>Were the eligibility criteria explicit and appropriate?</w:t>
            </w:r>
          </w:p>
          <w:p w:rsidR="0048417A" w:rsidRPr="004D57B3" w:rsidRDefault="0048417A" w:rsidP="00836B55">
            <w:pPr>
              <w:pStyle w:val="TableText"/>
            </w:pPr>
            <w:r w:rsidRPr="004D57B3">
              <w:t>Was a quality assessment of included studies undertaken?</w:t>
            </w:r>
          </w:p>
          <w:p w:rsidR="0048417A" w:rsidRPr="004D57B3" w:rsidRDefault="0048417A" w:rsidP="00836B55">
            <w:pPr>
              <w:pStyle w:val="TableText"/>
            </w:pPr>
            <w:r w:rsidRPr="004D57B3">
              <w:t>Were the methods of the study appraisal reproducible?</w:t>
            </w:r>
          </w:p>
          <w:p w:rsidR="0048417A" w:rsidRPr="004D57B3" w:rsidRDefault="0048417A" w:rsidP="00836B55">
            <w:pPr>
              <w:pStyle w:val="TableText"/>
            </w:pPr>
            <w:r w:rsidRPr="004D57B3">
              <w:t>Were sources of heterogeneity explored?</w:t>
            </w:r>
          </w:p>
          <w:p w:rsidR="0048417A" w:rsidRPr="004D57B3" w:rsidRDefault="0048417A" w:rsidP="00836B55">
            <w:pPr>
              <w:pStyle w:val="TableText"/>
              <w:rPr>
                <w:sz w:val="20"/>
              </w:rPr>
            </w:pPr>
            <w:r w:rsidRPr="004D57B3">
              <w:t>Was a summary of the main results clear and appropriate?</w:t>
            </w:r>
          </w:p>
        </w:tc>
      </w:tr>
      <w:tr w:rsidR="0048417A" w:rsidRPr="004D57B3" w:rsidTr="00836B55">
        <w:trPr>
          <w:trHeight w:val="2430"/>
        </w:trPr>
        <w:tc>
          <w:tcPr>
            <w:tcW w:w="2352" w:type="dxa"/>
            <w:tcBorders>
              <w:top w:val="single" w:sz="4" w:space="0" w:color="auto"/>
              <w:bottom w:val="single" w:sz="4" w:space="0" w:color="auto"/>
            </w:tcBorders>
          </w:tcPr>
          <w:p w:rsidR="0048417A" w:rsidRPr="004D57B3" w:rsidRDefault="0048417A" w:rsidP="00836B55">
            <w:pPr>
              <w:ind w:left="0"/>
              <w:rPr>
                <w:rFonts w:ascii="Arial Narrow" w:hAnsi="Arial Narrow" w:cs="Arial"/>
                <w:b/>
                <w:sz w:val="20"/>
              </w:rPr>
            </w:pPr>
            <w:r w:rsidRPr="004D57B3">
              <w:rPr>
                <w:rFonts w:ascii="Arial Narrow" w:hAnsi="Arial Narrow" w:cs="Arial"/>
                <w:b/>
                <w:sz w:val="20"/>
              </w:rPr>
              <w:t>Case series</w:t>
            </w:r>
          </w:p>
        </w:tc>
        <w:tc>
          <w:tcPr>
            <w:tcW w:w="5485" w:type="dxa"/>
            <w:tcBorders>
              <w:top w:val="single" w:sz="4" w:space="0" w:color="auto"/>
              <w:bottom w:val="single" w:sz="4" w:space="0" w:color="auto"/>
            </w:tcBorders>
          </w:tcPr>
          <w:p w:rsidR="0048417A" w:rsidRPr="004D57B3" w:rsidRDefault="0048417A" w:rsidP="00836B55">
            <w:pPr>
              <w:pStyle w:val="TableText"/>
              <w:rPr>
                <w:lang w:val="en-US"/>
              </w:rPr>
            </w:pPr>
            <w:r w:rsidRPr="004D57B3">
              <w:rPr>
                <w:lang w:val="en-US"/>
              </w:rPr>
              <w:t>Was the study based on a representative sample selected from a relevant population?</w:t>
            </w:r>
          </w:p>
          <w:p w:rsidR="0048417A" w:rsidRPr="004D57B3" w:rsidRDefault="0048417A" w:rsidP="00836B55">
            <w:pPr>
              <w:pStyle w:val="TableText"/>
              <w:rPr>
                <w:lang w:val="en-US"/>
              </w:rPr>
            </w:pPr>
            <w:r w:rsidRPr="004D57B3">
              <w:rPr>
                <w:lang w:val="en-US"/>
              </w:rPr>
              <w:t>Were the criteria for inclusion and exclusion explicit?</w:t>
            </w:r>
          </w:p>
          <w:p w:rsidR="0048417A" w:rsidRPr="004D57B3" w:rsidRDefault="0048417A" w:rsidP="00836B55">
            <w:pPr>
              <w:pStyle w:val="TableText"/>
              <w:rPr>
                <w:lang w:val="en-US"/>
              </w:rPr>
            </w:pPr>
            <w:r w:rsidRPr="004D57B3">
              <w:rPr>
                <w:lang w:val="en-US"/>
              </w:rPr>
              <w:t>Did all subjects enter the survey at a similar point in their disease progression?</w:t>
            </w:r>
          </w:p>
          <w:p w:rsidR="0048417A" w:rsidRPr="004D57B3" w:rsidRDefault="0048417A" w:rsidP="00836B55">
            <w:pPr>
              <w:pStyle w:val="TableText"/>
            </w:pPr>
            <w:r w:rsidRPr="004D57B3">
              <w:t>Was follow-up long enough for important events to occur?</w:t>
            </w:r>
          </w:p>
          <w:p w:rsidR="0048417A" w:rsidRPr="004D57B3" w:rsidRDefault="0048417A" w:rsidP="00836B55">
            <w:pPr>
              <w:pStyle w:val="TableText"/>
            </w:pPr>
            <w:r w:rsidRPr="004D57B3">
              <w:t>Were the techniques used adequately described?</w:t>
            </w:r>
          </w:p>
          <w:p w:rsidR="0048417A" w:rsidRPr="004D57B3" w:rsidRDefault="0048417A" w:rsidP="00836B55">
            <w:pPr>
              <w:pStyle w:val="TableText"/>
              <w:rPr>
                <w:lang w:val="en-US"/>
              </w:rPr>
            </w:pPr>
            <w:r w:rsidRPr="004D57B3">
              <w:rPr>
                <w:lang w:val="en-US"/>
              </w:rPr>
              <w:t>Were outcomes assessed using objective criteria or was blinding used?</w:t>
            </w:r>
          </w:p>
          <w:p w:rsidR="0048417A" w:rsidRPr="004D57B3" w:rsidRDefault="0048417A" w:rsidP="00836B55">
            <w:pPr>
              <w:pStyle w:val="TableText"/>
            </w:pPr>
            <w:r w:rsidRPr="004D57B3">
              <w:rPr>
                <w:lang w:val="en-US"/>
              </w:rPr>
              <w:t xml:space="preserve">If comparisons of subseries were made, </w:t>
            </w:r>
            <w:proofErr w:type="gramStart"/>
            <w:r w:rsidRPr="004D57B3">
              <w:rPr>
                <w:lang w:val="en-US"/>
              </w:rPr>
              <w:t>was</w:t>
            </w:r>
            <w:proofErr w:type="gramEnd"/>
            <w:r w:rsidRPr="004D57B3">
              <w:rPr>
                <w:lang w:val="en-US"/>
              </w:rPr>
              <w:t xml:space="preserve"> there sufficient description of the series and the distribution of prognostic factors?</w:t>
            </w:r>
          </w:p>
        </w:tc>
      </w:tr>
    </w:tbl>
    <w:p w:rsidR="0048417A" w:rsidRDefault="0048417A" w:rsidP="00836B55"/>
    <w:p w:rsidR="0048417A" w:rsidRDefault="0048417A" w:rsidP="00836B55"/>
    <w:p w:rsidR="0048417A" w:rsidRDefault="0048417A" w:rsidP="00836B55"/>
    <w:p w:rsidR="0048417A" w:rsidRPr="004D57B3" w:rsidRDefault="0048417A" w:rsidP="00836B55">
      <w:pPr>
        <w:rPr>
          <w:rFonts w:cs="Arial"/>
        </w:rPr>
      </w:pPr>
      <w:r w:rsidRPr="004D57B3">
        <w:rPr>
          <w:rFonts w:cs="Arial"/>
        </w:rPr>
        <w:lastRenderedPageBreak/>
        <w:t xml:space="preserve">Criteria for appraising the quality of therapeutic impact studies were not available. Therefore a checklist was developed based on criteria discussed by </w:t>
      </w:r>
      <w:proofErr w:type="spellStart"/>
      <w:r w:rsidRPr="004D57B3">
        <w:rPr>
          <w:rFonts w:cs="Arial"/>
        </w:rPr>
        <w:t>Guyatt</w:t>
      </w:r>
      <w:proofErr w:type="spellEnd"/>
      <w:r w:rsidRPr="004D57B3">
        <w:rPr>
          <w:rFonts w:cs="Arial"/>
        </w:rPr>
        <w:t xml:space="preserve"> et al </w:t>
      </w:r>
      <w:r w:rsidRPr="004D57B3">
        <w:rPr>
          <w:rFonts w:cs="Arial"/>
          <w:noProof/>
        </w:rPr>
        <w:t>(1986)</w:t>
      </w:r>
      <w:r w:rsidRPr="004D57B3">
        <w:t xml:space="preserve"> (</w:t>
      </w:r>
      <w:r>
        <w:t xml:space="preserve">see </w:t>
      </w:r>
      <w:r>
        <w:fldChar w:fldCharType="begin"/>
      </w:r>
      <w:r>
        <w:instrText xml:space="preserve"> REF _Ref161566607 \h </w:instrText>
      </w:r>
      <w:r>
        <w:fldChar w:fldCharType="separate"/>
      </w:r>
      <w:r w:rsidRPr="004D57B3">
        <w:t xml:space="preserve">Table </w:t>
      </w:r>
      <w:r>
        <w:rPr>
          <w:noProof/>
        </w:rPr>
        <w:t>18</w:t>
      </w:r>
      <w:r>
        <w:fldChar w:fldCharType="end"/>
      </w:r>
      <w:r w:rsidRPr="004D57B3">
        <w:t>)</w:t>
      </w:r>
      <w:r w:rsidRPr="004D57B3">
        <w:rPr>
          <w:rFonts w:cs="Arial"/>
        </w:rPr>
        <w:t>.</w:t>
      </w:r>
    </w:p>
    <w:p w:rsidR="0048417A" w:rsidRPr="004D57B3" w:rsidRDefault="0048417A" w:rsidP="00836B55">
      <w:r w:rsidRPr="004D57B3">
        <w:t xml:space="preserve">Potential sources of bias in therapeutic impact studies are described in </w:t>
      </w:r>
      <w:proofErr w:type="spellStart"/>
      <w:r w:rsidRPr="004D57B3">
        <w:t>Guyatt</w:t>
      </w:r>
      <w:proofErr w:type="spellEnd"/>
      <w:r w:rsidRPr="004D57B3">
        <w:t xml:space="preserve"> et al </w:t>
      </w:r>
      <w:r w:rsidRPr="004D57B3">
        <w:rPr>
          <w:noProof/>
        </w:rPr>
        <w:t>(1986)</w:t>
      </w:r>
      <w:r w:rsidRPr="004D57B3">
        <w:t>. To minimise bias and maximise applicability of the results, studies should be conducted prospectively in a routine clinical setting using patient eligibility criteria that reflect the intended use of the test in practice and the target test population; document what proportion of consecutive eligible patients were included in the study and reasons for exclusion of eligible patients; include all patients enrolled in data analysis; include independent assessment of the influence of test results on reported treatment decisions; document actual treatment received for comparison with clinician-recorded planned treatment; and include an assessment of test accuracy per patient and adequate follow-up of included subjects to capture potential false-negatives.</w:t>
      </w:r>
    </w:p>
    <w:p w:rsidR="0048417A" w:rsidRPr="004D57B3" w:rsidRDefault="0048417A" w:rsidP="00836B55">
      <w:pPr>
        <w:pStyle w:val="TableName"/>
        <w:ind w:left="1485" w:hanging="765"/>
      </w:pPr>
      <w:bookmarkStart w:id="141" w:name="_Ref161566607"/>
      <w:bookmarkStart w:id="142" w:name="_Toc104171446"/>
      <w:bookmarkStart w:id="143" w:name="_Toc124154941"/>
      <w:bookmarkStart w:id="144" w:name="_Toc144284095"/>
      <w:bookmarkStart w:id="145" w:name="_Toc161636582"/>
      <w:bookmarkStart w:id="146" w:name="_Toc213486392"/>
      <w:bookmarkStart w:id="147" w:name="_Toc243828923"/>
      <w:bookmarkStart w:id="148" w:name="_Toc255305584"/>
      <w:bookmarkStart w:id="149" w:name="_Toc291859580"/>
      <w:r w:rsidRPr="004D57B3">
        <w:t xml:space="preserve">Table </w:t>
      </w:r>
      <w:r w:rsidR="00AE591B">
        <w:fldChar w:fldCharType="begin"/>
      </w:r>
      <w:r w:rsidR="00AE591B">
        <w:instrText xml:space="preserve"> SEQ Table \* ARABIC </w:instrText>
      </w:r>
      <w:r w:rsidR="00AE591B">
        <w:fldChar w:fldCharType="separate"/>
      </w:r>
      <w:r>
        <w:rPr>
          <w:noProof/>
        </w:rPr>
        <w:t>18</w:t>
      </w:r>
      <w:r w:rsidR="00AE591B">
        <w:rPr>
          <w:noProof/>
        </w:rPr>
        <w:fldChar w:fldCharType="end"/>
      </w:r>
      <w:bookmarkEnd w:id="141"/>
      <w:r w:rsidRPr="004D57B3">
        <w:tab/>
      </w:r>
      <w:bookmarkEnd w:id="142"/>
      <w:bookmarkEnd w:id="143"/>
      <w:bookmarkEnd w:id="144"/>
      <w:r w:rsidRPr="004D57B3">
        <w:t xml:space="preserve">Criteria used to assess the quality of therapeutic impact studies </w:t>
      </w:r>
      <w:bookmarkEnd w:id="145"/>
      <w:bookmarkEnd w:id="146"/>
      <w:bookmarkEnd w:id="147"/>
      <w:r>
        <w:rPr>
          <w:noProof/>
        </w:rPr>
        <w:t>(Adapted from Guyatt et al 1986)</w:t>
      </w:r>
      <w:bookmarkEnd w:id="148"/>
      <w:bookmarkEnd w:id="149"/>
    </w:p>
    <w:tbl>
      <w:tblPr>
        <w:tblW w:w="793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033"/>
      </w:tblGrid>
      <w:tr w:rsidR="0048417A" w:rsidRPr="004D57B3" w:rsidTr="00836B55">
        <w:tc>
          <w:tcPr>
            <w:tcW w:w="900" w:type="dxa"/>
            <w:tcBorders>
              <w:left w:val="nil"/>
              <w:right w:val="nil"/>
            </w:tcBorders>
          </w:tcPr>
          <w:p w:rsidR="0048417A" w:rsidRPr="004D57B3" w:rsidRDefault="0048417A" w:rsidP="00836B55">
            <w:pPr>
              <w:pStyle w:val="TableTextChar1"/>
              <w:jc w:val="center"/>
              <w:rPr>
                <w:b/>
              </w:rPr>
            </w:pPr>
            <w:r w:rsidRPr="004D57B3">
              <w:rPr>
                <w:b/>
              </w:rPr>
              <w:t>Item</w:t>
            </w:r>
          </w:p>
        </w:tc>
        <w:tc>
          <w:tcPr>
            <w:tcW w:w="7033" w:type="dxa"/>
            <w:tcBorders>
              <w:left w:val="nil"/>
              <w:right w:val="nil"/>
            </w:tcBorders>
          </w:tcPr>
          <w:p w:rsidR="0048417A" w:rsidRPr="004D57B3" w:rsidRDefault="0048417A" w:rsidP="00836B55">
            <w:pPr>
              <w:pStyle w:val="TableTextChar1"/>
            </w:pPr>
            <w:r w:rsidRPr="004D57B3">
              <w:rPr>
                <w:b/>
              </w:rPr>
              <w:t>Criteria</w:t>
            </w:r>
          </w:p>
        </w:tc>
      </w:tr>
      <w:tr w:rsidR="0048417A" w:rsidRPr="004D57B3" w:rsidTr="00836B55">
        <w:tc>
          <w:tcPr>
            <w:tcW w:w="900" w:type="dxa"/>
            <w:tcBorders>
              <w:left w:val="nil"/>
              <w:bottom w:val="nil"/>
              <w:right w:val="nil"/>
            </w:tcBorders>
          </w:tcPr>
          <w:p w:rsidR="0048417A" w:rsidRPr="004D57B3" w:rsidRDefault="0048417A" w:rsidP="00836B55">
            <w:pPr>
              <w:pStyle w:val="TableTextChar1"/>
              <w:jc w:val="center"/>
            </w:pPr>
            <w:r w:rsidRPr="004D57B3">
              <w:t>1</w:t>
            </w:r>
          </w:p>
        </w:tc>
        <w:tc>
          <w:tcPr>
            <w:tcW w:w="7033" w:type="dxa"/>
            <w:tcBorders>
              <w:left w:val="nil"/>
              <w:bottom w:val="nil"/>
              <w:right w:val="nil"/>
            </w:tcBorders>
          </w:tcPr>
          <w:p w:rsidR="0048417A" w:rsidRPr="004D57B3" w:rsidRDefault="0048417A" w:rsidP="00836B55">
            <w:pPr>
              <w:pStyle w:val="TableTextChar1"/>
            </w:pPr>
            <w:r w:rsidRPr="004D57B3">
              <w:t xml:space="preserve">Was the study designed and conducted prospectively? </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2</w:t>
            </w:r>
          </w:p>
        </w:tc>
        <w:tc>
          <w:tcPr>
            <w:tcW w:w="7033" w:type="dxa"/>
            <w:tcBorders>
              <w:top w:val="nil"/>
              <w:left w:val="nil"/>
              <w:bottom w:val="nil"/>
              <w:right w:val="nil"/>
            </w:tcBorders>
          </w:tcPr>
          <w:p w:rsidR="0048417A" w:rsidRPr="004D57B3" w:rsidRDefault="0048417A" w:rsidP="00836B55">
            <w:pPr>
              <w:pStyle w:val="TableTextChar1"/>
            </w:pPr>
            <w:r w:rsidRPr="004D57B3">
              <w:t>Explicit eligibility criteria reflecting specific presentation or clinical problem?</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3</w:t>
            </w:r>
          </w:p>
        </w:tc>
        <w:tc>
          <w:tcPr>
            <w:tcW w:w="7033" w:type="dxa"/>
            <w:tcBorders>
              <w:top w:val="nil"/>
              <w:left w:val="nil"/>
              <w:bottom w:val="nil"/>
              <w:right w:val="nil"/>
            </w:tcBorders>
          </w:tcPr>
          <w:p w:rsidR="0048417A" w:rsidRPr="004D57B3" w:rsidRDefault="0048417A" w:rsidP="00836B55">
            <w:pPr>
              <w:pStyle w:val="TableTextChar1"/>
            </w:pPr>
            <w:r w:rsidRPr="004D57B3">
              <w:t>Consecutive recruitment of all patients eligible for testing?</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4</w:t>
            </w:r>
          </w:p>
        </w:tc>
        <w:tc>
          <w:tcPr>
            <w:tcW w:w="7033" w:type="dxa"/>
            <w:tcBorders>
              <w:top w:val="nil"/>
              <w:left w:val="nil"/>
              <w:bottom w:val="nil"/>
              <w:right w:val="nil"/>
            </w:tcBorders>
          </w:tcPr>
          <w:p w:rsidR="0048417A" w:rsidRPr="004D57B3" w:rsidRDefault="0048417A" w:rsidP="00836B55">
            <w:pPr>
              <w:pStyle w:val="TableTextChar1"/>
            </w:pPr>
            <w:r w:rsidRPr="004D57B3">
              <w:t>Referring clinician determining management plan?</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5</w:t>
            </w:r>
          </w:p>
        </w:tc>
        <w:tc>
          <w:tcPr>
            <w:tcW w:w="7033" w:type="dxa"/>
            <w:tcBorders>
              <w:top w:val="nil"/>
              <w:left w:val="nil"/>
              <w:bottom w:val="nil"/>
              <w:right w:val="nil"/>
            </w:tcBorders>
          </w:tcPr>
          <w:p w:rsidR="0048417A" w:rsidRPr="004D57B3" w:rsidRDefault="0048417A" w:rsidP="00836B55">
            <w:pPr>
              <w:pStyle w:val="TableTextChar1"/>
            </w:pPr>
            <w:r w:rsidRPr="004D57B3">
              <w:t>Test accuracy documented concomitantly?</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6</w:t>
            </w:r>
          </w:p>
        </w:tc>
        <w:tc>
          <w:tcPr>
            <w:tcW w:w="7033" w:type="dxa"/>
            <w:tcBorders>
              <w:top w:val="nil"/>
              <w:left w:val="nil"/>
              <w:bottom w:val="nil"/>
              <w:right w:val="nil"/>
            </w:tcBorders>
          </w:tcPr>
          <w:p w:rsidR="0048417A" w:rsidRPr="004D57B3" w:rsidRDefault="0048417A" w:rsidP="00836B55">
            <w:pPr>
              <w:pStyle w:val="TableTextChar1"/>
            </w:pPr>
            <w:proofErr w:type="spellStart"/>
            <w:r w:rsidRPr="004D57B3">
              <w:t>Pretest</w:t>
            </w:r>
            <w:proofErr w:type="spellEnd"/>
            <w:r w:rsidRPr="004D57B3">
              <w:t xml:space="preserve"> plan independently assessed?</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7</w:t>
            </w:r>
          </w:p>
        </w:tc>
        <w:tc>
          <w:tcPr>
            <w:tcW w:w="7033" w:type="dxa"/>
            <w:tcBorders>
              <w:top w:val="nil"/>
              <w:left w:val="nil"/>
              <w:bottom w:val="nil"/>
              <w:right w:val="nil"/>
            </w:tcBorders>
          </w:tcPr>
          <w:p w:rsidR="0048417A" w:rsidRPr="004D57B3" w:rsidRDefault="0048417A" w:rsidP="00836B55">
            <w:pPr>
              <w:pStyle w:val="TableTextChar1"/>
            </w:pPr>
            <w:r w:rsidRPr="004D57B3">
              <w:t xml:space="preserve">Blinding to study test results at </w:t>
            </w:r>
            <w:proofErr w:type="spellStart"/>
            <w:r w:rsidRPr="004D57B3">
              <w:t>pretest</w:t>
            </w:r>
            <w:proofErr w:type="spellEnd"/>
            <w:r w:rsidRPr="004D57B3">
              <w:t xml:space="preserve"> measurement?</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8</w:t>
            </w:r>
          </w:p>
        </w:tc>
        <w:tc>
          <w:tcPr>
            <w:tcW w:w="7033" w:type="dxa"/>
            <w:tcBorders>
              <w:top w:val="nil"/>
              <w:left w:val="nil"/>
              <w:bottom w:val="nil"/>
              <w:right w:val="nil"/>
            </w:tcBorders>
          </w:tcPr>
          <w:p w:rsidR="0048417A" w:rsidRPr="004D57B3" w:rsidRDefault="0048417A" w:rsidP="00836B55">
            <w:pPr>
              <w:pStyle w:val="TableTextChar1"/>
            </w:pPr>
            <w:r w:rsidRPr="004D57B3">
              <w:t>Association between management change and study test result independently assessed?</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9</w:t>
            </w:r>
          </w:p>
        </w:tc>
        <w:tc>
          <w:tcPr>
            <w:tcW w:w="7033" w:type="dxa"/>
            <w:tcBorders>
              <w:top w:val="nil"/>
              <w:left w:val="nil"/>
              <w:bottom w:val="nil"/>
              <w:right w:val="nil"/>
            </w:tcBorders>
          </w:tcPr>
          <w:p w:rsidR="0048417A" w:rsidRPr="004D57B3" w:rsidRDefault="0048417A" w:rsidP="00836B55">
            <w:pPr>
              <w:pStyle w:val="TableTextChar1"/>
            </w:pPr>
            <w:r w:rsidRPr="004D57B3">
              <w:t>Management changes reported for specific test use and patient presentation?</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10</w:t>
            </w:r>
          </w:p>
        </w:tc>
        <w:tc>
          <w:tcPr>
            <w:tcW w:w="7033" w:type="dxa"/>
            <w:tcBorders>
              <w:top w:val="nil"/>
              <w:left w:val="nil"/>
              <w:bottom w:val="nil"/>
              <w:right w:val="nil"/>
            </w:tcBorders>
          </w:tcPr>
          <w:p w:rsidR="0048417A" w:rsidRPr="004D57B3" w:rsidRDefault="0048417A" w:rsidP="00836B55">
            <w:pPr>
              <w:pStyle w:val="TableTextChar1"/>
            </w:pPr>
            <w:r w:rsidRPr="004D57B3">
              <w:t>Management changes reported in adequate detail (</w:t>
            </w:r>
            <w:proofErr w:type="spellStart"/>
            <w:r w:rsidRPr="004D57B3">
              <w:t>eg</w:t>
            </w:r>
            <w:proofErr w:type="spellEnd"/>
            <w:r w:rsidRPr="004D57B3">
              <w:t xml:space="preserve"> surgery avoided, additional investigations)?</w:t>
            </w:r>
          </w:p>
        </w:tc>
      </w:tr>
      <w:tr w:rsidR="0048417A" w:rsidRPr="004D57B3" w:rsidTr="00836B55">
        <w:tc>
          <w:tcPr>
            <w:tcW w:w="900" w:type="dxa"/>
            <w:tcBorders>
              <w:top w:val="nil"/>
              <w:left w:val="nil"/>
              <w:bottom w:val="nil"/>
              <w:right w:val="nil"/>
            </w:tcBorders>
          </w:tcPr>
          <w:p w:rsidR="0048417A" w:rsidRPr="004D57B3" w:rsidRDefault="0048417A" w:rsidP="00836B55">
            <w:pPr>
              <w:pStyle w:val="TableTextChar1"/>
              <w:jc w:val="center"/>
            </w:pPr>
            <w:r w:rsidRPr="004D57B3">
              <w:t>11</w:t>
            </w:r>
          </w:p>
        </w:tc>
        <w:tc>
          <w:tcPr>
            <w:tcW w:w="7033" w:type="dxa"/>
            <w:tcBorders>
              <w:top w:val="nil"/>
              <w:left w:val="nil"/>
              <w:bottom w:val="nil"/>
              <w:right w:val="nil"/>
            </w:tcBorders>
          </w:tcPr>
          <w:p w:rsidR="0048417A" w:rsidRPr="004D57B3" w:rsidRDefault="0048417A" w:rsidP="00836B55">
            <w:pPr>
              <w:pStyle w:val="TableTextChar1"/>
            </w:pPr>
            <w:r w:rsidRPr="004D57B3">
              <w:t>Descriptive information about patient outcomes reported?</w:t>
            </w:r>
          </w:p>
        </w:tc>
      </w:tr>
      <w:tr w:rsidR="0048417A" w:rsidRPr="004D57B3" w:rsidTr="00836B55">
        <w:tc>
          <w:tcPr>
            <w:tcW w:w="900" w:type="dxa"/>
            <w:tcBorders>
              <w:top w:val="nil"/>
              <w:left w:val="nil"/>
              <w:right w:val="nil"/>
            </w:tcBorders>
          </w:tcPr>
          <w:p w:rsidR="0048417A" w:rsidRPr="004D57B3" w:rsidRDefault="0048417A" w:rsidP="00836B55">
            <w:pPr>
              <w:pStyle w:val="TableTextChar1"/>
              <w:jc w:val="center"/>
            </w:pPr>
            <w:r w:rsidRPr="004D57B3">
              <w:t>12</w:t>
            </w:r>
          </w:p>
        </w:tc>
        <w:tc>
          <w:tcPr>
            <w:tcW w:w="7033" w:type="dxa"/>
            <w:tcBorders>
              <w:top w:val="nil"/>
              <w:left w:val="nil"/>
              <w:right w:val="nil"/>
            </w:tcBorders>
          </w:tcPr>
          <w:p w:rsidR="0048417A" w:rsidRPr="004D57B3" w:rsidRDefault="0048417A" w:rsidP="00836B55">
            <w:pPr>
              <w:pStyle w:val="TableTextChar1"/>
            </w:pPr>
            <w:r w:rsidRPr="004D57B3">
              <w:t>Physician experience reported?</w:t>
            </w:r>
          </w:p>
        </w:tc>
      </w:tr>
    </w:tbl>
    <w:p w:rsidR="0048417A" w:rsidRPr="004D57B3" w:rsidRDefault="0048417A" w:rsidP="00836B55">
      <w:pPr>
        <w:pStyle w:val="Heading3"/>
      </w:pPr>
      <w:r w:rsidRPr="004D57B3">
        <w:t>Statistical precision</w:t>
      </w:r>
    </w:p>
    <w:p w:rsidR="0048417A" w:rsidRPr="004D57B3" w:rsidRDefault="0048417A" w:rsidP="00836B55">
      <w:r w:rsidRPr="004D57B3">
        <w:t xml:space="preserve">Statistical precision was determined using statistical principles. Small </w:t>
      </w:r>
      <w:r>
        <w:t>CIs</w:t>
      </w:r>
      <w:r w:rsidRPr="004D57B3">
        <w:t xml:space="preserve"> and p-values give an indication as to the probability that the reported effect is real and not attributable to chance </w:t>
      </w:r>
      <w:r w:rsidRPr="004D57B3">
        <w:fldChar w:fldCharType="begin"/>
      </w:r>
      <w:r w:rsidRPr="004D57B3">
        <w:instrText xml:space="preserve"> ADDIN EN.CITE &lt;EndNote&gt;&lt;Cite&gt;&lt;Author&gt;NHMRC&lt;/Author&gt;&lt;Year&gt;2000&lt;/Year&gt;&lt;RecNum&gt;25&lt;/RecNum&gt;&lt;record&gt;&lt;rec-number&gt;25&lt;/rec-number&gt;&lt;ref-type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Pr="004D57B3">
        <w:fldChar w:fldCharType="separate"/>
      </w:r>
      <w:r w:rsidRPr="004D57B3">
        <w:t>(NHMRC 2000b)</w:t>
      </w:r>
      <w:r w:rsidRPr="004D57B3">
        <w:fldChar w:fldCharType="end"/>
      </w:r>
      <w:r w:rsidRPr="004D57B3">
        <w:t>. Studies need to be appropriately powered to ensure that a real difference between groups will be detected in the statistical analysis.</w:t>
      </w:r>
    </w:p>
    <w:p w:rsidR="0048417A" w:rsidRPr="004D57B3" w:rsidRDefault="0048417A" w:rsidP="00836B55">
      <w:pPr>
        <w:pStyle w:val="Heading3"/>
      </w:pPr>
      <w:bookmarkStart w:id="150" w:name="_Toc124833665"/>
      <w:bookmarkStart w:id="151" w:name="_Toc134415510"/>
      <w:r w:rsidRPr="004D57B3">
        <w:t>Size of effect</w:t>
      </w:r>
      <w:bookmarkEnd w:id="150"/>
      <w:bookmarkEnd w:id="151"/>
    </w:p>
    <w:p w:rsidR="0048417A" w:rsidRPr="004D57B3" w:rsidRDefault="0048417A" w:rsidP="00836B55">
      <w:r w:rsidRPr="004D57B3">
        <w:t xml:space="preserve">It is important to assess whether statistically significant differences between the new test and its comparator(s) are also clinically important. The size of the effect needs to be determined, as well as whether the 95% </w:t>
      </w:r>
      <w:r>
        <w:t>CI</w:t>
      </w:r>
      <w:r w:rsidRPr="004D57B3">
        <w:t xml:space="preserve"> includes only clinically important effects. </w:t>
      </w:r>
    </w:p>
    <w:p w:rsidR="0048417A" w:rsidRPr="004D57B3" w:rsidRDefault="0048417A" w:rsidP="00836B55">
      <w:pPr>
        <w:pStyle w:val="Heading3"/>
      </w:pPr>
      <w:bookmarkStart w:id="152" w:name="_Toc124833666"/>
      <w:bookmarkStart w:id="153" w:name="_Toc134415511"/>
      <w:r w:rsidRPr="004D57B3">
        <w:t>Relevance of evidence</w:t>
      </w:r>
      <w:bookmarkEnd w:id="152"/>
      <w:bookmarkEnd w:id="153"/>
    </w:p>
    <w:p w:rsidR="0048417A" w:rsidRPr="004D57B3" w:rsidRDefault="0048417A" w:rsidP="00836B55">
      <w:r w:rsidRPr="004D57B3">
        <w:t xml:space="preserve">The outcomes being measured in this report should be appropriate and clinically relevant. Inadequately validated (predictive) surrogate measures of a clinically relevant outcome should be avoided </w:t>
      </w:r>
      <w:r w:rsidRPr="004D57B3">
        <w:fldChar w:fldCharType="begin"/>
      </w:r>
      <w:r w:rsidRPr="004D57B3">
        <w:instrText xml:space="preserve"> ADDIN EN.CITE &lt;EndNote&gt;&lt;Cite&gt;&lt;Author&gt;NHMRC&lt;/Author&gt;&lt;Year&gt;2000&lt;/Year&gt;&lt;RecNum&gt;25&lt;/RecNum&gt;&lt;record&gt;&lt;rec-number&gt;25&lt;/rec-number&gt;&lt;ref-type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Pr="004D57B3">
        <w:fldChar w:fldCharType="separate"/>
      </w:r>
      <w:r w:rsidRPr="004D57B3">
        <w:t>(NHMRC 2000b)</w:t>
      </w:r>
      <w:r w:rsidRPr="004D57B3">
        <w:fldChar w:fldCharType="end"/>
      </w:r>
      <w:r w:rsidRPr="004D57B3">
        <w:t xml:space="preserve">. </w:t>
      </w:r>
    </w:p>
    <w:p w:rsidR="0048417A" w:rsidRPr="004D57B3" w:rsidRDefault="0048417A" w:rsidP="00836B55">
      <w:pPr>
        <w:pStyle w:val="Heading2"/>
        <w:rPr>
          <w:lang w:val="en-US"/>
        </w:rPr>
      </w:pPr>
      <w:bookmarkStart w:id="154" w:name="_Toc122538326"/>
      <w:bookmarkStart w:id="155" w:name="_Toc143663862"/>
      <w:bookmarkStart w:id="156" w:name="_Ref144697268"/>
      <w:bookmarkStart w:id="157" w:name="_Ref144697275"/>
      <w:bookmarkStart w:id="158" w:name="_Ref282006923"/>
      <w:bookmarkStart w:id="159" w:name="_Ref282006950"/>
      <w:bookmarkStart w:id="160" w:name="_Toc296517883"/>
      <w:r w:rsidRPr="004D57B3">
        <w:rPr>
          <w:lang w:val="en-US"/>
        </w:rPr>
        <w:lastRenderedPageBreak/>
        <w:t>Assessment of the body of evidence</w:t>
      </w:r>
      <w:bookmarkEnd w:id="154"/>
      <w:bookmarkEnd w:id="155"/>
      <w:bookmarkEnd w:id="156"/>
      <w:bookmarkEnd w:id="157"/>
      <w:bookmarkEnd w:id="158"/>
      <w:bookmarkEnd w:id="159"/>
      <w:bookmarkEnd w:id="160"/>
    </w:p>
    <w:p w:rsidR="0048417A" w:rsidRPr="004D57B3" w:rsidRDefault="0048417A" w:rsidP="00836B55">
      <w:r w:rsidRPr="004D57B3">
        <w:t xml:space="preserve">Appraisal of the body of evidence was conducted along the lines suggested by the NHMRC in their guidance on clinical practice guideline development </w:t>
      </w:r>
      <w:r w:rsidRPr="004D57B3">
        <w:rPr>
          <w:noProof/>
        </w:rPr>
        <w:t>(NHMRC 2008; 2009)</w:t>
      </w:r>
      <w:r w:rsidRPr="004D57B3">
        <w:t xml:space="preserve">. Five components are considered essential by the NHMRC when judging the body of evidence: </w:t>
      </w:r>
    </w:p>
    <w:p w:rsidR="0048417A" w:rsidRPr="004D57B3" w:rsidRDefault="0048417A" w:rsidP="00836B55">
      <w:pPr>
        <w:pStyle w:val="Bullet"/>
      </w:pPr>
      <w:r>
        <w:t>t</w:t>
      </w:r>
      <w:r w:rsidRPr="004D57B3">
        <w:t>he evidence base – which includes the number of studies sorted by their methodological quality and relevance to patients;</w:t>
      </w:r>
    </w:p>
    <w:p w:rsidR="0048417A" w:rsidRPr="004D57B3" w:rsidRDefault="0048417A" w:rsidP="00836B55">
      <w:pPr>
        <w:pStyle w:val="Bullet"/>
      </w:pPr>
      <w:r>
        <w:t>t</w:t>
      </w:r>
      <w:r w:rsidRPr="004D57B3">
        <w:t>he consistency of the study results – whether the better quality studies had results of a similar magnitude and in the same direction</w:t>
      </w:r>
      <w:r>
        <w:t>,</w:t>
      </w:r>
      <w:r w:rsidRPr="004D57B3">
        <w:t xml:space="preserve"> </w:t>
      </w:r>
      <w:proofErr w:type="spellStart"/>
      <w:r w:rsidRPr="004D57B3">
        <w:t>ie</w:t>
      </w:r>
      <w:proofErr w:type="spellEnd"/>
      <w:r w:rsidRPr="004D57B3">
        <w:t xml:space="preserve"> homogenous or </w:t>
      </w:r>
      <w:proofErr w:type="spellStart"/>
      <w:r w:rsidRPr="004D57B3">
        <w:t>heterogenous</w:t>
      </w:r>
      <w:proofErr w:type="spellEnd"/>
      <w:r w:rsidRPr="004D57B3">
        <w:t xml:space="preserve"> findings;</w:t>
      </w:r>
    </w:p>
    <w:p w:rsidR="0048417A" w:rsidRPr="004D57B3" w:rsidRDefault="0048417A" w:rsidP="00836B55">
      <w:pPr>
        <w:pStyle w:val="Bullet"/>
      </w:pPr>
      <w:r>
        <w:t>t</w:t>
      </w:r>
      <w:r w:rsidRPr="004D57B3">
        <w:t>he potential clinical impact – appraisal of the precision, size and clinical importance or relevance of the primary outcomes used to determine the safety and effectiveness of the test;</w:t>
      </w:r>
    </w:p>
    <w:p w:rsidR="0048417A" w:rsidRPr="004D57B3" w:rsidRDefault="0048417A" w:rsidP="00836B55">
      <w:pPr>
        <w:pStyle w:val="Bullet"/>
      </w:pPr>
      <w:r>
        <w:t>t</w:t>
      </w:r>
      <w:r w:rsidRPr="004D57B3">
        <w:t xml:space="preserve">he </w:t>
      </w:r>
      <w:proofErr w:type="spellStart"/>
      <w:r w:rsidRPr="004D57B3">
        <w:t>generalisability</w:t>
      </w:r>
      <w:proofErr w:type="spellEnd"/>
      <w:r w:rsidRPr="004D57B3">
        <w:t xml:space="preserve"> of the evidence to the target population; and</w:t>
      </w:r>
    </w:p>
    <w:p w:rsidR="0048417A" w:rsidRPr="004D57B3" w:rsidRDefault="0048417A" w:rsidP="00836B55">
      <w:pPr>
        <w:pStyle w:val="Bullet"/>
      </w:pPr>
      <w:proofErr w:type="gramStart"/>
      <w:r>
        <w:t>t</w:t>
      </w:r>
      <w:r w:rsidRPr="004D57B3">
        <w:t>he</w:t>
      </w:r>
      <w:proofErr w:type="gramEnd"/>
      <w:r w:rsidRPr="004D57B3">
        <w:t xml:space="preserve"> applicability of the evidence – integration of this evidence for conclusions about the net clinical benefit of the intervention in the context of Australian clinical practice.</w:t>
      </w:r>
    </w:p>
    <w:p w:rsidR="000E4781" w:rsidRDefault="0048417A" w:rsidP="00836B55">
      <w:r w:rsidRPr="004D57B3">
        <w:t xml:space="preserve">A matrix for assessing the body of evidence for each research question, according to the components above, was used for this assessment (see </w:t>
      </w:r>
      <w:r w:rsidR="00AE591B">
        <w:fldChar w:fldCharType="begin"/>
      </w:r>
      <w:r w:rsidR="00AE591B">
        <w:instrText xml:space="preserve"> REF _Ref278204978 \h  \* MERGEFORMAT </w:instrText>
      </w:r>
      <w:r w:rsidR="00AE591B">
        <w:fldChar w:fldCharType="separate"/>
      </w:r>
      <w:r w:rsidRPr="004D57B3">
        <w:t xml:space="preserve">Table </w:t>
      </w:r>
      <w:r>
        <w:rPr>
          <w:noProof/>
        </w:rPr>
        <w:t>19</w:t>
      </w:r>
      <w:r w:rsidR="00AE591B">
        <w:fldChar w:fldCharType="end"/>
      </w:r>
      <w:r w:rsidRPr="004D57B3">
        <w:t xml:space="preserve">) </w:t>
      </w:r>
      <w:r w:rsidRPr="004D57B3">
        <w:rPr>
          <w:noProof/>
        </w:rPr>
        <w:t>(NHMRC 2008; NHMRC 2009)</w:t>
      </w:r>
      <w:r w:rsidRPr="004D57B3">
        <w:t>.</w:t>
      </w:r>
    </w:p>
    <w:p w:rsidR="000E4781" w:rsidRDefault="000E4781" w:rsidP="000E4781">
      <w:r>
        <w:br w:type="page"/>
      </w:r>
    </w:p>
    <w:p w:rsidR="0048417A" w:rsidRPr="004D57B3" w:rsidRDefault="000E4781" w:rsidP="00836B55">
      <w:r w:rsidRPr="004D57B3">
        <w:lastRenderedPageBreak/>
        <w:t xml:space="preserve"> </w:t>
      </w:r>
    </w:p>
    <w:p w:rsidR="0048417A" w:rsidRPr="004D57B3" w:rsidRDefault="0048417A" w:rsidP="00836B55">
      <w:pPr>
        <w:pStyle w:val="TableName"/>
        <w:ind w:left="1485" w:hanging="765"/>
      </w:pPr>
      <w:bookmarkStart w:id="161" w:name="_Ref278204978"/>
      <w:bookmarkStart w:id="162" w:name="_Toc291859581"/>
      <w:r w:rsidRPr="004D57B3">
        <w:t xml:space="preserve">Table </w:t>
      </w:r>
      <w:r w:rsidR="00AE591B">
        <w:fldChar w:fldCharType="begin"/>
      </w:r>
      <w:r w:rsidR="00AE591B">
        <w:instrText xml:space="preserve"> SEQ Table \* ARABIC </w:instrText>
      </w:r>
      <w:r w:rsidR="00AE591B">
        <w:fldChar w:fldCharType="separate"/>
      </w:r>
      <w:r>
        <w:rPr>
          <w:noProof/>
        </w:rPr>
        <w:t>19</w:t>
      </w:r>
      <w:r w:rsidR="00AE591B">
        <w:rPr>
          <w:noProof/>
        </w:rPr>
        <w:fldChar w:fldCharType="end"/>
      </w:r>
      <w:bookmarkEnd w:id="161"/>
      <w:r>
        <w:tab/>
      </w:r>
      <w:r w:rsidRPr="004D57B3">
        <w:t>Body of evidence assessment matrix</w:t>
      </w:r>
      <w:bookmarkEnd w:id="162"/>
    </w:p>
    <w:tbl>
      <w:tblPr>
        <w:tblW w:w="7743"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317"/>
        <w:gridCol w:w="1267"/>
        <w:gridCol w:w="1294"/>
        <w:gridCol w:w="1282"/>
      </w:tblGrid>
      <w:tr w:rsidR="0048417A" w:rsidRPr="004D57B3" w:rsidTr="00836B55">
        <w:trPr>
          <w:cantSplit/>
        </w:trPr>
        <w:tc>
          <w:tcPr>
            <w:tcW w:w="2583" w:type="dxa"/>
            <w:vMerge w:val="restart"/>
            <w:tcBorders>
              <w:top w:val="single" w:sz="12" w:space="0" w:color="auto"/>
              <w:left w:val="nil"/>
              <w:bottom w:val="nil"/>
              <w:right w:val="nil"/>
            </w:tcBorders>
            <w:shd w:val="clear" w:color="auto" w:fill="CCCCCC"/>
            <w:vAlign w:val="center"/>
          </w:tcPr>
          <w:p w:rsidR="0048417A" w:rsidRPr="004D57B3" w:rsidRDefault="0048417A" w:rsidP="00836B55">
            <w:pPr>
              <w:pStyle w:val="TableHeading"/>
              <w:spacing w:before="0" w:after="240"/>
              <w:rPr>
                <w:sz w:val="20"/>
              </w:rPr>
            </w:pPr>
            <w:r w:rsidRPr="004D57B3">
              <w:rPr>
                <w:sz w:val="20"/>
              </w:rPr>
              <w:t>Component</w:t>
            </w:r>
          </w:p>
        </w:tc>
        <w:tc>
          <w:tcPr>
            <w:tcW w:w="1317" w:type="dxa"/>
            <w:tcBorders>
              <w:top w:val="single" w:sz="12" w:space="0" w:color="auto"/>
              <w:left w:val="nil"/>
              <w:bottom w:val="nil"/>
              <w:right w:val="nil"/>
            </w:tcBorders>
            <w:shd w:val="clear" w:color="auto" w:fill="CCCCCC"/>
          </w:tcPr>
          <w:p w:rsidR="0048417A" w:rsidRPr="004D57B3" w:rsidRDefault="0048417A" w:rsidP="00836B55">
            <w:pPr>
              <w:pStyle w:val="TableHeading"/>
              <w:jc w:val="center"/>
              <w:rPr>
                <w:sz w:val="20"/>
              </w:rPr>
            </w:pPr>
            <w:r w:rsidRPr="004D57B3">
              <w:rPr>
                <w:sz w:val="20"/>
              </w:rPr>
              <w:t>A</w:t>
            </w:r>
          </w:p>
        </w:tc>
        <w:tc>
          <w:tcPr>
            <w:tcW w:w="1267" w:type="dxa"/>
            <w:tcBorders>
              <w:top w:val="single" w:sz="12" w:space="0" w:color="auto"/>
              <w:left w:val="nil"/>
              <w:bottom w:val="nil"/>
              <w:right w:val="nil"/>
            </w:tcBorders>
            <w:shd w:val="clear" w:color="auto" w:fill="CCCCCC"/>
          </w:tcPr>
          <w:p w:rsidR="0048417A" w:rsidRPr="004D57B3" w:rsidRDefault="0048417A" w:rsidP="00836B55">
            <w:pPr>
              <w:pStyle w:val="TableHeading"/>
              <w:jc w:val="center"/>
              <w:rPr>
                <w:sz w:val="20"/>
              </w:rPr>
            </w:pPr>
            <w:r w:rsidRPr="004D57B3">
              <w:rPr>
                <w:sz w:val="20"/>
              </w:rPr>
              <w:t>B</w:t>
            </w:r>
          </w:p>
        </w:tc>
        <w:tc>
          <w:tcPr>
            <w:tcW w:w="1294" w:type="dxa"/>
            <w:tcBorders>
              <w:top w:val="single" w:sz="12" w:space="0" w:color="auto"/>
              <w:left w:val="nil"/>
              <w:bottom w:val="nil"/>
              <w:right w:val="nil"/>
            </w:tcBorders>
            <w:shd w:val="clear" w:color="auto" w:fill="CCCCCC"/>
          </w:tcPr>
          <w:p w:rsidR="0048417A" w:rsidRPr="004D57B3" w:rsidRDefault="0048417A" w:rsidP="00836B55">
            <w:pPr>
              <w:pStyle w:val="TableHeading"/>
              <w:jc w:val="center"/>
              <w:rPr>
                <w:sz w:val="20"/>
              </w:rPr>
            </w:pPr>
            <w:r w:rsidRPr="004D57B3">
              <w:rPr>
                <w:sz w:val="20"/>
              </w:rPr>
              <w:t>C</w:t>
            </w:r>
          </w:p>
        </w:tc>
        <w:tc>
          <w:tcPr>
            <w:tcW w:w="1282" w:type="dxa"/>
            <w:tcBorders>
              <w:top w:val="single" w:sz="12" w:space="0" w:color="auto"/>
              <w:left w:val="nil"/>
              <w:bottom w:val="nil"/>
              <w:right w:val="nil"/>
            </w:tcBorders>
            <w:shd w:val="clear" w:color="auto" w:fill="CCCCCC"/>
          </w:tcPr>
          <w:p w:rsidR="0048417A" w:rsidRPr="004D57B3" w:rsidRDefault="0048417A" w:rsidP="00836B55">
            <w:pPr>
              <w:pStyle w:val="TableHeading"/>
              <w:jc w:val="center"/>
              <w:rPr>
                <w:sz w:val="20"/>
              </w:rPr>
            </w:pPr>
            <w:r w:rsidRPr="004D57B3">
              <w:rPr>
                <w:sz w:val="20"/>
              </w:rPr>
              <w:t>D</w:t>
            </w:r>
          </w:p>
        </w:tc>
      </w:tr>
      <w:tr w:rsidR="0048417A" w:rsidRPr="004D57B3" w:rsidTr="00836B55">
        <w:trPr>
          <w:cantSplit/>
        </w:trPr>
        <w:tc>
          <w:tcPr>
            <w:tcW w:w="2583" w:type="dxa"/>
            <w:vMerge/>
            <w:tcBorders>
              <w:top w:val="nil"/>
              <w:left w:val="nil"/>
              <w:bottom w:val="single" w:sz="12" w:space="0" w:color="auto"/>
              <w:right w:val="nil"/>
            </w:tcBorders>
            <w:vAlign w:val="center"/>
          </w:tcPr>
          <w:p w:rsidR="0048417A" w:rsidRPr="004D57B3" w:rsidRDefault="0048417A" w:rsidP="00836B55">
            <w:pPr>
              <w:rPr>
                <w:rFonts w:ascii="Arial Narrow" w:hAnsi="Arial Narrow"/>
                <w:b/>
                <w:sz w:val="18"/>
                <w:szCs w:val="18"/>
              </w:rPr>
            </w:pPr>
          </w:p>
        </w:tc>
        <w:tc>
          <w:tcPr>
            <w:tcW w:w="1317" w:type="dxa"/>
            <w:tcBorders>
              <w:top w:val="nil"/>
              <w:left w:val="nil"/>
              <w:bottom w:val="single" w:sz="12" w:space="0" w:color="auto"/>
              <w:right w:val="nil"/>
            </w:tcBorders>
            <w:shd w:val="clear" w:color="auto" w:fill="CCCCCC"/>
          </w:tcPr>
          <w:p w:rsidR="0048417A" w:rsidRPr="004D57B3" w:rsidRDefault="0048417A" w:rsidP="00836B55">
            <w:pPr>
              <w:pStyle w:val="TableHeading"/>
              <w:jc w:val="center"/>
              <w:rPr>
                <w:sz w:val="20"/>
              </w:rPr>
            </w:pPr>
            <w:r w:rsidRPr="004D57B3">
              <w:rPr>
                <w:sz w:val="20"/>
              </w:rPr>
              <w:t>Excellent</w:t>
            </w:r>
          </w:p>
        </w:tc>
        <w:tc>
          <w:tcPr>
            <w:tcW w:w="1267" w:type="dxa"/>
            <w:tcBorders>
              <w:top w:val="nil"/>
              <w:left w:val="nil"/>
              <w:bottom w:val="single" w:sz="12" w:space="0" w:color="auto"/>
              <w:right w:val="nil"/>
            </w:tcBorders>
            <w:shd w:val="clear" w:color="auto" w:fill="CCCCCC"/>
          </w:tcPr>
          <w:p w:rsidR="0048417A" w:rsidRPr="004D57B3" w:rsidRDefault="0048417A" w:rsidP="00836B55">
            <w:pPr>
              <w:pStyle w:val="TableHeading"/>
              <w:jc w:val="center"/>
              <w:rPr>
                <w:sz w:val="20"/>
              </w:rPr>
            </w:pPr>
            <w:r w:rsidRPr="004D57B3">
              <w:rPr>
                <w:sz w:val="20"/>
              </w:rPr>
              <w:t>Good</w:t>
            </w:r>
          </w:p>
        </w:tc>
        <w:tc>
          <w:tcPr>
            <w:tcW w:w="1294" w:type="dxa"/>
            <w:tcBorders>
              <w:top w:val="nil"/>
              <w:left w:val="nil"/>
              <w:bottom w:val="single" w:sz="12" w:space="0" w:color="auto"/>
              <w:right w:val="nil"/>
            </w:tcBorders>
            <w:shd w:val="clear" w:color="auto" w:fill="CCCCCC"/>
          </w:tcPr>
          <w:p w:rsidR="0048417A" w:rsidRPr="004D57B3" w:rsidRDefault="0048417A" w:rsidP="00836B55">
            <w:pPr>
              <w:pStyle w:val="TableHeading"/>
              <w:jc w:val="center"/>
              <w:rPr>
                <w:sz w:val="20"/>
              </w:rPr>
            </w:pPr>
            <w:r w:rsidRPr="004D57B3">
              <w:rPr>
                <w:sz w:val="20"/>
              </w:rPr>
              <w:t>Satisfactory</w:t>
            </w:r>
          </w:p>
        </w:tc>
        <w:tc>
          <w:tcPr>
            <w:tcW w:w="1282" w:type="dxa"/>
            <w:tcBorders>
              <w:top w:val="nil"/>
              <w:left w:val="nil"/>
              <w:bottom w:val="single" w:sz="12" w:space="0" w:color="auto"/>
              <w:right w:val="nil"/>
            </w:tcBorders>
            <w:shd w:val="clear" w:color="auto" w:fill="CCCCCC"/>
          </w:tcPr>
          <w:p w:rsidR="0048417A" w:rsidRPr="004D57B3" w:rsidRDefault="0048417A" w:rsidP="00836B55">
            <w:pPr>
              <w:pStyle w:val="TableHeading"/>
              <w:jc w:val="center"/>
              <w:rPr>
                <w:sz w:val="20"/>
              </w:rPr>
            </w:pPr>
            <w:r w:rsidRPr="004D57B3">
              <w:rPr>
                <w:sz w:val="20"/>
              </w:rPr>
              <w:t>Poor</w:t>
            </w:r>
          </w:p>
        </w:tc>
      </w:tr>
      <w:tr w:rsidR="0048417A" w:rsidRPr="004D57B3" w:rsidTr="00836B55">
        <w:tc>
          <w:tcPr>
            <w:tcW w:w="2583" w:type="dxa"/>
            <w:tcBorders>
              <w:top w:val="single" w:sz="12" w:space="0" w:color="auto"/>
              <w:left w:val="nil"/>
              <w:bottom w:val="single" w:sz="8" w:space="0" w:color="auto"/>
              <w:right w:val="nil"/>
            </w:tcBorders>
            <w:vAlign w:val="center"/>
          </w:tcPr>
          <w:p w:rsidR="0048417A" w:rsidRPr="004D57B3" w:rsidRDefault="0048417A" w:rsidP="00836B55">
            <w:pPr>
              <w:ind w:left="0"/>
              <w:rPr>
                <w:rFonts w:ascii="Arial Narrow" w:hAnsi="Arial Narrow"/>
                <w:b/>
                <w:sz w:val="20"/>
              </w:rPr>
            </w:pPr>
            <w:r w:rsidRPr="004D57B3">
              <w:rPr>
                <w:rFonts w:ascii="Arial Narrow" w:hAnsi="Arial Narrow"/>
                <w:b/>
                <w:sz w:val="20"/>
              </w:rPr>
              <w:t>Evidence base</w:t>
            </w:r>
            <w:r w:rsidRPr="004D57B3">
              <w:rPr>
                <w:rFonts w:ascii="Arial Narrow" w:hAnsi="Arial Narrow"/>
                <w:sz w:val="20"/>
                <w:vertAlign w:val="superscript"/>
              </w:rPr>
              <w:t>1</w:t>
            </w:r>
          </w:p>
        </w:tc>
        <w:tc>
          <w:tcPr>
            <w:tcW w:w="1317" w:type="dxa"/>
            <w:tcBorders>
              <w:top w:val="single" w:sz="12"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O</w:t>
            </w:r>
            <w:r w:rsidRPr="004D57B3">
              <w:rPr>
                <w:rFonts w:ascii="Arial Narrow" w:hAnsi="Arial Narrow"/>
                <w:sz w:val="18"/>
                <w:szCs w:val="18"/>
              </w:rPr>
              <w:t>ne or more level I studies with a low risk of bias or several level II studies with a low risk of bias</w:t>
            </w:r>
          </w:p>
        </w:tc>
        <w:tc>
          <w:tcPr>
            <w:tcW w:w="1267" w:type="dxa"/>
            <w:tcBorders>
              <w:top w:val="single" w:sz="12"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O</w:t>
            </w:r>
            <w:r w:rsidRPr="004D57B3">
              <w:rPr>
                <w:rFonts w:ascii="Arial Narrow" w:hAnsi="Arial Narrow"/>
                <w:sz w:val="18"/>
                <w:szCs w:val="18"/>
              </w:rPr>
              <w:t xml:space="preserve">ne or two level II studies with a low risk of bias or a SR/several level III studies with a low risk of bias </w:t>
            </w:r>
          </w:p>
        </w:tc>
        <w:tc>
          <w:tcPr>
            <w:tcW w:w="1294" w:type="dxa"/>
            <w:tcBorders>
              <w:top w:val="single" w:sz="12"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O</w:t>
            </w:r>
            <w:r w:rsidRPr="004D57B3">
              <w:rPr>
                <w:rFonts w:ascii="Arial Narrow" w:hAnsi="Arial Narrow"/>
                <w:sz w:val="18"/>
                <w:szCs w:val="18"/>
              </w:rPr>
              <w:t>ne or two level III studies with a low risk of bias, or level I or II studies with a moderate risk of bias</w:t>
            </w:r>
          </w:p>
        </w:tc>
        <w:tc>
          <w:tcPr>
            <w:tcW w:w="1282" w:type="dxa"/>
            <w:tcBorders>
              <w:top w:val="single" w:sz="12"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L</w:t>
            </w:r>
            <w:r w:rsidRPr="004D57B3">
              <w:rPr>
                <w:rFonts w:ascii="Arial Narrow" w:hAnsi="Arial Narrow"/>
                <w:sz w:val="18"/>
                <w:szCs w:val="18"/>
              </w:rPr>
              <w:t>evel IV studies, or level I to III studies/SRs with a high risk of bias</w:t>
            </w:r>
          </w:p>
        </w:tc>
      </w:tr>
      <w:tr w:rsidR="0048417A" w:rsidRPr="004D57B3" w:rsidTr="00836B55">
        <w:tc>
          <w:tcPr>
            <w:tcW w:w="2583" w:type="dxa"/>
            <w:tcBorders>
              <w:top w:val="single" w:sz="8" w:space="0" w:color="auto"/>
              <w:left w:val="nil"/>
              <w:bottom w:val="single" w:sz="8" w:space="0" w:color="auto"/>
              <w:right w:val="nil"/>
            </w:tcBorders>
            <w:vAlign w:val="center"/>
          </w:tcPr>
          <w:p w:rsidR="0048417A" w:rsidRPr="004D57B3" w:rsidRDefault="0048417A" w:rsidP="00836B55">
            <w:pPr>
              <w:ind w:left="0"/>
              <w:rPr>
                <w:rFonts w:ascii="Arial Narrow" w:hAnsi="Arial Narrow"/>
                <w:b/>
                <w:sz w:val="20"/>
              </w:rPr>
            </w:pPr>
            <w:r w:rsidRPr="004D57B3">
              <w:rPr>
                <w:rFonts w:ascii="Arial Narrow" w:hAnsi="Arial Narrow"/>
                <w:b/>
                <w:sz w:val="20"/>
              </w:rPr>
              <w:t>Consistency</w:t>
            </w:r>
            <w:r w:rsidRPr="004D57B3">
              <w:rPr>
                <w:rFonts w:ascii="Arial Narrow" w:hAnsi="Arial Narrow"/>
                <w:sz w:val="20"/>
                <w:vertAlign w:val="superscript"/>
              </w:rPr>
              <w:t>2</w:t>
            </w:r>
          </w:p>
        </w:tc>
        <w:tc>
          <w:tcPr>
            <w:tcW w:w="1317"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A</w:t>
            </w:r>
            <w:r w:rsidRPr="004D57B3">
              <w:rPr>
                <w:rFonts w:ascii="Arial Narrow" w:hAnsi="Arial Narrow"/>
                <w:sz w:val="18"/>
                <w:szCs w:val="18"/>
              </w:rPr>
              <w:t>ll studies consistent</w:t>
            </w:r>
          </w:p>
        </w:tc>
        <w:tc>
          <w:tcPr>
            <w:tcW w:w="1267"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M</w:t>
            </w:r>
            <w:r w:rsidRPr="004D57B3">
              <w:rPr>
                <w:rFonts w:ascii="Arial Narrow" w:hAnsi="Arial Narrow"/>
                <w:sz w:val="18"/>
                <w:szCs w:val="18"/>
              </w:rPr>
              <w:t>ost studies consistent and inconsistency may be explained</w:t>
            </w:r>
          </w:p>
        </w:tc>
        <w:tc>
          <w:tcPr>
            <w:tcW w:w="1294"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S</w:t>
            </w:r>
            <w:r w:rsidRPr="004D57B3">
              <w:rPr>
                <w:rFonts w:ascii="Arial Narrow" w:hAnsi="Arial Narrow"/>
                <w:sz w:val="18"/>
                <w:szCs w:val="18"/>
              </w:rPr>
              <w:t>ome inconsistency reflecting genuine uncertainty around clinical question</w:t>
            </w:r>
          </w:p>
        </w:tc>
        <w:tc>
          <w:tcPr>
            <w:tcW w:w="1282"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E</w:t>
            </w:r>
            <w:r w:rsidRPr="004D57B3">
              <w:rPr>
                <w:rFonts w:ascii="Arial Narrow" w:hAnsi="Arial Narrow"/>
                <w:sz w:val="18"/>
                <w:szCs w:val="18"/>
              </w:rPr>
              <w:t>vidence is inconsistent</w:t>
            </w:r>
          </w:p>
        </w:tc>
      </w:tr>
      <w:tr w:rsidR="0048417A" w:rsidRPr="004D57B3" w:rsidTr="00836B55">
        <w:trPr>
          <w:trHeight w:val="462"/>
        </w:trPr>
        <w:tc>
          <w:tcPr>
            <w:tcW w:w="2583" w:type="dxa"/>
            <w:tcBorders>
              <w:top w:val="single" w:sz="8" w:space="0" w:color="auto"/>
              <w:left w:val="nil"/>
              <w:bottom w:val="single" w:sz="8" w:space="0" w:color="auto"/>
              <w:right w:val="nil"/>
            </w:tcBorders>
            <w:vAlign w:val="center"/>
          </w:tcPr>
          <w:p w:rsidR="0048417A" w:rsidRPr="004D57B3" w:rsidRDefault="0048417A" w:rsidP="00836B55">
            <w:pPr>
              <w:ind w:left="0"/>
              <w:rPr>
                <w:rFonts w:ascii="Arial Narrow" w:hAnsi="Arial Narrow"/>
                <w:b/>
                <w:sz w:val="20"/>
              </w:rPr>
            </w:pPr>
            <w:r w:rsidRPr="004D57B3">
              <w:rPr>
                <w:rFonts w:ascii="Arial Narrow" w:hAnsi="Arial Narrow"/>
                <w:b/>
                <w:sz w:val="20"/>
              </w:rPr>
              <w:t>Clinical impact</w:t>
            </w:r>
          </w:p>
        </w:tc>
        <w:tc>
          <w:tcPr>
            <w:tcW w:w="1317"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V</w:t>
            </w:r>
            <w:r w:rsidRPr="004D57B3">
              <w:rPr>
                <w:rFonts w:ascii="Arial Narrow" w:hAnsi="Arial Narrow"/>
                <w:sz w:val="18"/>
                <w:szCs w:val="18"/>
              </w:rPr>
              <w:t>ery large</w:t>
            </w:r>
          </w:p>
        </w:tc>
        <w:tc>
          <w:tcPr>
            <w:tcW w:w="1267"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S</w:t>
            </w:r>
            <w:r w:rsidRPr="004D57B3">
              <w:rPr>
                <w:rFonts w:ascii="Arial Narrow" w:hAnsi="Arial Narrow"/>
                <w:sz w:val="18"/>
                <w:szCs w:val="18"/>
              </w:rPr>
              <w:t xml:space="preserve">ubstantial </w:t>
            </w:r>
          </w:p>
        </w:tc>
        <w:tc>
          <w:tcPr>
            <w:tcW w:w="1294"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M</w:t>
            </w:r>
            <w:r w:rsidRPr="004D57B3">
              <w:rPr>
                <w:rFonts w:ascii="Arial Narrow" w:hAnsi="Arial Narrow"/>
                <w:sz w:val="18"/>
                <w:szCs w:val="18"/>
              </w:rPr>
              <w:t>oderate</w:t>
            </w:r>
          </w:p>
        </w:tc>
        <w:tc>
          <w:tcPr>
            <w:tcW w:w="1282"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S</w:t>
            </w:r>
            <w:r w:rsidRPr="004D57B3">
              <w:rPr>
                <w:rFonts w:ascii="Arial Narrow" w:hAnsi="Arial Narrow"/>
                <w:sz w:val="18"/>
                <w:szCs w:val="18"/>
              </w:rPr>
              <w:t>light or restricted</w:t>
            </w:r>
          </w:p>
        </w:tc>
      </w:tr>
      <w:tr w:rsidR="0048417A" w:rsidRPr="004D57B3" w:rsidTr="00836B55">
        <w:tc>
          <w:tcPr>
            <w:tcW w:w="2583" w:type="dxa"/>
            <w:tcBorders>
              <w:top w:val="single" w:sz="8" w:space="0" w:color="auto"/>
              <w:left w:val="nil"/>
              <w:bottom w:val="single" w:sz="8" w:space="0" w:color="auto"/>
              <w:right w:val="nil"/>
            </w:tcBorders>
            <w:vAlign w:val="center"/>
          </w:tcPr>
          <w:p w:rsidR="0048417A" w:rsidRPr="004D57B3" w:rsidRDefault="0048417A" w:rsidP="00836B55">
            <w:pPr>
              <w:ind w:left="0"/>
              <w:rPr>
                <w:rFonts w:ascii="Arial Narrow" w:hAnsi="Arial Narrow"/>
                <w:b/>
                <w:sz w:val="20"/>
              </w:rPr>
            </w:pPr>
            <w:proofErr w:type="spellStart"/>
            <w:r w:rsidRPr="004D57B3">
              <w:rPr>
                <w:rFonts w:ascii="Arial Narrow" w:hAnsi="Arial Narrow"/>
                <w:b/>
                <w:sz w:val="20"/>
              </w:rPr>
              <w:t>Generalisability</w:t>
            </w:r>
            <w:proofErr w:type="spellEnd"/>
          </w:p>
        </w:tc>
        <w:tc>
          <w:tcPr>
            <w:tcW w:w="1317"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body of evidence are the same as the target population for the guideline</w:t>
            </w:r>
          </w:p>
        </w:tc>
        <w:tc>
          <w:tcPr>
            <w:tcW w:w="1267"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the body of evidence are similar to the target population for the guideline</w:t>
            </w:r>
          </w:p>
        </w:tc>
        <w:tc>
          <w:tcPr>
            <w:tcW w:w="1294"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body of evidence differ to target population for guideline but it is clinically sensible to apply this evidence to target population</w:t>
            </w:r>
            <w:r w:rsidRPr="004D57B3">
              <w:rPr>
                <w:rFonts w:ascii="Arial Narrow" w:hAnsi="Arial Narrow"/>
                <w:sz w:val="18"/>
                <w:szCs w:val="18"/>
                <w:vertAlign w:val="superscript"/>
              </w:rPr>
              <w:t>3</w:t>
            </w:r>
            <w:r w:rsidRPr="004D57B3">
              <w:rPr>
                <w:rFonts w:ascii="Arial Narrow" w:hAnsi="Arial Narrow"/>
                <w:sz w:val="18"/>
                <w:szCs w:val="18"/>
              </w:rPr>
              <w:t xml:space="preserve"> </w:t>
            </w:r>
          </w:p>
        </w:tc>
        <w:tc>
          <w:tcPr>
            <w:tcW w:w="1282" w:type="dxa"/>
            <w:tcBorders>
              <w:top w:val="single" w:sz="8" w:space="0" w:color="auto"/>
              <w:left w:val="nil"/>
              <w:bottom w:val="single" w:sz="8"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opulation/s studied in body of evidence differ to target population and hard to judge whether it is sensible to generalise to target population</w:t>
            </w:r>
          </w:p>
        </w:tc>
      </w:tr>
      <w:tr w:rsidR="0048417A" w:rsidRPr="004D57B3" w:rsidTr="00836B55">
        <w:tc>
          <w:tcPr>
            <w:tcW w:w="2583" w:type="dxa"/>
            <w:tcBorders>
              <w:top w:val="single" w:sz="8" w:space="0" w:color="auto"/>
              <w:left w:val="nil"/>
              <w:bottom w:val="single" w:sz="12" w:space="0" w:color="auto"/>
              <w:right w:val="nil"/>
            </w:tcBorders>
            <w:vAlign w:val="center"/>
          </w:tcPr>
          <w:p w:rsidR="0048417A" w:rsidRPr="004D57B3" w:rsidRDefault="0048417A" w:rsidP="00836B55">
            <w:pPr>
              <w:ind w:left="0"/>
              <w:rPr>
                <w:rFonts w:ascii="Arial Narrow" w:hAnsi="Arial Narrow"/>
                <w:b/>
                <w:sz w:val="20"/>
              </w:rPr>
            </w:pPr>
            <w:r w:rsidRPr="004D57B3">
              <w:rPr>
                <w:rFonts w:ascii="Arial Narrow" w:hAnsi="Arial Narrow"/>
                <w:b/>
                <w:sz w:val="20"/>
              </w:rPr>
              <w:t>Applicability</w:t>
            </w:r>
          </w:p>
        </w:tc>
        <w:tc>
          <w:tcPr>
            <w:tcW w:w="1317" w:type="dxa"/>
            <w:tcBorders>
              <w:top w:val="single" w:sz="8" w:space="0" w:color="auto"/>
              <w:left w:val="nil"/>
              <w:bottom w:val="single" w:sz="12"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D</w:t>
            </w:r>
            <w:r w:rsidRPr="004D57B3">
              <w:rPr>
                <w:rFonts w:ascii="Arial Narrow" w:hAnsi="Arial Narrow"/>
                <w:sz w:val="18"/>
                <w:szCs w:val="18"/>
              </w:rPr>
              <w:t>irectly applicable to Australian healthcare context</w:t>
            </w:r>
          </w:p>
        </w:tc>
        <w:tc>
          <w:tcPr>
            <w:tcW w:w="1267" w:type="dxa"/>
            <w:tcBorders>
              <w:top w:val="single" w:sz="8" w:space="0" w:color="auto"/>
              <w:left w:val="nil"/>
              <w:bottom w:val="single" w:sz="12"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A</w:t>
            </w:r>
            <w:r w:rsidRPr="004D57B3">
              <w:rPr>
                <w:rFonts w:ascii="Arial Narrow" w:hAnsi="Arial Narrow"/>
                <w:sz w:val="18"/>
                <w:szCs w:val="18"/>
              </w:rPr>
              <w:t xml:space="preserve">pplicable to Australian healthcare context with few caveats </w:t>
            </w:r>
          </w:p>
        </w:tc>
        <w:tc>
          <w:tcPr>
            <w:tcW w:w="1294" w:type="dxa"/>
            <w:tcBorders>
              <w:top w:val="single" w:sz="8" w:space="0" w:color="auto"/>
              <w:left w:val="nil"/>
              <w:bottom w:val="single" w:sz="12"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P</w:t>
            </w:r>
            <w:r w:rsidRPr="004D57B3">
              <w:rPr>
                <w:rFonts w:ascii="Arial Narrow" w:hAnsi="Arial Narrow"/>
                <w:sz w:val="18"/>
                <w:szCs w:val="18"/>
              </w:rPr>
              <w:t>robably applicable to Australian healthcare context with some caveats</w:t>
            </w:r>
          </w:p>
        </w:tc>
        <w:tc>
          <w:tcPr>
            <w:tcW w:w="1282" w:type="dxa"/>
            <w:tcBorders>
              <w:top w:val="single" w:sz="8" w:space="0" w:color="auto"/>
              <w:left w:val="nil"/>
              <w:bottom w:val="single" w:sz="12" w:space="0" w:color="auto"/>
              <w:right w:val="nil"/>
            </w:tcBorders>
          </w:tcPr>
          <w:p w:rsidR="0048417A" w:rsidRPr="004D57B3" w:rsidRDefault="0048417A" w:rsidP="00AE591B">
            <w:pPr>
              <w:spacing w:before="60" w:after="60"/>
              <w:ind w:leftChars="24" w:left="58"/>
              <w:rPr>
                <w:rFonts w:ascii="Arial Narrow" w:hAnsi="Arial Narrow"/>
                <w:sz w:val="18"/>
                <w:szCs w:val="18"/>
              </w:rPr>
            </w:pPr>
            <w:r>
              <w:rPr>
                <w:rFonts w:ascii="Arial Narrow" w:hAnsi="Arial Narrow"/>
                <w:sz w:val="18"/>
                <w:szCs w:val="18"/>
              </w:rPr>
              <w:t>N</w:t>
            </w:r>
            <w:r w:rsidRPr="004D57B3">
              <w:rPr>
                <w:rFonts w:ascii="Arial Narrow" w:hAnsi="Arial Narrow"/>
                <w:sz w:val="18"/>
                <w:szCs w:val="18"/>
              </w:rPr>
              <w:t>ot applicable to Australian healthcare context</w:t>
            </w:r>
          </w:p>
        </w:tc>
      </w:tr>
    </w:tbl>
    <w:p w:rsidR="0048417A" w:rsidRPr="004D57B3" w:rsidRDefault="0048417A" w:rsidP="00836B55">
      <w:pPr>
        <w:pStyle w:val="TableNotes"/>
        <w:ind w:left="0"/>
      </w:pPr>
    </w:p>
    <w:p w:rsidR="0048417A" w:rsidRPr="004D57B3" w:rsidRDefault="0048417A" w:rsidP="00836B55">
      <w:pPr>
        <w:pStyle w:val="TableNotes"/>
      </w:pPr>
      <w:r w:rsidRPr="004D57B3">
        <w:t>SR = systematic review; several = more than two studies</w:t>
      </w:r>
    </w:p>
    <w:p w:rsidR="0048417A" w:rsidRPr="004D57B3" w:rsidRDefault="0048417A" w:rsidP="00836B55">
      <w:pPr>
        <w:pStyle w:val="TableNotes"/>
      </w:pPr>
      <w:proofErr w:type="gramStart"/>
      <w:r w:rsidRPr="004D57B3">
        <w:t>1  Level</w:t>
      </w:r>
      <w:proofErr w:type="gramEnd"/>
      <w:r w:rsidRPr="004D57B3">
        <w:t xml:space="preserve"> of evidence determined from the NHMRC evidence hierarchy – </w:t>
      </w:r>
      <w:r w:rsidR="00AE591B">
        <w:fldChar w:fldCharType="begin"/>
      </w:r>
      <w:r w:rsidR="00AE591B">
        <w:instrText xml:space="preserve"> REF _Ref206478826 \h  \* MERGEFORMAT </w:instrText>
      </w:r>
      <w:r w:rsidR="00AE591B">
        <w:fldChar w:fldCharType="separate"/>
      </w:r>
      <w:r w:rsidRPr="004D57B3">
        <w:t xml:space="preserve">Table </w:t>
      </w:r>
      <w:r>
        <w:rPr>
          <w:noProof/>
        </w:rPr>
        <w:t>14</w:t>
      </w:r>
      <w:r w:rsidR="00AE591B">
        <w:fldChar w:fldCharType="end"/>
      </w:r>
      <w:r>
        <w:t>.</w:t>
      </w:r>
    </w:p>
    <w:p w:rsidR="0048417A" w:rsidRPr="004D57B3" w:rsidRDefault="0048417A" w:rsidP="00836B55">
      <w:pPr>
        <w:pStyle w:val="TableNotes"/>
      </w:pPr>
      <w:proofErr w:type="gramStart"/>
      <w:r w:rsidRPr="004D57B3">
        <w:t>2  If</w:t>
      </w:r>
      <w:proofErr w:type="gramEnd"/>
      <w:r w:rsidRPr="004D57B3">
        <w:t xml:space="preserve"> there is only one study, rank this component as ‘not applicable’</w:t>
      </w:r>
      <w:r>
        <w:t>.</w:t>
      </w:r>
    </w:p>
    <w:p w:rsidR="0048417A" w:rsidRPr="004D57B3" w:rsidRDefault="0048417A" w:rsidP="00836B55">
      <w:pPr>
        <w:pStyle w:val="TableNotes"/>
      </w:pPr>
      <w:proofErr w:type="gramStart"/>
      <w:r w:rsidRPr="004D57B3">
        <w:t>3  For</w:t>
      </w:r>
      <w:proofErr w:type="gramEnd"/>
      <w:r w:rsidRPr="004D57B3">
        <w:t xml:space="preserve"> example, results in adults that are clinically sensible to apply to children OR psychosocial outcomes for one cancer that may be applicable to patients with another cancer</w:t>
      </w:r>
      <w:r>
        <w:t>.</w:t>
      </w:r>
    </w:p>
    <w:p w:rsidR="0048417A" w:rsidRPr="004D57B3" w:rsidRDefault="0048417A" w:rsidP="00836B55">
      <w:pPr>
        <w:pStyle w:val="TableNotes"/>
        <w:rPr>
          <w:b/>
        </w:rPr>
      </w:pPr>
    </w:p>
    <w:p w:rsidR="0048417A" w:rsidRPr="004D57B3" w:rsidRDefault="0048417A" w:rsidP="00836B55">
      <w:pPr>
        <w:pStyle w:val="TableNotes"/>
      </w:pPr>
      <w:r w:rsidRPr="00692B21">
        <w:t>Source:</w:t>
      </w:r>
      <w:r w:rsidRPr="004D57B3">
        <w:rPr>
          <w:b/>
        </w:rPr>
        <w:t xml:space="preserve"> </w:t>
      </w:r>
      <w:r w:rsidRPr="004D57B3">
        <w:t xml:space="preserve">NHMRC </w:t>
      </w:r>
      <w:r w:rsidRPr="004D57B3">
        <w:rPr>
          <w:noProof/>
        </w:rPr>
        <w:t>(2009)</w:t>
      </w:r>
    </w:p>
    <w:p w:rsidR="0048417A" w:rsidRPr="004D57B3" w:rsidRDefault="0048417A" w:rsidP="00836B55">
      <w:pPr>
        <w:pStyle w:val="Heading2"/>
      </w:pPr>
      <w:bookmarkStart w:id="163" w:name="_Toc86028813"/>
      <w:bookmarkStart w:id="164" w:name="_Toc188861190"/>
      <w:bookmarkStart w:id="165" w:name="_Toc296517884"/>
      <w:r w:rsidRPr="004D57B3">
        <w:t>Expert advice</w:t>
      </w:r>
      <w:bookmarkEnd w:id="163"/>
      <w:bookmarkEnd w:id="164"/>
      <w:bookmarkEnd w:id="165"/>
      <w:r w:rsidRPr="004D57B3">
        <w:t xml:space="preserve"> </w:t>
      </w:r>
    </w:p>
    <w:p w:rsidR="0048417A" w:rsidRPr="004D57B3" w:rsidRDefault="0048417A" w:rsidP="00836B55">
      <w:r w:rsidRPr="004D57B3">
        <w:t xml:space="preserve">An advisory panel with expertise in gastroenterology was established to provide guidance to the health technology assessors to ensure that the assessment is clinically relevant and takes into account consumer interests.  Membership of the </w:t>
      </w:r>
      <w:r>
        <w:t>A</w:t>
      </w:r>
      <w:r w:rsidRPr="004D57B3">
        <w:t xml:space="preserve">dvisory </w:t>
      </w:r>
      <w:r>
        <w:t>P</w:t>
      </w:r>
      <w:r w:rsidRPr="004D57B3">
        <w:t xml:space="preserve">anel is provided at </w:t>
      </w:r>
      <w:r w:rsidR="00AE591B">
        <w:fldChar w:fldCharType="begin"/>
      </w:r>
      <w:r w:rsidR="00AE591B">
        <w:instrText xml:space="preserve"> REF _Ref206484417 \h  \* MERGEFORMAT </w:instrText>
      </w:r>
      <w:r w:rsidR="00AE591B">
        <w:fldChar w:fldCharType="separate"/>
      </w:r>
      <w:r w:rsidRPr="004D57B3">
        <w:rPr>
          <w:bCs/>
        </w:rPr>
        <w:t xml:space="preserve">Appendix </w:t>
      </w:r>
      <w:r>
        <w:rPr>
          <w:bCs/>
        </w:rPr>
        <w:t>B</w:t>
      </w:r>
      <w:r w:rsidR="00AE591B">
        <w:fldChar w:fldCharType="end"/>
      </w:r>
      <w:r w:rsidRPr="004D57B3">
        <w:t xml:space="preserve">. </w:t>
      </w:r>
    </w:p>
    <w:p w:rsidR="0048417A" w:rsidRPr="004D57B3" w:rsidRDefault="0048417A"/>
    <w:p w:rsidR="0048417A" w:rsidRPr="004D57B3" w:rsidRDefault="0048417A" w:rsidP="00836B55">
      <w:pPr>
        <w:sectPr w:rsidR="0048417A" w:rsidRPr="004D57B3" w:rsidSect="00836B55">
          <w:footerReference w:type="default" r:id="rId26"/>
          <w:pgSz w:w="11909" w:h="16834" w:code="9"/>
          <w:pgMar w:top="1440" w:right="1440" w:bottom="1440" w:left="1440" w:header="709" w:footer="709" w:gutter="0"/>
          <w:cols w:space="720"/>
        </w:sectPr>
      </w:pPr>
      <w:bookmarkStart w:id="166" w:name="_Ref124760357"/>
    </w:p>
    <w:p w:rsidR="0048417A" w:rsidRPr="004D57B3" w:rsidRDefault="0048417A" w:rsidP="00836B55">
      <w:pPr>
        <w:pStyle w:val="Heading1"/>
      </w:pPr>
      <w:bookmarkStart w:id="167" w:name="_Toc296517885"/>
      <w:bookmarkEnd w:id="166"/>
      <w:r w:rsidRPr="004D57B3">
        <w:lastRenderedPageBreak/>
        <w:t>Results of assessment</w:t>
      </w:r>
      <w:bookmarkEnd w:id="167"/>
      <w:r w:rsidRPr="004D57B3">
        <w:t xml:space="preserve"> </w:t>
      </w:r>
    </w:p>
    <w:p w:rsidR="0048417A" w:rsidRPr="004D57B3" w:rsidRDefault="0048417A" w:rsidP="00836B55">
      <w:pPr>
        <w:pStyle w:val="Heading2"/>
      </w:pPr>
      <w:bookmarkStart w:id="168" w:name="_Toc296517886"/>
      <w:r>
        <w:t>C</w:t>
      </w:r>
      <w:r w:rsidRPr="004D57B3">
        <w:t>apsule endoscopy</w:t>
      </w:r>
      <w:bookmarkEnd w:id="168"/>
    </w:p>
    <w:p w:rsidR="0048417A" w:rsidRPr="004D57B3" w:rsidRDefault="0048417A" w:rsidP="00836B55">
      <w:r w:rsidRPr="004D57B3">
        <w:t xml:space="preserve">After applying the </w:t>
      </w:r>
      <w:r>
        <w:t>selection</w:t>
      </w:r>
      <w:r w:rsidRPr="004D57B3">
        <w:t xml:space="preserve"> criteria outlined in </w:t>
      </w:r>
      <w:r w:rsidR="00AE591B">
        <w:fldChar w:fldCharType="begin"/>
      </w:r>
      <w:r w:rsidR="00AE591B">
        <w:instrText xml:space="preserve"> REF _Ref276648693 \h  \* MERGEFORMAT </w:instrText>
      </w:r>
      <w:r w:rsidR="00AE591B">
        <w:fldChar w:fldCharType="separate"/>
      </w:r>
      <w:r w:rsidRPr="004D57B3">
        <w:t xml:space="preserve">Table </w:t>
      </w:r>
      <w:r>
        <w:rPr>
          <w:noProof/>
        </w:rPr>
        <w:t>12</w:t>
      </w:r>
      <w:r w:rsidR="00AE591B">
        <w:fldChar w:fldCharType="end"/>
      </w:r>
      <w:r w:rsidRPr="004D57B3">
        <w:t xml:space="preserve"> to the 1,222 non-duplicate citations retrieved from the search strategy, a total of 21 studies were identified for the review. These 21 studies consisted of 1 HTA, 2 systematic reviews, 15 primary studies and 3 economic studies.  The included primary studies are listed in </w:t>
      </w:r>
      <w:r w:rsidR="00AE591B">
        <w:fldChar w:fldCharType="begin"/>
      </w:r>
      <w:r w:rsidR="00AE591B">
        <w:instrText xml:space="preserve"> REF _Ref278362171 \h  \* MERGEFORMAT </w:instrText>
      </w:r>
      <w:r w:rsidR="00AE591B">
        <w:fldChar w:fldCharType="separate"/>
      </w:r>
      <w:r w:rsidRPr="004D57B3">
        <w:t xml:space="preserve">Table </w:t>
      </w:r>
      <w:r>
        <w:rPr>
          <w:noProof/>
        </w:rPr>
        <w:t>20</w:t>
      </w:r>
      <w:r w:rsidR="00AE591B">
        <w:fldChar w:fldCharType="end"/>
      </w:r>
      <w:r w:rsidRPr="004D57B3">
        <w:t>. In total, 5 of these studies were included in the assessment of diagnostic accuracy, 14 in the assessment of diagnostic yield and 14 in the safety assessment (</w:t>
      </w:r>
      <w:r>
        <w:t>s</w:t>
      </w:r>
      <w:r w:rsidRPr="004D57B3">
        <w:t xml:space="preserve">ee </w:t>
      </w:r>
      <w:r w:rsidR="00AE591B">
        <w:fldChar w:fldCharType="begin"/>
      </w:r>
      <w:r w:rsidR="00AE591B">
        <w:instrText xml:space="preserve"> REF _Ref276649180 \h  \* MERGEFORMAT </w:instrText>
      </w:r>
      <w:r w:rsidR="00AE591B">
        <w:fldChar w:fldCharType="separate"/>
      </w:r>
      <w:r w:rsidRPr="004D57B3">
        <w:t xml:space="preserve">Figure </w:t>
      </w:r>
      <w:r>
        <w:t>3</w:t>
      </w:r>
      <w:r w:rsidR="00AE591B">
        <w:fldChar w:fldCharType="end"/>
      </w:r>
      <w:r w:rsidRPr="004D57B3">
        <w:t xml:space="preserve">). </w:t>
      </w:r>
    </w:p>
    <w:p w:rsidR="0048417A" w:rsidRPr="004D57B3" w:rsidRDefault="0048417A" w:rsidP="00836B55">
      <w:pPr>
        <w:pStyle w:val="TableName"/>
        <w:ind w:left="1485" w:hanging="765"/>
      </w:pPr>
      <w:bookmarkStart w:id="169" w:name="_Ref278362171"/>
      <w:bookmarkStart w:id="170" w:name="_Toc291859582"/>
      <w:r w:rsidRPr="004D57B3">
        <w:t xml:space="preserve">Table </w:t>
      </w:r>
      <w:r w:rsidR="00AE591B">
        <w:fldChar w:fldCharType="begin"/>
      </w:r>
      <w:r w:rsidR="00AE591B">
        <w:instrText xml:space="preserve"> SEQ Table \* ARABIC </w:instrText>
      </w:r>
      <w:r w:rsidR="00AE591B">
        <w:fldChar w:fldCharType="separate"/>
      </w:r>
      <w:r>
        <w:rPr>
          <w:noProof/>
        </w:rPr>
        <w:t>20</w:t>
      </w:r>
      <w:r w:rsidR="00AE591B">
        <w:rPr>
          <w:noProof/>
        </w:rPr>
        <w:fldChar w:fldCharType="end"/>
      </w:r>
      <w:bookmarkEnd w:id="169"/>
      <w:r w:rsidRPr="004D57B3">
        <w:tab/>
        <w:t>Re</w:t>
      </w:r>
      <w:r>
        <w:t>levant studies of</w:t>
      </w:r>
      <w:r w:rsidRPr="004D57B3">
        <w:t xml:space="preserve"> capsule endoscopy included in the review</w:t>
      </w:r>
      <w:bookmarkEnd w:id="170"/>
    </w:p>
    <w:tbl>
      <w:tblPr>
        <w:tblW w:w="7891" w:type="dxa"/>
        <w:tblInd w:w="720" w:type="dxa"/>
        <w:tblBorders>
          <w:top w:val="single" w:sz="4" w:space="0" w:color="auto"/>
          <w:left w:val="single" w:sz="4" w:space="0" w:color="auto"/>
          <w:bottom w:val="single" w:sz="4" w:space="0" w:color="auto"/>
          <w:insideH w:val="single" w:sz="4" w:space="0" w:color="auto"/>
        </w:tblBorders>
        <w:tblLook w:val="00A0" w:firstRow="1" w:lastRow="0" w:firstColumn="1" w:lastColumn="0" w:noHBand="0" w:noVBand="0"/>
      </w:tblPr>
      <w:tblGrid>
        <w:gridCol w:w="1798"/>
        <w:gridCol w:w="3325"/>
        <w:gridCol w:w="955"/>
        <w:gridCol w:w="907"/>
        <w:gridCol w:w="906"/>
      </w:tblGrid>
      <w:tr w:rsidR="0048417A" w:rsidRPr="004D57B3" w:rsidTr="00836B55">
        <w:trPr>
          <w:cantSplit/>
          <w:trHeight w:val="332"/>
        </w:trPr>
        <w:tc>
          <w:tcPr>
            <w:tcW w:w="1798" w:type="dxa"/>
            <w:vMerge w:val="restart"/>
            <w:tcBorders>
              <w:left w:val="nil"/>
            </w:tcBorders>
          </w:tcPr>
          <w:p w:rsidR="0048417A" w:rsidRPr="004D57B3" w:rsidRDefault="0048417A" w:rsidP="00836B55">
            <w:pPr>
              <w:pStyle w:val="TableHeading"/>
            </w:pPr>
            <w:r w:rsidRPr="004D57B3">
              <w:t>Study</w:t>
            </w:r>
          </w:p>
        </w:tc>
        <w:tc>
          <w:tcPr>
            <w:tcW w:w="3325" w:type="dxa"/>
            <w:vMerge w:val="restart"/>
            <w:tcBorders>
              <w:right w:val="nil"/>
            </w:tcBorders>
          </w:tcPr>
          <w:p w:rsidR="0048417A" w:rsidRPr="004D57B3" w:rsidRDefault="0048417A" w:rsidP="00836B55">
            <w:pPr>
              <w:pStyle w:val="TableHeading"/>
              <w:jc w:val="center"/>
            </w:pPr>
            <w:r w:rsidRPr="004D57B3">
              <w:t>Study design</w:t>
            </w:r>
          </w:p>
        </w:tc>
        <w:tc>
          <w:tcPr>
            <w:tcW w:w="0" w:type="auto"/>
            <w:gridSpan w:val="3"/>
            <w:tcBorders>
              <w:left w:val="nil"/>
              <w:bottom w:val="nil"/>
              <w:right w:val="nil"/>
            </w:tcBorders>
          </w:tcPr>
          <w:p w:rsidR="0048417A" w:rsidRPr="004D57B3" w:rsidRDefault="0048417A" w:rsidP="00836B55">
            <w:pPr>
              <w:pStyle w:val="TableHeading"/>
              <w:jc w:val="center"/>
            </w:pPr>
            <w:r w:rsidRPr="004D57B3">
              <w:t>Reviewed for assessment of</w:t>
            </w:r>
          </w:p>
        </w:tc>
      </w:tr>
      <w:tr w:rsidR="0048417A" w:rsidRPr="004D57B3" w:rsidTr="00836B55">
        <w:trPr>
          <w:trHeight w:val="490"/>
        </w:trPr>
        <w:tc>
          <w:tcPr>
            <w:tcW w:w="1798" w:type="dxa"/>
            <w:vMerge/>
            <w:tcBorders>
              <w:left w:val="nil"/>
            </w:tcBorders>
          </w:tcPr>
          <w:p w:rsidR="0048417A" w:rsidRPr="004D57B3" w:rsidRDefault="0048417A" w:rsidP="00836B55">
            <w:pPr>
              <w:ind w:left="0"/>
            </w:pPr>
          </w:p>
        </w:tc>
        <w:tc>
          <w:tcPr>
            <w:tcW w:w="3325" w:type="dxa"/>
            <w:vMerge/>
          </w:tcPr>
          <w:p w:rsidR="0048417A" w:rsidRPr="004D57B3" w:rsidRDefault="0048417A" w:rsidP="00836B55">
            <w:pPr>
              <w:ind w:left="0"/>
            </w:pPr>
          </w:p>
        </w:tc>
        <w:tc>
          <w:tcPr>
            <w:tcW w:w="955" w:type="dxa"/>
            <w:tcBorders>
              <w:top w:val="nil"/>
            </w:tcBorders>
          </w:tcPr>
          <w:p w:rsidR="0048417A" w:rsidRPr="004D57B3" w:rsidRDefault="0048417A" w:rsidP="00836B55">
            <w:pPr>
              <w:pStyle w:val="TableHeading"/>
              <w:jc w:val="center"/>
            </w:pPr>
            <w:r w:rsidRPr="004D57B3">
              <w:t>Efficacy</w:t>
            </w:r>
          </w:p>
          <w:p w:rsidR="0048417A" w:rsidRPr="004D57B3" w:rsidRDefault="0048417A" w:rsidP="00836B55">
            <w:pPr>
              <w:pStyle w:val="TableHeading"/>
              <w:jc w:val="center"/>
            </w:pPr>
            <w:r w:rsidRPr="004D57B3">
              <w:t>(accuracy)</w:t>
            </w:r>
          </w:p>
        </w:tc>
        <w:tc>
          <w:tcPr>
            <w:tcW w:w="907" w:type="dxa"/>
            <w:tcBorders>
              <w:top w:val="nil"/>
            </w:tcBorders>
          </w:tcPr>
          <w:p w:rsidR="0048417A" w:rsidRPr="004D57B3" w:rsidRDefault="0048417A" w:rsidP="00836B55">
            <w:pPr>
              <w:pStyle w:val="TableHeading"/>
              <w:jc w:val="center"/>
            </w:pPr>
            <w:r w:rsidRPr="004D57B3">
              <w:t>Efficacy</w:t>
            </w:r>
          </w:p>
          <w:p w:rsidR="0048417A" w:rsidRPr="004D57B3" w:rsidRDefault="0048417A" w:rsidP="00836B55">
            <w:pPr>
              <w:pStyle w:val="TableHeading"/>
              <w:jc w:val="center"/>
            </w:pPr>
            <w:r w:rsidRPr="004D57B3">
              <w:t>(yield)</w:t>
            </w:r>
          </w:p>
        </w:tc>
        <w:tc>
          <w:tcPr>
            <w:tcW w:w="906" w:type="dxa"/>
            <w:tcBorders>
              <w:top w:val="nil"/>
              <w:right w:val="nil"/>
            </w:tcBorders>
          </w:tcPr>
          <w:p w:rsidR="0048417A" w:rsidRPr="004D57B3" w:rsidRDefault="0048417A" w:rsidP="00836B55">
            <w:pPr>
              <w:pStyle w:val="TableHeading"/>
              <w:jc w:val="center"/>
            </w:pPr>
            <w:r w:rsidRPr="004D57B3">
              <w:t>Safety</w:t>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t xml:space="preserve">Albert et al </w:t>
            </w:r>
            <w:r w:rsidRPr="004D57B3">
              <w:rPr>
                <w:noProof/>
              </w:rPr>
              <w:t>(2005)</w:t>
            </w:r>
          </w:p>
        </w:tc>
        <w:tc>
          <w:tcPr>
            <w:tcW w:w="3325" w:type="dxa"/>
            <w:vAlign w:val="center"/>
          </w:tcPr>
          <w:p w:rsidR="0048417A" w:rsidRPr="004D57B3" w:rsidRDefault="0048417A" w:rsidP="00836B55">
            <w:pPr>
              <w:pStyle w:val="TableText"/>
            </w:pPr>
            <w:r w:rsidRPr="004D57B3">
              <w:t>Prospective, consecutive diagnostic accuracy</w:t>
            </w:r>
          </w:p>
        </w:tc>
        <w:tc>
          <w:tcPr>
            <w:tcW w:w="955" w:type="dxa"/>
            <w:vAlign w:val="center"/>
          </w:tcPr>
          <w:p w:rsidR="0048417A" w:rsidRPr="004D57B3" w:rsidRDefault="0048417A" w:rsidP="00836B55">
            <w:pPr>
              <w:spacing w:after="0"/>
              <w:ind w:left="0"/>
              <w:jc w:val="center"/>
            </w:pPr>
            <w:r w:rsidRPr="004D57B3">
              <w:rPr>
                <w:szCs w:val="24"/>
              </w:rPr>
              <w:sym w:font="Wingdings" w:char="F0FC"/>
            </w: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proofErr w:type="spellStart"/>
            <w:r w:rsidRPr="004D57B3">
              <w:t>Casciani</w:t>
            </w:r>
            <w:proofErr w:type="spellEnd"/>
            <w:r w:rsidRPr="004D57B3">
              <w:t xml:space="preserve"> et al </w:t>
            </w:r>
            <w:r>
              <w:rPr>
                <w:noProof/>
              </w:rPr>
              <w:t>(2011)</w:t>
            </w:r>
          </w:p>
        </w:tc>
        <w:tc>
          <w:tcPr>
            <w:tcW w:w="3325" w:type="dxa"/>
            <w:vAlign w:val="center"/>
          </w:tcPr>
          <w:p w:rsidR="0048417A" w:rsidRPr="004D57B3" w:rsidRDefault="0048417A" w:rsidP="00836B55">
            <w:pPr>
              <w:pStyle w:val="TableText"/>
            </w:pPr>
            <w:r w:rsidRPr="004D57B3">
              <w:t>Prospective, consecutive diagnostic accuracy</w:t>
            </w:r>
          </w:p>
        </w:tc>
        <w:tc>
          <w:tcPr>
            <w:tcW w:w="955" w:type="dxa"/>
            <w:vAlign w:val="center"/>
          </w:tcPr>
          <w:p w:rsidR="0048417A" w:rsidRPr="004D57B3" w:rsidRDefault="0048417A" w:rsidP="00836B55">
            <w:pPr>
              <w:spacing w:after="0"/>
              <w:ind w:left="0"/>
              <w:jc w:val="center"/>
            </w:pPr>
            <w:r w:rsidRPr="004D57B3">
              <w:rPr>
                <w:szCs w:val="24"/>
              </w:rPr>
              <w:sym w:font="Wingdings" w:char="F0FC"/>
            </w: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proofErr w:type="spellStart"/>
            <w:r w:rsidRPr="004D57B3">
              <w:t>Figueiredo</w:t>
            </w:r>
            <w:proofErr w:type="spellEnd"/>
            <w:r w:rsidRPr="004D57B3">
              <w:t xml:space="preserve">  et al </w:t>
            </w:r>
            <w:r w:rsidRPr="004D57B3">
              <w:rPr>
                <w:noProof/>
              </w:rPr>
              <w:t>(2010)</w:t>
            </w:r>
          </w:p>
        </w:tc>
        <w:tc>
          <w:tcPr>
            <w:tcW w:w="3325" w:type="dxa"/>
            <w:vAlign w:val="center"/>
          </w:tcPr>
          <w:p w:rsidR="0048417A" w:rsidRPr="004D57B3" w:rsidRDefault="0048417A" w:rsidP="00836B55">
            <w:pPr>
              <w:pStyle w:val="TableText"/>
            </w:pPr>
            <w:r w:rsidRPr="004D57B3">
              <w:t>Retrospective diagnostic accuracy</w:t>
            </w:r>
          </w:p>
        </w:tc>
        <w:tc>
          <w:tcPr>
            <w:tcW w:w="955" w:type="dxa"/>
            <w:vAlign w:val="center"/>
          </w:tcPr>
          <w:p w:rsidR="0048417A" w:rsidRPr="004D57B3" w:rsidRDefault="0048417A" w:rsidP="00836B55">
            <w:pPr>
              <w:spacing w:after="0"/>
              <w:ind w:left="0"/>
              <w:jc w:val="center"/>
            </w:pPr>
            <w:r w:rsidRPr="004D57B3">
              <w:rPr>
                <w:szCs w:val="24"/>
              </w:rPr>
              <w:sym w:font="Wingdings" w:char="F0FC"/>
            </w: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proofErr w:type="spellStart"/>
            <w:r w:rsidRPr="004D57B3">
              <w:t>Girelli</w:t>
            </w:r>
            <w:proofErr w:type="spellEnd"/>
            <w:r w:rsidRPr="004D57B3">
              <w:t xml:space="preserve"> et al </w:t>
            </w:r>
            <w:r w:rsidRPr="004D57B3">
              <w:rPr>
                <w:noProof/>
              </w:rPr>
              <w:t>(2007)</w:t>
            </w:r>
          </w:p>
        </w:tc>
        <w:tc>
          <w:tcPr>
            <w:tcW w:w="3325" w:type="dxa"/>
            <w:vAlign w:val="center"/>
          </w:tcPr>
          <w:p w:rsidR="0048417A" w:rsidRPr="004D57B3" w:rsidRDefault="0048417A" w:rsidP="00836B55">
            <w:pPr>
              <w:pStyle w:val="TableText"/>
            </w:pPr>
            <w:r w:rsidRPr="004D57B3">
              <w:t>Prospective, consecutive diagnostic accuracy</w:t>
            </w:r>
          </w:p>
        </w:tc>
        <w:tc>
          <w:tcPr>
            <w:tcW w:w="955" w:type="dxa"/>
            <w:vAlign w:val="center"/>
          </w:tcPr>
          <w:p w:rsidR="0048417A" w:rsidRPr="004D57B3" w:rsidRDefault="0048417A" w:rsidP="00836B55">
            <w:pPr>
              <w:spacing w:after="0"/>
              <w:ind w:left="0"/>
              <w:jc w:val="center"/>
            </w:pPr>
            <w:r w:rsidRPr="004D57B3">
              <w:rPr>
                <w:szCs w:val="24"/>
              </w:rPr>
              <w:sym w:font="Wingdings" w:char="F0FC"/>
            </w: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proofErr w:type="spellStart"/>
            <w:r w:rsidRPr="004D57B3">
              <w:t>Tukey</w:t>
            </w:r>
            <w:proofErr w:type="spellEnd"/>
            <w:r w:rsidRPr="004D57B3">
              <w:t xml:space="preserve"> et al </w:t>
            </w:r>
            <w:r w:rsidRPr="004D57B3">
              <w:rPr>
                <w:noProof/>
              </w:rPr>
              <w:t>(2009)</w:t>
            </w:r>
          </w:p>
        </w:tc>
        <w:tc>
          <w:tcPr>
            <w:tcW w:w="3325" w:type="dxa"/>
            <w:vAlign w:val="center"/>
          </w:tcPr>
          <w:p w:rsidR="0048417A" w:rsidRPr="004D57B3" w:rsidRDefault="0048417A" w:rsidP="00836B55">
            <w:pPr>
              <w:pStyle w:val="TableText"/>
            </w:pPr>
            <w:r w:rsidRPr="004D57B3">
              <w:t>Retrospective diagnostic accuracy</w:t>
            </w:r>
          </w:p>
        </w:tc>
        <w:tc>
          <w:tcPr>
            <w:tcW w:w="955" w:type="dxa"/>
            <w:vAlign w:val="center"/>
          </w:tcPr>
          <w:p w:rsidR="0048417A" w:rsidRPr="004D57B3" w:rsidRDefault="0048417A" w:rsidP="00836B55">
            <w:pPr>
              <w:spacing w:after="0"/>
              <w:ind w:left="0"/>
              <w:jc w:val="center"/>
            </w:pPr>
            <w:r w:rsidRPr="004D57B3">
              <w:rPr>
                <w:szCs w:val="24"/>
              </w:rPr>
              <w:sym w:font="Wingdings" w:char="F0FC"/>
            </w: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t xml:space="preserve">Chong et al </w:t>
            </w:r>
            <w:r w:rsidRPr="004D57B3">
              <w:rPr>
                <w:noProof/>
              </w:rPr>
              <w:t>(2005)</w:t>
            </w:r>
          </w:p>
        </w:tc>
        <w:tc>
          <w:tcPr>
            <w:tcW w:w="3325" w:type="dxa"/>
            <w:vAlign w:val="center"/>
          </w:tcPr>
          <w:p w:rsidR="0048417A" w:rsidRPr="004D57B3" w:rsidRDefault="0048417A" w:rsidP="00836B55">
            <w:pPr>
              <w:pStyle w:val="TableText"/>
            </w:pPr>
            <w:r w:rsidRPr="004D57B3">
              <w:t>Prospective, non</w:t>
            </w:r>
            <w:r>
              <w:t>-</w:t>
            </w:r>
            <w:r w:rsidRPr="004D57B3">
              <w:t>consecutive blinded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t xml:space="preserve">De Bona et al </w:t>
            </w:r>
            <w:r w:rsidRPr="004D57B3">
              <w:rPr>
                <w:noProof/>
              </w:rPr>
              <w:t>(2006)</w:t>
            </w:r>
          </w:p>
        </w:tc>
        <w:tc>
          <w:tcPr>
            <w:tcW w:w="3325" w:type="dxa"/>
            <w:vAlign w:val="center"/>
          </w:tcPr>
          <w:p w:rsidR="0048417A" w:rsidRPr="004D57B3" w:rsidRDefault="0048417A" w:rsidP="00836B55">
            <w:pPr>
              <w:pStyle w:val="TableText"/>
            </w:pPr>
            <w:r w:rsidRPr="004D57B3">
              <w:t>Prospective, consecutive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rPr>
                <w:noProof/>
              </w:rPr>
              <w:t>Efthymiou et al (2009)</w:t>
            </w:r>
          </w:p>
        </w:tc>
        <w:tc>
          <w:tcPr>
            <w:tcW w:w="3325" w:type="dxa"/>
            <w:vAlign w:val="center"/>
          </w:tcPr>
          <w:p w:rsidR="0048417A" w:rsidRPr="004D57B3" w:rsidRDefault="0048417A" w:rsidP="00836B55">
            <w:pPr>
              <w:pStyle w:val="TableText"/>
            </w:pPr>
            <w:r w:rsidRPr="004D57B3">
              <w:t>Prospective, blinded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proofErr w:type="spellStart"/>
            <w:r w:rsidRPr="004D57B3">
              <w:t>Eliakim</w:t>
            </w:r>
            <w:proofErr w:type="spellEnd"/>
            <w:r w:rsidRPr="004D57B3">
              <w:t xml:space="preserve"> et al </w:t>
            </w:r>
            <w:r w:rsidRPr="004D57B3">
              <w:rPr>
                <w:noProof/>
              </w:rPr>
              <w:t>(2004)</w:t>
            </w:r>
            <w:r w:rsidRPr="004D57B3">
              <w:t xml:space="preserve"> </w:t>
            </w:r>
          </w:p>
        </w:tc>
        <w:tc>
          <w:tcPr>
            <w:tcW w:w="3325" w:type="dxa"/>
            <w:vAlign w:val="center"/>
          </w:tcPr>
          <w:p w:rsidR="0048417A" w:rsidRPr="004D57B3" w:rsidRDefault="0048417A" w:rsidP="00836B55">
            <w:pPr>
              <w:pStyle w:val="TableText"/>
            </w:pPr>
            <w:r w:rsidRPr="004D57B3">
              <w:t>Prospective, consecutive, blinded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t xml:space="preserve">Ge et al </w:t>
            </w:r>
            <w:r w:rsidRPr="004D57B3">
              <w:rPr>
                <w:noProof/>
              </w:rPr>
              <w:t>(2004)</w:t>
            </w:r>
          </w:p>
        </w:tc>
        <w:tc>
          <w:tcPr>
            <w:tcW w:w="3325" w:type="dxa"/>
            <w:vAlign w:val="center"/>
          </w:tcPr>
          <w:p w:rsidR="0048417A" w:rsidRPr="004D57B3" w:rsidRDefault="0048417A" w:rsidP="00836B55">
            <w:pPr>
              <w:pStyle w:val="TableText"/>
            </w:pPr>
            <w:r w:rsidRPr="004D57B3">
              <w:t>Prospective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rPr>
                <w:noProof/>
              </w:rPr>
            </w:pPr>
            <w:r w:rsidRPr="004D57B3">
              <w:rPr>
                <w:noProof/>
              </w:rPr>
              <w:t>Guilhon de Araujo</w:t>
            </w:r>
          </w:p>
          <w:p w:rsidR="0048417A" w:rsidRPr="004D57B3" w:rsidRDefault="0048417A" w:rsidP="00836B55">
            <w:pPr>
              <w:pStyle w:val="TableText"/>
              <w:spacing w:before="0" w:after="0"/>
            </w:pPr>
            <w:r w:rsidRPr="004D57B3">
              <w:rPr>
                <w:noProof/>
              </w:rPr>
              <w:t>Sant'Anna et al (2005)</w:t>
            </w:r>
          </w:p>
        </w:tc>
        <w:tc>
          <w:tcPr>
            <w:tcW w:w="3325" w:type="dxa"/>
            <w:vAlign w:val="center"/>
          </w:tcPr>
          <w:p w:rsidR="0048417A" w:rsidRPr="004D57B3" w:rsidRDefault="0048417A" w:rsidP="00836B55">
            <w:pPr>
              <w:pStyle w:val="TableText"/>
            </w:pPr>
            <w:r w:rsidRPr="004D57B3">
              <w:t>Prospective, non</w:t>
            </w:r>
            <w:r>
              <w:t>-</w:t>
            </w:r>
            <w:r w:rsidRPr="004D57B3">
              <w:t>consecutive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rPr>
                <w:noProof/>
              </w:rPr>
              <w:t>Herrerias</w:t>
            </w:r>
            <w:r w:rsidRPr="004D57B3">
              <w:t xml:space="preserve"> et al </w:t>
            </w:r>
            <w:r w:rsidRPr="004D57B3">
              <w:rPr>
                <w:noProof/>
              </w:rPr>
              <w:t>(2003)</w:t>
            </w:r>
          </w:p>
        </w:tc>
        <w:tc>
          <w:tcPr>
            <w:tcW w:w="3325" w:type="dxa"/>
            <w:vAlign w:val="center"/>
          </w:tcPr>
          <w:p w:rsidR="0048417A" w:rsidRPr="004D57B3" w:rsidRDefault="0048417A" w:rsidP="00836B55">
            <w:pPr>
              <w:pStyle w:val="TableText"/>
            </w:pPr>
            <w:r w:rsidRPr="004D57B3">
              <w:t>Prospective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t xml:space="preserve">Selby et al </w:t>
            </w:r>
            <w:r>
              <w:rPr>
                <w:noProof/>
              </w:rPr>
              <w:t>(2008)</w:t>
            </w:r>
            <w:r w:rsidRPr="004D57B3">
              <w:rPr>
                <w:vertAlign w:val="superscript"/>
              </w:rPr>
              <w:t xml:space="preserve"> 1</w:t>
            </w:r>
          </w:p>
        </w:tc>
        <w:tc>
          <w:tcPr>
            <w:tcW w:w="3325" w:type="dxa"/>
            <w:vAlign w:val="center"/>
          </w:tcPr>
          <w:p w:rsidR="0048417A" w:rsidRPr="004D57B3" w:rsidRDefault="0048417A" w:rsidP="00836B55">
            <w:pPr>
              <w:pStyle w:val="TableText"/>
            </w:pPr>
            <w:r w:rsidRPr="004D57B3">
              <w:t xml:space="preserve">Prospective diagnostic yield </w:t>
            </w:r>
          </w:p>
        </w:tc>
        <w:tc>
          <w:tcPr>
            <w:tcW w:w="955" w:type="dxa"/>
            <w:vAlign w:val="center"/>
          </w:tcPr>
          <w:p w:rsidR="0048417A" w:rsidRPr="004D57B3" w:rsidRDefault="0048417A" w:rsidP="00836B55">
            <w:pPr>
              <w:spacing w:after="0"/>
              <w:ind w:left="0"/>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r w:rsidRPr="004D57B3">
              <w:t xml:space="preserve">Valle et al </w:t>
            </w:r>
            <w:r w:rsidRPr="004D57B3">
              <w:rPr>
                <w:noProof/>
              </w:rPr>
              <w:t>(2006)</w:t>
            </w:r>
          </w:p>
        </w:tc>
        <w:tc>
          <w:tcPr>
            <w:tcW w:w="3325" w:type="dxa"/>
            <w:vAlign w:val="center"/>
          </w:tcPr>
          <w:p w:rsidR="0048417A" w:rsidRPr="004D57B3" w:rsidRDefault="0048417A" w:rsidP="00836B55">
            <w:pPr>
              <w:pStyle w:val="TableText"/>
            </w:pPr>
            <w:r w:rsidRPr="004D57B3">
              <w:t>Prospective diagnostic yield</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r w:rsidRPr="004D57B3">
              <w:rPr>
                <w:szCs w:val="24"/>
              </w:rPr>
              <w:sym w:font="Wingdings" w:char="F0FC"/>
            </w: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r w:rsidR="0048417A" w:rsidRPr="004D57B3" w:rsidTr="00836B55">
        <w:trPr>
          <w:trHeight w:val="397"/>
        </w:trPr>
        <w:tc>
          <w:tcPr>
            <w:tcW w:w="1798" w:type="dxa"/>
            <w:tcBorders>
              <w:left w:val="nil"/>
            </w:tcBorders>
            <w:vAlign w:val="center"/>
          </w:tcPr>
          <w:p w:rsidR="0048417A" w:rsidRPr="004D57B3" w:rsidRDefault="0048417A" w:rsidP="00836B55">
            <w:pPr>
              <w:pStyle w:val="TableText"/>
              <w:spacing w:before="0" w:after="0"/>
            </w:pPr>
            <w:proofErr w:type="spellStart"/>
            <w:r w:rsidRPr="004D57B3">
              <w:t>Cheifetz</w:t>
            </w:r>
            <w:proofErr w:type="spellEnd"/>
            <w:r w:rsidRPr="004D57B3">
              <w:t xml:space="preserve"> et al </w:t>
            </w:r>
            <w:r w:rsidRPr="004D57B3">
              <w:rPr>
                <w:noProof/>
              </w:rPr>
              <w:t>(2006)</w:t>
            </w:r>
          </w:p>
        </w:tc>
        <w:tc>
          <w:tcPr>
            <w:tcW w:w="3325" w:type="dxa"/>
            <w:vAlign w:val="center"/>
          </w:tcPr>
          <w:p w:rsidR="0048417A" w:rsidRPr="004D57B3" w:rsidRDefault="0048417A" w:rsidP="00836B55">
            <w:pPr>
              <w:pStyle w:val="TableText"/>
            </w:pPr>
            <w:r w:rsidRPr="004D57B3">
              <w:t>Retrospective case series</w:t>
            </w:r>
          </w:p>
        </w:tc>
        <w:tc>
          <w:tcPr>
            <w:tcW w:w="955" w:type="dxa"/>
            <w:vAlign w:val="center"/>
          </w:tcPr>
          <w:p w:rsidR="0048417A" w:rsidRPr="004D57B3" w:rsidRDefault="0048417A" w:rsidP="00836B55">
            <w:pPr>
              <w:spacing w:after="0"/>
              <w:ind w:left="0"/>
              <w:jc w:val="center"/>
            </w:pPr>
          </w:p>
        </w:tc>
        <w:tc>
          <w:tcPr>
            <w:tcW w:w="907" w:type="dxa"/>
            <w:vAlign w:val="center"/>
          </w:tcPr>
          <w:p w:rsidR="0048417A" w:rsidRPr="004D57B3" w:rsidRDefault="0048417A" w:rsidP="00836B55">
            <w:pPr>
              <w:spacing w:after="0"/>
              <w:ind w:left="0"/>
              <w:jc w:val="center"/>
            </w:pPr>
          </w:p>
        </w:tc>
        <w:tc>
          <w:tcPr>
            <w:tcW w:w="906" w:type="dxa"/>
            <w:tcBorders>
              <w:right w:val="nil"/>
            </w:tcBorders>
            <w:vAlign w:val="center"/>
          </w:tcPr>
          <w:p w:rsidR="0048417A" w:rsidRPr="004D57B3" w:rsidRDefault="0048417A" w:rsidP="00836B55">
            <w:pPr>
              <w:spacing w:after="0"/>
              <w:ind w:left="0"/>
              <w:jc w:val="center"/>
            </w:pPr>
            <w:r w:rsidRPr="004D57B3">
              <w:rPr>
                <w:szCs w:val="24"/>
              </w:rPr>
              <w:sym w:font="Wingdings" w:char="F0FC"/>
            </w:r>
          </w:p>
        </w:tc>
      </w:tr>
    </w:tbl>
    <w:p w:rsidR="0048417A" w:rsidRPr="004D57B3" w:rsidRDefault="0048417A" w:rsidP="00836B55">
      <w:pPr>
        <w:pStyle w:val="TableNotes"/>
        <w:numPr>
          <w:ilvl w:val="0"/>
          <w:numId w:val="20"/>
        </w:numPr>
        <w:ind w:hanging="218"/>
      </w:pPr>
      <w:r w:rsidRPr="004D57B3">
        <w:t>This unpublished study was supplied by the applicant and was sponsored by Given Imaging Pty Ltd.</w:t>
      </w:r>
    </w:p>
    <w:p w:rsidR="0048417A" w:rsidRPr="004D57B3" w:rsidRDefault="0048417A" w:rsidP="00836B55">
      <w:pPr>
        <w:pStyle w:val="Heading2"/>
        <w:rPr>
          <w:bCs/>
        </w:rPr>
      </w:pPr>
      <w:bookmarkStart w:id="171" w:name="_Toc296517887"/>
      <w:r w:rsidRPr="004D57B3">
        <w:rPr>
          <w:bCs/>
        </w:rPr>
        <w:t>Is it safe?</w:t>
      </w:r>
      <w:bookmarkEnd w:id="171"/>
      <w:r w:rsidRPr="004D57B3">
        <w:rPr>
          <w:bCs/>
        </w:rPr>
        <w:t xml:space="preserve"> </w:t>
      </w:r>
    </w:p>
    <w:p w:rsidR="0048417A" w:rsidRPr="004D57B3" w:rsidRDefault="0048417A" w:rsidP="00836B55">
      <w:r w:rsidRPr="004D57B3">
        <w:t xml:space="preserve">Studies that met the selection criteria in </w:t>
      </w:r>
      <w:r w:rsidR="00AE591B">
        <w:fldChar w:fldCharType="begin"/>
      </w:r>
      <w:r w:rsidR="00AE591B">
        <w:instrText xml:space="preserve"> REF _Ref276648693 \h  \* MERGEFORMAT </w:instrText>
      </w:r>
      <w:r w:rsidR="00AE591B">
        <w:fldChar w:fldCharType="separate"/>
      </w:r>
      <w:r w:rsidRPr="004D57B3">
        <w:t xml:space="preserve">Table </w:t>
      </w:r>
      <w:r>
        <w:rPr>
          <w:noProof/>
        </w:rPr>
        <w:t>12</w:t>
      </w:r>
      <w:r w:rsidR="00AE591B">
        <w:fldChar w:fldCharType="end"/>
      </w:r>
      <w:r w:rsidRPr="004D57B3">
        <w:t xml:space="preserve"> were included in the safety assessment. Safety data for patients with suspected small bowel Crohn’s disease were reported in 14 studies and these data are summarised in </w:t>
      </w:r>
      <w:r w:rsidR="00AE591B">
        <w:fldChar w:fldCharType="begin"/>
      </w:r>
      <w:r w:rsidR="00AE591B">
        <w:instrText xml:space="preserve"> REF _Ref278294060 \h  \* MERGEFORMAT </w:instrText>
      </w:r>
      <w:r w:rsidR="00AE591B">
        <w:fldChar w:fldCharType="separate"/>
      </w:r>
      <w:r w:rsidRPr="004D57B3">
        <w:t xml:space="preserve">Table </w:t>
      </w:r>
      <w:r>
        <w:rPr>
          <w:noProof/>
        </w:rPr>
        <w:t>21</w:t>
      </w:r>
      <w:r w:rsidR="00AE591B">
        <w:fldChar w:fldCharType="end"/>
      </w:r>
      <w:r w:rsidRPr="004D57B3">
        <w:t>. All were non-comparative.</w:t>
      </w:r>
    </w:p>
    <w:p w:rsidR="0048417A" w:rsidRPr="004D57B3" w:rsidRDefault="0048417A" w:rsidP="00836B55">
      <w:pPr>
        <w:pStyle w:val="TableName"/>
        <w:ind w:left="1485" w:hanging="765"/>
      </w:pPr>
      <w:bookmarkStart w:id="172" w:name="_Ref278294060"/>
      <w:bookmarkStart w:id="173" w:name="_Ref284589480"/>
      <w:bookmarkStart w:id="174" w:name="_Toc291859583"/>
      <w:r w:rsidRPr="004D57B3">
        <w:lastRenderedPageBreak/>
        <w:t xml:space="preserve">Table </w:t>
      </w:r>
      <w:r w:rsidR="00AE591B">
        <w:fldChar w:fldCharType="begin"/>
      </w:r>
      <w:r w:rsidR="00AE591B">
        <w:instrText xml:space="preserve"> SEQ Table \* ARABIC </w:instrText>
      </w:r>
      <w:r w:rsidR="00AE591B">
        <w:fldChar w:fldCharType="separate"/>
      </w:r>
      <w:r>
        <w:rPr>
          <w:noProof/>
        </w:rPr>
        <w:t>21</w:t>
      </w:r>
      <w:r w:rsidR="00AE591B">
        <w:rPr>
          <w:noProof/>
        </w:rPr>
        <w:fldChar w:fldCharType="end"/>
      </w:r>
      <w:bookmarkEnd w:id="172"/>
      <w:r w:rsidRPr="004D57B3">
        <w:tab/>
        <w:t>Adverse events from capsule endoscopy for small bowel Crohn’s disease</w:t>
      </w:r>
      <w:bookmarkEnd w:id="173"/>
      <w:bookmarkEnd w:id="174"/>
    </w:p>
    <w:tbl>
      <w:tblPr>
        <w:tblW w:w="4068" w:type="pct"/>
        <w:tblInd w:w="81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563"/>
        <w:gridCol w:w="854"/>
        <w:gridCol w:w="1135"/>
        <w:gridCol w:w="993"/>
        <w:gridCol w:w="1132"/>
        <w:gridCol w:w="1842"/>
      </w:tblGrid>
      <w:tr w:rsidR="0048417A" w:rsidRPr="004D57B3" w:rsidTr="00836B55">
        <w:trPr>
          <w:trHeight w:val="356"/>
          <w:tblHeader/>
        </w:trPr>
        <w:tc>
          <w:tcPr>
            <w:tcW w:w="1039" w:type="pct"/>
            <w:vMerge w:val="restart"/>
            <w:tcBorders>
              <w:right w:val="single" w:sz="4" w:space="0" w:color="auto"/>
            </w:tcBorders>
          </w:tcPr>
          <w:p w:rsidR="0048417A" w:rsidRPr="004D57B3" w:rsidRDefault="0048417A" w:rsidP="00836B55">
            <w:pPr>
              <w:pStyle w:val="TableHeading"/>
            </w:pPr>
            <w:r w:rsidRPr="004D57B3">
              <w:t>Study</w:t>
            </w:r>
          </w:p>
        </w:tc>
        <w:tc>
          <w:tcPr>
            <w:tcW w:w="2736" w:type="pct"/>
            <w:gridSpan w:val="4"/>
            <w:tcBorders>
              <w:left w:val="single" w:sz="4" w:space="0" w:color="auto"/>
            </w:tcBorders>
          </w:tcPr>
          <w:p w:rsidR="0048417A" w:rsidRPr="004D57B3" w:rsidRDefault="0048417A" w:rsidP="00836B55">
            <w:pPr>
              <w:pStyle w:val="TableHeading"/>
              <w:jc w:val="center"/>
            </w:pPr>
            <w:r w:rsidRPr="004D57B3">
              <w:t>Adverse events</w:t>
            </w:r>
          </w:p>
        </w:tc>
        <w:tc>
          <w:tcPr>
            <w:tcW w:w="1225" w:type="pct"/>
            <w:vMerge w:val="restart"/>
            <w:tcBorders>
              <w:left w:val="single" w:sz="4" w:space="0" w:color="auto"/>
            </w:tcBorders>
          </w:tcPr>
          <w:p w:rsidR="0048417A" w:rsidRPr="004D57B3" w:rsidRDefault="0048417A" w:rsidP="00836B55">
            <w:pPr>
              <w:pStyle w:val="TableHeading"/>
              <w:spacing w:before="0" w:after="0"/>
              <w:jc w:val="center"/>
            </w:pPr>
            <w:r w:rsidRPr="004D57B3">
              <w:t>Excluded strictures</w:t>
            </w:r>
          </w:p>
          <w:p w:rsidR="0048417A" w:rsidRPr="004D57B3" w:rsidRDefault="0048417A" w:rsidP="00836B55">
            <w:pPr>
              <w:pStyle w:val="TableHeading"/>
              <w:spacing w:before="0" w:after="0"/>
              <w:jc w:val="center"/>
            </w:pPr>
            <w:r w:rsidRPr="004D57B3">
              <w:t>on prior</w:t>
            </w:r>
          </w:p>
          <w:p w:rsidR="0048417A" w:rsidRPr="004D57B3" w:rsidRDefault="0048417A" w:rsidP="00836B55">
            <w:pPr>
              <w:pStyle w:val="TableHeading"/>
              <w:spacing w:before="0" w:after="0"/>
              <w:jc w:val="center"/>
            </w:pPr>
            <w:r w:rsidRPr="004D57B3">
              <w:t>radiology</w:t>
            </w:r>
          </w:p>
        </w:tc>
      </w:tr>
      <w:tr w:rsidR="0048417A" w:rsidRPr="004D57B3" w:rsidTr="00836B55">
        <w:trPr>
          <w:trHeight w:val="355"/>
          <w:tblHeader/>
        </w:trPr>
        <w:tc>
          <w:tcPr>
            <w:tcW w:w="1039" w:type="pct"/>
            <w:vMerge/>
            <w:tcBorders>
              <w:right w:val="single" w:sz="4" w:space="0" w:color="auto"/>
            </w:tcBorders>
          </w:tcPr>
          <w:p w:rsidR="0048417A" w:rsidRPr="004D57B3" w:rsidRDefault="0048417A" w:rsidP="00836B55">
            <w:pPr>
              <w:pStyle w:val="TableHeading"/>
            </w:pPr>
          </w:p>
        </w:tc>
        <w:tc>
          <w:tcPr>
            <w:tcW w:w="568" w:type="pct"/>
            <w:tcBorders>
              <w:right w:val="nil"/>
            </w:tcBorders>
          </w:tcPr>
          <w:p w:rsidR="0048417A" w:rsidRPr="004D57B3" w:rsidRDefault="0048417A" w:rsidP="00836B55">
            <w:pPr>
              <w:pStyle w:val="TableHeading"/>
              <w:spacing w:before="0" w:after="0"/>
            </w:pPr>
          </w:p>
          <w:p w:rsidR="0048417A" w:rsidRPr="004D57B3" w:rsidRDefault="0048417A" w:rsidP="00836B55">
            <w:pPr>
              <w:pStyle w:val="TableHeading"/>
              <w:spacing w:before="0" w:after="0"/>
            </w:pPr>
            <w:r w:rsidRPr="004D57B3">
              <w:t>Adverse events</w:t>
            </w:r>
          </w:p>
          <w:p w:rsidR="0048417A" w:rsidRPr="004D57B3" w:rsidRDefault="0048417A" w:rsidP="00836B55">
            <w:pPr>
              <w:pStyle w:val="TableHeading"/>
              <w:spacing w:before="0" w:after="0"/>
            </w:pPr>
            <w:r w:rsidRPr="004D57B3">
              <w:t xml:space="preserve">% </w:t>
            </w:r>
          </w:p>
        </w:tc>
        <w:tc>
          <w:tcPr>
            <w:tcW w:w="755" w:type="pct"/>
            <w:tcBorders>
              <w:left w:val="nil"/>
              <w:right w:val="nil"/>
            </w:tcBorders>
            <w:vAlign w:val="center"/>
          </w:tcPr>
          <w:p w:rsidR="0048417A" w:rsidRDefault="0048417A" w:rsidP="00836B55">
            <w:pPr>
              <w:pStyle w:val="TableHeading"/>
              <w:spacing w:before="0" w:after="0"/>
            </w:pPr>
          </w:p>
          <w:p w:rsidR="0048417A" w:rsidRPr="004D57B3" w:rsidRDefault="0048417A" w:rsidP="00836B55">
            <w:pPr>
              <w:pStyle w:val="TableHeading"/>
              <w:spacing w:before="0" w:after="0"/>
            </w:pPr>
            <w:r w:rsidRPr="004D57B3">
              <w:t>Retention</w:t>
            </w:r>
          </w:p>
          <w:p w:rsidR="0048417A" w:rsidRDefault="0048417A" w:rsidP="00836B55">
            <w:pPr>
              <w:pStyle w:val="TableHeading"/>
              <w:spacing w:before="0" w:after="0"/>
            </w:pPr>
            <w:r w:rsidRPr="004D57B3">
              <w:t xml:space="preserve"> </w:t>
            </w:r>
          </w:p>
          <w:p w:rsidR="0048417A" w:rsidRPr="004D57B3" w:rsidRDefault="0048417A" w:rsidP="00836B55">
            <w:pPr>
              <w:pStyle w:val="TableHeading"/>
              <w:spacing w:before="0" w:after="0"/>
            </w:pPr>
            <w:r w:rsidRPr="004D57B3">
              <w:t xml:space="preserve">% </w:t>
            </w:r>
          </w:p>
        </w:tc>
        <w:tc>
          <w:tcPr>
            <w:tcW w:w="660" w:type="pct"/>
            <w:tcBorders>
              <w:left w:val="nil"/>
            </w:tcBorders>
          </w:tcPr>
          <w:p w:rsidR="0048417A" w:rsidRPr="004D57B3" w:rsidRDefault="0048417A" w:rsidP="00836B55">
            <w:pPr>
              <w:pStyle w:val="TableHeading"/>
              <w:spacing w:before="0" w:after="0"/>
            </w:pPr>
            <w:r w:rsidRPr="004D57B3">
              <w:t xml:space="preserve">Surgery following retention </w:t>
            </w:r>
          </w:p>
          <w:p w:rsidR="0048417A" w:rsidRPr="004D57B3" w:rsidRDefault="0048417A" w:rsidP="00836B55">
            <w:pPr>
              <w:pStyle w:val="TableHeading"/>
              <w:spacing w:before="0" w:after="0"/>
            </w:pPr>
            <w:r w:rsidRPr="004D57B3">
              <w:t xml:space="preserve">% </w:t>
            </w:r>
          </w:p>
        </w:tc>
        <w:tc>
          <w:tcPr>
            <w:tcW w:w="753" w:type="pct"/>
            <w:tcBorders>
              <w:top w:val="nil"/>
              <w:left w:val="nil"/>
              <w:right w:val="single" w:sz="4" w:space="0" w:color="auto"/>
            </w:tcBorders>
          </w:tcPr>
          <w:p w:rsidR="0048417A" w:rsidRPr="004D57B3" w:rsidRDefault="0048417A" w:rsidP="00836B55">
            <w:pPr>
              <w:pStyle w:val="TableHeading"/>
              <w:spacing w:before="0" w:after="0"/>
            </w:pPr>
          </w:p>
          <w:p w:rsidR="0048417A" w:rsidRPr="004D57B3" w:rsidRDefault="0048417A" w:rsidP="00836B55">
            <w:pPr>
              <w:pStyle w:val="TableHeading"/>
              <w:spacing w:before="0" w:after="0"/>
            </w:pPr>
            <w:r w:rsidRPr="004D57B3">
              <w:t>Incomplete CE</w:t>
            </w:r>
          </w:p>
          <w:p w:rsidR="0048417A" w:rsidRPr="004D57B3" w:rsidRDefault="0048417A" w:rsidP="00836B55">
            <w:pPr>
              <w:pStyle w:val="TableHeading"/>
              <w:spacing w:before="0" w:after="0"/>
            </w:pPr>
            <w:r w:rsidRPr="004D57B3">
              <w:t xml:space="preserve">% </w:t>
            </w:r>
          </w:p>
        </w:tc>
        <w:tc>
          <w:tcPr>
            <w:tcW w:w="1225" w:type="pct"/>
            <w:vMerge/>
            <w:tcBorders>
              <w:left w:val="single" w:sz="4" w:space="0" w:color="auto"/>
            </w:tcBorders>
          </w:tcPr>
          <w:p w:rsidR="0048417A" w:rsidRPr="004D57B3" w:rsidRDefault="0048417A" w:rsidP="00836B55">
            <w:pPr>
              <w:pStyle w:val="TableHeading"/>
            </w:pPr>
          </w:p>
        </w:tc>
      </w:tr>
      <w:tr w:rsidR="0048417A" w:rsidRPr="004D57B3" w:rsidTr="00836B55">
        <w:trPr>
          <w:trHeight w:val="411"/>
        </w:trPr>
        <w:tc>
          <w:tcPr>
            <w:tcW w:w="1039" w:type="pct"/>
            <w:tcBorders>
              <w:right w:val="single" w:sz="4" w:space="0" w:color="auto"/>
            </w:tcBorders>
          </w:tcPr>
          <w:p w:rsidR="0048417A" w:rsidRPr="004D57B3" w:rsidRDefault="0048417A" w:rsidP="00836B55">
            <w:pPr>
              <w:pStyle w:val="TableText"/>
            </w:pPr>
            <w:r w:rsidRPr="004D57B3">
              <w:t xml:space="preserve">Albert et al </w:t>
            </w:r>
            <w:r w:rsidRPr="004D57B3">
              <w:rPr>
                <w:noProof/>
              </w:rPr>
              <w:t>(2005)</w:t>
            </w:r>
          </w:p>
        </w:tc>
        <w:tc>
          <w:tcPr>
            <w:tcW w:w="568" w:type="pct"/>
            <w:tcBorders>
              <w:right w:val="single" w:sz="4" w:space="0" w:color="auto"/>
            </w:tcBorders>
          </w:tcPr>
          <w:p w:rsidR="0048417A" w:rsidRPr="004D57B3" w:rsidRDefault="0048417A" w:rsidP="00836B55">
            <w:pPr>
              <w:pStyle w:val="TableText"/>
            </w:pPr>
            <w:r>
              <w:t>nr</w:t>
            </w:r>
          </w:p>
        </w:tc>
        <w:tc>
          <w:tcPr>
            <w:tcW w:w="755" w:type="pct"/>
            <w:tcBorders>
              <w:left w:val="single" w:sz="4" w:space="0" w:color="auto"/>
            </w:tcBorders>
          </w:tcPr>
          <w:p w:rsidR="0048417A" w:rsidRPr="004D57B3" w:rsidRDefault="0048417A" w:rsidP="00836B55">
            <w:pPr>
              <w:pStyle w:val="TableText"/>
            </w:pPr>
            <w:r w:rsidRPr="004D57B3">
              <w:t>4.2% (1/24)</w:t>
            </w:r>
          </w:p>
        </w:tc>
        <w:tc>
          <w:tcPr>
            <w:tcW w:w="660" w:type="pct"/>
            <w:tcBorders>
              <w:left w:val="single" w:sz="4" w:space="0" w:color="auto"/>
            </w:tcBorders>
          </w:tcPr>
          <w:p w:rsidR="0048417A" w:rsidRPr="004D57B3" w:rsidRDefault="0048417A" w:rsidP="00836B55">
            <w:pPr>
              <w:pStyle w:val="TableText"/>
            </w:pPr>
            <w:r w:rsidRPr="004D57B3">
              <w:t>0.0% (0/1)</w:t>
            </w:r>
          </w:p>
        </w:tc>
        <w:tc>
          <w:tcPr>
            <w:tcW w:w="753" w:type="pct"/>
            <w:tcBorders>
              <w:left w:val="single" w:sz="4" w:space="0" w:color="auto"/>
              <w:right w:val="single" w:sz="4" w:space="0" w:color="auto"/>
            </w:tcBorders>
          </w:tcPr>
          <w:p w:rsidR="0048417A" w:rsidRPr="004D57B3" w:rsidRDefault="0048417A" w:rsidP="00836B55">
            <w:pPr>
              <w:pStyle w:val="TableText"/>
            </w:pPr>
            <w:r>
              <w:t>nr</w:t>
            </w:r>
            <w:r w:rsidRPr="004D57B3">
              <w:t xml:space="preserve"> </w:t>
            </w:r>
          </w:p>
        </w:tc>
        <w:tc>
          <w:tcPr>
            <w:tcW w:w="1225" w:type="pct"/>
            <w:tcBorders>
              <w:left w:val="single" w:sz="4" w:space="0" w:color="auto"/>
            </w:tcBorders>
          </w:tcPr>
          <w:p w:rsidR="0048417A" w:rsidRPr="004D57B3" w:rsidRDefault="0048417A" w:rsidP="00836B55">
            <w:pPr>
              <w:pStyle w:val="TableText"/>
            </w:pPr>
            <w:r w:rsidRPr="004D57B3">
              <w:rPr>
                <w:szCs w:val="18"/>
              </w:rPr>
              <w:sym w:font="Wingdings" w:char="F0FC"/>
            </w:r>
          </w:p>
        </w:tc>
      </w:tr>
      <w:tr w:rsidR="0048417A" w:rsidRPr="004D57B3" w:rsidTr="00836B55">
        <w:trPr>
          <w:trHeight w:val="411"/>
        </w:trPr>
        <w:tc>
          <w:tcPr>
            <w:tcW w:w="1039" w:type="pct"/>
            <w:tcBorders>
              <w:right w:val="single" w:sz="4" w:space="0" w:color="auto"/>
            </w:tcBorders>
          </w:tcPr>
          <w:p w:rsidR="0048417A" w:rsidRPr="004D57B3" w:rsidRDefault="0048417A" w:rsidP="00836B55">
            <w:pPr>
              <w:pStyle w:val="TableText"/>
            </w:pPr>
            <w:proofErr w:type="spellStart"/>
            <w:r w:rsidRPr="004D57B3">
              <w:t>Casciani</w:t>
            </w:r>
            <w:proofErr w:type="spellEnd"/>
            <w:r w:rsidRPr="004D57B3">
              <w:t xml:space="preserve"> et al </w:t>
            </w:r>
            <w:r>
              <w:rPr>
                <w:noProof/>
              </w:rPr>
              <w:t>(2011)</w:t>
            </w:r>
          </w:p>
        </w:tc>
        <w:tc>
          <w:tcPr>
            <w:tcW w:w="568" w:type="pct"/>
            <w:tcBorders>
              <w:right w:val="single" w:sz="4" w:space="0" w:color="auto"/>
            </w:tcBorders>
          </w:tcPr>
          <w:p w:rsidR="0048417A" w:rsidRPr="004D57B3" w:rsidRDefault="0048417A" w:rsidP="00836B55">
            <w:pPr>
              <w:pStyle w:val="TableText"/>
            </w:pPr>
            <w:r>
              <w:t>nr</w:t>
            </w:r>
          </w:p>
        </w:tc>
        <w:tc>
          <w:tcPr>
            <w:tcW w:w="755" w:type="pct"/>
            <w:tcBorders>
              <w:left w:val="single" w:sz="4" w:space="0" w:color="auto"/>
            </w:tcBorders>
          </w:tcPr>
          <w:p w:rsidR="0048417A" w:rsidRPr="004D57B3" w:rsidRDefault="0048417A" w:rsidP="00836B55">
            <w:pPr>
              <w:pStyle w:val="TableText"/>
            </w:pPr>
            <w:r>
              <w:t>nr</w:t>
            </w:r>
          </w:p>
        </w:tc>
        <w:tc>
          <w:tcPr>
            <w:tcW w:w="660" w:type="pct"/>
            <w:tcBorders>
              <w:left w:val="single" w:sz="4" w:space="0" w:color="auto"/>
            </w:tcBorders>
          </w:tcPr>
          <w:p w:rsidR="0048417A" w:rsidRPr="004D57B3" w:rsidRDefault="0048417A" w:rsidP="00836B55">
            <w:pPr>
              <w:pStyle w:val="TableText"/>
            </w:pPr>
            <w:r>
              <w:t>nr</w:t>
            </w:r>
          </w:p>
        </w:tc>
        <w:tc>
          <w:tcPr>
            <w:tcW w:w="753" w:type="pct"/>
            <w:tcBorders>
              <w:left w:val="single" w:sz="4" w:space="0" w:color="auto"/>
              <w:right w:val="single" w:sz="4" w:space="0" w:color="auto"/>
            </w:tcBorders>
          </w:tcPr>
          <w:p w:rsidR="0048417A" w:rsidRPr="004D57B3" w:rsidRDefault="0048417A" w:rsidP="00836B55">
            <w:pPr>
              <w:pStyle w:val="TableText"/>
            </w:pPr>
            <w:r w:rsidRPr="004D57B3">
              <w:t>13.5% (5/37)</w:t>
            </w:r>
          </w:p>
        </w:tc>
        <w:tc>
          <w:tcPr>
            <w:tcW w:w="1225" w:type="pct"/>
            <w:tcBorders>
              <w:left w:val="single" w:sz="4" w:space="0" w:color="auto"/>
            </w:tcBorders>
          </w:tcPr>
          <w:p w:rsidR="0048417A" w:rsidRPr="004D57B3" w:rsidRDefault="0048417A" w:rsidP="00836B55">
            <w:pPr>
              <w:pStyle w:val="TableText"/>
            </w:pPr>
            <w:r w:rsidRPr="004D57B3">
              <w:rPr>
                <w:szCs w:val="18"/>
              </w:rPr>
              <w:sym w:font="Wingdings" w:char="F0FC"/>
            </w:r>
          </w:p>
        </w:tc>
      </w:tr>
      <w:tr w:rsidR="0048417A" w:rsidRPr="004D57B3" w:rsidTr="00836B55">
        <w:trPr>
          <w:trHeight w:val="665"/>
        </w:trPr>
        <w:tc>
          <w:tcPr>
            <w:tcW w:w="1039" w:type="pct"/>
            <w:tcBorders>
              <w:right w:val="single" w:sz="4" w:space="0" w:color="auto"/>
            </w:tcBorders>
          </w:tcPr>
          <w:p w:rsidR="0048417A" w:rsidRPr="004D57B3" w:rsidRDefault="0048417A" w:rsidP="00836B55">
            <w:pPr>
              <w:pStyle w:val="TableText"/>
            </w:pPr>
            <w:proofErr w:type="spellStart"/>
            <w:r w:rsidRPr="004D57B3">
              <w:t>Cheifetz</w:t>
            </w:r>
            <w:proofErr w:type="spellEnd"/>
            <w:r w:rsidRPr="004D57B3">
              <w:t xml:space="preserve"> et al </w:t>
            </w:r>
            <w:r w:rsidRPr="004D57B3">
              <w:rPr>
                <w:noProof/>
              </w:rPr>
              <w:t>(2006)</w:t>
            </w:r>
          </w:p>
        </w:tc>
        <w:tc>
          <w:tcPr>
            <w:tcW w:w="568" w:type="pct"/>
            <w:tcBorders>
              <w:right w:val="single" w:sz="4" w:space="0" w:color="auto"/>
            </w:tcBorders>
          </w:tcPr>
          <w:p w:rsidR="0048417A" w:rsidRPr="004D57B3" w:rsidRDefault="0048417A" w:rsidP="00836B55">
            <w:pPr>
              <w:keepNext/>
              <w:autoSpaceDE w:val="0"/>
              <w:autoSpaceDN w:val="0"/>
              <w:adjustRightInd w:val="0"/>
              <w:ind w:left="0" w:right="57"/>
              <w:rPr>
                <w:rFonts w:ascii="Arial Narrow" w:hAnsi="Arial Narrow" w:cs="Garamond"/>
                <w:sz w:val="18"/>
                <w:szCs w:val="18"/>
              </w:rPr>
            </w:pPr>
            <w:r>
              <w:rPr>
                <w:rFonts w:ascii="Arial Narrow" w:hAnsi="Arial Narrow" w:cs="Garamond"/>
                <w:sz w:val="18"/>
                <w:szCs w:val="18"/>
              </w:rPr>
              <w:t>nr</w:t>
            </w:r>
          </w:p>
        </w:tc>
        <w:tc>
          <w:tcPr>
            <w:tcW w:w="755" w:type="pct"/>
            <w:tcBorders>
              <w:left w:val="single" w:sz="4" w:space="0" w:color="auto"/>
            </w:tcBorders>
          </w:tcPr>
          <w:p w:rsidR="0048417A" w:rsidRPr="004D57B3" w:rsidRDefault="0048417A" w:rsidP="00836B55">
            <w:pPr>
              <w:keepNext/>
              <w:autoSpaceDE w:val="0"/>
              <w:autoSpaceDN w:val="0"/>
              <w:adjustRightInd w:val="0"/>
              <w:ind w:left="0" w:right="57"/>
              <w:rPr>
                <w:b/>
              </w:rPr>
            </w:pPr>
            <w:r w:rsidRPr="004D57B3">
              <w:rPr>
                <w:rFonts w:ascii="Arial Narrow" w:hAnsi="Arial Narrow" w:cs="Garamond"/>
                <w:sz w:val="18"/>
                <w:szCs w:val="18"/>
              </w:rPr>
              <w:t>1.6% (1/64)</w:t>
            </w:r>
          </w:p>
        </w:tc>
        <w:tc>
          <w:tcPr>
            <w:tcW w:w="660" w:type="pct"/>
            <w:tcBorders>
              <w:left w:val="single" w:sz="4" w:space="0" w:color="auto"/>
            </w:tcBorders>
          </w:tcPr>
          <w:p w:rsidR="0048417A" w:rsidRPr="004D57B3" w:rsidRDefault="0048417A" w:rsidP="00836B55">
            <w:pPr>
              <w:pStyle w:val="TableText"/>
              <w:rPr>
                <w:b/>
              </w:rPr>
            </w:pPr>
            <w:r w:rsidRPr="004D57B3">
              <w:rPr>
                <w:rFonts w:cs="Garamond"/>
                <w:szCs w:val="18"/>
              </w:rPr>
              <w:t>100% (1/1)</w:t>
            </w:r>
          </w:p>
        </w:tc>
        <w:tc>
          <w:tcPr>
            <w:tcW w:w="753" w:type="pct"/>
            <w:tcBorders>
              <w:left w:val="single" w:sz="4" w:space="0" w:color="auto"/>
              <w:right w:val="single" w:sz="4" w:space="0" w:color="auto"/>
            </w:tcBorders>
          </w:tcPr>
          <w:p w:rsidR="0048417A" w:rsidRPr="004D57B3" w:rsidRDefault="0048417A" w:rsidP="00836B55">
            <w:pPr>
              <w:pStyle w:val="TableText"/>
            </w:pPr>
            <w:r>
              <w:t>nr</w:t>
            </w:r>
          </w:p>
        </w:tc>
        <w:tc>
          <w:tcPr>
            <w:tcW w:w="1225" w:type="pct"/>
            <w:tcBorders>
              <w:left w:val="single" w:sz="4" w:space="0" w:color="auto"/>
            </w:tcBorders>
          </w:tcPr>
          <w:p w:rsidR="0048417A" w:rsidRPr="004D57B3" w:rsidRDefault="0048417A" w:rsidP="00836B55">
            <w:pPr>
              <w:pStyle w:val="TableText"/>
            </w:pPr>
            <w:r w:rsidRPr="004D57B3">
              <w:t>no</w:t>
            </w:r>
          </w:p>
        </w:tc>
      </w:tr>
      <w:tr w:rsidR="0048417A" w:rsidRPr="004D57B3" w:rsidTr="00836B55">
        <w:trPr>
          <w:trHeight w:val="665"/>
        </w:trPr>
        <w:tc>
          <w:tcPr>
            <w:tcW w:w="1039" w:type="pct"/>
            <w:tcBorders>
              <w:right w:val="single" w:sz="4" w:space="0" w:color="auto"/>
            </w:tcBorders>
          </w:tcPr>
          <w:p w:rsidR="0048417A" w:rsidRPr="004D57B3" w:rsidRDefault="0048417A" w:rsidP="00836B55">
            <w:pPr>
              <w:pStyle w:val="TableText"/>
            </w:pPr>
            <w:r w:rsidRPr="004D57B3">
              <w:t xml:space="preserve">Chong et al </w:t>
            </w:r>
            <w:r w:rsidRPr="004D57B3">
              <w:rPr>
                <w:noProof/>
              </w:rPr>
              <w:t>(2005)</w:t>
            </w:r>
          </w:p>
        </w:tc>
        <w:tc>
          <w:tcPr>
            <w:tcW w:w="568" w:type="pct"/>
            <w:tcBorders>
              <w:right w:val="single" w:sz="4" w:space="0" w:color="auto"/>
            </w:tcBorders>
          </w:tcPr>
          <w:p w:rsidR="0048417A" w:rsidRPr="004D57B3" w:rsidRDefault="0048417A" w:rsidP="00836B55">
            <w:pPr>
              <w:pStyle w:val="TableText"/>
            </w:pPr>
            <w:r>
              <w:t>nr</w:t>
            </w:r>
          </w:p>
        </w:tc>
        <w:tc>
          <w:tcPr>
            <w:tcW w:w="755" w:type="pct"/>
            <w:tcBorders>
              <w:left w:val="single" w:sz="4" w:space="0" w:color="auto"/>
            </w:tcBorders>
          </w:tcPr>
          <w:p w:rsidR="0048417A" w:rsidRPr="004D57B3" w:rsidRDefault="0048417A" w:rsidP="00836B55">
            <w:pPr>
              <w:pStyle w:val="TableText"/>
            </w:pPr>
            <w:r w:rsidRPr="004D57B3">
              <w:t>0.0% (0/21)</w:t>
            </w:r>
          </w:p>
        </w:tc>
        <w:tc>
          <w:tcPr>
            <w:tcW w:w="660" w:type="pct"/>
            <w:tcBorders>
              <w:left w:val="single" w:sz="4" w:space="0" w:color="auto"/>
            </w:tcBorders>
          </w:tcPr>
          <w:p w:rsidR="0048417A" w:rsidRPr="004D57B3" w:rsidRDefault="0048417A" w:rsidP="00836B55">
            <w:pPr>
              <w:pStyle w:val="TableText"/>
            </w:pPr>
            <w:r w:rsidRPr="004D57B3">
              <w:t>N/A</w:t>
            </w:r>
          </w:p>
        </w:tc>
        <w:tc>
          <w:tcPr>
            <w:tcW w:w="753" w:type="pct"/>
            <w:tcBorders>
              <w:left w:val="single" w:sz="4" w:space="0" w:color="auto"/>
              <w:right w:val="single" w:sz="4" w:space="0" w:color="auto"/>
            </w:tcBorders>
          </w:tcPr>
          <w:p w:rsidR="0048417A" w:rsidRPr="004D57B3" w:rsidRDefault="0048417A" w:rsidP="00836B55">
            <w:pPr>
              <w:pStyle w:val="TableText"/>
            </w:pPr>
            <w:r w:rsidRPr="004D57B3">
              <w:t>19.0% (4/21)</w:t>
            </w:r>
          </w:p>
        </w:tc>
        <w:tc>
          <w:tcPr>
            <w:tcW w:w="1225" w:type="pct"/>
            <w:tcBorders>
              <w:left w:val="single" w:sz="4" w:space="0" w:color="auto"/>
            </w:tcBorders>
          </w:tcPr>
          <w:p w:rsidR="0048417A" w:rsidRPr="004D57B3" w:rsidRDefault="0048417A" w:rsidP="00836B55">
            <w:pPr>
              <w:pStyle w:val="TableText"/>
            </w:pPr>
            <w:r w:rsidRPr="004D57B3">
              <w:rPr>
                <w:szCs w:val="18"/>
              </w:rPr>
              <w:sym w:font="Wingdings" w:char="F0FC"/>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r w:rsidRPr="004D57B3">
              <w:t xml:space="preserve">De Bona et al </w:t>
            </w:r>
            <w:r w:rsidRPr="004D57B3">
              <w:rPr>
                <w:noProof/>
              </w:rPr>
              <w:t>(2006)</w:t>
            </w:r>
          </w:p>
        </w:tc>
        <w:tc>
          <w:tcPr>
            <w:tcW w:w="568" w:type="pct"/>
            <w:tcBorders>
              <w:right w:val="single" w:sz="4" w:space="0" w:color="auto"/>
            </w:tcBorders>
          </w:tcPr>
          <w:p w:rsidR="0048417A" w:rsidRPr="004D57B3" w:rsidRDefault="0048417A" w:rsidP="00836B55">
            <w:pPr>
              <w:pStyle w:val="TableText"/>
              <w:rPr>
                <w:rFonts w:cs="Garamond"/>
                <w:szCs w:val="18"/>
              </w:rPr>
            </w:pPr>
            <w:r w:rsidRPr="004D57B3">
              <w:rPr>
                <w:rFonts w:cs="Garamond"/>
                <w:szCs w:val="18"/>
              </w:rPr>
              <w:t>0.0% (0/38)</w:t>
            </w:r>
          </w:p>
        </w:tc>
        <w:tc>
          <w:tcPr>
            <w:tcW w:w="755" w:type="pct"/>
            <w:tcBorders>
              <w:left w:val="single" w:sz="4" w:space="0" w:color="auto"/>
            </w:tcBorders>
          </w:tcPr>
          <w:p w:rsidR="0048417A" w:rsidRPr="004D57B3" w:rsidRDefault="0048417A" w:rsidP="00836B55">
            <w:pPr>
              <w:pStyle w:val="TableText"/>
              <w:rPr>
                <w:b/>
              </w:rPr>
            </w:pPr>
            <w:r w:rsidRPr="004D57B3">
              <w:rPr>
                <w:rFonts w:cs="Garamond"/>
                <w:szCs w:val="18"/>
              </w:rPr>
              <w:t>2.6% (1/38)</w:t>
            </w:r>
          </w:p>
        </w:tc>
        <w:tc>
          <w:tcPr>
            <w:tcW w:w="660" w:type="pct"/>
            <w:tcBorders>
              <w:left w:val="single" w:sz="4" w:space="0" w:color="auto"/>
            </w:tcBorders>
          </w:tcPr>
          <w:p w:rsidR="0048417A" w:rsidRPr="004D57B3" w:rsidRDefault="0048417A" w:rsidP="00836B55">
            <w:pPr>
              <w:pStyle w:val="TableText"/>
              <w:rPr>
                <w:b/>
              </w:rPr>
            </w:pPr>
            <w:r w:rsidRPr="004D57B3">
              <w:rPr>
                <w:rFonts w:cs="Garamond"/>
                <w:szCs w:val="18"/>
              </w:rPr>
              <w:t>100% (1/1)</w:t>
            </w:r>
          </w:p>
        </w:tc>
        <w:tc>
          <w:tcPr>
            <w:tcW w:w="753" w:type="pct"/>
            <w:tcBorders>
              <w:left w:val="single" w:sz="4" w:space="0" w:color="auto"/>
              <w:right w:val="single" w:sz="4" w:space="0" w:color="auto"/>
            </w:tcBorders>
          </w:tcPr>
          <w:p w:rsidR="0048417A" w:rsidRPr="004D57B3" w:rsidRDefault="0048417A" w:rsidP="00836B55">
            <w:pPr>
              <w:pStyle w:val="TableText"/>
              <w:rPr>
                <w:b/>
              </w:rPr>
            </w:pPr>
            <w:r w:rsidRPr="004D57B3">
              <w:rPr>
                <w:rFonts w:cs="Garamond"/>
                <w:szCs w:val="18"/>
              </w:rPr>
              <w:t>2.6% (1/38)</w:t>
            </w:r>
          </w:p>
        </w:tc>
        <w:tc>
          <w:tcPr>
            <w:tcW w:w="1225" w:type="pct"/>
            <w:tcBorders>
              <w:left w:val="single" w:sz="4" w:space="0" w:color="auto"/>
            </w:tcBorders>
          </w:tcPr>
          <w:p w:rsidR="0048417A" w:rsidRPr="004D57B3" w:rsidRDefault="0048417A" w:rsidP="00836B55">
            <w:pPr>
              <w:pStyle w:val="TableText"/>
              <w:rPr>
                <w:rFonts w:cs="Garamond"/>
                <w:szCs w:val="18"/>
              </w:rPr>
            </w:pPr>
            <w:r w:rsidRPr="004D57B3">
              <w:rPr>
                <w:rFonts w:cs="Garamond"/>
                <w:szCs w:val="18"/>
              </w:rPr>
              <w:t>no</w:t>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r w:rsidRPr="004D57B3">
              <w:rPr>
                <w:noProof/>
              </w:rPr>
              <w:t>Efthymiou et al (2009)</w:t>
            </w:r>
          </w:p>
        </w:tc>
        <w:tc>
          <w:tcPr>
            <w:tcW w:w="568" w:type="pct"/>
            <w:tcBorders>
              <w:right w:val="single" w:sz="4" w:space="0" w:color="auto"/>
            </w:tcBorders>
          </w:tcPr>
          <w:p w:rsidR="0048417A" w:rsidRPr="004D57B3" w:rsidRDefault="0048417A" w:rsidP="00836B55">
            <w:pPr>
              <w:pStyle w:val="TableText"/>
            </w:pPr>
            <w:r w:rsidRPr="004D57B3">
              <w:t>0.0% (0/26)</w:t>
            </w:r>
          </w:p>
        </w:tc>
        <w:tc>
          <w:tcPr>
            <w:tcW w:w="755" w:type="pct"/>
            <w:tcBorders>
              <w:left w:val="single" w:sz="4" w:space="0" w:color="auto"/>
            </w:tcBorders>
          </w:tcPr>
          <w:p w:rsidR="0048417A" w:rsidRPr="004D57B3" w:rsidRDefault="0048417A" w:rsidP="00836B55">
            <w:pPr>
              <w:pStyle w:val="TableText"/>
            </w:pPr>
            <w:r w:rsidRPr="004D57B3">
              <w:t>0.0% (0/26)</w:t>
            </w:r>
          </w:p>
        </w:tc>
        <w:tc>
          <w:tcPr>
            <w:tcW w:w="660" w:type="pct"/>
            <w:tcBorders>
              <w:left w:val="single" w:sz="4" w:space="0" w:color="auto"/>
            </w:tcBorders>
          </w:tcPr>
          <w:p w:rsidR="0048417A" w:rsidRPr="004D57B3" w:rsidRDefault="0048417A" w:rsidP="00836B55">
            <w:pPr>
              <w:pStyle w:val="TableText"/>
            </w:pPr>
            <w:r w:rsidRPr="004D57B3">
              <w:t>N/A</w:t>
            </w:r>
          </w:p>
        </w:tc>
        <w:tc>
          <w:tcPr>
            <w:tcW w:w="753" w:type="pct"/>
            <w:tcBorders>
              <w:left w:val="single" w:sz="4" w:space="0" w:color="auto"/>
              <w:right w:val="single" w:sz="4" w:space="0" w:color="auto"/>
            </w:tcBorders>
          </w:tcPr>
          <w:p w:rsidR="0048417A" w:rsidRPr="004D57B3" w:rsidRDefault="0048417A" w:rsidP="00836B55">
            <w:pPr>
              <w:keepNext/>
              <w:autoSpaceDE w:val="0"/>
              <w:autoSpaceDN w:val="0"/>
              <w:adjustRightInd w:val="0"/>
              <w:ind w:left="0" w:right="57"/>
            </w:pPr>
            <w:r w:rsidRPr="004D57B3">
              <w:rPr>
                <w:rFonts w:ascii="Arial Narrow" w:hAnsi="Arial Narrow" w:cs="Garamond"/>
                <w:sz w:val="18"/>
                <w:szCs w:val="18"/>
              </w:rPr>
              <w:t>3.8% (1/26)</w:t>
            </w:r>
          </w:p>
        </w:tc>
        <w:tc>
          <w:tcPr>
            <w:tcW w:w="1225" w:type="pct"/>
            <w:tcBorders>
              <w:left w:val="single" w:sz="4" w:space="0" w:color="auto"/>
            </w:tcBorders>
          </w:tcPr>
          <w:p w:rsidR="0048417A" w:rsidRPr="004D57B3" w:rsidRDefault="0048417A" w:rsidP="00836B55">
            <w:pPr>
              <w:keepNext/>
              <w:autoSpaceDE w:val="0"/>
              <w:autoSpaceDN w:val="0"/>
              <w:adjustRightInd w:val="0"/>
              <w:ind w:left="0" w:right="57"/>
              <w:rPr>
                <w:rFonts w:ascii="Arial Narrow" w:hAnsi="Arial Narrow" w:cs="Garamond"/>
                <w:sz w:val="18"/>
                <w:szCs w:val="18"/>
              </w:rPr>
            </w:pPr>
            <w:r w:rsidRPr="004D57B3">
              <w:rPr>
                <w:sz w:val="18"/>
                <w:szCs w:val="18"/>
              </w:rPr>
              <w:sym w:font="Wingdings" w:char="F0FC"/>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proofErr w:type="spellStart"/>
            <w:r w:rsidRPr="004D57B3">
              <w:t>Eliakim</w:t>
            </w:r>
            <w:proofErr w:type="spellEnd"/>
            <w:r w:rsidRPr="004D57B3">
              <w:t xml:space="preserve"> et al </w:t>
            </w:r>
            <w:r w:rsidRPr="004D57B3">
              <w:rPr>
                <w:noProof/>
              </w:rPr>
              <w:t>(2004)</w:t>
            </w:r>
          </w:p>
        </w:tc>
        <w:tc>
          <w:tcPr>
            <w:tcW w:w="568" w:type="pct"/>
            <w:tcBorders>
              <w:right w:val="single" w:sz="4" w:space="0" w:color="auto"/>
            </w:tcBorders>
          </w:tcPr>
          <w:p w:rsidR="0048417A" w:rsidRPr="004D57B3" w:rsidRDefault="0048417A" w:rsidP="00836B55">
            <w:pPr>
              <w:pStyle w:val="TableText"/>
            </w:pPr>
            <w:r w:rsidRPr="004D57B3">
              <w:t>0.0% (0/35)</w:t>
            </w:r>
          </w:p>
        </w:tc>
        <w:tc>
          <w:tcPr>
            <w:tcW w:w="755" w:type="pct"/>
            <w:tcBorders>
              <w:left w:val="single" w:sz="4" w:space="0" w:color="auto"/>
            </w:tcBorders>
          </w:tcPr>
          <w:p w:rsidR="0048417A" w:rsidRPr="004D57B3" w:rsidRDefault="0048417A" w:rsidP="00836B55">
            <w:pPr>
              <w:pStyle w:val="TableText"/>
            </w:pPr>
            <w:r w:rsidRPr="004D57B3">
              <w:t>0.0% (0/35)</w:t>
            </w:r>
          </w:p>
        </w:tc>
        <w:tc>
          <w:tcPr>
            <w:tcW w:w="660" w:type="pct"/>
            <w:tcBorders>
              <w:left w:val="single" w:sz="4" w:space="0" w:color="auto"/>
            </w:tcBorders>
          </w:tcPr>
          <w:p w:rsidR="0048417A" w:rsidRPr="004D57B3" w:rsidRDefault="0048417A" w:rsidP="00836B55">
            <w:pPr>
              <w:pStyle w:val="TableText"/>
            </w:pPr>
            <w:r w:rsidRPr="004D57B3">
              <w:t>N/A</w:t>
            </w:r>
          </w:p>
        </w:tc>
        <w:tc>
          <w:tcPr>
            <w:tcW w:w="753" w:type="pct"/>
            <w:tcBorders>
              <w:left w:val="single" w:sz="4" w:space="0" w:color="auto"/>
              <w:right w:val="single" w:sz="4" w:space="0" w:color="auto"/>
            </w:tcBorders>
          </w:tcPr>
          <w:p w:rsidR="0048417A" w:rsidRPr="004D57B3" w:rsidRDefault="0048417A" w:rsidP="00836B55">
            <w:pPr>
              <w:pStyle w:val="TableText"/>
            </w:pPr>
            <w:r>
              <w:t>nr</w:t>
            </w:r>
          </w:p>
        </w:tc>
        <w:tc>
          <w:tcPr>
            <w:tcW w:w="1225" w:type="pct"/>
            <w:tcBorders>
              <w:left w:val="single" w:sz="4" w:space="0" w:color="auto"/>
            </w:tcBorders>
          </w:tcPr>
          <w:p w:rsidR="0048417A" w:rsidRPr="004D57B3" w:rsidRDefault="0048417A" w:rsidP="00836B55">
            <w:pPr>
              <w:pStyle w:val="TableText"/>
            </w:pPr>
            <w:r w:rsidRPr="004D57B3">
              <w:rPr>
                <w:szCs w:val="18"/>
              </w:rPr>
              <w:sym w:font="Wingdings" w:char="F0FC"/>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rPr>
                <w:b/>
              </w:rPr>
            </w:pPr>
            <w:proofErr w:type="spellStart"/>
            <w:r w:rsidRPr="004D57B3">
              <w:t>Figueiredo</w:t>
            </w:r>
            <w:proofErr w:type="spellEnd"/>
            <w:r w:rsidRPr="004D57B3">
              <w:t xml:space="preserve">  et al </w:t>
            </w:r>
            <w:r w:rsidRPr="004D57B3">
              <w:rPr>
                <w:noProof/>
              </w:rPr>
              <w:t>(2010)</w:t>
            </w:r>
          </w:p>
        </w:tc>
        <w:tc>
          <w:tcPr>
            <w:tcW w:w="568" w:type="pct"/>
            <w:tcBorders>
              <w:right w:val="single" w:sz="4" w:space="0" w:color="auto"/>
            </w:tcBorders>
          </w:tcPr>
          <w:p w:rsidR="0048417A" w:rsidRPr="004D57B3" w:rsidRDefault="0048417A" w:rsidP="00836B55">
            <w:pPr>
              <w:pStyle w:val="TableText"/>
            </w:pPr>
            <w:r w:rsidRPr="004D57B3">
              <w:t>0.0% (0/78)</w:t>
            </w:r>
          </w:p>
        </w:tc>
        <w:tc>
          <w:tcPr>
            <w:tcW w:w="755" w:type="pct"/>
            <w:tcBorders>
              <w:left w:val="single" w:sz="4" w:space="0" w:color="auto"/>
            </w:tcBorders>
          </w:tcPr>
          <w:p w:rsidR="0048417A" w:rsidRPr="004D57B3" w:rsidRDefault="0048417A" w:rsidP="00836B55">
            <w:pPr>
              <w:pStyle w:val="TableText"/>
            </w:pPr>
            <w:r w:rsidRPr="004D57B3">
              <w:t>5.1% (4/78)</w:t>
            </w:r>
          </w:p>
        </w:tc>
        <w:tc>
          <w:tcPr>
            <w:tcW w:w="660" w:type="pct"/>
            <w:tcBorders>
              <w:left w:val="single" w:sz="4" w:space="0" w:color="auto"/>
            </w:tcBorders>
          </w:tcPr>
          <w:p w:rsidR="0048417A" w:rsidRPr="004D57B3" w:rsidRDefault="0048417A" w:rsidP="00836B55">
            <w:pPr>
              <w:pStyle w:val="TableText"/>
            </w:pPr>
            <w:r w:rsidRPr="004D57B3">
              <w:t>50.0% (2/4)</w:t>
            </w:r>
          </w:p>
        </w:tc>
        <w:tc>
          <w:tcPr>
            <w:tcW w:w="753" w:type="pct"/>
            <w:tcBorders>
              <w:left w:val="single" w:sz="4" w:space="0" w:color="auto"/>
              <w:right w:val="single" w:sz="4" w:space="0" w:color="auto"/>
            </w:tcBorders>
          </w:tcPr>
          <w:p w:rsidR="0048417A" w:rsidRPr="004D57B3" w:rsidRDefault="0048417A" w:rsidP="00836B55">
            <w:pPr>
              <w:pStyle w:val="TableText"/>
            </w:pPr>
            <w:r w:rsidRPr="004D57B3">
              <w:t>17.9% (14/78)</w:t>
            </w:r>
          </w:p>
        </w:tc>
        <w:tc>
          <w:tcPr>
            <w:tcW w:w="1225" w:type="pct"/>
            <w:tcBorders>
              <w:left w:val="single" w:sz="4" w:space="0" w:color="auto"/>
            </w:tcBorders>
          </w:tcPr>
          <w:p w:rsidR="0048417A" w:rsidRPr="004D57B3" w:rsidRDefault="0048417A" w:rsidP="00836B55">
            <w:pPr>
              <w:pStyle w:val="TableText"/>
            </w:pPr>
            <w:r w:rsidRPr="004D57B3">
              <w:rPr>
                <w:szCs w:val="18"/>
              </w:rPr>
              <w:sym w:font="Wingdings" w:char="F0FC"/>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r w:rsidRPr="004D57B3">
              <w:t xml:space="preserve">Ge et al </w:t>
            </w:r>
            <w:r w:rsidRPr="004D57B3">
              <w:rPr>
                <w:noProof/>
              </w:rPr>
              <w:t>(2004)</w:t>
            </w:r>
          </w:p>
        </w:tc>
        <w:tc>
          <w:tcPr>
            <w:tcW w:w="568" w:type="pct"/>
            <w:tcBorders>
              <w:right w:val="single" w:sz="4" w:space="0" w:color="auto"/>
            </w:tcBorders>
          </w:tcPr>
          <w:p w:rsidR="0048417A" w:rsidRPr="004D57B3" w:rsidRDefault="0048417A" w:rsidP="00836B55">
            <w:pPr>
              <w:pStyle w:val="TableText"/>
              <w:rPr>
                <w:rFonts w:cs="Garamond"/>
                <w:szCs w:val="18"/>
              </w:rPr>
            </w:pPr>
            <w:r w:rsidRPr="004D57B3">
              <w:rPr>
                <w:rFonts w:cs="Garamond"/>
                <w:szCs w:val="18"/>
              </w:rPr>
              <w:t>0.0% (0/20)</w:t>
            </w:r>
          </w:p>
        </w:tc>
        <w:tc>
          <w:tcPr>
            <w:tcW w:w="755" w:type="pct"/>
            <w:tcBorders>
              <w:left w:val="single" w:sz="4" w:space="0" w:color="auto"/>
            </w:tcBorders>
          </w:tcPr>
          <w:p w:rsidR="0048417A" w:rsidRPr="004D57B3" w:rsidRDefault="0048417A" w:rsidP="00836B55">
            <w:pPr>
              <w:pStyle w:val="TableText"/>
              <w:rPr>
                <w:b/>
              </w:rPr>
            </w:pPr>
            <w:r w:rsidRPr="004D57B3">
              <w:rPr>
                <w:rFonts w:cs="Garamond"/>
                <w:szCs w:val="18"/>
              </w:rPr>
              <w:t>15.0% (3/20)</w:t>
            </w:r>
          </w:p>
        </w:tc>
        <w:tc>
          <w:tcPr>
            <w:tcW w:w="660" w:type="pct"/>
            <w:tcBorders>
              <w:left w:val="single" w:sz="4" w:space="0" w:color="auto"/>
            </w:tcBorders>
          </w:tcPr>
          <w:p w:rsidR="0048417A" w:rsidRPr="004D57B3" w:rsidRDefault="0048417A" w:rsidP="00836B55">
            <w:pPr>
              <w:pStyle w:val="TableText"/>
            </w:pPr>
            <w:r>
              <w:t>nr</w:t>
            </w:r>
          </w:p>
        </w:tc>
        <w:tc>
          <w:tcPr>
            <w:tcW w:w="753" w:type="pct"/>
            <w:tcBorders>
              <w:left w:val="single" w:sz="4" w:space="0" w:color="auto"/>
              <w:right w:val="single" w:sz="4" w:space="0" w:color="auto"/>
            </w:tcBorders>
          </w:tcPr>
          <w:p w:rsidR="0048417A" w:rsidRPr="004D57B3" w:rsidRDefault="0048417A" w:rsidP="00836B55">
            <w:pPr>
              <w:pStyle w:val="TableText"/>
              <w:ind w:right="34"/>
            </w:pPr>
            <w:r w:rsidRPr="004D57B3">
              <w:rPr>
                <w:rFonts w:cs="Garamond"/>
                <w:szCs w:val="18"/>
              </w:rPr>
              <w:t>10.0% (2/20)</w:t>
            </w:r>
          </w:p>
        </w:tc>
        <w:tc>
          <w:tcPr>
            <w:tcW w:w="1225" w:type="pct"/>
            <w:tcBorders>
              <w:left w:val="single" w:sz="4" w:space="0" w:color="auto"/>
            </w:tcBorders>
          </w:tcPr>
          <w:p w:rsidR="0048417A" w:rsidRPr="004D57B3" w:rsidRDefault="0048417A" w:rsidP="00836B55">
            <w:pPr>
              <w:pStyle w:val="TableText"/>
              <w:rPr>
                <w:rFonts w:cs="Garamond"/>
                <w:szCs w:val="18"/>
              </w:rPr>
            </w:pPr>
            <w:r w:rsidRPr="004D57B3">
              <w:rPr>
                <w:szCs w:val="18"/>
              </w:rPr>
              <w:sym w:font="Wingdings" w:char="F0FC"/>
            </w:r>
            <w:r w:rsidRPr="004D57B3">
              <w:t xml:space="preserve"> </w:t>
            </w:r>
            <w:r w:rsidRPr="004D57B3">
              <w:rPr>
                <w:rFonts w:cs="Garamond"/>
                <w:szCs w:val="18"/>
              </w:rPr>
              <w:t xml:space="preserve">Strictures on </w:t>
            </w:r>
            <w:r>
              <w:rPr>
                <w:rFonts w:cs="Garamond"/>
                <w:szCs w:val="18"/>
              </w:rPr>
              <w:t>x-</w:t>
            </w:r>
            <w:r w:rsidRPr="004D57B3">
              <w:rPr>
                <w:rFonts w:cs="Garamond"/>
                <w:szCs w:val="18"/>
              </w:rPr>
              <w:t>ray or history of obstruction</w:t>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proofErr w:type="spellStart"/>
            <w:r w:rsidRPr="004D57B3">
              <w:t>Girelli</w:t>
            </w:r>
            <w:proofErr w:type="spellEnd"/>
            <w:r w:rsidRPr="004D57B3">
              <w:t xml:space="preserve"> et al </w:t>
            </w:r>
            <w:r w:rsidRPr="004D57B3">
              <w:rPr>
                <w:noProof/>
              </w:rPr>
              <w:t>(2007)</w:t>
            </w:r>
          </w:p>
        </w:tc>
        <w:tc>
          <w:tcPr>
            <w:tcW w:w="568" w:type="pct"/>
            <w:tcBorders>
              <w:right w:val="single" w:sz="4" w:space="0" w:color="auto"/>
            </w:tcBorders>
          </w:tcPr>
          <w:p w:rsidR="0048417A" w:rsidRPr="004D57B3" w:rsidRDefault="0048417A" w:rsidP="00836B55">
            <w:pPr>
              <w:pStyle w:val="TableText"/>
            </w:pPr>
            <w:r w:rsidRPr="004D57B3">
              <w:t>0.0% (0/27)</w:t>
            </w:r>
          </w:p>
        </w:tc>
        <w:tc>
          <w:tcPr>
            <w:tcW w:w="755" w:type="pct"/>
            <w:tcBorders>
              <w:left w:val="single" w:sz="4" w:space="0" w:color="auto"/>
            </w:tcBorders>
          </w:tcPr>
          <w:p w:rsidR="0048417A" w:rsidRPr="004D57B3" w:rsidRDefault="0048417A" w:rsidP="00836B55">
            <w:pPr>
              <w:pStyle w:val="TableText"/>
            </w:pPr>
            <w:r w:rsidRPr="004D57B3">
              <w:t>11.1% (3/27)</w:t>
            </w:r>
          </w:p>
        </w:tc>
        <w:tc>
          <w:tcPr>
            <w:tcW w:w="660" w:type="pct"/>
            <w:tcBorders>
              <w:left w:val="single" w:sz="4" w:space="0" w:color="auto"/>
            </w:tcBorders>
          </w:tcPr>
          <w:p w:rsidR="0048417A" w:rsidRPr="004D57B3" w:rsidRDefault="0048417A" w:rsidP="00836B55">
            <w:pPr>
              <w:pStyle w:val="TableText"/>
            </w:pPr>
            <w:r w:rsidRPr="004D57B3">
              <w:t>66.7% (2/3)</w:t>
            </w:r>
          </w:p>
        </w:tc>
        <w:tc>
          <w:tcPr>
            <w:tcW w:w="753" w:type="pct"/>
            <w:tcBorders>
              <w:left w:val="single" w:sz="4" w:space="0" w:color="auto"/>
              <w:right w:val="single" w:sz="4" w:space="0" w:color="auto"/>
            </w:tcBorders>
          </w:tcPr>
          <w:p w:rsidR="0048417A" w:rsidRPr="004D57B3" w:rsidRDefault="0048417A" w:rsidP="00836B55">
            <w:pPr>
              <w:pStyle w:val="TableText"/>
              <w:rPr>
                <w:b/>
              </w:rPr>
            </w:pPr>
            <w:r w:rsidRPr="004D57B3">
              <w:rPr>
                <w:rFonts w:cs="Garamond"/>
                <w:szCs w:val="18"/>
              </w:rPr>
              <w:t>14.8% (4/27)</w:t>
            </w:r>
          </w:p>
        </w:tc>
        <w:tc>
          <w:tcPr>
            <w:tcW w:w="1225" w:type="pct"/>
            <w:tcBorders>
              <w:left w:val="single" w:sz="4" w:space="0" w:color="auto"/>
            </w:tcBorders>
          </w:tcPr>
          <w:p w:rsidR="0048417A" w:rsidRPr="004D57B3" w:rsidRDefault="0048417A" w:rsidP="00836B55">
            <w:pPr>
              <w:pStyle w:val="TableText"/>
              <w:rPr>
                <w:rFonts w:cs="Garamond"/>
                <w:szCs w:val="18"/>
              </w:rPr>
            </w:pPr>
            <w:proofErr w:type="spellStart"/>
            <w:r w:rsidRPr="004D57B3">
              <w:rPr>
                <w:rFonts w:cs="Garamond"/>
                <w:szCs w:val="18"/>
              </w:rPr>
              <w:t>Excl</w:t>
            </w:r>
            <w:proofErr w:type="spellEnd"/>
            <w:r w:rsidRPr="004D57B3">
              <w:rPr>
                <w:rFonts w:cs="Garamond"/>
                <w:szCs w:val="18"/>
              </w:rPr>
              <w:t xml:space="preserve"> p</w:t>
            </w:r>
            <w:r>
              <w:rPr>
                <w:rFonts w:cs="Garamond"/>
                <w:szCs w:val="18"/>
              </w:rPr>
              <w:t>atients</w:t>
            </w:r>
            <w:r w:rsidRPr="004D57B3">
              <w:rPr>
                <w:rFonts w:cs="Garamond"/>
                <w:szCs w:val="18"/>
              </w:rPr>
              <w:t xml:space="preserve"> with intestinal obstruction</w:t>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r w:rsidRPr="004D57B3">
              <w:rPr>
                <w:noProof/>
              </w:rPr>
              <w:t>Herrerias</w:t>
            </w:r>
            <w:r w:rsidRPr="004D57B3">
              <w:t xml:space="preserve"> et al </w:t>
            </w:r>
            <w:r w:rsidRPr="004D57B3">
              <w:rPr>
                <w:noProof/>
              </w:rPr>
              <w:t>(2003)</w:t>
            </w:r>
          </w:p>
        </w:tc>
        <w:tc>
          <w:tcPr>
            <w:tcW w:w="568" w:type="pct"/>
            <w:tcBorders>
              <w:right w:val="single" w:sz="4" w:space="0" w:color="auto"/>
            </w:tcBorders>
          </w:tcPr>
          <w:p w:rsidR="0048417A" w:rsidRPr="004D57B3" w:rsidRDefault="0048417A" w:rsidP="00836B55">
            <w:pPr>
              <w:pStyle w:val="TableText"/>
            </w:pPr>
            <w:r w:rsidRPr="004D57B3">
              <w:t>0.0% (0/21)</w:t>
            </w:r>
          </w:p>
        </w:tc>
        <w:tc>
          <w:tcPr>
            <w:tcW w:w="755" w:type="pct"/>
            <w:tcBorders>
              <w:left w:val="single" w:sz="4" w:space="0" w:color="auto"/>
            </w:tcBorders>
          </w:tcPr>
          <w:p w:rsidR="0048417A" w:rsidRPr="004D57B3" w:rsidRDefault="0048417A" w:rsidP="00836B55">
            <w:pPr>
              <w:pStyle w:val="TableText"/>
            </w:pPr>
            <w:r w:rsidRPr="004D57B3">
              <w:t>0.0% (0/21)</w:t>
            </w:r>
          </w:p>
        </w:tc>
        <w:tc>
          <w:tcPr>
            <w:tcW w:w="660" w:type="pct"/>
            <w:tcBorders>
              <w:left w:val="single" w:sz="4" w:space="0" w:color="auto"/>
            </w:tcBorders>
          </w:tcPr>
          <w:p w:rsidR="0048417A" w:rsidRPr="004D57B3" w:rsidRDefault="0048417A" w:rsidP="00836B55">
            <w:pPr>
              <w:pStyle w:val="TableText"/>
            </w:pPr>
            <w:r w:rsidRPr="004D57B3">
              <w:t>N/A</w:t>
            </w:r>
          </w:p>
        </w:tc>
        <w:tc>
          <w:tcPr>
            <w:tcW w:w="753" w:type="pct"/>
            <w:tcBorders>
              <w:left w:val="single" w:sz="4" w:space="0" w:color="auto"/>
              <w:right w:val="single" w:sz="4" w:space="0" w:color="auto"/>
            </w:tcBorders>
          </w:tcPr>
          <w:p w:rsidR="0048417A" w:rsidRPr="004D57B3" w:rsidRDefault="0048417A" w:rsidP="00836B55">
            <w:pPr>
              <w:pStyle w:val="TableText"/>
            </w:pPr>
            <w:r w:rsidRPr="004D57B3">
              <w:t>0.0% (0/21)</w:t>
            </w:r>
          </w:p>
        </w:tc>
        <w:tc>
          <w:tcPr>
            <w:tcW w:w="1225" w:type="pct"/>
            <w:tcBorders>
              <w:left w:val="single" w:sz="4" w:space="0" w:color="auto"/>
            </w:tcBorders>
          </w:tcPr>
          <w:p w:rsidR="0048417A" w:rsidRPr="004D57B3" w:rsidRDefault="0048417A" w:rsidP="00836B55">
            <w:pPr>
              <w:pStyle w:val="TableText"/>
            </w:pPr>
            <w:r w:rsidRPr="004D57B3">
              <w:t>no</w:t>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r w:rsidRPr="004D57B3">
              <w:t xml:space="preserve">Selby et al </w:t>
            </w:r>
            <w:r>
              <w:rPr>
                <w:noProof/>
              </w:rPr>
              <w:t>(2008)</w:t>
            </w:r>
            <w:r w:rsidRPr="004D57B3" w:rsidDel="00AB0113">
              <w:t xml:space="preserve"> </w:t>
            </w:r>
          </w:p>
        </w:tc>
        <w:tc>
          <w:tcPr>
            <w:tcW w:w="568" w:type="pct"/>
            <w:tcBorders>
              <w:right w:val="single" w:sz="4" w:space="0" w:color="auto"/>
            </w:tcBorders>
          </w:tcPr>
          <w:p w:rsidR="0048417A" w:rsidRPr="004D57B3" w:rsidRDefault="0048417A" w:rsidP="00836B55">
            <w:pPr>
              <w:pStyle w:val="TableText"/>
            </w:pPr>
            <w:r w:rsidRPr="004D57B3">
              <w:t>1.7% (2/120)</w:t>
            </w:r>
          </w:p>
        </w:tc>
        <w:tc>
          <w:tcPr>
            <w:tcW w:w="755" w:type="pct"/>
            <w:tcBorders>
              <w:left w:val="single" w:sz="4" w:space="0" w:color="auto"/>
            </w:tcBorders>
          </w:tcPr>
          <w:p w:rsidR="0048417A" w:rsidRPr="004D57B3" w:rsidRDefault="0048417A" w:rsidP="00836B55">
            <w:pPr>
              <w:pStyle w:val="TableText"/>
            </w:pPr>
            <w:r w:rsidRPr="004D57B3">
              <w:t>0.8% (1/120)</w:t>
            </w:r>
          </w:p>
        </w:tc>
        <w:tc>
          <w:tcPr>
            <w:tcW w:w="660" w:type="pct"/>
            <w:tcBorders>
              <w:left w:val="single" w:sz="4" w:space="0" w:color="auto"/>
            </w:tcBorders>
          </w:tcPr>
          <w:p w:rsidR="0048417A" w:rsidRPr="004D57B3" w:rsidRDefault="0048417A" w:rsidP="00836B55">
            <w:pPr>
              <w:pStyle w:val="TableText"/>
            </w:pPr>
            <w:r>
              <w:t>nr</w:t>
            </w:r>
          </w:p>
        </w:tc>
        <w:tc>
          <w:tcPr>
            <w:tcW w:w="753" w:type="pct"/>
            <w:tcBorders>
              <w:left w:val="single" w:sz="4" w:space="0" w:color="auto"/>
              <w:right w:val="single" w:sz="4" w:space="0" w:color="auto"/>
            </w:tcBorders>
          </w:tcPr>
          <w:p w:rsidR="0048417A" w:rsidRPr="004D57B3" w:rsidRDefault="0048417A" w:rsidP="00836B55">
            <w:pPr>
              <w:keepNext/>
              <w:autoSpaceDE w:val="0"/>
              <w:autoSpaceDN w:val="0"/>
              <w:adjustRightInd w:val="0"/>
              <w:ind w:left="0" w:right="57"/>
              <w:rPr>
                <w:b/>
              </w:rPr>
            </w:pPr>
            <w:r w:rsidRPr="004D57B3">
              <w:rPr>
                <w:rFonts w:ascii="Arial Narrow" w:hAnsi="Arial Narrow" w:cs="Garamond"/>
                <w:sz w:val="18"/>
                <w:szCs w:val="18"/>
              </w:rPr>
              <w:t>12.5% (15/120)</w:t>
            </w:r>
          </w:p>
        </w:tc>
        <w:tc>
          <w:tcPr>
            <w:tcW w:w="1225" w:type="pct"/>
            <w:tcBorders>
              <w:left w:val="single" w:sz="4" w:space="0" w:color="auto"/>
            </w:tcBorders>
          </w:tcPr>
          <w:p w:rsidR="0048417A" w:rsidRPr="004D57B3" w:rsidRDefault="0048417A" w:rsidP="00836B55">
            <w:pPr>
              <w:keepNext/>
              <w:autoSpaceDE w:val="0"/>
              <w:autoSpaceDN w:val="0"/>
              <w:adjustRightInd w:val="0"/>
              <w:ind w:left="0" w:right="57"/>
              <w:rPr>
                <w:rFonts w:ascii="Arial Narrow" w:hAnsi="Arial Narrow" w:cs="Garamond"/>
                <w:sz w:val="18"/>
                <w:szCs w:val="18"/>
              </w:rPr>
            </w:pPr>
            <w:r w:rsidRPr="004D57B3">
              <w:rPr>
                <w:sz w:val="18"/>
                <w:szCs w:val="18"/>
              </w:rPr>
              <w:sym w:font="Wingdings" w:char="F0FC"/>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proofErr w:type="spellStart"/>
            <w:r w:rsidRPr="004D57B3">
              <w:t>Tukey</w:t>
            </w:r>
            <w:proofErr w:type="spellEnd"/>
            <w:r w:rsidRPr="004D57B3">
              <w:t xml:space="preserve"> et al </w:t>
            </w:r>
            <w:r w:rsidRPr="004D57B3">
              <w:rPr>
                <w:noProof/>
              </w:rPr>
              <w:t>(2009)</w:t>
            </w:r>
          </w:p>
        </w:tc>
        <w:tc>
          <w:tcPr>
            <w:tcW w:w="568" w:type="pct"/>
            <w:tcBorders>
              <w:right w:val="single" w:sz="4" w:space="0" w:color="auto"/>
            </w:tcBorders>
          </w:tcPr>
          <w:p w:rsidR="0048417A" w:rsidRPr="004D57B3" w:rsidRDefault="0048417A" w:rsidP="00836B55">
            <w:pPr>
              <w:pStyle w:val="TableText"/>
            </w:pPr>
            <w:r>
              <w:t>nr</w:t>
            </w:r>
          </w:p>
        </w:tc>
        <w:tc>
          <w:tcPr>
            <w:tcW w:w="755" w:type="pct"/>
            <w:tcBorders>
              <w:left w:val="single" w:sz="4" w:space="0" w:color="auto"/>
            </w:tcBorders>
          </w:tcPr>
          <w:p w:rsidR="0048417A" w:rsidRPr="004D57B3" w:rsidRDefault="0048417A" w:rsidP="00836B55">
            <w:pPr>
              <w:pStyle w:val="TableText"/>
            </w:pPr>
            <w:r w:rsidRPr="004D57B3">
              <w:t>0.0% (0/102)</w:t>
            </w:r>
          </w:p>
        </w:tc>
        <w:tc>
          <w:tcPr>
            <w:tcW w:w="660" w:type="pct"/>
            <w:tcBorders>
              <w:left w:val="single" w:sz="4" w:space="0" w:color="auto"/>
            </w:tcBorders>
          </w:tcPr>
          <w:p w:rsidR="0048417A" w:rsidRPr="004D57B3" w:rsidRDefault="0048417A" w:rsidP="00836B55">
            <w:pPr>
              <w:pStyle w:val="TableText"/>
            </w:pPr>
            <w:r w:rsidRPr="004D57B3">
              <w:t>N/A</w:t>
            </w:r>
          </w:p>
        </w:tc>
        <w:tc>
          <w:tcPr>
            <w:tcW w:w="753" w:type="pct"/>
            <w:tcBorders>
              <w:left w:val="single" w:sz="4" w:space="0" w:color="auto"/>
              <w:right w:val="single" w:sz="4" w:space="0" w:color="auto"/>
            </w:tcBorders>
          </w:tcPr>
          <w:p w:rsidR="0048417A" w:rsidRPr="004D57B3" w:rsidRDefault="0048417A" w:rsidP="00836B55">
            <w:pPr>
              <w:pStyle w:val="TableText"/>
            </w:pPr>
            <w:r>
              <w:t>nr</w:t>
            </w:r>
          </w:p>
        </w:tc>
        <w:tc>
          <w:tcPr>
            <w:tcW w:w="1225" w:type="pct"/>
            <w:tcBorders>
              <w:left w:val="single" w:sz="4" w:space="0" w:color="auto"/>
            </w:tcBorders>
          </w:tcPr>
          <w:p w:rsidR="0048417A" w:rsidRPr="004D57B3" w:rsidRDefault="0048417A" w:rsidP="00836B55">
            <w:pPr>
              <w:pStyle w:val="TableText"/>
            </w:pPr>
            <w:r w:rsidRPr="004D57B3">
              <w:t>no</w:t>
            </w:r>
          </w:p>
        </w:tc>
      </w:tr>
      <w:tr w:rsidR="0048417A" w:rsidRPr="004D57B3" w:rsidTr="00836B55">
        <w:trPr>
          <w:trHeight w:val="458"/>
        </w:trPr>
        <w:tc>
          <w:tcPr>
            <w:tcW w:w="1039" w:type="pct"/>
            <w:tcBorders>
              <w:right w:val="single" w:sz="4" w:space="0" w:color="auto"/>
            </w:tcBorders>
          </w:tcPr>
          <w:p w:rsidR="0048417A" w:rsidRPr="004D57B3" w:rsidRDefault="0048417A" w:rsidP="00836B55">
            <w:pPr>
              <w:pStyle w:val="TableText"/>
            </w:pPr>
            <w:r w:rsidRPr="004D57B3">
              <w:t xml:space="preserve">Valle et al </w:t>
            </w:r>
            <w:r w:rsidRPr="004D57B3">
              <w:rPr>
                <w:noProof/>
              </w:rPr>
              <w:t>(2006)</w:t>
            </w:r>
          </w:p>
        </w:tc>
        <w:tc>
          <w:tcPr>
            <w:tcW w:w="568" w:type="pct"/>
            <w:tcBorders>
              <w:right w:val="single" w:sz="4" w:space="0" w:color="auto"/>
            </w:tcBorders>
          </w:tcPr>
          <w:p w:rsidR="0048417A" w:rsidRPr="004D57B3" w:rsidRDefault="0048417A" w:rsidP="00836B55">
            <w:pPr>
              <w:pStyle w:val="TableText"/>
              <w:rPr>
                <w:rFonts w:cs="Garamond"/>
                <w:szCs w:val="18"/>
              </w:rPr>
            </w:pPr>
            <w:r>
              <w:rPr>
                <w:rFonts w:cs="Garamond"/>
                <w:szCs w:val="18"/>
              </w:rPr>
              <w:t>nr</w:t>
            </w:r>
          </w:p>
        </w:tc>
        <w:tc>
          <w:tcPr>
            <w:tcW w:w="755" w:type="pct"/>
            <w:tcBorders>
              <w:left w:val="single" w:sz="4" w:space="0" w:color="auto"/>
            </w:tcBorders>
          </w:tcPr>
          <w:p w:rsidR="0048417A" w:rsidRPr="004D57B3" w:rsidRDefault="0048417A" w:rsidP="00836B55">
            <w:pPr>
              <w:pStyle w:val="TableText"/>
              <w:rPr>
                <w:b/>
              </w:rPr>
            </w:pPr>
            <w:r w:rsidRPr="004D57B3">
              <w:rPr>
                <w:rFonts w:cs="Garamond"/>
                <w:szCs w:val="18"/>
              </w:rPr>
              <w:t>8.7% (2/23)</w:t>
            </w:r>
          </w:p>
        </w:tc>
        <w:tc>
          <w:tcPr>
            <w:tcW w:w="660" w:type="pct"/>
            <w:tcBorders>
              <w:left w:val="single" w:sz="4" w:space="0" w:color="auto"/>
            </w:tcBorders>
          </w:tcPr>
          <w:p w:rsidR="0048417A" w:rsidRPr="004D57B3" w:rsidRDefault="0048417A" w:rsidP="00836B55">
            <w:pPr>
              <w:pStyle w:val="TableText"/>
            </w:pPr>
            <w:r w:rsidRPr="004D57B3">
              <w:t>50.0% (1/2)</w:t>
            </w:r>
          </w:p>
        </w:tc>
        <w:tc>
          <w:tcPr>
            <w:tcW w:w="753" w:type="pct"/>
            <w:tcBorders>
              <w:left w:val="single" w:sz="4" w:space="0" w:color="auto"/>
              <w:right w:val="single" w:sz="4" w:space="0" w:color="auto"/>
            </w:tcBorders>
          </w:tcPr>
          <w:p w:rsidR="0048417A" w:rsidRPr="004D57B3" w:rsidRDefault="0048417A" w:rsidP="00836B55">
            <w:pPr>
              <w:pStyle w:val="TableText"/>
            </w:pPr>
            <w:r>
              <w:t>nr</w:t>
            </w:r>
          </w:p>
        </w:tc>
        <w:tc>
          <w:tcPr>
            <w:tcW w:w="1225" w:type="pct"/>
            <w:tcBorders>
              <w:left w:val="single" w:sz="4" w:space="0" w:color="auto"/>
            </w:tcBorders>
          </w:tcPr>
          <w:p w:rsidR="0048417A" w:rsidRPr="004D57B3" w:rsidRDefault="0048417A" w:rsidP="00836B55">
            <w:pPr>
              <w:pStyle w:val="TableText"/>
              <w:rPr>
                <w:b/>
              </w:rPr>
            </w:pPr>
            <w:r w:rsidRPr="004D57B3">
              <w:t>Not a criterion, but reported that no p</w:t>
            </w:r>
            <w:r>
              <w:t>atients</w:t>
            </w:r>
            <w:r w:rsidRPr="004D57B3">
              <w:t xml:space="preserve"> had strictures revealed by SBFT</w:t>
            </w:r>
          </w:p>
        </w:tc>
      </w:tr>
    </w:tbl>
    <w:p w:rsidR="0048417A" w:rsidRPr="004D57B3" w:rsidRDefault="0048417A" w:rsidP="00836B55">
      <w:pPr>
        <w:pStyle w:val="TableNotes"/>
      </w:pPr>
      <w:r w:rsidRPr="004D57B3">
        <w:t>CE = capsule endoscopy</w:t>
      </w:r>
      <w:r>
        <w:t>, nr = not reported</w:t>
      </w:r>
    </w:p>
    <w:p w:rsidR="0048417A" w:rsidRPr="004D57B3" w:rsidRDefault="0048417A" w:rsidP="00836B55">
      <w:pPr>
        <w:pStyle w:val="TableNotes"/>
        <w:ind w:left="0"/>
      </w:pPr>
    </w:p>
    <w:p w:rsidR="0048417A" w:rsidRPr="004D57B3" w:rsidRDefault="0048417A" w:rsidP="00836B55">
      <w:pPr>
        <w:pStyle w:val="TableNotes"/>
        <w:numPr>
          <w:ilvl w:val="0"/>
          <w:numId w:val="14"/>
        </w:numPr>
      </w:pPr>
      <w:r w:rsidRPr="004D57B3">
        <w:t xml:space="preserve">Details of population characteristics, quality and applicability are found in </w:t>
      </w:r>
      <w:r w:rsidR="00AE591B">
        <w:fldChar w:fldCharType="begin"/>
      </w:r>
      <w:r w:rsidR="00AE591B">
        <w:instrText xml:space="preserve"> REF _Ref281981704 \h  \* MERGEFORMAT </w:instrText>
      </w:r>
      <w:r w:rsidR="00AE591B">
        <w:fldChar w:fldCharType="separate"/>
      </w:r>
      <w:r w:rsidRPr="004D57B3">
        <w:rPr>
          <w:bCs/>
        </w:rPr>
        <w:t xml:space="preserve">Appendix </w:t>
      </w:r>
      <w:r>
        <w:rPr>
          <w:bCs/>
        </w:rPr>
        <w:t>D</w:t>
      </w:r>
      <w:r w:rsidR="00AE591B">
        <w:fldChar w:fldCharType="end"/>
      </w:r>
      <w:r w:rsidRPr="004D57B3">
        <w:t>.</w:t>
      </w:r>
    </w:p>
    <w:p w:rsidR="0048417A" w:rsidRPr="004D57B3" w:rsidRDefault="0048417A" w:rsidP="00836B55">
      <w:pPr>
        <w:pStyle w:val="TableNotes"/>
        <w:ind w:left="1080"/>
      </w:pPr>
    </w:p>
    <w:p w:rsidR="0048417A" w:rsidRPr="004D57B3" w:rsidRDefault="0048417A" w:rsidP="00836B55">
      <w:pPr>
        <w:pStyle w:val="TableNotes"/>
        <w:numPr>
          <w:ilvl w:val="0"/>
          <w:numId w:val="14"/>
        </w:numPr>
      </w:pPr>
      <w:r w:rsidRPr="004D57B3">
        <w:t xml:space="preserve">All of the safety results listed above </w:t>
      </w:r>
      <w:proofErr w:type="gramStart"/>
      <w:r w:rsidRPr="004D57B3">
        <w:t>apply</w:t>
      </w:r>
      <w:proofErr w:type="gramEnd"/>
      <w:r w:rsidRPr="004D57B3">
        <w:t xml:space="preserve"> to patients with suspected Crohn’s disease</w:t>
      </w:r>
      <w:r>
        <w:t>,</w:t>
      </w:r>
      <w:r w:rsidRPr="004D57B3">
        <w:t xml:space="preserve"> either because the entire study population consisted of patients with suspected Crohn’s disease or because the results for the suspected Crohn’s disease subgroup </w:t>
      </w:r>
      <w:r>
        <w:t>were</w:t>
      </w:r>
      <w:r w:rsidRPr="004D57B3">
        <w:t xml:space="preserve"> reported separately. </w:t>
      </w:r>
    </w:p>
    <w:p w:rsidR="0048417A" w:rsidRPr="004D57B3" w:rsidRDefault="0048417A" w:rsidP="00836B55">
      <w:pPr>
        <w:pStyle w:val="Heading2a"/>
      </w:pPr>
      <w:r w:rsidRPr="004D57B3">
        <w:t>Adverse events</w:t>
      </w:r>
    </w:p>
    <w:p w:rsidR="0048417A" w:rsidRPr="004D57B3" w:rsidRDefault="0048417A" w:rsidP="00836B55">
      <w:pPr>
        <w:rPr>
          <w:rFonts w:ascii="Arial Narrow" w:hAnsi="Arial Narrow" w:cs="Garamond"/>
          <w:sz w:val="18"/>
          <w:szCs w:val="18"/>
        </w:rPr>
      </w:pPr>
      <w:r w:rsidRPr="004D57B3">
        <w:t xml:space="preserve">Eight studies reported adverse events with seven of these reporting that no adverse events or complications occurred during or after the procedure. Six of these studies included less than 40 patients. In the unpublished study by Selby et al </w:t>
      </w:r>
      <w:r>
        <w:rPr>
          <w:noProof/>
        </w:rPr>
        <w:t>(2008)</w:t>
      </w:r>
      <w:r w:rsidRPr="004D57B3">
        <w:t xml:space="preserve">, two moderate to severe adverse events were reported (2/120, 1.7%) – one patient had severe nausea with vomiting that was treated with anti-nausea medication, the other suffered from moderate pain. Both events were resolved within </w:t>
      </w:r>
      <w:r>
        <w:t>24</w:t>
      </w:r>
      <w:r w:rsidRPr="004D57B3">
        <w:t xml:space="preserve"> hours </w:t>
      </w:r>
      <w:r>
        <w:rPr>
          <w:noProof/>
        </w:rPr>
        <w:t>(Selby et al 2008)</w:t>
      </w:r>
      <w:r w:rsidRPr="004D57B3">
        <w:t>.</w:t>
      </w:r>
    </w:p>
    <w:p w:rsidR="0048417A" w:rsidRPr="004D57B3" w:rsidRDefault="0048417A" w:rsidP="00836B55">
      <w:r w:rsidRPr="004D57B3">
        <w:t xml:space="preserve">Adverse event reporting in the published literature was generally of a poor standard, with most studies reporting that no complications were observed during or after the </w:t>
      </w:r>
      <w:r w:rsidRPr="004D57B3">
        <w:lastRenderedPageBreak/>
        <w:t xml:space="preserve">procedure without indicating what counted as a potential ‘adverse event’. However the available data suggest that the use of capsule endoscopy for the diagnosis of suspected small bowel Crohn’s disease has a similar adverse event profile to the use of this technology for the evaluation of </w:t>
      </w:r>
      <w:r>
        <w:t>OGIB</w:t>
      </w:r>
      <w:r w:rsidRPr="004D57B3">
        <w:t xml:space="preserve"> in adult patients: adverse events are infrequent (1-2%), typically mild, and may include nausea, vomiting and pain </w:t>
      </w:r>
      <w:r>
        <w:rPr>
          <w:noProof/>
        </w:rPr>
        <w:t>(MSAC 2003)</w:t>
      </w:r>
      <w:r w:rsidRPr="004D57B3">
        <w:t>.</w:t>
      </w:r>
    </w:p>
    <w:p w:rsidR="0048417A" w:rsidRPr="004D57B3" w:rsidRDefault="0048417A" w:rsidP="00836B55">
      <w:pPr>
        <w:pStyle w:val="Heading2a"/>
      </w:pPr>
      <w:r w:rsidRPr="004D57B3">
        <w:t>Delayed passage</w:t>
      </w:r>
    </w:p>
    <w:p w:rsidR="0048417A" w:rsidRPr="004D57B3" w:rsidRDefault="0048417A" w:rsidP="00836B55">
      <w:r w:rsidRPr="004D57B3">
        <w:t>Delayed passage or non</w:t>
      </w:r>
      <w:r>
        <w:t>-</w:t>
      </w:r>
      <w:r w:rsidRPr="004D57B3">
        <w:t xml:space="preserve">passage of the capsule, usually associated with gastrointestinal strictures, are the most commonly reported and acknowledged risks of the procedure. These are not usually classified as adverse events because capsule retention involves a balance of possible harms (surgery, nausea, vomiting, pain), technical failures (incomplete visualisation of the small bowel) and benefits (the retention and/or the subsequent surgery may facilitate the diagnosis and/or treatment of pathological </w:t>
      </w:r>
      <w:proofErr w:type="spellStart"/>
      <w:r w:rsidRPr="004D57B3">
        <w:t>stenoses</w:t>
      </w:r>
      <w:proofErr w:type="spellEnd"/>
      <w:r w:rsidRPr="004D57B3">
        <w:t xml:space="preserve"> or other conditions). </w:t>
      </w:r>
    </w:p>
    <w:p w:rsidR="0048417A" w:rsidRPr="004D57B3" w:rsidRDefault="0048417A" w:rsidP="00836B55">
      <w:r w:rsidRPr="004D57B3">
        <w:t>Data concerning delayed passage or retention of the capsule w</w:t>
      </w:r>
      <w:r>
        <w:t>ere</w:t>
      </w:r>
      <w:r w:rsidRPr="004D57B3">
        <w:t xml:space="preserve"> reported in 13 of the 14 studies included in the safety assessment. The rate of capsule retention reported in the included studies ranged from 0% to 15%. </w:t>
      </w:r>
    </w:p>
    <w:p w:rsidR="0048417A" w:rsidRPr="004D57B3" w:rsidRDefault="0048417A" w:rsidP="00836B55">
      <w:r w:rsidRPr="004D57B3">
        <w:t xml:space="preserve">Of the six included studies with data on capsule retention and surgical removal, 7 of 12 subjects with a retained capsule later had surgery at which the capsule was surgically removed. </w:t>
      </w:r>
    </w:p>
    <w:p w:rsidR="0048417A" w:rsidRPr="004D57B3" w:rsidRDefault="0048417A" w:rsidP="00836B55">
      <w:r w:rsidRPr="004D57B3">
        <w:t xml:space="preserve">The included studies did not always </w:t>
      </w:r>
      <w:r>
        <w:t>explicitly</w:t>
      </w:r>
      <w:r w:rsidRPr="004D57B3">
        <w:t xml:space="preserve"> report whether such patients underwent surgery </w:t>
      </w:r>
      <w:r w:rsidRPr="009F5538">
        <w:t>for t</w:t>
      </w:r>
      <w:r w:rsidRPr="004D57B3">
        <w:t>he removal of the retained capsule</w:t>
      </w:r>
      <w:r>
        <w:t>,</w:t>
      </w:r>
      <w:r w:rsidRPr="004D57B3">
        <w:t xml:space="preserve"> or instead had the capsule removed during surgery that was indicated for Crohn’s disease or other conditions. However, it appears that of the 7 subjects in whom retained capsules were surgically removed, 5 underwent surgery for capsule removal and 2 had the retained capsule removed during surgery for other conditions (resection of a Crohn’s disease stricture following recurrent small bowel obstructions which were suspected even before the capsule endoscopy was performed; and removal of a carcinoid tumour detected on capsule endoscopy).</w:t>
      </w:r>
    </w:p>
    <w:p w:rsidR="0048417A" w:rsidRPr="004D57B3" w:rsidRDefault="0048417A" w:rsidP="00836B55">
      <w:r w:rsidRPr="004D57B3">
        <w:t>Overall, there did not tend to be higher retentions in studies which failed to explicitly exclude patients with strictures on radiology, compared with studies that did. Small sample sizes and the possibility that studies excluded such subjects without reporting so explicitly may explain this result. However, the reported rates of capsule retention were highest in studies that excluded patients on the basis of known intestinal obstruction (current or prior) and/or strictures revealed by x</w:t>
      </w:r>
      <w:r>
        <w:t>-</w:t>
      </w:r>
      <w:r w:rsidRPr="004D57B3">
        <w:t>ray (</w:t>
      </w:r>
      <w:r w:rsidRPr="004D57B3">
        <w:rPr>
          <w:rFonts w:cs="Garamond"/>
          <w:szCs w:val="18"/>
        </w:rPr>
        <w:t xml:space="preserve">15% [3/20] in </w:t>
      </w:r>
      <w:r w:rsidRPr="004D57B3">
        <w:t xml:space="preserve">Ge et al </w:t>
      </w:r>
      <w:r w:rsidRPr="004D57B3">
        <w:rPr>
          <w:noProof/>
        </w:rPr>
        <w:t>(2004)</w:t>
      </w:r>
      <w:r w:rsidRPr="004D57B3">
        <w:t xml:space="preserve"> and 11% [3/27] in </w:t>
      </w:r>
      <w:proofErr w:type="spellStart"/>
      <w:r w:rsidRPr="004D57B3">
        <w:t>Girelli</w:t>
      </w:r>
      <w:proofErr w:type="spellEnd"/>
      <w:r w:rsidRPr="004D57B3">
        <w:t xml:space="preserve"> et al </w:t>
      </w:r>
      <w:r w:rsidRPr="004D57B3">
        <w:rPr>
          <w:noProof/>
        </w:rPr>
        <w:t>(2007)</w:t>
      </w:r>
      <w:r w:rsidRPr="004D57B3">
        <w:t xml:space="preserve">) as opposed to strictures revealed by other forms of small bowel radiology. </w:t>
      </w:r>
    </w:p>
    <w:p w:rsidR="0048417A" w:rsidRDefault="0048417A" w:rsidP="00836B55">
      <w:r w:rsidRPr="004D57B3">
        <w:t xml:space="preserve">In comparison with the use of capsule endoscopy for the evaluation of </w:t>
      </w:r>
      <w:r>
        <w:t>OGIB</w:t>
      </w:r>
      <w:r w:rsidRPr="004D57B3">
        <w:t xml:space="preserve"> in adult patients, the use of capsule endoscopy for the present indication appears to have a greater range of rates of capsule retention and a higher rate of surgical removal of retained capsules </w:t>
      </w:r>
      <w:r>
        <w:rPr>
          <w:noProof/>
        </w:rPr>
        <w:t>(MSAC 2003)</w:t>
      </w:r>
      <w:r w:rsidRPr="004D57B3">
        <w:t>.</w:t>
      </w:r>
    </w:p>
    <w:p w:rsidR="0048417A" w:rsidRPr="004D57B3" w:rsidRDefault="0048417A" w:rsidP="00836B55"/>
    <w:p w:rsidR="0048417A" w:rsidRPr="004D57B3" w:rsidRDefault="0048417A" w:rsidP="00836B55">
      <w:pPr>
        <w:pStyle w:val="Heading2a"/>
      </w:pPr>
      <w:r w:rsidRPr="004D57B3">
        <w:lastRenderedPageBreak/>
        <w:t>Comparative safety</w:t>
      </w:r>
    </w:p>
    <w:p w:rsidR="0048417A" w:rsidRPr="004D57B3" w:rsidRDefault="0048417A" w:rsidP="00836B55">
      <w:r w:rsidRPr="004D57B3">
        <w:t xml:space="preserve">Owing to the lack of identified comparative studies with safety data, an assessment of the safety of </w:t>
      </w:r>
      <w:r w:rsidRPr="004D57B3">
        <w:rPr>
          <w:szCs w:val="24"/>
        </w:rPr>
        <w:t>capsule endoscopy in comparison to empirical treatment, MR and/or CT was not undertaken. An overview of these safety considerations is presented in the discussion section ‘</w:t>
      </w:r>
      <w:r w:rsidR="00AE591B">
        <w:fldChar w:fldCharType="begin"/>
      </w:r>
      <w:r w:rsidR="00AE591B">
        <w:instrText xml:space="preserve"> REF _Ref278459427 \h  \* MERGEFORMAT </w:instrText>
      </w:r>
      <w:r w:rsidR="00AE591B">
        <w:fldChar w:fldCharType="separate"/>
      </w:r>
      <w:r w:rsidRPr="004D57B3">
        <w:t>Is it safe?</w:t>
      </w:r>
      <w:r w:rsidR="00AE591B">
        <w:fldChar w:fldCharType="end"/>
      </w:r>
      <w:proofErr w:type="gramStart"/>
      <w:r w:rsidRPr="004D57B3">
        <w:rPr>
          <w:szCs w:val="24"/>
        </w:rPr>
        <w:t>’</w:t>
      </w:r>
      <w:r>
        <w:rPr>
          <w:szCs w:val="24"/>
        </w:rPr>
        <w:t xml:space="preserve"> </w:t>
      </w:r>
      <w:r w:rsidRPr="004D57B3">
        <w:rPr>
          <w:szCs w:val="24"/>
        </w:rPr>
        <w:t xml:space="preserve">(page </w:t>
      </w:r>
      <w:r w:rsidRPr="004D57B3">
        <w:rPr>
          <w:szCs w:val="24"/>
        </w:rPr>
        <w:fldChar w:fldCharType="begin"/>
      </w:r>
      <w:r w:rsidRPr="004D57B3">
        <w:rPr>
          <w:szCs w:val="24"/>
        </w:rPr>
        <w:instrText xml:space="preserve"> PAGEREF _Ref278459430 \h </w:instrText>
      </w:r>
      <w:r w:rsidRPr="004D57B3">
        <w:rPr>
          <w:szCs w:val="24"/>
        </w:rPr>
      </w:r>
      <w:r w:rsidRPr="004D57B3">
        <w:rPr>
          <w:szCs w:val="24"/>
        </w:rPr>
        <w:fldChar w:fldCharType="separate"/>
      </w:r>
      <w:r>
        <w:rPr>
          <w:noProof/>
          <w:szCs w:val="24"/>
        </w:rPr>
        <w:t>73</w:t>
      </w:r>
      <w:r w:rsidRPr="004D57B3">
        <w:rPr>
          <w:szCs w:val="24"/>
        </w:rPr>
        <w:fldChar w:fldCharType="end"/>
      </w:r>
      <w:r w:rsidRPr="004D57B3">
        <w:rPr>
          <w:szCs w:val="24"/>
        </w:rPr>
        <w:t>).</w:t>
      </w:r>
      <w:proofErr w:type="gramEnd"/>
      <w:r w:rsidRPr="004D57B3">
        <w:t xml:space="preserve"> </w:t>
      </w:r>
    </w:p>
    <w:tbl>
      <w:tblPr>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22"/>
      </w:tblGrid>
      <w:tr w:rsidR="0048417A" w:rsidRPr="004D57B3" w:rsidTr="00836B55">
        <w:trPr>
          <w:trHeight w:val="1825"/>
        </w:trPr>
        <w:tc>
          <w:tcPr>
            <w:tcW w:w="8522" w:type="dxa"/>
          </w:tcPr>
          <w:p w:rsidR="0048417A" w:rsidRPr="004D57B3" w:rsidRDefault="0048417A" w:rsidP="00836B55">
            <w:pPr>
              <w:pStyle w:val="Summaryboxheading"/>
              <w:keepNext/>
              <w:rPr>
                <w:szCs w:val="24"/>
              </w:rPr>
            </w:pPr>
            <w:r w:rsidRPr="004D57B3">
              <w:rPr>
                <w:szCs w:val="24"/>
              </w:rPr>
              <w:t xml:space="preserve">Summary of </w:t>
            </w:r>
            <w:r>
              <w:rPr>
                <w:szCs w:val="24"/>
              </w:rPr>
              <w:t>s</w:t>
            </w:r>
            <w:r w:rsidRPr="004D57B3">
              <w:rPr>
                <w:szCs w:val="24"/>
              </w:rPr>
              <w:t xml:space="preserve">afety – Is capsule endoscopy safe? </w:t>
            </w:r>
          </w:p>
          <w:p w:rsidR="0048417A" w:rsidRPr="004D57B3" w:rsidRDefault="0048417A" w:rsidP="00836B55">
            <w:pPr>
              <w:ind w:left="0"/>
            </w:pPr>
            <w:r w:rsidRPr="004D57B3">
              <w:t>No studies reported comparative safety data of capsule endoscopy against MR, CT or empirical treatment. Safety data for capsule endoscopy for patients with suspected small bowel Crohn’s disease w</w:t>
            </w:r>
            <w:r>
              <w:t>ere</w:t>
            </w:r>
            <w:r w:rsidRPr="004D57B3">
              <w:t xml:space="preserve"> reported in 14 studies.</w:t>
            </w:r>
          </w:p>
          <w:p w:rsidR="0048417A" w:rsidRPr="004D57B3" w:rsidRDefault="0048417A" w:rsidP="00836B55">
            <w:pPr>
              <w:ind w:left="0"/>
            </w:pPr>
            <w:r w:rsidRPr="004D57B3">
              <w:t xml:space="preserve">Two moderate to severe adverse events associated with the use of capsule endoscopy were reported in one study. One patient had severe nausea with vomiting that was treated with anti-nausea medication (1/120, &lt;1%), the other suffered from moderate pain (1/120, &lt;1%). Both events were resolved within </w:t>
            </w:r>
            <w:r>
              <w:t>24</w:t>
            </w:r>
            <w:r w:rsidRPr="004D57B3">
              <w:t xml:space="preserve"> hours. Seven other studies reported no adverse events associated with the use of </w:t>
            </w:r>
            <w:r w:rsidRPr="004D57B3">
              <w:rPr>
                <w:szCs w:val="24"/>
              </w:rPr>
              <w:t>capsule endoscopy for the diagnosis of patients with suspected small bowel Crohn’s disease.</w:t>
            </w:r>
            <w:r w:rsidRPr="004D57B3">
              <w:t xml:space="preserve"> Adverse events are likely to be similar, and occur at similar rates, as those reported for other indications (MSAC 2003).</w:t>
            </w:r>
          </w:p>
          <w:p w:rsidR="0048417A" w:rsidRPr="004D57B3" w:rsidRDefault="0048417A" w:rsidP="00836B55">
            <w:pPr>
              <w:ind w:left="0"/>
            </w:pPr>
            <w:r w:rsidRPr="004D57B3">
              <w:t>Data concerning delayed passage or retention of the capsule w</w:t>
            </w:r>
            <w:r>
              <w:t>ere</w:t>
            </w:r>
            <w:r w:rsidRPr="004D57B3">
              <w:t xml:space="preserve"> reported in 13 of the 14 studies included in the safety assessment. The rate of capsule retention reported in the included studies ranged from 0% to 15%. Most subjects who retained the capsule did not experience any symptoms as a result of the retention. In included studies where the rate of capsule retention and the rate of surgical removal were reported, 7 of 12 subjects who retained a capsule later had surgery at which the capsule was removed. </w:t>
            </w:r>
          </w:p>
          <w:p w:rsidR="0048417A" w:rsidRPr="004D57B3" w:rsidRDefault="0048417A" w:rsidP="00836B55">
            <w:pPr>
              <w:ind w:left="0"/>
            </w:pPr>
            <w:r w:rsidRPr="004D57B3">
              <w:t>Capsule endoscopy for the diagnosis of small bowel Crohn’s disease has a potentially higher rate of retention compared with other indications. It appears that this can be partially mitigated with prior screening for strictures but that excluding patients on the basis of known intestinal obstruction (or a history of obstruction) is insufficient.</w:t>
            </w:r>
          </w:p>
        </w:tc>
      </w:tr>
    </w:tbl>
    <w:p w:rsidR="0048417A" w:rsidRPr="004D57B3" w:rsidRDefault="0048417A" w:rsidP="00836B55">
      <w:pPr>
        <w:sectPr w:rsidR="0048417A" w:rsidRPr="004D57B3" w:rsidSect="00836B55">
          <w:headerReference w:type="even" r:id="rId27"/>
          <w:headerReference w:type="default" r:id="rId28"/>
          <w:footerReference w:type="default" r:id="rId29"/>
          <w:headerReference w:type="first" r:id="rId30"/>
          <w:pgSz w:w="11906" w:h="16838"/>
          <w:pgMar w:top="1440" w:right="1440" w:bottom="1440" w:left="1440" w:header="720" w:footer="720" w:gutter="0"/>
          <w:paperSrc w:first="2" w:other="2"/>
          <w:cols w:space="720"/>
        </w:sectPr>
      </w:pPr>
    </w:p>
    <w:p w:rsidR="0048417A" w:rsidRPr="004D57B3" w:rsidRDefault="0048417A">
      <w:pPr>
        <w:pStyle w:val="Heading2"/>
      </w:pPr>
      <w:bookmarkStart w:id="175" w:name="_Toc296517888"/>
      <w:r w:rsidRPr="004D57B3">
        <w:lastRenderedPageBreak/>
        <w:t>Is it effective?</w:t>
      </w:r>
      <w:bookmarkEnd w:id="175"/>
      <w:r w:rsidRPr="004D57B3">
        <w:t xml:space="preserve"> </w:t>
      </w:r>
    </w:p>
    <w:p w:rsidR="0048417A" w:rsidRPr="004D57B3" w:rsidRDefault="0048417A" w:rsidP="00836B55">
      <w:bookmarkStart w:id="176" w:name="_Ref192057445"/>
      <w:r w:rsidRPr="004D57B3">
        <w:t xml:space="preserve">Studies that met the selection criteria in </w:t>
      </w:r>
      <w:r w:rsidR="00AE591B">
        <w:fldChar w:fldCharType="begin"/>
      </w:r>
      <w:r w:rsidR="00AE591B">
        <w:instrText xml:space="preserve"> REF _Ref276648693 \h  \* MERGEFORMAT </w:instrText>
      </w:r>
      <w:r w:rsidR="00AE591B">
        <w:fldChar w:fldCharType="separate"/>
      </w:r>
      <w:r w:rsidRPr="004D57B3">
        <w:t xml:space="preserve">Table </w:t>
      </w:r>
      <w:r>
        <w:rPr>
          <w:noProof/>
        </w:rPr>
        <w:t>12</w:t>
      </w:r>
      <w:r w:rsidR="00AE591B">
        <w:fldChar w:fldCharType="end"/>
      </w:r>
      <w:r w:rsidRPr="004D57B3">
        <w:t xml:space="preserve"> were included in the effectiveness assessment. Effectiveness data were reported in 14 primary studies and these data are summarised in </w:t>
      </w:r>
      <w:r w:rsidR="00AE591B">
        <w:fldChar w:fldCharType="begin"/>
      </w:r>
      <w:r w:rsidR="00AE591B">
        <w:instrText xml:space="preserve"> REF _Ref281981704 \h  \* MERGEFORMAT </w:instrText>
      </w:r>
      <w:r w:rsidR="00AE591B">
        <w:fldChar w:fldCharType="separate"/>
      </w:r>
      <w:r w:rsidRPr="004D57B3">
        <w:rPr>
          <w:bCs/>
        </w:rPr>
        <w:t xml:space="preserve">Appendix </w:t>
      </w:r>
      <w:r>
        <w:rPr>
          <w:bCs/>
        </w:rPr>
        <w:t>D</w:t>
      </w:r>
      <w:r w:rsidR="00AE591B">
        <w:fldChar w:fldCharType="end"/>
      </w:r>
      <w:r w:rsidRPr="004D57B3">
        <w:t xml:space="preserve">. </w:t>
      </w:r>
    </w:p>
    <w:bookmarkEnd w:id="176"/>
    <w:p w:rsidR="0048417A" w:rsidRPr="004D57B3" w:rsidRDefault="0048417A" w:rsidP="00836B55">
      <w:pPr>
        <w:pStyle w:val="Heading2a"/>
      </w:pPr>
      <w:r w:rsidRPr="004D57B3">
        <w:t xml:space="preserve">Existing systematic reviews and </w:t>
      </w:r>
      <w:r>
        <w:t>HTA</w:t>
      </w:r>
      <w:r w:rsidRPr="004D57B3">
        <w:t xml:space="preserve"> reports</w:t>
      </w:r>
    </w:p>
    <w:p w:rsidR="0048417A" w:rsidRPr="004D57B3" w:rsidRDefault="0048417A" w:rsidP="00836B55">
      <w:r w:rsidRPr="004D57B3">
        <w:t>A search for existing HTA reports and published systematic reviews on the use of capsule endoscopy for the diagnosis of small bowel Crohn’s disease yielded one HTA report, one meta</w:t>
      </w:r>
      <w:r>
        <w:t>-</w:t>
      </w:r>
      <w:r w:rsidRPr="004D57B3">
        <w:t xml:space="preserve">analysis and one systematic review </w:t>
      </w:r>
      <w:r w:rsidRPr="004D57B3">
        <w:rPr>
          <w:noProof/>
        </w:rPr>
        <w:t>(Dionisio et al 2010; Poelmans et al 2006; Varela-Lema &amp; Ruano-Ravina 2008)</w:t>
      </w:r>
      <w:r w:rsidRPr="004D57B3">
        <w:t xml:space="preserve">. Five further HTAs were identified but excluded because their findings were superseded by </w:t>
      </w:r>
      <w:proofErr w:type="spellStart"/>
      <w:r w:rsidRPr="004D57B3">
        <w:t>Poelmans</w:t>
      </w:r>
      <w:proofErr w:type="spellEnd"/>
      <w:r w:rsidRPr="004D57B3">
        <w:t xml:space="preserve"> et al </w:t>
      </w:r>
      <w:r w:rsidRPr="004D57B3">
        <w:rPr>
          <w:noProof/>
        </w:rPr>
        <w:t>(2006)</w:t>
      </w:r>
      <w:r w:rsidRPr="004D57B3">
        <w:t xml:space="preserve"> </w:t>
      </w:r>
      <w:r w:rsidRPr="004D57B3">
        <w:rPr>
          <w:noProof/>
        </w:rPr>
        <w:t>(MAS 2003; Mundy &amp; Merlin 2003; NICE 2004)</w:t>
      </w:r>
      <w:r w:rsidRPr="004D57B3">
        <w:t xml:space="preserve"> or because the full text English publication was unavailable </w:t>
      </w:r>
      <w:r w:rsidRPr="004D57B3">
        <w:rPr>
          <w:noProof/>
        </w:rPr>
        <w:t>(Hayes Inc 2008; Mueller et al 2004)</w:t>
      </w:r>
      <w:r w:rsidRPr="004D57B3">
        <w:t>. Three further meta</w:t>
      </w:r>
      <w:r>
        <w:t>-</w:t>
      </w:r>
      <w:r w:rsidRPr="004D57B3">
        <w:t xml:space="preserve">analyses were identified but excluded because their findings were superseded by </w:t>
      </w:r>
      <w:proofErr w:type="spellStart"/>
      <w:r w:rsidRPr="004D57B3">
        <w:t>Dionisio</w:t>
      </w:r>
      <w:proofErr w:type="spellEnd"/>
      <w:r w:rsidRPr="004D57B3">
        <w:t xml:space="preserve"> et al </w:t>
      </w:r>
      <w:r w:rsidRPr="004D57B3">
        <w:rPr>
          <w:noProof/>
        </w:rPr>
        <w:t>(2010)</w:t>
      </w:r>
      <w:r w:rsidRPr="004D57B3">
        <w:t xml:space="preserve"> </w:t>
      </w:r>
      <w:r w:rsidRPr="004D57B3">
        <w:rPr>
          <w:noProof/>
        </w:rPr>
        <w:t>(Leighton et al 2006; Marmo et al 2005; Triester et al 2006)</w:t>
      </w:r>
      <w:r w:rsidRPr="004D57B3">
        <w:t>.</w:t>
      </w:r>
    </w:p>
    <w:p w:rsidR="0048417A" w:rsidRPr="004D57B3" w:rsidRDefault="0048417A" w:rsidP="00836B55">
      <w:pPr>
        <w:spacing w:after="0"/>
      </w:pPr>
      <w:r w:rsidRPr="004D57B3">
        <w:t xml:space="preserve">The characteristics and quality assessment of the included HTAs and systematic reviews are summarised in </w:t>
      </w:r>
      <w:r w:rsidR="00AE591B">
        <w:fldChar w:fldCharType="begin"/>
      </w:r>
      <w:r w:rsidR="00AE591B">
        <w:instrText xml:space="preserve"> REF _Ref281983098 \h  \* MERGEFORMAT </w:instrText>
      </w:r>
      <w:r w:rsidR="00AE591B">
        <w:fldChar w:fldCharType="separate"/>
      </w:r>
      <w:r w:rsidRPr="004D57B3">
        <w:t xml:space="preserve">Table </w:t>
      </w:r>
      <w:r>
        <w:rPr>
          <w:noProof/>
        </w:rPr>
        <w:t>22</w:t>
      </w:r>
      <w:r w:rsidR="00AE591B">
        <w:fldChar w:fldCharType="end"/>
      </w:r>
      <w:r w:rsidRPr="004D57B3">
        <w:t>.</w:t>
      </w:r>
    </w:p>
    <w:p w:rsidR="0048417A" w:rsidRPr="004D57B3" w:rsidRDefault="0048417A" w:rsidP="00836B55">
      <w:pPr>
        <w:pStyle w:val="Heading3"/>
      </w:pPr>
      <w:proofErr w:type="spellStart"/>
      <w:r w:rsidRPr="004D57B3">
        <w:t>Dionisio</w:t>
      </w:r>
      <w:proofErr w:type="spellEnd"/>
      <w:r w:rsidRPr="004D57B3">
        <w:t xml:space="preserve"> (2010)</w:t>
      </w:r>
    </w:p>
    <w:p w:rsidR="0048417A" w:rsidRPr="004D57B3" w:rsidRDefault="0048417A" w:rsidP="00836B55">
      <w:r w:rsidRPr="004D57B3">
        <w:t>The objective of this meta</w:t>
      </w:r>
      <w:r>
        <w:t>-</w:t>
      </w:r>
      <w:r w:rsidRPr="004D57B3">
        <w:t xml:space="preserve">analysis was to evaluate the diagnostic yield of capsule endoscopy compared with other diagnostic modalities </w:t>
      </w:r>
      <w:r w:rsidRPr="004D57B3">
        <w:rPr>
          <w:szCs w:val="24"/>
        </w:rPr>
        <w:t>–</w:t>
      </w:r>
      <w:r w:rsidRPr="004D57B3">
        <w:t xml:space="preserve"> small bowel barium radiography, CT </w:t>
      </w:r>
      <w:proofErr w:type="spellStart"/>
      <w:r w:rsidRPr="004D57B3">
        <w:t>enterography</w:t>
      </w:r>
      <w:proofErr w:type="spellEnd"/>
      <w:r w:rsidRPr="004D57B3">
        <w:t xml:space="preserve"> or </w:t>
      </w:r>
      <w:proofErr w:type="spellStart"/>
      <w:r w:rsidRPr="004D57B3">
        <w:t>enteroclysis</w:t>
      </w:r>
      <w:proofErr w:type="spellEnd"/>
      <w:r w:rsidRPr="004D57B3">
        <w:t xml:space="preserve">, colonoscopy with </w:t>
      </w:r>
      <w:proofErr w:type="spellStart"/>
      <w:r w:rsidRPr="004D57B3">
        <w:t>ileoscopy</w:t>
      </w:r>
      <w:proofErr w:type="spellEnd"/>
      <w:r w:rsidRPr="004D57B3">
        <w:t xml:space="preserve">, push </w:t>
      </w:r>
      <w:proofErr w:type="spellStart"/>
      <w:r w:rsidRPr="004D57B3">
        <w:t>enteroscopy</w:t>
      </w:r>
      <w:proofErr w:type="spellEnd"/>
      <w:r w:rsidRPr="004D57B3">
        <w:t xml:space="preserve"> and MRE </w:t>
      </w:r>
      <w:r w:rsidRPr="004D57B3">
        <w:rPr>
          <w:szCs w:val="24"/>
        </w:rPr>
        <w:t>–</w:t>
      </w:r>
      <w:r w:rsidRPr="004D57B3">
        <w:t xml:space="preserve"> in patients with suspected or established Crohn’s disease. The review did not provide data on the comparative diagnostic accuracy of capsule endoscopy and comparator modalities due to the absence of a reference standard. This meta</w:t>
      </w:r>
      <w:r>
        <w:t>-</w:t>
      </w:r>
      <w:r w:rsidRPr="004D57B3">
        <w:t>analysis is of limited applicability to the research question addressed by this report, primarily because the subjects were not required to have undergone the prior tests specified in the PPICO criteria for the present report. Only studies in adult patients were included. The meta</w:t>
      </w:r>
      <w:r>
        <w:t>-</w:t>
      </w:r>
      <w:r w:rsidRPr="004D57B3">
        <w:t xml:space="preserve">analysis by </w:t>
      </w:r>
      <w:proofErr w:type="spellStart"/>
      <w:r w:rsidRPr="004D57B3">
        <w:t>Dionisio</w:t>
      </w:r>
      <w:proofErr w:type="spellEnd"/>
      <w:r w:rsidRPr="004D57B3">
        <w:t xml:space="preserve"> et al </w:t>
      </w:r>
      <w:r w:rsidRPr="004D57B3">
        <w:rPr>
          <w:noProof/>
        </w:rPr>
        <w:t>(2010)</w:t>
      </w:r>
      <w:r w:rsidRPr="004D57B3">
        <w:t xml:space="preserve"> was rated of fair quality due to the quality of included studies not being assessed or ranked explicitly, and because the summary of the main results was based on inappropriately pooled estimates of diagnostic yield (see below).</w:t>
      </w:r>
      <w:r w:rsidRPr="004D57B3" w:rsidDel="00246134">
        <w:t xml:space="preserve"> </w:t>
      </w:r>
    </w:p>
    <w:p w:rsidR="0048417A" w:rsidRPr="004D57B3" w:rsidRDefault="0048417A" w:rsidP="00836B55">
      <w:r w:rsidRPr="004D57B3">
        <w:t>The meta</w:t>
      </w:r>
      <w:r>
        <w:t>-</w:t>
      </w:r>
      <w:r w:rsidRPr="004D57B3">
        <w:t>analysis was based on a systematic review of studies published up until May 2009; no language restrictions were applied and 19 eligible studies were included. The authors reported that most primary studies did not have a reference standard but that one used consensus</w:t>
      </w:r>
      <w:r>
        <w:t>-</w:t>
      </w:r>
      <w:r w:rsidRPr="004D57B3">
        <w:t>based clinical diagnosis. Capsule endoscopy was found to have a significantly higher weighted incremental diagnostic yield than CT (</w:t>
      </w:r>
      <w:proofErr w:type="spellStart"/>
      <w:r w:rsidRPr="004D57B3">
        <w:t>enterography</w:t>
      </w:r>
      <w:proofErr w:type="spellEnd"/>
      <w:r w:rsidRPr="004D57B3">
        <w:t xml:space="preserve"> or </w:t>
      </w:r>
      <w:proofErr w:type="spellStart"/>
      <w:r w:rsidRPr="004D57B3">
        <w:t>enteroclysis</w:t>
      </w:r>
      <w:proofErr w:type="spellEnd"/>
      <w:r w:rsidRPr="004D57B3">
        <w:t xml:space="preserve">) (3 trials, </w:t>
      </w:r>
      <w:r>
        <w:t>n</w:t>
      </w:r>
      <w:r w:rsidRPr="004D57B3">
        <w:t xml:space="preserve">=53) (47% [95% CI = 31-63%], P &lt;0.00001). The weighted incremental yield of capsule endoscopy compared with MRE (3 trials, </w:t>
      </w:r>
      <w:r>
        <w:t>n</w:t>
      </w:r>
      <w:r w:rsidRPr="004D57B3">
        <w:t xml:space="preserve">=31) was 10% (95% CI = </w:t>
      </w:r>
      <w:r>
        <w:t>–</w:t>
      </w:r>
      <w:r w:rsidRPr="004D57B3">
        <w:t>14-34%) and non</w:t>
      </w:r>
      <w:r>
        <w:t>-</w:t>
      </w:r>
      <w:r w:rsidRPr="004D57B3">
        <w:t xml:space="preserve">significant (P = 0.43). </w:t>
      </w:r>
      <w:bookmarkStart w:id="177" w:name="_Ref279654157"/>
    </w:p>
    <w:p w:rsidR="0048417A" w:rsidRPr="004D57B3" w:rsidRDefault="0048417A" w:rsidP="00836B55">
      <w:pPr>
        <w:spacing w:after="0"/>
      </w:pPr>
      <w:r w:rsidRPr="004D57B3">
        <w:t>The report concluded that capsule endoscopy is superior to the comparators</w:t>
      </w:r>
      <w:r>
        <w:t>;</w:t>
      </w:r>
      <w:r w:rsidRPr="004D57B3">
        <w:t xml:space="preserve"> however, the meta-analysis reports only on diagnostic yield and therefore cannot differentiate true</w:t>
      </w:r>
      <w:r>
        <w:t>-</w:t>
      </w:r>
      <w:r w:rsidRPr="004D57B3">
        <w:t>positives from false</w:t>
      </w:r>
      <w:r>
        <w:t>-</w:t>
      </w:r>
      <w:r w:rsidRPr="004D57B3">
        <w:t xml:space="preserve">positives; a higher diagnostic yield may not reflect greater accuracy. Furthermore, threshold variation due to the absence of an explicit test threshold was not explored across the studies and should have been a consideration prior to statistical </w:t>
      </w:r>
      <w:r w:rsidRPr="004D57B3">
        <w:lastRenderedPageBreak/>
        <w:t>pooling. For these reasons, the pooled estimates of diagnostic yield are considered inappropriate measures of effect.</w:t>
      </w:r>
    </w:p>
    <w:p w:rsidR="0048417A" w:rsidRPr="004D57B3" w:rsidRDefault="0048417A" w:rsidP="00836B55">
      <w:pPr>
        <w:pStyle w:val="Heading3"/>
      </w:pPr>
      <w:r w:rsidRPr="004D57B3">
        <w:t>Varela-</w:t>
      </w:r>
      <w:proofErr w:type="spellStart"/>
      <w:r w:rsidRPr="004D57B3">
        <w:t>Lema</w:t>
      </w:r>
      <w:proofErr w:type="spellEnd"/>
      <w:r w:rsidRPr="004D57B3">
        <w:t xml:space="preserve"> and </w:t>
      </w:r>
      <w:proofErr w:type="spellStart"/>
      <w:r w:rsidRPr="004D57B3">
        <w:t>Ruano-Ravina</w:t>
      </w:r>
      <w:proofErr w:type="spellEnd"/>
      <w:r w:rsidRPr="004D57B3">
        <w:t xml:space="preserve"> </w:t>
      </w:r>
      <w:r w:rsidRPr="004D57B3">
        <w:rPr>
          <w:noProof/>
        </w:rPr>
        <w:t>(2008)</w:t>
      </w:r>
    </w:p>
    <w:p w:rsidR="0048417A" w:rsidRPr="004D57B3" w:rsidRDefault="0048417A" w:rsidP="00836B55">
      <w:r w:rsidRPr="004D57B3">
        <w:t>Varela-</w:t>
      </w:r>
      <w:proofErr w:type="spellStart"/>
      <w:r w:rsidRPr="004D57B3">
        <w:t>Lema</w:t>
      </w:r>
      <w:proofErr w:type="spellEnd"/>
      <w:r w:rsidRPr="004D57B3">
        <w:t xml:space="preserve"> and </w:t>
      </w:r>
      <w:proofErr w:type="spellStart"/>
      <w:r w:rsidRPr="004D57B3">
        <w:t>Ruano-Ravina</w:t>
      </w:r>
      <w:proofErr w:type="spellEnd"/>
      <w:r w:rsidRPr="004D57B3">
        <w:t xml:space="preserve"> </w:t>
      </w:r>
      <w:r w:rsidRPr="004D57B3">
        <w:rPr>
          <w:noProof/>
        </w:rPr>
        <w:t>(2008)</w:t>
      </w:r>
      <w:r w:rsidRPr="004D57B3">
        <w:t xml:space="preserve"> summarise a systematic review undertaken for a HTA report available only in Spanish </w:t>
      </w:r>
      <w:r w:rsidRPr="004D57B3">
        <w:rPr>
          <w:noProof/>
        </w:rPr>
        <w:t>(Varela-Lema &amp; Ruano-Ravina 2005)</w:t>
      </w:r>
      <w:r w:rsidRPr="004D57B3">
        <w:t xml:space="preserve">. The objective was to assess the effectiveness, safety and clinical use of capsule endoscopy in the diagnosis of small bowel diseases, including suspected and established Crohn’s disease. The applicability of this systematic review to the research question addressed by this report may be limited because suspected and established Crohn’s disease were considered together and many studies used colonoscopy and </w:t>
      </w:r>
      <w:proofErr w:type="spellStart"/>
      <w:r w:rsidRPr="004D57B3">
        <w:t>ileoscopy</w:t>
      </w:r>
      <w:proofErr w:type="spellEnd"/>
      <w:r w:rsidRPr="004D57B3">
        <w:t xml:space="preserve"> as a comparator rather than, or as well as, a prior test. The systematic review by Varela-</w:t>
      </w:r>
      <w:proofErr w:type="spellStart"/>
      <w:r w:rsidRPr="004D57B3">
        <w:t>Lema</w:t>
      </w:r>
      <w:proofErr w:type="spellEnd"/>
      <w:r w:rsidRPr="004D57B3">
        <w:t xml:space="preserve"> </w:t>
      </w:r>
      <w:r w:rsidRPr="004D57B3">
        <w:rPr>
          <w:noProof/>
        </w:rPr>
        <w:t>and Ruano-Ravina</w:t>
      </w:r>
      <w:r w:rsidRPr="004D57B3">
        <w:t xml:space="preserve"> </w:t>
      </w:r>
      <w:r w:rsidRPr="004D57B3">
        <w:rPr>
          <w:noProof/>
        </w:rPr>
        <w:t>(2008)</w:t>
      </w:r>
      <w:r w:rsidRPr="004D57B3">
        <w:t xml:space="preserve"> was rated of fair quality due to the clinical question for review not being explicitly defined.</w:t>
      </w:r>
    </w:p>
    <w:p w:rsidR="0048417A" w:rsidRPr="004D57B3" w:rsidRDefault="0048417A" w:rsidP="00836B55">
      <w:r w:rsidRPr="004D57B3">
        <w:t xml:space="preserve">The review was based on a systematic search of studies published in </w:t>
      </w:r>
      <w:r w:rsidRPr="004D57B3">
        <w:rPr>
          <w:lang w:val="en-US"/>
        </w:rPr>
        <w:t>English, Spanish, French, Italian and Portuguese</w:t>
      </w:r>
      <w:r w:rsidRPr="004D57B3">
        <w:t xml:space="preserve"> between January 2003 and December 2005. Nine primary studies containing subjects with suspected and established Crohn’s disease were included. Of these, the authors reported that three studies were of patients with ‘primary suspicion of Crohn’s disease’</w:t>
      </w:r>
      <w:r>
        <w:t>;</w:t>
      </w:r>
      <w:r w:rsidRPr="004D57B3">
        <w:t xml:space="preserve"> however</w:t>
      </w:r>
      <w:r>
        <w:t>,</w:t>
      </w:r>
      <w:r w:rsidRPr="004D57B3">
        <w:t xml:space="preserve"> the patient group in one of these studies consisted of patients with newly diagnosed Crohn’s disease (</w:t>
      </w:r>
      <w:proofErr w:type="spellStart"/>
      <w:r w:rsidRPr="004D57B3">
        <w:t>Marmo</w:t>
      </w:r>
      <w:proofErr w:type="spellEnd"/>
      <w:r w:rsidRPr="004D57B3">
        <w:t xml:space="preserve"> et al 2005). Study quality was assessed using a purpose</w:t>
      </w:r>
      <w:r>
        <w:t>-</w:t>
      </w:r>
      <w:r w:rsidRPr="004D57B3">
        <w:t xml:space="preserve">built quality scale that measured validity and </w:t>
      </w:r>
      <w:proofErr w:type="gramStart"/>
      <w:r w:rsidRPr="004D57B3">
        <w:t xml:space="preserve">applicability  </w:t>
      </w:r>
      <w:r w:rsidRPr="004D57B3">
        <w:rPr>
          <w:noProof/>
        </w:rPr>
        <w:t>(</w:t>
      </w:r>
      <w:proofErr w:type="gramEnd"/>
      <w:r w:rsidRPr="004D57B3">
        <w:rPr>
          <w:noProof/>
        </w:rPr>
        <w:t>Varela-Lema &amp; Ruano-Ravina 2006)</w:t>
      </w:r>
      <w:r w:rsidRPr="004D57B3">
        <w:t>.</w:t>
      </w:r>
    </w:p>
    <w:p w:rsidR="00260BB3" w:rsidRDefault="0048417A" w:rsidP="00836B55">
      <w:r w:rsidRPr="004D57B3">
        <w:t>The authors reported data on comparative diagnostic accuracy from two studies; both of existing, rather than suspected, Crohn’s disease. For patients with suspected Crohn’s disease, the yield of suggestive findings ranged from 19</w:t>
      </w:r>
      <w:r>
        <w:t>%</w:t>
      </w:r>
      <w:r w:rsidRPr="004D57B3">
        <w:t xml:space="preserve"> to 71% versus 0</w:t>
      </w:r>
      <w:r>
        <w:t>%</w:t>
      </w:r>
      <w:r w:rsidRPr="004D57B3">
        <w:t xml:space="preserve"> to 37% for radiological techniques. The authors concluded that existing studies suggest that capsule endoscopy may occupy a preferential place in the diagnosis of Crohn’s disease, but that there is insufficient evidence to establish if it should be used as a first line diagnostic test. In addition, they stated that capsule endoscopy is contraindicated in patients with stenosis (a particular limitation in established Crohn’s disease) and does not allow precise localisation of the lesion. It was judged that existing studies that evaluate changes in patient management following capsule endoscopy report different results, and </w:t>
      </w:r>
      <w:proofErr w:type="gramStart"/>
      <w:r w:rsidRPr="004D57B3">
        <w:t>that additional studies</w:t>
      </w:r>
      <w:proofErr w:type="gramEnd"/>
      <w:r w:rsidRPr="004D57B3">
        <w:t xml:space="preserve"> are needed in order to assess changes to management as well as the clinical consequences of changes in management.</w:t>
      </w:r>
    </w:p>
    <w:p w:rsidR="00260BB3" w:rsidRDefault="00260BB3" w:rsidP="00260BB3">
      <w:r>
        <w:br w:type="page"/>
      </w:r>
    </w:p>
    <w:p w:rsidR="0048417A" w:rsidRDefault="00260BB3" w:rsidP="00836B55">
      <w:r>
        <w:lastRenderedPageBreak/>
        <w:t xml:space="preserve"> </w:t>
      </w:r>
    </w:p>
    <w:p w:rsidR="0048417A" w:rsidRPr="004D57B3" w:rsidRDefault="0048417A" w:rsidP="00836B55">
      <w:pPr>
        <w:pStyle w:val="Heading3"/>
      </w:pPr>
      <w:proofErr w:type="spellStart"/>
      <w:r w:rsidRPr="004D57B3">
        <w:t>Poelmans</w:t>
      </w:r>
      <w:proofErr w:type="spellEnd"/>
      <w:r w:rsidRPr="004D57B3">
        <w:t xml:space="preserve"> et al </w:t>
      </w:r>
      <w:r w:rsidRPr="004D57B3">
        <w:rPr>
          <w:noProof/>
        </w:rPr>
        <w:t>(2006)</w:t>
      </w:r>
      <w:r w:rsidRPr="004D57B3">
        <w:t xml:space="preserve"> (KCE)</w:t>
      </w:r>
    </w:p>
    <w:p w:rsidR="0048417A" w:rsidRPr="004D57B3" w:rsidRDefault="0048417A" w:rsidP="00836B55">
      <w:pPr>
        <w:rPr>
          <w:b/>
        </w:rPr>
      </w:pPr>
      <w:r w:rsidRPr="004D57B3">
        <w:t xml:space="preserve">The objective of the health technology assessment report by </w:t>
      </w:r>
      <w:proofErr w:type="spellStart"/>
      <w:r w:rsidRPr="004D57B3">
        <w:t>Federaal</w:t>
      </w:r>
      <w:proofErr w:type="spellEnd"/>
      <w:r w:rsidRPr="004D57B3">
        <w:t xml:space="preserve"> </w:t>
      </w:r>
      <w:proofErr w:type="spellStart"/>
      <w:r w:rsidRPr="004D57B3">
        <w:t>Kenniscentrum</w:t>
      </w:r>
      <w:proofErr w:type="spellEnd"/>
      <w:r w:rsidRPr="004D57B3">
        <w:t xml:space="preserve"> </w:t>
      </w:r>
      <w:proofErr w:type="spellStart"/>
      <w:r w:rsidRPr="004D57B3">
        <w:t>voor</w:t>
      </w:r>
      <w:proofErr w:type="spellEnd"/>
      <w:r w:rsidRPr="004D57B3">
        <w:t xml:space="preserve"> de </w:t>
      </w:r>
      <w:proofErr w:type="spellStart"/>
      <w:r w:rsidRPr="004D57B3">
        <w:t>Gezondheidszorg</w:t>
      </w:r>
      <w:proofErr w:type="spellEnd"/>
      <w:r w:rsidRPr="004D57B3">
        <w:t xml:space="preserve"> (Belgium Health Care Knowledge Centre – KCE) was to assess the clinical efficacy and economic effectiveness of capsule endoscopy compared with competing diagnostic modalities in small bowel diseases. Potential limitations to applicability include the fact that only one of the included primary studies pertained exclusively to subjects with suspected Crohn’s disease and the fact that an explicit population, comparator and prior tests were not defined within the research question. Due to the breadth of the report’s scope (small bowel diseases) and the inherent characteristics of the body of evidence included, issues regarding the sequence of tests, patient spectrum and absence of defined test thresholds may limit the applicability of the results to the indication considered in this review. The review was rated of fair quality due to the lack of explicit clinical questions and quality appraisals.</w:t>
      </w:r>
    </w:p>
    <w:p w:rsidR="0048417A" w:rsidRPr="004D57B3" w:rsidRDefault="0048417A" w:rsidP="00836B55">
      <w:r w:rsidRPr="004D57B3">
        <w:t xml:space="preserve">The report was based on a systematic review of studies up to October 2005 in English. Seven eligible studies using subjects with suspected and established Crohn’s disease were included, including five primary studies, one systematic review and one HTA report. The authors reported that one of the included studies on the diagnosis of suspected Crohn’s disease used the final diagnosis at </w:t>
      </w:r>
      <w:r>
        <w:t>12</w:t>
      </w:r>
      <w:r w:rsidRPr="004D57B3">
        <w:t xml:space="preserve"> months follow</w:t>
      </w:r>
      <w:r>
        <w:t>-</w:t>
      </w:r>
      <w:r w:rsidRPr="004D57B3">
        <w:t>up as the reference standard but commented that the extent to which the final diagnosis was blinded to the results of previous tests, including capsule endoscopy, was unclear. The quality of studies was discussed qualitatively. The authors noted a number of issues that may have affected the quality of the included studies. These include small and heterogeneous populations, the possibility of false</w:t>
      </w:r>
      <w:r>
        <w:t>-</w:t>
      </w:r>
      <w:r w:rsidRPr="004D57B3">
        <w:t>positives which arises when diagnostic yield is used as the outcome measure, apparent absence of blinding, and the use of different timing between tests.</w:t>
      </w:r>
    </w:p>
    <w:p w:rsidR="0048417A" w:rsidRPr="004D57B3" w:rsidRDefault="0048417A" w:rsidP="00836B55">
      <w:r w:rsidRPr="004D57B3">
        <w:t xml:space="preserve">The authors reported comparative diagnostic accuracy data from one study but the majority of results concerned diagnostic yield, changes in patient management and adverse events. Against a reference standard of final diagnosis at </w:t>
      </w:r>
      <w:r>
        <w:t>12</w:t>
      </w:r>
      <w:r w:rsidRPr="004D57B3">
        <w:t xml:space="preserve"> months, the sensitivity of capsule endoscopy was 92% (12/13 patients) and the specificity was 100% (10/10 patients). It was noted that these results may overestimate the diagnostic accuracy of capsule endoscopy due to the small patient numbers and the fact that it is unclear whether the reference test was blindly assessed. Based on five primary studies that included subjects with suspected and established Crohn’s disease, capsule endoscopy was found to have a higher diagnostic yield than comparators in four of the studies and a similar diagnostic yield to </w:t>
      </w:r>
      <w:r>
        <w:t>SBFT</w:t>
      </w:r>
      <w:r w:rsidRPr="004D57B3">
        <w:t xml:space="preserve"> in one study.  The comparators included </w:t>
      </w:r>
      <w:r>
        <w:t>SBFT</w:t>
      </w:r>
      <w:r w:rsidRPr="004D57B3">
        <w:t xml:space="preserve">, push </w:t>
      </w:r>
      <w:proofErr w:type="spellStart"/>
      <w:r w:rsidRPr="004D57B3">
        <w:t>enteroscopy</w:t>
      </w:r>
      <w:proofErr w:type="spellEnd"/>
      <w:r w:rsidRPr="004D57B3">
        <w:t xml:space="preserve"> and </w:t>
      </w:r>
      <w:proofErr w:type="spellStart"/>
      <w:r w:rsidRPr="004D57B3">
        <w:t>enteroclysis</w:t>
      </w:r>
      <w:proofErr w:type="spellEnd"/>
      <w:r w:rsidRPr="004D57B3">
        <w:t xml:space="preserve">, CT </w:t>
      </w:r>
      <w:proofErr w:type="spellStart"/>
      <w:r w:rsidRPr="004D57B3">
        <w:t>enteroclysis</w:t>
      </w:r>
      <w:proofErr w:type="spellEnd"/>
      <w:r w:rsidRPr="004D57B3">
        <w:t xml:space="preserve">, and MRI and </w:t>
      </w:r>
      <w:proofErr w:type="spellStart"/>
      <w:r w:rsidRPr="004D57B3">
        <w:t>enteroclysis</w:t>
      </w:r>
      <w:proofErr w:type="spellEnd"/>
      <w:r w:rsidRPr="004D57B3">
        <w:t xml:space="preserve">. </w:t>
      </w:r>
    </w:p>
    <w:p w:rsidR="0048417A" w:rsidRPr="004D57B3" w:rsidRDefault="0048417A" w:rsidP="00836B55">
      <w:proofErr w:type="spellStart"/>
      <w:r w:rsidRPr="004D57B3">
        <w:t>Poelmans</w:t>
      </w:r>
      <w:proofErr w:type="spellEnd"/>
      <w:r w:rsidRPr="004D57B3">
        <w:t xml:space="preserve"> et al </w:t>
      </w:r>
      <w:r w:rsidRPr="004D57B3">
        <w:rPr>
          <w:noProof/>
        </w:rPr>
        <w:t>(2006)</w:t>
      </w:r>
      <w:r w:rsidRPr="004D57B3" w:rsidDel="00EE3BDE">
        <w:t xml:space="preserve"> </w:t>
      </w:r>
      <w:r w:rsidRPr="004D57B3">
        <w:t>concluded that the available evidence is of insufficient quality and quantity to determine the relative diagnostic performance of capsule endoscopy compared with conventional diagnostic tests for Crohn’s disease and that no conclusions could be made regarding whether capsule endoscopy is an effective alternative to other tests.</w:t>
      </w:r>
      <w:r w:rsidR="00B81800" w:rsidRPr="004D57B3">
        <w:t xml:space="preserve"> </w:t>
      </w:r>
    </w:p>
    <w:p w:rsidR="0048417A" w:rsidRPr="004D57B3" w:rsidRDefault="0048417A" w:rsidP="00836B55">
      <w:pPr>
        <w:pStyle w:val="TableName"/>
        <w:ind w:left="1485" w:hanging="765"/>
      </w:pPr>
      <w:bookmarkStart w:id="178" w:name="_Ref281983098"/>
      <w:bookmarkStart w:id="179" w:name="_Toc291859584"/>
      <w:r w:rsidRPr="004D57B3">
        <w:lastRenderedPageBreak/>
        <w:t xml:space="preserve">Table </w:t>
      </w:r>
      <w:r w:rsidR="00AE591B">
        <w:fldChar w:fldCharType="begin"/>
      </w:r>
      <w:r w:rsidR="00AE591B">
        <w:instrText xml:space="preserve"> SEQ Table \* ARABIC </w:instrText>
      </w:r>
      <w:r w:rsidR="00AE591B">
        <w:fldChar w:fldCharType="separate"/>
      </w:r>
      <w:r>
        <w:rPr>
          <w:noProof/>
        </w:rPr>
        <w:t>22</w:t>
      </w:r>
      <w:r w:rsidR="00AE591B">
        <w:rPr>
          <w:noProof/>
        </w:rPr>
        <w:fldChar w:fldCharType="end"/>
      </w:r>
      <w:bookmarkEnd w:id="177"/>
      <w:bookmarkEnd w:id="178"/>
      <w:r w:rsidRPr="004D57B3">
        <w:tab/>
        <w:t>Characteristics and appraisal of included HTA reports and systematic reviews</w:t>
      </w:r>
      <w:bookmarkEnd w:id="179"/>
    </w:p>
    <w:tbl>
      <w:tblPr>
        <w:tblW w:w="4916" w:type="pct"/>
        <w:tblBorders>
          <w:top w:val="single" w:sz="4" w:space="0" w:color="auto"/>
          <w:bottom w:val="single" w:sz="4" w:space="0" w:color="auto"/>
        </w:tblBorders>
        <w:tblLook w:val="00A0" w:firstRow="1" w:lastRow="0" w:firstColumn="1" w:lastColumn="0" w:noHBand="0" w:noVBand="0"/>
      </w:tblPr>
      <w:tblGrid>
        <w:gridCol w:w="1434"/>
        <w:gridCol w:w="3777"/>
        <w:gridCol w:w="1421"/>
        <w:gridCol w:w="2455"/>
      </w:tblGrid>
      <w:tr w:rsidR="0048417A" w:rsidRPr="004D57B3" w:rsidTr="00836B55">
        <w:trPr>
          <w:trHeight w:val="379"/>
          <w:tblHeader/>
        </w:trPr>
        <w:tc>
          <w:tcPr>
            <w:tcW w:w="1434" w:type="dxa"/>
            <w:tcBorders>
              <w:top w:val="single" w:sz="4" w:space="0" w:color="auto"/>
              <w:bottom w:val="single" w:sz="4" w:space="0" w:color="auto"/>
            </w:tcBorders>
            <w:shd w:val="clear" w:color="auto" w:fill="FFFFFF"/>
          </w:tcPr>
          <w:p w:rsidR="0048417A" w:rsidRPr="004D57B3" w:rsidRDefault="0048417A" w:rsidP="00836B55">
            <w:pPr>
              <w:pStyle w:val="TableHeading"/>
              <w:spacing w:before="0" w:after="0"/>
            </w:pPr>
            <w:r w:rsidRPr="004D57B3">
              <w:t>Author (year)</w:t>
            </w:r>
          </w:p>
          <w:p w:rsidR="0048417A" w:rsidRPr="004D57B3" w:rsidRDefault="0048417A" w:rsidP="00836B55">
            <w:pPr>
              <w:pStyle w:val="TableHeading"/>
              <w:spacing w:before="0" w:after="0"/>
            </w:pPr>
            <w:r w:rsidRPr="004D57B3">
              <w:t>Country</w:t>
            </w:r>
          </w:p>
        </w:tc>
        <w:tc>
          <w:tcPr>
            <w:tcW w:w="3777" w:type="dxa"/>
            <w:tcBorders>
              <w:top w:val="single" w:sz="4" w:space="0" w:color="auto"/>
              <w:bottom w:val="single" w:sz="4" w:space="0" w:color="auto"/>
            </w:tcBorders>
            <w:shd w:val="clear" w:color="auto" w:fill="FFFFFF"/>
          </w:tcPr>
          <w:p w:rsidR="0048417A" w:rsidRPr="004D57B3" w:rsidRDefault="0048417A" w:rsidP="00836B55">
            <w:pPr>
              <w:pStyle w:val="TableHeading"/>
            </w:pPr>
            <w:r w:rsidRPr="004D57B3">
              <w:t>Objective and methods</w:t>
            </w:r>
          </w:p>
        </w:tc>
        <w:tc>
          <w:tcPr>
            <w:tcW w:w="1421" w:type="dxa"/>
            <w:tcBorders>
              <w:top w:val="single" w:sz="4" w:space="0" w:color="auto"/>
              <w:bottom w:val="single" w:sz="4" w:space="0" w:color="auto"/>
            </w:tcBorders>
            <w:shd w:val="clear" w:color="auto" w:fill="FFFFFF"/>
          </w:tcPr>
          <w:p w:rsidR="0048417A" w:rsidRPr="004D57B3" w:rsidRDefault="0048417A" w:rsidP="00836B55">
            <w:pPr>
              <w:pStyle w:val="TableHeading"/>
            </w:pPr>
            <w:r w:rsidRPr="004D57B3">
              <w:t>Included studies</w:t>
            </w:r>
          </w:p>
        </w:tc>
        <w:tc>
          <w:tcPr>
            <w:tcW w:w="2455" w:type="dxa"/>
            <w:tcBorders>
              <w:top w:val="single" w:sz="4" w:space="0" w:color="auto"/>
              <w:bottom w:val="single" w:sz="4" w:space="0" w:color="auto"/>
            </w:tcBorders>
            <w:shd w:val="clear" w:color="auto" w:fill="FFFFFF"/>
          </w:tcPr>
          <w:p w:rsidR="0048417A" w:rsidRPr="004D57B3" w:rsidRDefault="0048417A" w:rsidP="00836B55">
            <w:pPr>
              <w:pStyle w:val="TableHeading"/>
            </w:pPr>
            <w:r w:rsidRPr="004D57B3">
              <w:t>Quality assessment of review</w:t>
            </w:r>
          </w:p>
        </w:tc>
      </w:tr>
      <w:tr w:rsidR="0048417A" w:rsidRPr="004D57B3" w:rsidTr="00836B55">
        <w:trPr>
          <w:trHeight w:val="2991"/>
        </w:trPr>
        <w:tc>
          <w:tcPr>
            <w:tcW w:w="1434" w:type="dxa"/>
            <w:tcBorders>
              <w:top w:val="single" w:sz="4" w:space="0" w:color="auto"/>
              <w:bottom w:val="single" w:sz="4" w:space="0" w:color="auto"/>
            </w:tcBorders>
            <w:shd w:val="clear" w:color="auto" w:fill="FFFFFF"/>
          </w:tcPr>
          <w:p w:rsidR="0048417A" w:rsidRPr="004D57B3" w:rsidRDefault="0048417A" w:rsidP="00836B55">
            <w:pPr>
              <w:pStyle w:val="TableText"/>
              <w:spacing w:before="0" w:after="0"/>
              <w:rPr>
                <w:lang w:val="nl-NL"/>
              </w:rPr>
            </w:pPr>
            <w:r w:rsidRPr="004D57B3">
              <w:rPr>
                <w:lang w:val="nl-NL"/>
              </w:rPr>
              <w:t xml:space="preserve">Dionisio et al </w:t>
            </w:r>
            <w:r w:rsidRPr="004D57B3">
              <w:rPr>
                <w:noProof/>
                <w:lang w:val="nl-NL"/>
              </w:rPr>
              <w:t>(2010)</w:t>
            </w:r>
          </w:p>
          <w:p w:rsidR="0048417A" w:rsidRPr="004D57B3" w:rsidRDefault="0048417A" w:rsidP="00836B55">
            <w:pPr>
              <w:pStyle w:val="TableText"/>
              <w:spacing w:before="0" w:after="0"/>
              <w:rPr>
                <w:lang w:val="nl-NL"/>
              </w:rPr>
            </w:pPr>
          </w:p>
          <w:p w:rsidR="0048417A" w:rsidRPr="004D57B3" w:rsidRDefault="0048417A" w:rsidP="00836B55">
            <w:pPr>
              <w:pStyle w:val="TableText"/>
              <w:spacing w:before="0" w:after="0"/>
              <w:rPr>
                <w:lang w:val="nl-NL"/>
              </w:rPr>
            </w:pPr>
            <w:r w:rsidRPr="004D57B3">
              <w:rPr>
                <w:lang w:val="nl-NL"/>
              </w:rPr>
              <w:t>USA</w:t>
            </w:r>
          </w:p>
          <w:p w:rsidR="0048417A" w:rsidRPr="004D57B3" w:rsidRDefault="0048417A" w:rsidP="00836B55">
            <w:pPr>
              <w:pStyle w:val="TableText"/>
              <w:spacing w:before="0" w:after="0"/>
              <w:rPr>
                <w:lang w:val="nl-NL"/>
              </w:rPr>
            </w:pPr>
          </w:p>
          <w:p w:rsidR="0048417A" w:rsidRPr="004D57B3" w:rsidRDefault="0048417A" w:rsidP="00836B55">
            <w:pPr>
              <w:pStyle w:val="TableText"/>
              <w:spacing w:before="0" w:after="0"/>
              <w:rPr>
                <w:lang w:val="nl-NL"/>
              </w:rPr>
            </w:pPr>
            <w:r w:rsidRPr="004D57B3">
              <w:rPr>
                <w:lang w:val="nl-NL"/>
              </w:rPr>
              <w:t xml:space="preserve">Updates Triester et al </w:t>
            </w:r>
            <w:r w:rsidRPr="004D57B3">
              <w:rPr>
                <w:noProof/>
                <w:lang w:val="nl-NL"/>
              </w:rPr>
              <w:t>(2006)</w:t>
            </w:r>
          </w:p>
        </w:tc>
        <w:tc>
          <w:tcPr>
            <w:tcW w:w="3777" w:type="dxa"/>
            <w:tcBorders>
              <w:top w:val="single" w:sz="4" w:space="0" w:color="auto"/>
              <w:bottom w:val="single" w:sz="4" w:space="0" w:color="auto"/>
            </w:tcBorders>
            <w:shd w:val="clear" w:color="auto" w:fill="FFFFFF"/>
          </w:tcPr>
          <w:p w:rsidR="0048417A" w:rsidRPr="004D57B3" w:rsidRDefault="0048417A" w:rsidP="00836B55">
            <w:pPr>
              <w:pStyle w:val="TableText"/>
              <w:spacing w:before="0" w:after="0"/>
            </w:pPr>
            <w:r w:rsidRPr="004D57B3">
              <w:rPr>
                <w:b/>
              </w:rPr>
              <w:t>Objective:</w:t>
            </w:r>
            <w:r w:rsidRPr="004D57B3">
              <w:t xml:space="preserve"> To evaluate the diagnostic yield of CE compared with other modalities in patients with suspected and established </w:t>
            </w:r>
            <w:r>
              <w:t>Crohn’s disease (</w:t>
            </w:r>
            <w:r w:rsidRPr="004D57B3">
              <w:t>CD</w:t>
            </w:r>
            <w:r>
              <w:t>)</w:t>
            </w:r>
            <w:r w:rsidRPr="004D57B3">
              <w:t xml:space="preserve"> </w:t>
            </w:r>
          </w:p>
          <w:p w:rsidR="0048417A" w:rsidRPr="004D57B3" w:rsidRDefault="0048417A" w:rsidP="00836B55">
            <w:pPr>
              <w:pStyle w:val="TableText"/>
              <w:spacing w:before="0" w:after="0"/>
              <w:rPr>
                <w:b/>
              </w:rPr>
            </w:pPr>
          </w:p>
          <w:p w:rsidR="0048417A" w:rsidRPr="004D57B3" w:rsidRDefault="0048417A" w:rsidP="00836B55">
            <w:pPr>
              <w:pStyle w:val="TableText"/>
              <w:spacing w:before="0" w:after="0"/>
            </w:pPr>
            <w:r w:rsidRPr="004D57B3">
              <w:rPr>
                <w:b/>
              </w:rPr>
              <w:t xml:space="preserve">Method: </w:t>
            </w:r>
            <w:r w:rsidRPr="004D57B3">
              <w:t>meta</w:t>
            </w:r>
            <w:r>
              <w:t>-</w:t>
            </w:r>
            <w:r w:rsidRPr="004D57B3">
              <w:t>analysis</w:t>
            </w:r>
          </w:p>
          <w:p w:rsidR="0048417A" w:rsidRPr="004D57B3" w:rsidRDefault="0048417A" w:rsidP="00836B55">
            <w:pPr>
              <w:pStyle w:val="TableText"/>
              <w:spacing w:before="0" w:after="0"/>
              <w:rPr>
                <w:i/>
              </w:rPr>
            </w:pPr>
            <w:r w:rsidRPr="004D57B3">
              <w:rPr>
                <w:i/>
              </w:rPr>
              <w:t xml:space="preserve">Time period: </w:t>
            </w:r>
            <w:r w:rsidRPr="004D57B3">
              <w:t>until May 2009</w:t>
            </w:r>
          </w:p>
          <w:p w:rsidR="0048417A" w:rsidRPr="004D57B3" w:rsidRDefault="0048417A" w:rsidP="00836B55">
            <w:pPr>
              <w:pStyle w:val="TableText"/>
              <w:spacing w:before="0" w:after="0"/>
            </w:pPr>
            <w:r w:rsidRPr="004D57B3">
              <w:rPr>
                <w:i/>
              </w:rPr>
              <w:t>Inclusion criteria:</w:t>
            </w:r>
            <w:r w:rsidRPr="004D57B3">
              <w:t xml:space="preserve"> adult patients, prospective trial comparing yield of CE with ≥1 comparator</w:t>
            </w:r>
          </w:p>
          <w:p w:rsidR="0048417A" w:rsidRPr="004D57B3" w:rsidRDefault="0048417A" w:rsidP="00836B55">
            <w:pPr>
              <w:pStyle w:val="TableText"/>
              <w:spacing w:before="0" w:after="0"/>
            </w:pPr>
            <w:r w:rsidRPr="004D57B3">
              <w:rPr>
                <w:i/>
              </w:rPr>
              <w:t xml:space="preserve">Exclusion criteria: </w:t>
            </w:r>
            <w:r w:rsidRPr="004D57B3">
              <w:t xml:space="preserve">duplicates, articles included in </w:t>
            </w:r>
            <w:proofErr w:type="spellStart"/>
            <w:r w:rsidRPr="004D57B3">
              <w:t>Triester</w:t>
            </w:r>
            <w:proofErr w:type="spellEnd"/>
            <w:r w:rsidRPr="004D57B3">
              <w:t xml:space="preserve"> et al </w:t>
            </w:r>
            <w:r>
              <w:t>(</w:t>
            </w:r>
            <w:r w:rsidRPr="004D57B3">
              <w:t>2006</w:t>
            </w:r>
            <w:r>
              <w:t>)</w:t>
            </w:r>
            <w:r w:rsidRPr="004D57B3">
              <w:t>, reviews, retrospective studies, alternate indications, no comparative modality, case reports, letters</w:t>
            </w:r>
          </w:p>
          <w:p w:rsidR="0048417A" w:rsidRPr="004D57B3" w:rsidRDefault="0048417A" w:rsidP="00836B55">
            <w:pPr>
              <w:pStyle w:val="TableText"/>
              <w:spacing w:before="0" w:after="0"/>
              <w:rPr>
                <w:i/>
              </w:rPr>
            </w:pPr>
            <w:r w:rsidRPr="004D57B3">
              <w:rPr>
                <w:i/>
              </w:rPr>
              <w:t xml:space="preserve">Outcomes: </w:t>
            </w:r>
            <w:r w:rsidRPr="004D57B3">
              <w:t>weighted incremental diagnostic yield</w:t>
            </w:r>
          </w:p>
          <w:p w:rsidR="0048417A" w:rsidRPr="004D57B3" w:rsidRDefault="0048417A" w:rsidP="00836B55">
            <w:pPr>
              <w:pStyle w:val="TableText"/>
              <w:spacing w:before="0" w:after="0"/>
              <w:rPr>
                <w:b/>
              </w:rPr>
            </w:pPr>
            <w:r w:rsidRPr="004D57B3">
              <w:rPr>
                <w:i/>
              </w:rPr>
              <w:t xml:space="preserve">Language: </w:t>
            </w:r>
            <w:r w:rsidRPr="004D57B3">
              <w:t>All</w:t>
            </w:r>
          </w:p>
        </w:tc>
        <w:tc>
          <w:tcPr>
            <w:tcW w:w="1421" w:type="dxa"/>
            <w:tcBorders>
              <w:top w:val="single" w:sz="4" w:space="0" w:color="auto"/>
              <w:bottom w:val="single" w:sz="4" w:space="0" w:color="auto"/>
            </w:tcBorders>
            <w:shd w:val="clear" w:color="auto" w:fill="FFFFFF"/>
          </w:tcPr>
          <w:p w:rsidR="0048417A" w:rsidRPr="004D57B3" w:rsidRDefault="0048417A" w:rsidP="00836B55">
            <w:pPr>
              <w:pStyle w:val="TableText"/>
              <w:spacing w:before="0" w:after="0"/>
            </w:pPr>
            <w:r w:rsidRPr="004D57B3">
              <w:rPr>
                <w:b/>
              </w:rPr>
              <w:t>Suspected and established Crohn’s disease:</w:t>
            </w:r>
          </w:p>
          <w:p w:rsidR="0048417A" w:rsidRPr="004D57B3" w:rsidRDefault="0048417A" w:rsidP="00836B55">
            <w:pPr>
              <w:pStyle w:val="TableText"/>
              <w:spacing w:before="0" w:after="0"/>
            </w:pPr>
            <w:r w:rsidRPr="004D57B3">
              <w:t>19 prospective studies.</w:t>
            </w:r>
          </w:p>
        </w:tc>
        <w:tc>
          <w:tcPr>
            <w:tcW w:w="2455" w:type="dxa"/>
            <w:tcBorders>
              <w:top w:val="single" w:sz="4" w:space="0" w:color="auto"/>
              <w:bottom w:val="single" w:sz="4" w:space="0" w:color="auto"/>
            </w:tcBorders>
            <w:shd w:val="clear" w:color="auto" w:fill="FFFFFF"/>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FAIR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review questions: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&amp; appropriate eligibility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&amp; comprehensive search strategy: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Quality of included studies appraised: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Methods of study appraisal reproducible: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Heterogeneity between studies assessed: yes</w:t>
            </w:r>
          </w:p>
          <w:p w:rsidR="0048417A" w:rsidRPr="004D57B3" w:rsidRDefault="0048417A" w:rsidP="00836B55">
            <w:pPr>
              <w:keepNext/>
              <w:spacing w:after="0"/>
              <w:ind w:left="0" w:right="57"/>
            </w:pPr>
            <w:r w:rsidRPr="004D57B3">
              <w:rPr>
                <w:rFonts w:ascii="Arial Narrow" w:hAnsi="Arial Narrow" w:cs="Garamond"/>
                <w:sz w:val="18"/>
                <w:szCs w:val="18"/>
              </w:rPr>
              <w:t>Summary of main results clear and appropriate: no</w:t>
            </w:r>
          </w:p>
        </w:tc>
      </w:tr>
      <w:tr w:rsidR="0048417A" w:rsidRPr="004D57B3" w:rsidTr="00836B55">
        <w:trPr>
          <w:trHeight w:val="3002"/>
        </w:trPr>
        <w:tc>
          <w:tcPr>
            <w:tcW w:w="1434" w:type="dxa"/>
            <w:tcBorders>
              <w:top w:val="single" w:sz="4" w:space="0" w:color="auto"/>
              <w:bottom w:val="single" w:sz="4" w:space="0" w:color="auto"/>
            </w:tcBorders>
            <w:shd w:val="clear" w:color="auto" w:fill="FFFFFF"/>
          </w:tcPr>
          <w:p w:rsidR="0048417A" w:rsidRPr="004D57B3" w:rsidRDefault="0048417A" w:rsidP="00836B55">
            <w:pPr>
              <w:pStyle w:val="TableText"/>
              <w:spacing w:before="0" w:after="0"/>
              <w:rPr>
                <w:lang w:val="nl-NL"/>
              </w:rPr>
            </w:pPr>
            <w:r w:rsidRPr="004D57B3">
              <w:rPr>
                <w:lang w:val="nl-NL"/>
              </w:rPr>
              <w:t>Varela</w:t>
            </w:r>
            <w:r>
              <w:rPr>
                <w:lang w:val="nl-NL"/>
              </w:rPr>
              <w:t>-</w:t>
            </w:r>
            <w:r w:rsidRPr="004D57B3">
              <w:rPr>
                <w:lang w:val="nl-NL"/>
              </w:rPr>
              <w:t xml:space="preserve">Lema </w:t>
            </w:r>
            <w:r>
              <w:rPr>
                <w:lang w:val="nl-NL"/>
              </w:rPr>
              <w:t xml:space="preserve">&amp; Ruano-Ravina </w:t>
            </w:r>
            <w:r w:rsidRPr="004D57B3">
              <w:rPr>
                <w:lang w:val="nl-NL"/>
              </w:rPr>
              <w:t xml:space="preserve"> </w:t>
            </w:r>
            <w:r w:rsidRPr="004D57B3">
              <w:rPr>
                <w:noProof/>
                <w:lang w:val="nl-NL"/>
              </w:rPr>
              <w:t>(2008)</w:t>
            </w:r>
          </w:p>
          <w:p w:rsidR="0048417A" w:rsidRPr="004D57B3" w:rsidRDefault="0048417A" w:rsidP="00836B55">
            <w:pPr>
              <w:pStyle w:val="TableText"/>
              <w:spacing w:before="0" w:after="0"/>
              <w:rPr>
                <w:b/>
                <w:u w:val="single"/>
                <w:lang w:val="nl-NL"/>
              </w:rPr>
            </w:pPr>
          </w:p>
          <w:p w:rsidR="0048417A" w:rsidRPr="004D57B3" w:rsidRDefault="0048417A" w:rsidP="00836B55">
            <w:pPr>
              <w:pStyle w:val="TableText"/>
              <w:spacing w:before="0" w:after="0"/>
              <w:rPr>
                <w:lang w:val="nl-NL"/>
              </w:rPr>
            </w:pPr>
            <w:r w:rsidRPr="004D57B3">
              <w:rPr>
                <w:lang w:val="nl-NL"/>
              </w:rPr>
              <w:t>Spain</w:t>
            </w:r>
          </w:p>
          <w:p w:rsidR="0048417A" w:rsidRPr="004D57B3" w:rsidRDefault="0048417A" w:rsidP="00836B55">
            <w:pPr>
              <w:pStyle w:val="TableText"/>
              <w:spacing w:before="0" w:after="0"/>
              <w:rPr>
                <w:lang w:val="nl-NL"/>
              </w:rPr>
            </w:pPr>
          </w:p>
          <w:p w:rsidR="0048417A" w:rsidRPr="004D57B3" w:rsidRDefault="0048417A" w:rsidP="00B81800">
            <w:pPr>
              <w:pStyle w:val="TableText"/>
              <w:spacing w:before="0" w:after="0"/>
              <w:rPr>
                <w:lang w:val="nl-NL"/>
              </w:rPr>
            </w:pPr>
            <w:r w:rsidRPr="004D57B3">
              <w:rPr>
                <w:lang w:val="nl-NL"/>
              </w:rPr>
              <w:t>GAHTA</w:t>
            </w:r>
          </w:p>
        </w:tc>
        <w:tc>
          <w:tcPr>
            <w:tcW w:w="3777" w:type="dxa"/>
            <w:tcBorders>
              <w:top w:val="single" w:sz="4" w:space="0" w:color="auto"/>
              <w:bottom w:val="single" w:sz="4" w:space="0" w:color="auto"/>
            </w:tcBorders>
            <w:shd w:val="clear" w:color="auto" w:fill="FFFFFF"/>
          </w:tcPr>
          <w:p w:rsidR="0048417A" w:rsidRPr="004D57B3" w:rsidRDefault="0048417A" w:rsidP="00836B55">
            <w:pPr>
              <w:pStyle w:val="TableText"/>
              <w:spacing w:before="0" w:after="0"/>
            </w:pPr>
            <w:r w:rsidRPr="004D57B3">
              <w:rPr>
                <w:b/>
              </w:rPr>
              <w:t>Objective:</w:t>
            </w:r>
            <w:r w:rsidRPr="004D57B3">
              <w:t xml:space="preserve"> Assess the effectiveness, safety and clinical use of CE in the diagnosis of small bowel diseases.</w:t>
            </w:r>
          </w:p>
          <w:p w:rsidR="0048417A" w:rsidRPr="004D57B3" w:rsidRDefault="0048417A" w:rsidP="00836B55">
            <w:pPr>
              <w:pStyle w:val="TableText"/>
              <w:spacing w:before="0" w:after="0"/>
              <w:rPr>
                <w:b/>
              </w:rPr>
            </w:pPr>
          </w:p>
          <w:p w:rsidR="0048417A" w:rsidRPr="004D57B3" w:rsidRDefault="0048417A" w:rsidP="00836B55">
            <w:pPr>
              <w:pStyle w:val="TableText"/>
              <w:spacing w:before="0" w:after="0"/>
            </w:pPr>
            <w:r w:rsidRPr="004D57B3">
              <w:rPr>
                <w:b/>
              </w:rPr>
              <w:t xml:space="preserve">Method: </w:t>
            </w:r>
            <w:r w:rsidRPr="004D57B3">
              <w:t>systematic review.</w:t>
            </w:r>
          </w:p>
          <w:p w:rsidR="0048417A" w:rsidRPr="004D57B3" w:rsidRDefault="0048417A" w:rsidP="00836B55">
            <w:pPr>
              <w:pStyle w:val="TableText"/>
              <w:spacing w:before="0" w:after="0"/>
            </w:pPr>
            <w:r w:rsidRPr="004D57B3">
              <w:rPr>
                <w:i/>
              </w:rPr>
              <w:t xml:space="preserve">Time period: </w:t>
            </w:r>
            <w:r w:rsidRPr="004D57B3">
              <w:t>January 2003</w:t>
            </w:r>
            <w:r>
              <w:t>-</w:t>
            </w:r>
            <w:r w:rsidRPr="004D57B3">
              <w:t>December 2005</w:t>
            </w:r>
          </w:p>
          <w:p w:rsidR="0048417A" w:rsidRPr="004D57B3" w:rsidRDefault="0048417A" w:rsidP="00836B55">
            <w:pPr>
              <w:pStyle w:val="TableText"/>
              <w:spacing w:before="0" w:after="0"/>
              <w:rPr>
                <w:i/>
              </w:rPr>
            </w:pPr>
            <w:r w:rsidRPr="004D57B3">
              <w:rPr>
                <w:i/>
              </w:rPr>
              <w:t xml:space="preserve">Inclusion/exclusion criteria: </w:t>
            </w:r>
          </w:p>
          <w:p w:rsidR="0048417A" w:rsidRPr="004D57B3" w:rsidRDefault="0048417A" w:rsidP="00836B55">
            <w:pPr>
              <w:pStyle w:val="TableText"/>
              <w:spacing w:before="0" w:after="0"/>
            </w:pPr>
            <w:r w:rsidRPr="004D57B3">
              <w:t>Inclusion: Original, published, peer-reviewed; prospective or retrospective diagnostic studies, SRs or meta</w:t>
            </w:r>
            <w:r>
              <w:t>-</w:t>
            </w:r>
            <w:r w:rsidRPr="004D57B3">
              <w:t>analyses; ≥20 patients for CD studies; ≥1 comparator; comparison test performed within 6 m</w:t>
            </w:r>
            <w:r>
              <w:t>on</w:t>
            </w:r>
            <w:r w:rsidRPr="004D57B3">
              <w:t>ths of CE; reports on yield, accuracy, safety, reliability or clinical management</w:t>
            </w:r>
          </w:p>
          <w:p w:rsidR="0048417A" w:rsidRPr="004D57B3" w:rsidRDefault="0048417A" w:rsidP="00836B55">
            <w:pPr>
              <w:pStyle w:val="TableText"/>
              <w:spacing w:before="0" w:after="0"/>
            </w:pPr>
            <w:r w:rsidRPr="004D57B3">
              <w:rPr>
                <w:i/>
              </w:rPr>
              <w:t>Outcomes</w:t>
            </w:r>
            <w:r w:rsidRPr="004D57B3">
              <w:rPr>
                <w:b/>
              </w:rPr>
              <w:t>:</w:t>
            </w:r>
            <w:r w:rsidRPr="004D57B3">
              <w:t xml:space="preserve"> diagnostic accuracy (</w:t>
            </w:r>
            <w:proofErr w:type="spellStart"/>
            <w:r w:rsidRPr="004D57B3">
              <w:t>sn</w:t>
            </w:r>
            <w:proofErr w:type="spellEnd"/>
            <w:r w:rsidRPr="004D57B3">
              <w:t xml:space="preserve">, </w:t>
            </w:r>
            <w:proofErr w:type="spellStart"/>
            <w:r w:rsidRPr="004D57B3">
              <w:t>sp</w:t>
            </w:r>
            <w:proofErr w:type="spellEnd"/>
            <w:r w:rsidRPr="004D57B3">
              <w:t>, PPV, NPV) diagnostic yield, change in management., adverse events</w:t>
            </w:r>
          </w:p>
          <w:p w:rsidR="0048417A" w:rsidRPr="004D57B3" w:rsidRDefault="0048417A" w:rsidP="00836B55">
            <w:pPr>
              <w:pStyle w:val="TableText"/>
              <w:spacing w:before="0" w:after="0"/>
            </w:pPr>
            <w:r w:rsidRPr="004D57B3">
              <w:rPr>
                <w:i/>
              </w:rPr>
              <w:t xml:space="preserve">Language: </w:t>
            </w:r>
            <w:r w:rsidRPr="004D57B3">
              <w:t>English, Spanish, French, Italian, Portug</w:t>
            </w:r>
            <w:r>
              <w:t>u</w:t>
            </w:r>
            <w:r w:rsidRPr="004D57B3">
              <w:t>ese</w:t>
            </w:r>
          </w:p>
          <w:p w:rsidR="0048417A" w:rsidRPr="004D57B3" w:rsidRDefault="0048417A" w:rsidP="00836B55">
            <w:pPr>
              <w:pStyle w:val="TableText"/>
              <w:spacing w:before="0" w:after="0"/>
            </w:pPr>
          </w:p>
        </w:tc>
        <w:tc>
          <w:tcPr>
            <w:tcW w:w="1421" w:type="dxa"/>
            <w:tcBorders>
              <w:top w:val="single" w:sz="4" w:space="0" w:color="auto"/>
              <w:bottom w:val="single" w:sz="4" w:space="0" w:color="auto"/>
            </w:tcBorders>
            <w:shd w:val="clear" w:color="auto" w:fill="FFFFFF"/>
          </w:tcPr>
          <w:p w:rsidR="0048417A" w:rsidRPr="004D57B3" w:rsidRDefault="0048417A" w:rsidP="00836B55">
            <w:pPr>
              <w:pStyle w:val="TableText"/>
              <w:spacing w:before="0" w:after="0"/>
            </w:pPr>
            <w:r w:rsidRPr="004D57B3">
              <w:rPr>
                <w:b/>
              </w:rPr>
              <w:t>Suspected and established Crohn’s disease:</w:t>
            </w:r>
          </w:p>
          <w:p w:rsidR="0048417A" w:rsidRPr="004D57B3" w:rsidRDefault="0048417A" w:rsidP="00836B55">
            <w:pPr>
              <w:pStyle w:val="TableText"/>
              <w:spacing w:before="0" w:after="0"/>
            </w:pPr>
            <w:r w:rsidRPr="004D57B3">
              <w:t>9 studies</w:t>
            </w:r>
          </w:p>
          <w:p w:rsidR="0048417A" w:rsidRPr="004D57B3" w:rsidRDefault="0048417A" w:rsidP="00836B55">
            <w:pPr>
              <w:pStyle w:val="TableText"/>
              <w:spacing w:before="0" w:after="0"/>
              <w:rPr>
                <w:b/>
              </w:rPr>
            </w:pPr>
            <w:r w:rsidRPr="004D57B3">
              <w:rPr>
                <w:b/>
              </w:rPr>
              <w:t>Small bowel diseases in general:</w:t>
            </w:r>
          </w:p>
          <w:p w:rsidR="0048417A" w:rsidRPr="004D57B3" w:rsidRDefault="0048417A" w:rsidP="00836B55">
            <w:pPr>
              <w:pStyle w:val="TableText"/>
              <w:spacing w:before="0" w:after="0"/>
            </w:pPr>
            <w:r w:rsidRPr="004D57B3">
              <w:t>9 systematic reviews</w:t>
            </w:r>
          </w:p>
        </w:tc>
        <w:tc>
          <w:tcPr>
            <w:tcW w:w="2455" w:type="dxa"/>
            <w:tcBorders>
              <w:top w:val="single" w:sz="4" w:space="0" w:color="auto"/>
              <w:bottom w:val="single" w:sz="4" w:space="0" w:color="auto"/>
            </w:tcBorders>
            <w:shd w:val="clear" w:color="auto" w:fill="FFFFFF"/>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FAIR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review questions: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&amp; appropriate eligibility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&amp; comprehensive search strategy: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Quality of included studies appraised: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Methods of study appraisal reproducible: yes </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Heterogeneity between studies assessed:  N/A</w:t>
            </w:r>
          </w:p>
          <w:p w:rsidR="0048417A" w:rsidRPr="004D57B3" w:rsidRDefault="0048417A" w:rsidP="00836B55">
            <w:pPr>
              <w:keepNext/>
              <w:spacing w:after="0"/>
              <w:ind w:left="0" w:right="57"/>
              <w:rPr>
                <w:rFonts w:ascii="Arial Narrow" w:hAnsi="Arial Narrow" w:cs="Garamond"/>
                <w:sz w:val="18"/>
                <w:szCs w:val="18"/>
              </w:rPr>
            </w:pPr>
            <w:r w:rsidRPr="004D57B3">
              <w:rPr>
                <w:rFonts w:ascii="Arial Narrow" w:hAnsi="Arial Narrow" w:cs="Garamond"/>
                <w:sz w:val="18"/>
                <w:szCs w:val="18"/>
              </w:rPr>
              <w:t>Summary of main results clear and appropriate: yes</w:t>
            </w:r>
          </w:p>
          <w:p w:rsidR="0048417A" w:rsidRPr="004D57B3" w:rsidRDefault="0048417A" w:rsidP="00836B55">
            <w:pPr>
              <w:keepNext/>
              <w:spacing w:after="0"/>
              <w:ind w:left="0" w:right="57"/>
            </w:pPr>
          </w:p>
        </w:tc>
      </w:tr>
      <w:tr w:rsidR="0048417A" w:rsidRPr="004D57B3" w:rsidTr="00836B55">
        <w:tc>
          <w:tcPr>
            <w:tcW w:w="1434" w:type="dxa"/>
            <w:tcBorders>
              <w:top w:val="single" w:sz="4" w:space="0" w:color="auto"/>
            </w:tcBorders>
            <w:shd w:val="clear" w:color="auto" w:fill="FFFFFF"/>
          </w:tcPr>
          <w:p w:rsidR="0048417A" w:rsidRPr="004D57B3" w:rsidRDefault="0048417A" w:rsidP="00836B55">
            <w:pPr>
              <w:pStyle w:val="TableText"/>
              <w:spacing w:before="0" w:after="0"/>
              <w:rPr>
                <w:lang w:val="nl-NL"/>
              </w:rPr>
            </w:pPr>
            <w:r w:rsidRPr="004D57B3">
              <w:rPr>
                <w:lang w:val="nl-NL"/>
              </w:rPr>
              <w:t xml:space="preserve">Poelmans et al </w:t>
            </w:r>
            <w:r w:rsidRPr="004D57B3">
              <w:rPr>
                <w:noProof/>
                <w:lang w:val="nl-NL"/>
              </w:rPr>
              <w:t>(2006)</w:t>
            </w:r>
            <w:r w:rsidRPr="004D57B3">
              <w:rPr>
                <w:lang w:val="nl-NL"/>
              </w:rPr>
              <w:t xml:space="preserve"> </w:t>
            </w:r>
          </w:p>
          <w:p w:rsidR="0048417A" w:rsidRPr="004D57B3" w:rsidRDefault="0048417A" w:rsidP="00836B55">
            <w:pPr>
              <w:pStyle w:val="TableText"/>
              <w:spacing w:before="0" w:after="0"/>
              <w:rPr>
                <w:lang w:val="nl-NL"/>
              </w:rPr>
            </w:pPr>
          </w:p>
          <w:p w:rsidR="0048417A" w:rsidRPr="004D57B3" w:rsidRDefault="0048417A" w:rsidP="00836B55">
            <w:pPr>
              <w:pStyle w:val="TableText"/>
              <w:spacing w:before="0" w:after="0"/>
            </w:pPr>
            <w:r w:rsidRPr="004D57B3">
              <w:t>Belgium</w:t>
            </w:r>
          </w:p>
          <w:p w:rsidR="0048417A" w:rsidRPr="004D57B3" w:rsidRDefault="0048417A" w:rsidP="00836B55">
            <w:pPr>
              <w:pStyle w:val="TableText"/>
              <w:spacing w:before="0" w:after="0"/>
            </w:pPr>
          </w:p>
          <w:p w:rsidR="0048417A" w:rsidRPr="004D57B3" w:rsidRDefault="0048417A" w:rsidP="00836B55">
            <w:pPr>
              <w:pStyle w:val="TableText"/>
              <w:spacing w:before="0" w:after="0"/>
            </w:pPr>
            <w:r w:rsidRPr="004D57B3">
              <w:t>KCE</w:t>
            </w:r>
          </w:p>
          <w:p w:rsidR="0048417A" w:rsidRPr="004D57B3" w:rsidRDefault="0048417A" w:rsidP="00836B55">
            <w:pPr>
              <w:pStyle w:val="TableText"/>
              <w:spacing w:before="0" w:after="0"/>
            </w:pPr>
          </w:p>
        </w:tc>
        <w:tc>
          <w:tcPr>
            <w:tcW w:w="3777" w:type="dxa"/>
            <w:vMerge w:val="restart"/>
            <w:tcBorders>
              <w:top w:val="single" w:sz="4" w:space="0" w:color="auto"/>
            </w:tcBorders>
            <w:shd w:val="clear" w:color="auto" w:fill="FFFFFF"/>
          </w:tcPr>
          <w:p w:rsidR="0048417A" w:rsidRPr="004D57B3" w:rsidRDefault="0048417A" w:rsidP="00836B55">
            <w:pPr>
              <w:pStyle w:val="TableText"/>
              <w:spacing w:before="0" w:after="0"/>
              <w:rPr>
                <w:rFonts w:cs="Garamond"/>
                <w:b/>
              </w:rPr>
            </w:pPr>
            <w:r w:rsidRPr="004D57B3">
              <w:rPr>
                <w:rFonts w:cs="Garamond"/>
                <w:b/>
              </w:rPr>
              <w:t xml:space="preserve">Objective: </w:t>
            </w:r>
            <w:r w:rsidRPr="004D57B3">
              <w:rPr>
                <w:rFonts w:cs="Garamond"/>
              </w:rPr>
              <w:t xml:space="preserve">To assess the clinical efficacy and economic effectiveness of CE compared with competing diagnostic modalities in small bowel diseases. </w:t>
            </w:r>
          </w:p>
          <w:p w:rsidR="0048417A" w:rsidRPr="004D57B3" w:rsidRDefault="0048417A" w:rsidP="00836B55">
            <w:pPr>
              <w:pStyle w:val="TableText"/>
              <w:spacing w:before="0" w:after="0"/>
              <w:rPr>
                <w:rFonts w:cs="Garamond"/>
                <w:b/>
              </w:rPr>
            </w:pPr>
          </w:p>
          <w:p w:rsidR="0048417A" w:rsidRPr="004D57B3" w:rsidRDefault="0048417A" w:rsidP="00836B55">
            <w:pPr>
              <w:pStyle w:val="TableText"/>
              <w:spacing w:before="0" w:after="0"/>
              <w:rPr>
                <w:rFonts w:cs="Garamond"/>
              </w:rPr>
            </w:pPr>
            <w:r w:rsidRPr="004D57B3">
              <w:rPr>
                <w:rFonts w:cs="Garamond"/>
                <w:b/>
              </w:rPr>
              <w:t xml:space="preserve">Method: </w:t>
            </w:r>
            <w:r w:rsidRPr="004D57B3">
              <w:rPr>
                <w:rFonts w:cs="Garamond"/>
              </w:rPr>
              <w:t>HTA and SR</w:t>
            </w:r>
          </w:p>
          <w:p w:rsidR="0048417A" w:rsidRPr="004D57B3" w:rsidRDefault="0048417A" w:rsidP="00836B55">
            <w:pPr>
              <w:pStyle w:val="TableText"/>
              <w:spacing w:before="0" w:after="0"/>
              <w:rPr>
                <w:rFonts w:cs="Garamond"/>
              </w:rPr>
            </w:pPr>
            <w:r w:rsidRPr="004D57B3">
              <w:rPr>
                <w:rFonts w:cs="Garamond"/>
                <w:i/>
              </w:rPr>
              <w:t>Time period:</w:t>
            </w:r>
            <w:r w:rsidRPr="004D57B3">
              <w:rPr>
                <w:rFonts w:cs="Garamond"/>
                <w:b/>
                <w:i/>
              </w:rPr>
              <w:t xml:space="preserve"> </w:t>
            </w:r>
            <w:r w:rsidRPr="004D57B3">
              <w:rPr>
                <w:rFonts w:cs="Garamond"/>
              </w:rPr>
              <w:t>to</w:t>
            </w:r>
            <w:r w:rsidRPr="004D57B3">
              <w:rPr>
                <w:rFonts w:cs="Garamond"/>
                <w:b/>
                <w:i/>
              </w:rPr>
              <w:t xml:space="preserve"> </w:t>
            </w:r>
            <w:r w:rsidRPr="004D57B3">
              <w:rPr>
                <w:rFonts w:cs="Garamond"/>
              </w:rPr>
              <w:t>June 2005 (CRD) and to October 2005 (MEDLINE)</w:t>
            </w:r>
          </w:p>
          <w:p w:rsidR="0048417A" w:rsidRPr="004D57B3" w:rsidRDefault="0048417A" w:rsidP="00836B55">
            <w:pPr>
              <w:pStyle w:val="TableText"/>
              <w:spacing w:before="0" w:after="0"/>
              <w:rPr>
                <w:rFonts w:cs="Garamond"/>
                <w:i/>
              </w:rPr>
            </w:pPr>
            <w:r w:rsidRPr="004D57B3">
              <w:rPr>
                <w:rFonts w:cs="Garamond"/>
                <w:i/>
              </w:rPr>
              <w:t xml:space="preserve">Inclusion/exclusion criteria: </w:t>
            </w:r>
          </w:p>
          <w:p w:rsidR="0048417A" w:rsidRPr="004D57B3" w:rsidRDefault="0048417A" w:rsidP="00836B55">
            <w:pPr>
              <w:pStyle w:val="TableText"/>
              <w:spacing w:before="0" w:after="0"/>
              <w:rPr>
                <w:rFonts w:cs="Garamond"/>
              </w:rPr>
            </w:pPr>
            <w:r w:rsidRPr="004D57B3">
              <w:rPr>
                <w:rFonts w:cs="Garamond"/>
                <w:u w:val="single"/>
              </w:rPr>
              <w:t>Primary studies</w:t>
            </w:r>
          </w:p>
          <w:p w:rsidR="0048417A" w:rsidRPr="004D57B3" w:rsidRDefault="0048417A" w:rsidP="00836B55">
            <w:pPr>
              <w:pStyle w:val="TableText"/>
              <w:spacing w:before="0" w:after="0"/>
              <w:rPr>
                <w:rFonts w:cs="Garamond"/>
              </w:rPr>
            </w:pPr>
            <w:r w:rsidRPr="004D57B3">
              <w:rPr>
                <w:rFonts w:cs="Garamond"/>
              </w:rPr>
              <w:t>Inclusion: prospective and comparative studies reporting on the diagnostic performance of CE and not in existing HTAs and SRs; intervention is CE report on at least one of the following outcomes – diagnostic yield, diagnostic accuracy, impact on patient management or patient outcome in terms of morbidity or mortality, homogeneous patient populations, English language, published  full papers</w:t>
            </w:r>
          </w:p>
          <w:p w:rsidR="0048417A" w:rsidRPr="004D57B3" w:rsidRDefault="0048417A" w:rsidP="00836B55">
            <w:pPr>
              <w:pStyle w:val="TableText"/>
              <w:spacing w:before="0" w:after="0"/>
              <w:rPr>
                <w:rFonts w:cs="Garamond"/>
              </w:rPr>
            </w:pPr>
            <w:r w:rsidRPr="004D57B3">
              <w:rPr>
                <w:rFonts w:cs="Garamond"/>
              </w:rPr>
              <w:t xml:space="preserve">Exclusion: abstracts, editorials, proceedings </w:t>
            </w:r>
          </w:p>
          <w:p w:rsidR="0048417A" w:rsidRPr="004D57B3" w:rsidRDefault="0048417A" w:rsidP="00836B55">
            <w:pPr>
              <w:pStyle w:val="TableText"/>
              <w:spacing w:before="0" w:after="0"/>
              <w:rPr>
                <w:rFonts w:cs="Garamond"/>
                <w:u w:val="single"/>
              </w:rPr>
            </w:pPr>
            <w:r w:rsidRPr="004D57B3">
              <w:rPr>
                <w:rFonts w:cs="Garamond"/>
                <w:u w:val="single"/>
              </w:rPr>
              <w:t>Systematic reviews</w:t>
            </w:r>
          </w:p>
          <w:p w:rsidR="0048417A" w:rsidRPr="004D57B3" w:rsidRDefault="0048417A" w:rsidP="00836B55">
            <w:pPr>
              <w:pStyle w:val="TableText"/>
              <w:spacing w:before="0" w:after="0"/>
              <w:rPr>
                <w:rFonts w:cs="Garamond"/>
              </w:rPr>
            </w:pPr>
            <w:r w:rsidRPr="004D57B3">
              <w:rPr>
                <w:rFonts w:cs="Garamond"/>
              </w:rPr>
              <w:t>Inclusion: relevant to the indication</w:t>
            </w:r>
          </w:p>
          <w:p w:rsidR="0048417A" w:rsidRPr="004D57B3" w:rsidRDefault="0048417A" w:rsidP="00836B55">
            <w:pPr>
              <w:pStyle w:val="TableText"/>
              <w:spacing w:before="0" w:after="0"/>
              <w:rPr>
                <w:rFonts w:cs="Garamond"/>
              </w:rPr>
            </w:pPr>
            <w:r w:rsidRPr="004D57B3">
              <w:rPr>
                <w:rFonts w:cs="Garamond"/>
              </w:rPr>
              <w:t>Exclusion: paper which include all studies and findings present in a previous HTA report or systematic review</w:t>
            </w:r>
          </w:p>
          <w:p w:rsidR="0048417A" w:rsidRPr="004D57B3" w:rsidRDefault="0048417A" w:rsidP="00836B55">
            <w:pPr>
              <w:pStyle w:val="TableText"/>
              <w:spacing w:before="0" w:after="0"/>
              <w:rPr>
                <w:rFonts w:cs="Garamond"/>
              </w:rPr>
            </w:pPr>
            <w:r w:rsidRPr="004D57B3">
              <w:rPr>
                <w:rFonts w:cs="Garamond"/>
                <w:i/>
              </w:rPr>
              <w:t>Outcomes</w:t>
            </w:r>
            <w:r w:rsidRPr="004D57B3">
              <w:rPr>
                <w:rFonts w:cs="Garamond"/>
                <w:b/>
              </w:rPr>
              <w:t xml:space="preserve">: </w:t>
            </w:r>
            <w:r w:rsidRPr="004D57B3">
              <w:rPr>
                <w:rFonts w:cs="Garamond"/>
              </w:rPr>
              <w:t>diagnostic yield, diagnostic accuracy, therapeutic impact, adverse events</w:t>
            </w:r>
          </w:p>
          <w:p w:rsidR="0048417A" w:rsidRPr="004D57B3" w:rsidRDefault="0048417A" w:rsidP="00836B55">
            <w:pPr>
              <w:pStyle w:val="TableText"/>
              <w:spacing w:before="0" w:after="0"/>
            </w:pPr>
            <w:r w:rsidRPr="004D57B3">
              <w:rPr>
                <w:rFonts w:cs="Garamond"/>
                <w:i/>
              </w:rPr>
              <w:t>Language:</w:t>
            </w:r>
            <w:r w:rsidRPr="004D57B3">
              <w:rPr>
                <w:rFonts w:cs="Garamond"/>
              </w:rPr>
              <w:t xml:space="preserve"> English, full papers</w:t>
            </w:r>
          </w:p>
        </w:tc>
        <w:tc>
          <w:tcPr>
            <w:tcW w:w="1421" w:type="dxa"/>
            <w:vMerge w:val="restart"/>
            <w:tcBorders>
              <w:top w:val="single" w:sz="4" w:space="0" w:color="auto"/>
            </w:tcBorders>
            <w:shd w:val="clear" w:color="auto" w:fill="FFFFFF"/>
          </w:tcPr>
          <w:p w:rsidR="0048417A" w:rsidRPr="004D57B3" w:rsidRDefault="0048417A" w:rsidP="00836B55">
            <w:pPr>
              <w:pStyle w:val="TableText"/>
              <w:spacing w:before="0" w:after="0"/>
              <w:rPr>
                <w:b/>
              </w:rPr>
            </w:pPr>
            <w:r w:rsidRPr="004D57B3">
              <w:rPr>
                <w:b/>
              </w:rPr>
              <w:t>Suspected and established Crohn’s disease:</w:t>
            </w:r>
          </w:p>
          <w:p w:rsidR="0048417A" w:rsidRPr="004D57B3" w:rsidRDefault="0048417A" w:rsidP="00836B55">
            <w:pPr>
              <w:pStyle w:val="TableText"/>
              <w:spacing w:before="0" w:after="0"/>
            </w:pPr>
            <w:r w:rsidRPr="004D57B3">
              <w:t>7 studies (5 prospective and comparative primary studies, 1 systematic review, 1 HTA).</w:t>
            </w:r>
          </w:p>
        </w:tc>
        <w:tc>
          <w:tcPr>
            <w:tcW w:w="2455" w:type="dxa"/>
            <w:vMerge w:val="restart"/>
            <w:tcBorders>
              <w:top w:val="single" w:sz="4" w:space="0" w:color="auto"/>
            </w:tcBorders>
            <w:shd w:val="clear" w:color="auto" w:fill="FFFFFF"/>
          </w:tcPr>
          <w:p w:rsidR="0048417A" w:rsidRPr="004D57B3" w:rsidRDefault="0048417A" w:rsidP="00836B55">
            <w:pPr>
              <w:pStyle w:val="TableText"/>
              <w:spacing w:before="0" w:after="0"/>
              <w:rPr>
                <w:rFonts w:cs="Garamond"/>
                <w:b/>
              </w:rPr>
            </w:pPr>
            <w:r w:rsidRPr="004D57B3">
              <w:rPr>
                <w:rFonts w:cs="Garamond"/>
                <w:b/>
              </w:rPr>
              <w:t>Quality: FAIR</w:t>
            </w:r>
          </w:p>
          <w:p w:rsidR="0048417A" w:rsidRPr="004D57B3" w:rsidRDefault="0048417A" w:rsidP="00836B55">
            <w:pPr>
              <w:pStyle w:val="TableText"/>
              <w:spacing w:before="0" w:after="0"/>
              <w:rPr>
                <w:rFonts w:cs="Garamond"/>
              </w:rPr>
            </w:pPr>
          </w:p>
          <w:p w:rsidR="0048417A" w:rsidRPr="004D57B3" w:rsidRDefault="0048417A" w:rsidP="00836B55">
            <w:pPr>
              <w:pStyle w:val="TableText"/>
              <w:spacing w:before="4" w:after="4"/>
              <w:rPr>
                <w:rFonts w:cs="Garamond"/>
              </w:rPr>
            </w:pPr>
            <w:r w:rsidRPr="004D57B3">
              <w:rPr>
                <w:rFonts w:cs="Garamond"/>
              </w:rPr>
              <w:t>Explicit review questions: no</w:t>
            </w:r>
          </w:p>
          <w:p w:rsidR="0048417A" w:rsidRPr="004D57B3" w:rsidRDefault="0048417A" w:rsidP="00836B55">
            <w:pPr>
              <w:pStyle w:val="TableText"/>
              <w:spacing w:before="4" w:after="4"/>
              <w:rPr>
                <w:rFonts w:cs="Garamond"/>
              </w:rPr>
            </w:pPr>
            <w:r w:rsidRPr="004D57B3">
              <w:rPr>
                <w:rFonts w:cs="Garamond"/>
              </w:rPr>
              <w:t>Explicit &amp; appropriate eligibility criteria: yes</w:t>
            </w:r>
          </w:p>
          <w:p w:rsidR="0048417A" w:rsidRPr="004D57B3" w:rsidRDefault="0048417A" w:rsidP="00836B55">
            <w:pPr>
              <w:pStyle w:val="TableText"/>
              <w:spacing w:before="4" w:after="4"/>
              <w:rPr>
                <w:rFonts w:cs="Garamond"/>
              </w:rPr>
            </w:pPr>
            <w:r w:rsidRPr="004D57B3">
              <w:rPr>
                <w:rFonts w:cs="Garamond"/>
              </w:rPr>
              <w:t>Explicit &amp; comprehensive search strategy: yes</w:t>
            </w:r>
          </w:p>
          <w:p w:rsidR="0048417A" w:rsidRPr="004D57B3" w:rsidRDefault="0048417A" w:rsidP="00836B55">
            <w:pPr>
              <w:pStyle w:val="TableText"/>
              <w:spacing w:before="4" w:after="4"/>
              <w:rPr>
                <w:rFonts w:cs="Garamond"/>
              </w:rPr>
            </w:pPr>
            <w:r w:rsidRPr="004D57B3">
              <w:rPr>
                <w:rFonts w:cs="Garamond"/>
              </w:rPr>
              <w:t xml:space="preserve">Quality of included studies appraised: yes </w:t>
            </w:r>
          </w:p>
          <w:p w:rsidR="0048417A" w:rsidRPr="004D57B3" w:rsidRDefault="0048417A" w:rsidP="00836B55">
            <w:pPr>
              <w:pStyle w:val="TableText"/>
              <w:spacing w:before="4" w:after="4"/>
              <w:rPr>
                <w:rFonts w:cs="Garamond"/>
              </w:rPr>
            </w:pPr>
            <w:r w:rsidRPr="004D57B3">
              <w:rPr>
                <w:rFonts w:cs="Garamond"/>
              </w:rPr>
              <w:t>Methods of study appraisal reproducible: no</w:t>
            </w:r>
          </w:p>
          <w:p w:rsidR="0048417A" w:rsidRPr="004D57B3" w:rsidRDefault="0048417A" w:rsidP="00836B55">
            <w:pPr>
              <w:pStyle w:val="TableText"/>
              <w:spacing w:before="4" w:after="4"/>
              <w:rPr>
                <w:rFonts w:cs="Garamond"/>
              </w:rPr>
            </w:pPr>
            <w:r w:rsidRPr="004D57B3">
              <w:rPr>
                <w:rFonts w:cs="Garamond"/>
              </w:rPr>
              <w:t>Heterogeneity between studies assessed:  N/A</w:t>
            </w:r>
          </w:p>
          <w:p w:rsidR="0048417A" w:rsidRPr="004D57B3" w:rsidRDefault="0048417A" w:rsidP="00836B55">
            <w:pPr>
              <w:pStyle w:val="TableText"/>
              <w:spacing w:before="4" w:after="4"/>
              <w:rPr>
                <w:rFonts w:cs="Garamond"/>
              </w:rPr>
            </w:pPr>
            <w:r w:rsidRPr="004D57B3">
              <w:rPr>
                <w:rFonts w:cs="Garamond"/>
              </w:rPr>
              <w:t xml:space="preserve">Summary of main results clear and appropriate: yes </w:t>
            </w:r>
          </w:p>
          <w:p w:rsidR="0048417A" w:rsidRPr="004D57B3" w:rsidRDefault="0048417A" w:rsidP="00836B55">
            <w:pPr>
              <w:pStyle w:val="TableText"/>
              <w:spacing w:before="0" w:after="0"/>
            </w:pPr>
          </w:p>
        </w:tc>
      </w:tr>
      <w:tr w:rsidR="0048417A" w:rsidRPr="004D57B3" w:rsidTr="00836B55">
        <w:trPr>
          <w:trHeight w:val="3523"/>
        </w:trPr>
        <w:tc>
          <w:tcPr>
            <w:tcW w:w="1434" w:type="dxa"/>
            <w:tcBorders>
              <w:bottom w:val="single" w:sz="4" w:space="0" w:color="auto"/>
            </w:tcBorders>
            <w:shd w:val="clear" w:color="auto" w:fill="FFFFFF"/>
          </w:tcPr>
          <w:p w:rsidR="0048417A" w:rsidRPr="004D57B3" w:rsidRDefault="0048417A" w:rsidP="00836B55">
            <w:pPr>
              <w:pStyle w:val="TableText"/>
            </w:pPr>
          </w:p>
        </w:tc>
        <w:tc>
          <w:tcPr>
            <w:tcW w:w="3777" w:type="dxa"/>
            <w:vMerge/>
            <w:tcBorders>
              <w:bottom w:val="single" w:sz="4" w:space="0" w:color="auto"/>
            </w:tcBorders>
            <w:shd w:val="clear" w:color="auto" w:fill="FFFFFF"/>
          </w:tcPr>
          <w:p w:rsidR="0048417A" w:rsidRPr="004D57B3" w:rsidRDefault="0048417A" w:rsidP="00836B55">
            <w:pPr>
              <w:pStyle w:val="TableText"/>
              <w:rPr>
                <w:rFonts w:cs="Garamond"/>
                <w:b/>
              </w:rPr>
            </w:pPr>
          </w:p>
        </w:tc>
        <w:tc>
          <w:tcPr>
            <w:tcW w:w="1421" w:type="dxa"/>
            <w:vMerge/>
            <w:tcBorders>
              <w:bottom w:val="single" w:sz="4" w:space="0" w:color="auto"/>
            </w:tcBorders>
            <w:shd w:val="clear" w:color="auto" w:fill="FFFFFF"/>
          </w:tcPr>
          <w:p w:rsidR="0048417A" w:rsidRPr="004D57B3" w:rsidRDefault="0048417A" w:rsidP="00836B55">
            <w:pPr>
              <w:pStyle w:val="TableText"/>
              <w:rPr>
                <w:b/>
              </w:rPr>
            </w:pPr>
          </w:p>
        </w:tc>
        <w:tc>
          <w:tcPr>
            <w:tcW w:w="2455" w:type="dxa"/>
            <w:vMerge/>
            <w:tcBorders>
              <w:bottom w:val="single" w:sz="4" w:space="0" w:color="auto"/>
            </w:tcBorders>
            <w:shd w:val="clear" w:color="auto" w:fill="FFFFFF"/>
          </w:tcPr>
          <w:p w:rsidR="0048417A" w:rsidRPr="004D57B3" w:rsidRDefault="0048417A" w:rsidP="00836B55">
            <w:pPr>
              <w:pStyle w:val="TableText"/>
              <w:rPr>
                <w:rFonts w:cs="Garamond"/>
                <w:b/>
              </w:rPr>
            </w:pPr>
          </w:p>
        </w:tc>
      </w:tr>
    </w:tbl>
    <w:p w:rsidR="0048417A" w:rsidRPr="004D57B3" w:rsidRDefault="0048417A" w:rsidP="00836B55">
      <w:pPr>
        <w:pStyle w:val="TableText"/>
        <w:sectPr w:rsidR="0048417A" w:rsidRPr="004D57B3" w:rsidSect="00836B55">
          <w:footerReference w:type="default" r:id="rId31"/>
          <w:pgSz w:w="11906" w:h="16838"/>
          <w:pgMar w:top="1440" w:right="1440" w:bottom="1440" w:left="1440" w:header="720" w:footer="720" w:gutter="0"/>
          <w:paperSrc w:first="2" w:other="2"/>
          <w:cols w:space="720"/>
          <w:docGrid w:linePitch="326"/>
        </w:sectPr>
      </w:pPr>
      <w:r w:rsidRPr="004D57B3">
        <w:rPr>
          <w:i/>
        </w:rPr>
        <w:t xml:space="preserve">Abbreviations: </w:t>
      </w:r>
      <w:r w:rsidRPr="004D57B3">
        <w:t xml:space="preserve">CE= capsule endoscopy, CD = Crohn’s disease, SR = systematic review, HTA = health technology assessment, </w:t>
      </w:r>
      <w:proofErr w:type="spellStart"/>
      <w:proofErr w:type="gramStart"/>
      <w:r w:rsidRPr="004D57B3">
        <w:t>sn</w:t>
      </w:r>
      <w:proofErr w:type="spellEnd"/>
      <w:proofErr w:type="gramEnd"/>
      <w:r w:rsidRPr="004D57B3">
        <w:t xml:space="preserve"> = sensitivity</w:t>
      </w:r>
      <w:r>
        <w:t>,</w:t>
      </w:r>
      <w:r w:rsidRPr="004D57B3">
        <w:t xml:space="preserve"> </w:t>
      </w:r>
      <w:proofErr w:type="spellStart"/>
      <w:r w:rsidRPr="004D57B3">
        <w:t>sp</w:t>
      </w:r>
      <w:proofErr w:type="spellEnd"/>
      <w:r w:rsidRPr="004D57B3">
        <w:t xml:space="preserve"> = specificity</w:t>
      </w:r>
      <w:r>
        <w:t>,</w:t>
      </w:r>
      <w:r w:rsidRPr="004D57B3">
        <w:t xml:space="preserve"> PPV = positive predictive value</w:t>
      </w:r>
      <w:r>
        <w:t>,</w:t>
      </w:r>
      <w:r w:rsidRPr="004D57B3">
        <w:t xml:space="preserve"> NPV = negative predictive value</w:t>
      </w:r>
    </w:p>
    <w:p w:rsidR="0048417A" w:rsidRPr="004D57B3" w:rsidRDefault="0048417A" w:rsidP="00836B55">
      <w:pPr>
        <w:pStyle w:val="Heading2a"/>
      </w:pPr>
      <w:r w:rsidRPr="004D57B3">
        <w:lastRenderedPageBreak/>
        <w:t>Direct evidence</w:t>
      </w:r>
    </w:p>
    <w:p w:rsidR="0048417A" w:rsidRPr="004D57B3" w:rsidRDefault="0048417A" w:rsidP="00836B55">
      <w:r w:rsidRPr="004D57B3">
        <w:t>The current review did not identify any studies comparing the health outcomes of symptomatic patients with suspected but unconfirmed small bowel Crohn’s disease, assessed with and without capsule endoscopy. In the absence of direct evidence for the effectiveness of capsule endoscopy, evidence for accuracy, change in management and the expected benefit of changes in treatment on health outcomes is presented in order to draw conclusions about the effectiveness of capsule endoscopy using a linked evidence approach.</w:t>
      </w:r>
    </w:p>
    <w:p w:rsidR="0048417A" w:rsidRPr="004D57B3" w:rsidRDefault="0048417A" w:rsidP="00836B55">
      <w:pPr>
        <w:pStyle w:val="Heading2a"/>
      </w:pPr>
      <w:r w:rsidRPr="004D57B3">
        <w:t>Indirect evidence</w:t>
      </w:r>
    </w:p>
    <w:p w:rsidR="0048417A" w:rsidRPr="004D57B3" w:rsidRDefault="0048417A" w:rsidP="00836B55">
      <w:pPr>
        <w:pStyle w:val="Heading3"/>
      </w:pPr>
      <w:r w:rsidRPr="004D57B3">
        <w:t>Technical issues affecting test performance</w:t>
      </w:r>
    </w:p>
    <w:p w:rsidR="0048417A" w:rsidRPr="004D57B3" w:rsidRDefault="0048417A" w:rsidP="00836B55">
      <w:pPr>
        <w:pStyle w:val="Heading4"/>
      </w:pPr>
      <w:r w:rsidRPr="004D57B3">
        <w:t>Incomplete capsule endoscopy</w:t>
      </w:r>
    </w:p>
    <w:p w:rsidR="0048417A" w:rsidRPr="004D57B3" w:rsidRDefault="0048417A" w:rsidP="00836B55">
      <w:r w:rsidRPr="004D57B3">
        <w:t xml:space="preserve">Incomplete visualisation of the small bowel may occur for a number of reasons such as failure of the capsule to reach the caecum during the battery life; failure to transmit images due to workstation malfunction; footage that is missing or obscured due to bowel contents; and battery malfunction </w:t>
      </w:r>
      <w:r>
        <w:rPr>
          <w:noProof/>
        </w:rPr>
        <w:t>(Schnoll-Sussman &amp; Kulkarni 2008)</w:t>
      </w:r>
      <w:r w:rsidRPr="004D57B3">
        <w:t>. Incomplete capsule endoscopy can sometimes be diagnostic despite being incomplete, and is not always caused by a retained capsule.</w:t>
      </w:r>
    </w:p>
    <w:p w:rsidR="0048417A" w:rsidRPr="004D57B3" w:rsidRDefault="0048417A" w:rsidP="00836B55">
      <w:r w:rsidRPr="004D57B3">
        <w:t>Data concerning rates of incomplete capsule endoscopy due to failure to reach the caecum during the battery life</w:t>
      </w:r>
      <w:r>
        <w:t xml:space="preserve"> </w:t>
      </w:r>
      <w:r w:rsidRPr="004D57B3">
        <w:t xml:space="preserve">were reported in 9 of the 14 studies included in the safety assessment (see </w:t>
      </w:r>
      <w:r w:rsidR="00AE591B">
        <w:fldChar w:fldCharType="begin"/>
      </w:r>
      <w:r w:rsidR="00AE591B">
        <w:instrText xml:space="preserve"> REF _Ref278294060 \h  \* MERGEFORMAT </w:instrText>
      </w:r>
      <w:r w:rsidR="00AE591B">
        <w:fldChar w:fldCharType="separate"/>
      </w:r>
      <w:r w:rsidRPr="004D57B3">
        <w:t xml:space="preserve">Table </w:t>
      </w:r>
      <w:r>
        <w:rPr>
          <w:noProof/>
        </w:rPr>
        <w:t>21</w:t>
      </w:r>
      <w:r w:rsidR="00AE591B">
        <w:fldChar w:fldCharType="end"/>
      </w:r>
      <w:r w:rsidRPr="004D57B3">
        <w:t xml:space="preserve">, page </w:t>
      </w:r>
      <w:r w:rsidRPr="004D57B3">
        <w:fldChar w:fldCharType="begin"/>
      </w:r>
      <w:r w:rsidRPr="004D57B3">
        <w:instrText xml:space="preserve"> PAGEREF _Ref284589480 \h </w:instrText>
      </w:r>
      <w:r w:rsidRPr="004D57B3">
        <w:fldChar w:fldCharType="separate"/>
      </w:r>
      <w:r>
        <w:rPr>
          <w:noProof/>
        </w:rPr>
        <w:t>47</w:t>
      </w:r>
      <w:r w:rsidRPr="004D57B3">
        <w:fldChar w:fldCharType="end"/>
      </w:r>
      <w:r w:rsidRPr="004D57B3">
        <w:t xml:space="preserve">). The rate of incomplete capsule endoscopies reported in the included studies ranged from 0% (0/21) to 19% (4/21). Eight of the </w:t>
      </w:r>
      <w:proofErr w:type="gramStart"/>
      <w:r>
        <w:t xml:space="preserve">nine </w:t>
      </w:r>
      <w:r w:rsidRPr="004D57B3">
        <w:t xml:space="preserve"> studies</w:t>
      </w:r>
      <w:proofErr w:type="gramEnd"/>
      <w:r w:rsidRPr="004D57B3">
        <w:t xml:space="preserve"> that reported rates of incomplete capsule endoscopy defined this as failure to reach the caecum during the battery life whereas the rate from Selby et al </w:t>
      </w:r>
      <w:r>
        <w:rPr>
          <w:noProof/>
        </w:rPr>
        <w:t>(2008)</w:t>
      </w:r>
      <w:r w:rsidRPr="004D57B3">
        <w:t xml:space="preserve"> includes workstation malfunctions (4/120) as well as failure to reach the caecum (11/120).</w:t>
      </w:r>
    </w:p>
    <w:p w:rsidR="0048417A" w:rsidRPr="004D57B3" w:rsidRDefault="0048417A" w:rsidP="00836B55">
      <w:pPr>
        <w:pStyle w:val="Heading3"/>
      </w:pPr>
      <w:r w:rsidRPr="004D57B3">
        <w:t>Is it accurate?</w:t>
      </w:r>
    </w:p>
    <w:p w:rsidR="0048417A" w:rsidRPr="004D57B3" w:rsidRDefault="0048417A" w:rsidP="00836B55">
      <w:pPr>
        <w:pStyle w:val="Heading4"/>
      </w:pPr>
      <w:r w:rsidRPr="004D57B3">
        <w:t>Study characteristics and appraisal</w:t>
      </w:r>
    </w:p>
    <w:p w:rsidR="0048417A" w:rsidRPr="004D57B3" w:rsidRDefault="0048417A" w:rsidP="00836B55">
      <w:r w:rsidRPr="004D57B3">
        <w:t xml:space="preserve">The systematic review identified </w:t>
      </w:r>
      <w:r>
        <w:t>five</w:t>
      </w:r>
      <w:r w:rsidRPr="004D57B3">
        <w:t xml:space="preserve"> primary studies that investigated the diagnostic accuracy of capsule endoscopy for the diagnosis of suspected small bowel Crohn’s disease </w:t>
      </w:r>
      <w:r>
        <w:rPr>
          <w:noProof/>
        </w:rPr>
        <w:t>(Albert et al 2005; Casciani et al 2011; Figueiredo et al 2010; Girelli et al 2007; Tukey et al 2009)</w:t>
      </w:r>
      <w:r w:rsidRPr="004D57B3">
        <w:t xml:space="preserve">. The characteristics and the appraisal of the quality and applicability of the included accuracy studies are summarised in </w:t>
      </w:r>
      <w:r w:rsidR="00AE591B">
        <w:fldChar w:fldCharType="begin"/>
      </w:r>
      <w:r w:rsidR="00AE591B">
        <w:instrText xml:space="preserve"> REF _Ref281998627 \h  \* MERGEFORMAT </w:instrText>
      </w:r>
      <w:r w:rsidR="00AE591B">
        <w:fldChar w:fldCharType="separate"/>
      </w:r>
      <w:r w:rsidRPr="004D57B3">
        <w:t xml:space="preserve">Table </w:t>
      </w:r>
      <w:r>
        <w:rPr>
          <w:noProof/>
        </w:rPr>
        <w:t>23</w:t>
      </w:r>
      <w:r w:rsidR="00AE591B">
        <w:fldChar w:fldCharType="end"/>
      </w:r>
      <w:r w:rsidRPr="004D57B3">
        <w:t xml:space="preserve">; full detail of all included studies is presented in the data extraction tables in </w:t>
      </w:r>
      <w:r w:rsidR="00AE591B">
        <w:fldChar w:fldCharType="begin"/>
      </w:r>
      <w:r w:rsidR="00AE591B">
        <w:instrText xml:space="preserve"> REF _Ref281981704 \h  \* MERGEFORMAT </w:instrText>
      </w:r>
      <w:r w:rsidR="00AE591B">
        <w:fldChar w:fldCharType="separate"/>
      </w:r>
      <w:r w:rsidRPr="004D57B3">
        <w:rPr>
          <w:bCs/>
        </w:rPr>
        <w:t xml:space="preserve">Appendix </w:t>
      </w:r>
      <w:r>
        <w:rPr>
          <w:bCs/>
        </w:rPr>
        <w:t>D</w:t>
      </w:r>
      <w:r w:rsidR="00AE591B">
        <w:fldChar w:fldCharType="end"/>
      </w:r>
      <w:r w:rsidRPr="004D57B3">
        <w:t xml:space="preserve">. </w:t>
      </w:r>
    </w:p>
    <w:p w:rsidR="0048417A" w:rsidRPr="004D57B3" w:rsidRDefault="0048417A" w:rsidP="00836B55">
      <w:r w:rsidRPr="004D57B3">
        <w:t xml:space="preserve">All of the included diagnostic accuracy studies provided </w:t>
      </w:r>
      <w:r>
        <w:t>l</w:t>
      </w:r>
      <w:r w:rsidRPr="004D57B3">
        <w:t xml:space="preserve">evel III-2 evidence and were of either poor or fair quality. All included studies had limited applicability (P2) owing to differences in prior tests and in the selection criteria for patients with suspected small bowel Crohn’s disease. Two studies presented results on the comparative accuracy of capsule endoscopy for the diagnosis of suspected small bowel Crohn’s disease relative to MR with </w:t>
      </w:r>
      <w:r>
        <w:rPr>
          <w:noProof/>
        </w:rPr>
        <w:t>(Casciani et al 2011)</w:t>
      </w:r>
      <w:r w:rsidRPr="004D57B3">
        <w:t xml:space="preserve"> or without </w:t>
      </w:r>
      <w:r w:rsidRPr="004D57B3">
        <w:rPr>
          <w:noProof/>
        </w:rPr>
        <w:t>(Albert et al 2005)</w:t>
      </w:r>
      <w:r w:rsidRPr="004D57B3">
        <w:t xml:space="preserve"> </w:t>
      </w:r>
      <w:proofErr w:type="spellStart"/>
      <w:r w:rsidRPr="004D57B3">
        <w:t>enterography</w:t>
      </w:r>
      <w:proofErr w:type="spellEnd"/>
      <w:r w:rsidRPr="004D57B3">
        <w:t>. The remaining studies presented results on the accuracy of capsule endoscopy without any comparators and therefore provided the basis for a comparison of capsule endoscopy and empirical treatment (capsule endoscopy as an incremental test over prior tests). All included studies used the diagnosis obtained at long</w:t>
      </w:r>
      <w:r>
        <w:t>-</w:t>
      </w:r>
      <w:r w:rsidRPr="004D57B3">
        <w:t>term follow</w:t>
      </w:r>
      <w:r>
        <w:t>-</w:t>
      </w:r>
      <w:r w:rsidRPr="004D57B3">
        <w:t xml:space="preserve">up (&gt;12 months) as the reference </w:t>
      </w:r>
      <w:r w:rsidRPr="004D57B3">
        <w:lastRenderedPageBreak/>
        <w:t xml:space="preserve">standard. Histology was at least partially incorporated into the reference standards used by three studies </w:t>
      </w:r>
      <w:r>
        <w:rPr>
          <w:noProof/>
        </w:rPr>
        <w:t>(Casciani et al 2011; Figueiredo et al 2010; Girelli et al 2007)</w:t>
      </w:r>
      <w:r w:rsidRPr="004D57B3">
        <w:t xml:space="preserve">. </w:t>
      </w:r>
    </w:p>
    <w:p w:rsidR="0048417A" w:rsidRPr="004D57B3" w:rsidRDefault="0048417A" w:rsidP="00836B55">
      <w:pPr>
        <w:rPr>
          <w:noProof/>
        </w:rPr>
        <w:sectPr w:rsidR="0048417A" w:rsidRPr="004D57B3" w:rsidSect="00836B55">
          <w:pgSz w:w="11906" w:h="16838"/>
          <w:pgMar w:top="1440" w:right="1440" w:bottom="1440" w:left="1440" w:header="720" w:footer="720" w:gutter="0"/>
          <w:paperSrc w:first="2" w:other="2"/>
          <w:cols w:space="720"/>
          <w:docGrid w:linePitch="326"/>
        </w:sectPr>
      </w:pPr>
      <w:r w:rsidRPr="004D57B3">
        <w:t xml:space="preserve">All diagnostic accuracy studies enrolled a predominantly adult patient with the exception of </w:t>
      </w:r>
      <w:proofErr w:type="spellStart"/>
      <w:r w:rsidRPr="004D57B3">
        <w:t>Casciani</w:t>
      </w:r>
      <w:proofErr w:type="spellEnd"/>
      <w:r w:rsidRPr="004D57B3">
        <w:t xml:space="preserve"> et al </w:t>
      </w:r>
      <w:r>
        <w:rPr>
          <w:noProof/>
        </w:rPr>
        <w:t>(2011)</w:t>
      </w:r>
      <w:r w:rsidRPr="004D57B3">
        <w:rPr>
          <w:noProof/>
        </w:rPr>
        <w:t xml:space="preserve"> which enrolled a younger population (average age 14 years, range 6 to 18 years). All studies enrolled patients with suspected small bowel Crohn’s disease. Prior tests varied across the five included studies (</w:t>
      </w:r>
      <w:r>
        <w:rPr>
          <w:noProof/>
        </w:rPr>
        <w:t xml:space="preserve">see </w:t>
      </w:r>
      <w:r w:rsidR="00AE591B">
        <w:fldChar w:fldCharType="begin"/>
      </w:r>
      <w:r w:rsidR="00AE591B">
        <w:instrText xml:space="preserve"> REF _Ref281998627 \h  \* MERGEFORMAT </w:instrText>
      </w:r>
      <w:r w:rsidR="00AE591B">
        <w:fldChar w:fldCharType="separate"/>
      </w:r>
      <w:r w:rsidRPr="004D57B3">
        <w:t xml:space="preserve">Table </w:t>
      </w:r>
      <w:r>
        <w:rPr>
          <w:noProof/>
        </w:rPr>
        <w:t>23</w:t>
      </w:r>
      <w:r w:rsidR="00AE591B">
        <w:fldChar w:fldCharType="end"/>
      </w:r>
      <w:r w:rsidRPr="004D57B3">
        <w:rPr>
          <w:noProof/>
        </w:rPr>
        <w:t xml:space="preserve"> and </w:t>
      </w:r>
      <w:r w:rsidR="00AE591B">
        <w:fldChar w:fldCharType="begin"/>
      </w:r>
      <w:r w:rsidR="00AE591B">
        <w:instrText xml:space="preserve"> REF _Ref279156019 \h  \* MERGEFORMAT </w:instrText>
      </w:r>
      <w:r w:rsidR="00AE591B">
        <w:fldChar w:fldCharType="separate"/>
      </w:r>
      <w:r w:rsidRPr="004D57B3">
        <w:t xml:space="preserve">Table </w:t>
      </w:r>
      <w:r>
        <w:rPr>
          <w:noProof/>
        </w:rPr>
        <w:t>24</w:t>
      </w:r>
      <w:r w:rsidR="00AE591B">
        <w:fldChar w:fldCharType="end"/>
      </w:r>
      <w:r w:rsidRPr="004D57B3">
        <w:rPr>
          <w:noProof/>
        </w:rPr>
        <w:t xml:space="preserve">). Only one study explicitly reported that all enrolled patients had negative or equivocal prior colonoscopy with ileoscopy and small bowel radiology (Tukey et al 2009), as required by the clinical flow chart (page </w:t>
      </w:r>
      <w:r w:rsidRPr="004D57B3">
        <w:rPr>
          <w:noProof/>
        </w:rPr>
        <w:fldChar w:fldCharType="begin"/>
      </w:r>
      <w:r w:rsidRPr="004D57B3">
        <w:rPr>
          <w:noProof/>
        </w:rPr>
        <w:instrText xml:space="preserve"> PAGEREF _Ref283298372 \h </w:instrText>
      </w:r>
      <w:r w:rsidRPr="004D57B3">
        <w:rPr>
          <w:noProof/>
        </w:rPr>
      </w:r>
      <w:r w:rsidRPr="004D57B3">
        <w:rPr>
          <w:noProof/>
        </w:rPr>
        <w:fldChar w:fldCharType="separate"/>
      </w:r>
      <w:r>
        <w:rPr>
          <w:noProof/>
        </w:rPr>
        <w:t>31</w:t>
      </w:r>
      <w:r w:rsidRPr="004D57B3">
        <w:rPr>
          <w:noProof/>
        </w:rPr>
        <w:fldChar w:fldCharType="end"/>
      </w:r>
      <w:r w:rsidRPr="004D57B3">
        <w:rPr>
          <w:noProof/>
        </w:rPr>
        <w:t xml:space="preserve">). The patients in the other four included studies did not: in two studies, patients underwent prior small bowel radiology and colonoscopy with ileoscopy but patients who tested positive for Crohn’s disease on these prior tests were not explicitly excluded </w:t>
      </w:r>
      <w:r>
        <w:rPr>
          <w:noProof/>
        </w:rPr>
        <w:t>(Albert et al 2005; Casciani et al 2011);</w:t>
      </w:r>
      <w:r w:rsidRPr="004D57B3">
        <w:rPr>
          <w:noProof/>
        </w:rPr>
        <w:t xml:space="preserve"> in one study most patients had prior negative or equivocal tests (Figueiredo et al 2010)</w:t>
      </w:r>
      <w:r>
        <w:rPr>
          <w:noProof/>
        </w:rPr>
        <w:t>;</w:t>
      </w:r>
      <w:r w:rsidRPr="004D57B3">
        <w:rPr>
          <w:noProof/>
        </w:rPr>
        <w:t xml:space="preserve"> and in one study patients had prior negative or equivocal small bowel radiology and colonoscopy, but the colonoscopy was only performed up to the caecum (Girelli et al 2007). Two studies excluded patients on the basis of previous intake of  nonsteroidal anti-inflammatory drugs (NSAIDs) (Figueiredo et al 2010; Girelli et al 2007) whereas this was not a reported exclusion criteria for the other studies. Four of the five studies excluded patients who had suspected or known strictures or stenosis (defined in various ways) whereas one study (Tukey et al 2009) did not report whether patients of this type had been excluded. Three studies explicitly reported the number of lesions required for a diagnosis of Crohn’s disease </w:t>
      </w:r>
      <w:r>
        <w:rPr>
          <w:noProof/>
        </w:rPr>
        <w:t>(Casciani et al 2011; Girelli et al 2007; Tukey et al 2009)</w:t>
      </w:r>
      <w:r w:rsidRPr="004D57B3">
        <w:rPr>
          <w:noProof/>
        </w:rPr>
        <w:t xml:space="preserve">. </w:t>
      </w:r>
    </w:p>
    <w:p w:rsidR="0048417A" w:rsidRPr="004D57B3" w:rsidRDefault="0048417A" w:rsidP="00836B55">
      <w:pPr>
        <w:pStyle w:val="TableName"/>
        <w:ind w:left="765" w:hanging="765"/>
      </w:pPr>
      <w:bookmarkStart w:id="180" w:name="_Ref281998627"/>
      <w:bookmarkStart w:id="181" w:name="_Toc291859585"/>
      <w:r w:rsidRPr="004D57B3">
        <w:lastRenderedPageBreak/>
        <w:t xml:space="preserve">Table </w:t>
      </w:r>
      <w:r w:rsidR="00AE591B">
        <w:fldChar w:fldCharType="begin"/>
      </w:r>
      <w:r w:rsidR="00AE591B">
        <w:instrText xml:space="preserve"> SEQ Table \* ARABIC </w:instrText>
      </w:r>
      <w:r w:rsidR="00AE591B">
        <w:fldChar w:fldCharType="separate"/>
      </w:r>
      <w:r>
        <w:rPr>
          <w:noProof/>
        </w:rPr>
        <w:t>23</w:t>
      </w:r>
      <w:r w:rsidR="00AE591B">
        <w:rPr>
          <w:noProof/>
        </w:rPr>
        <w:fldChar w:fldCharType="end"/>
      </w:r>
      <w:bookmarkEnd w:id="180"/>
      <w:r w:rsidRPr="004D57B3">
        <w:tab/>
        <w:t>Characteristics and appraisal of included accuracy studies</w:t>
      </w:r>
      <w:bookmarkEnd w:id="181"/>
    </w:p>
    <w:tbl>
      <w:tblPr>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3"/>
        <w:gridCol w:w="569"/>
        <w:gridCol w:w="1133"/>
        <w:gridCol w:w="5102"/>
        <w:gridCol w:w="3259"/>
        <w:gridCol w:w="2268"/>
      </w:tblGrid>
      <w:tr w:rsidR="0048417A" w:rsidRPr="004D57B3" w:rsidTr="00836B55">
        <w:trPr>
          <w:trHeight w:val="803"/>
          <w:tblHeader/>
        </w:trPr>
        <w:tc>
          <w:tcPr>
            <w:tcW w:w="417" w:type="pct"/>
            <w:tcBorders>
              <w:left w:val="nil"/>
              <w:right w:val="nil"/>
            </w:tcBorders>
            <w:vAlign w:val="center"/>
          </w:tcPr>
          <w:p w:rsidR="0048417A" w:rsidRPr="004D57B3" w:rsidRDefault="0048417A" w:rsidP="00836B55">
            <w:pPr>
              <w:pStyle w:val="TableHeading"/>
              <w:spacing w:before="0" w:after="0"/>
            </w:pPr>
            <w:r w:rsidRPr="004D57B3">
              <w:t>Author (year)</w:t>
            </w:r>
          </w:p>
          <w:p w:rsidR="0048417A" w:rsidRPr="004D57B3" w:rsidRDefault="0048417A" w:rsidP="00836B55">
            <w:pPr>
              <w:pStyle w:val="TableHeading"/>
              <w:spacing w:before="0" w:after="0"/>
            </w:pPr>
            <w:r w:rsidRPr="004D57B3">
              <w:t>Setting</w:t>
            </w:r>
          </w:p>
          <w:p w:rsidR="0048417A" w:rsidRPr="004D57B3" w:rsidRDefault="0048417A" w:rsidP="00836B55">
            <w:pPr>
              <w:pStyle w:val="TableHeading"/>
              <w:spacing w:before="0" w:after="0"/>
            </w:pPr>
            <w:r w:rsidRPr="004D57B3">
              <w:t>Time period</w:t>
            </w:r>
          </w:p>
        </w:tc>
        <w:tc>
          <w:tcPr>
            <w:tcW w:w="211" w:type="pct"/>
            <w:tcBorders>
              <w:left w:val="nil"/>
              <w:right w:val="nil"/>
            </w:tcBorders>
            <w:vAlign w:val="center"/>
          </w:tcPr>
          <w:p w:rsidR="0048417A" w:rsidRPr="004D57B3" w:rsidRDefault="0048417A" w:rsidP="00836B55">
            <w:pPr>
              <w:pStyle w:val="TableHeading"/>
            </w:pPr>
            <w:r w:rsidRPr="004D57B3">
              <w:t>N</w:t>
            </w:r>
          </w:p>
        </w:tc>
        <w:tc>
          <w:tcPr>
            <w:tcW w:w="421" w:type="pct"/>
            <w:tcBorders>
              <w:left w:val="nil"/>
              <w:right w:val="nil"/>
            </w:tcBorders>
            <w:vAlign w:val="center"/>
          </w:tcPr>
          <w:p w:rsidR="0048417A" w:rsidRPr="004D57B3" w:rsidRDefault="0048417A" w:rsidP="00836B55">
            <w:pPr>
              <w:pStyle w:val="TableHeading"/>
            </w:pPr>
            <w:r w:rsidRPr="004D57B3">
              <w:t>Test comparison</w:t>
            </w:r>
          </w:p>
        </w:tc>
        <w:tc>
          <w:tcPr>
            <w:tcW w:w="1896" w:type="pct"/>
            <w:tcBorders>
              <w:left w:val="nil"/>
              <w:right w:val="nil"/>
            </w:tcBorders>
            <w:vAlign w:val="center"/>
          </w:tcPr>
          <w:p w:rsidR="0048417A" w:rsidRPr="004D57B3" w:rsidRDefault="0048417A" w:rsidP="00836B55">
            <w:pPr>
              <w:pStyle w:val="TableHeading"/>
            </w:pPr>
            <w:r w:rsidRPr="004D57B3">
              <w:t>Population</w:t>
            </w:r>
          </w:p>
        </w:tc>
        <w:tc>
          <w:tcPr>
            <w:tcW w:w="1211" w:type="pct"/>
            <w:tcBorders>
              <w:left w:val="nil"/>
              <w:right w:val="nil"/>
            </w:tcBorders>
            <w:vAlign w:val="center"/>
          </w:tcPr>
          <w:p w:rsidR="0048417A" w:rsidRPr="004D57B3" w:rsidRDefault="0048417A" w:rsidP="00836B55">
            <w:pPr>
              <w:pStyle w:val="TableHeading"/>
            </w:pPr>
            <w:r w:rsidRPr="004D57B3">
              <w:t>Study design</w:t>
            </w:r>
          </w:p>
        </w:tc>
        <w:tc>
          <w:tcPr>
            <w:tcW w:w="843" w:type="pct"/>
            <w:tcBorders>
              <w:left w:val="nil"/>
              <w:right w:val="nil"/>
            </w:tcBorders>
            <w:vAlign w:val="center"/>
          </w:tcPr>
          <w:p w:rsidR="0048417A" w:rsidRPr="004D57B3" w:rsidRDefault="0048417A" w:rsidP="00836B55">
            <w:pPr>
              <w:pStyle w:val="TableHeading"/>
            </w:pPr>
            <w:r w:rsidRPr="004D57B3">
              <w:t>Quality and applicability</w:t>
            </w:r>
          </w:p>
        </w:tc>
      </w:tr>
      <w:tr w:rsidR="0048417A" w:rsidRPr="004D57B3" w:rsidTr="00836B55">
        <w:trPr>
          <w:trHeight w:val="1158"/>
        </w:trPr>
        <w:tc>
          <w:tcPr>
            <w:tcW w:w="417" w:type="pct"/>
            <w:tcBorders>
              <w:left w:val="nil"/>
              <w:right w:val="nil"/>
            </w:tcBorders>
          </w:tcPr>
          <w:p w:rsidR="0048417A" w:rsidRPr="004D57B3" w:rsidRDefault="0048417A" w:rsidP="00836B55">
            <w:pPr>
              <w:pStyle w:val="TableText"/>
              <w:spacing w:after="0"/>
            </w:pPr>
            <w:proofErr w:type="spellStart"/>
            <w:r w:rsidRPr="004D57B3">
              <w:t>Figueiredo</w:t>
            </w:r>
            <w:proofErr w:type="spellEnd"/>
            <w:r w:rsidRPr="004D57B3">
              <w:t xml:space="preserve">  </w:t>
            </w:r>
          </w:p>
          <w:p w:rsidR="0048417A" w:rsidRPr="004D57B3" w:rsidRDefault="0048417A" w:rsidP="00836B55">
            <w:pPr>
              <w:pStyle w:val="TableText"/>
              <w:spacing w:after="0"/>
            </w:pPr>
            <w:r w:rsidRPr="004D57B3">
              <w:t xml:space="preserve">et al </w:t>
            </w:r>
            <w:r w:rsidRPr="004D57B3">
              <w:rPr>
                <w:noProof/>
              </w:rPr>
              <w:t>(2010)</w:t>
            </w:r>
          </w:p>
          <w:p w:rsidR="0048417A" w:rsidRPr="004D57B3" w:rsidRDefault="0048417A" w:rsidP="00836B55">
            <w:pPr>
              <w:pStyle w:val="TableText"/>
              <w:spacing w:after="0"/>
            </w:pPr>
            <w:r w:rsidRPr="004D57B3">
              <w:t>Portugal</w:t>
            </w:r>
          </w:p>
          <w:p w:rsidR="0048417A" w:rsidRPr="004D57B3" w:rsidRDefault="0048417A" w:rsidP="00836B55">
            <w:pPr>
              <w:pStyle w:val="TableText"/>
              <w:spacing w:after="0"/>
            </w:pPr>
            <w:r w:rsidRPr="004D57B3">
              <w:t>Single centre</w:t>
            </w:r>
          </w:p>
          <w:p w:rsidR="0048417A" w:rsidRPr="004D57B3" w:rsidRDefault="0048417A" w:rsidP="00836B55">
            <w:pPr>
              <w:pStyle w:val="TableText"/>
              <w:spacing w:after="0"/>
            </w:pPr>
            <w:r w:rsidRPr="004D57B3">
              <w:t>1/01</w:t>
            </w:r>
            <w:r>
              <w:t>-</w:t>
            </w:r>
            <w:r w:rsidRPr="004D57B3">
              <w:t>12/07</w:t>
            </w:r>
          </w:p>
        </w:tc>
        <w:tc>
          <w:tcPr>
            <w:tcW w:w="211" w:type="pct"/>
            <w:tcBorders>
              <w:left w:val="nil"/>
              <w:right w:val="nil"/>
            </w:tcBorders>
          </w:tcPr>
          <w:p w:rsidR="0048417A" w:rsidRPr="004D57B3" w:rsidRDefault="0048417A" w:rsidP="00836B55">
            <w:pPr>
              <w:pStyle w:val="TableText"/>
            </w:pPr>
            <w:r w:rsidRPr="004D57B3">
              <w:t>78</w:t>
            </w:r>
          </w:p>
        </w:tc>
        <w:tc>
          <w:tcPr>
            <w:tcW w:w="421" w:type="pct"/>
            <w:tcBorders>
              <w:left w:val="nil"/>
              <w:right w:val="nil"/>
            </w:tcBorders>
          </w:tcPr>
          <w:p w:rsidR="0048417A" w:rsidRPr="004D57B3" w:rsidRDefault="0048417A" w:rsidP="00836B55">
            <w:pPr>
              <w:pStyle w:val="TableText"/>
            </w:pPr>
            <w:r w:rsidRPr="004D57B3">
              <w:t>CE</w:t>
            </w:r>
          </w:p>
        </w:tc>
        <w:tc>
          <w:tcPr>
            <w:tcW w:w="1896" w:type="pct"/>
            <w:tcBorders>
              <w:left w:val="nil"/>
              <w:right w:val="nil"/>
            </w:tcBorders>
          </w:tcPr>
          <w:p w:rsidR="0048417A" w:rsidRPr="004D57B3" w:rsidRDefault="0048417A" w:rsidP="00836B55">
            <w:pPr>
              <w:pStyle w:val="TableText"/>
              <w:numPr>
                <w:ilvl w:val="0"/>
                <w:numId w:val="16"/>
              </w:numPr>
            </w:pPr>
            <w:r w:rsidRPr="004D57B3">
              <w:t>Patients with clinically suspected CD</w:t>
            </w:r>
          </w:p>
          <w:p w:rsidR="0048417A" w:rsidRPr="004D57B3" w:rsidRDefault="0048417A" w:rsidP="00836B55">
            <w:pPr>
              <w:pStyle w:val="TableText"/>
              <w:numPr>
                <w:ilvl w:val="0"/>
                <w:numId w:val="16"/>
              </w:numPr>
            </w:pPr>
            <w:r w:rsidRPr="004D57B3">
              <w:t>Mean age 37 years, 68% female</w:t>
            </w:r>
          </w:p>
          <w:p w:rsidR="0048417A" w:rsidRPr="004D57B3" w:rsidRDefault="0048417A" w:rsidP="00836B55">
            <w:pPr>
              <w:pStyle w:val="TableText"/>
              <w:numPr>
                <w:ilvl w:val="0"/>
                <w:numId w:val="16"/>
              </w:numPr>
              <w:rPr>
                <w:b/>
              </w:rPr>
            </w:pPr>
            <w:r w:rsidRPr="004D57B3">
              <w:rPr>
                <w:b/>
              </w:rPr>
              <w:t xml:space="preserve">Prior tests: </w:t>
            </w:r>
            <w:r w:rsidRPr="004D57B3">
              <w:t xml:space="preserve">C+IL (either negative for CD or failed </w:t>
            </w:r>
            <w:proofErr w:type="spellStart"/>
            <w:r w:rsidRPr="004D57B3">
              <w:t>ileoscopy</w:t>
            </w:r>
            <w:proofErr w:type="spellEnd"/>
            <w:r w:rsidRPr="004D57B3">
              <w:t xml:space="preserve">), blood tests, some patients had  SBFT, CT or </w:t>
            </w:r>
            <w:proofErr w:type="spellStart"/>
            <w:r w:rsidRPr="004D57B3">
              <w:t>enteroclysis</w:t>
            </w:r>
            <w:proofErr w:type="spellEnd"/>
          </w:p>
        </w:tc>
        <w:tc>
          <w:tcPr>
            <w:tcW w:w="1211" w:type="pct"/>
            <w:tcBorders>
              <w:left w:val="nil"/>
              <w:right w:val="nil"/>
            </w:tcBorders>
          </w:tcPr>
          <w:p w:rsidR="0048417A" w:rsidRPr="004D57B3" w:rsidRDefault="0048417A" w:rsidP="00836B55">
            <w:pPr>
              <w:pStyle w:val="TableText"/>
              <w:spacing w:before="0" w:after="0"/>
            </w:pPr>
            <w:r w:rsidRPr="004D57B3">
              <w:rPr>
                <w:b/>
              </w:rPr>
              <w:t>Study design:</w:t>
            </w:r>
            <w:r w:rsidRPr="004D57B3">
              <w:t xml:space="preserve">  Retrospective </w:t>
            </w:r>
          </w:p>
          <w:p w:rsidR="0048417A" w:rsidRPr="004D57B3" w:rsidRDefault="0048417A" w:rsidP="00836B55">
            <w:pPr>
              <w:pStyle w:val="TableText"/>
              <w:rPr>
                <w:b/>
              </w:rPr>
            </w:pPr>
            <w:r w:rsidRPr="004D57B3">
              <w:rPr>
                <w:b/>
              </w:rPr>
              <w:t xml:space="preserve">Reference standard: </w:t>
            </w:r>
            <w:r w:rsidRPr="004D57B3">
              <w:t>Diagnosis at follow</w:t>
            </w:r>
            <w:r>
              <w:t>-</w:t>
            </w:r>
            <w:r w:rsidRPr="004D57B3">
              <w:t>up.</w:t>
            </w:r>
          </w:p>
          <w:p w:rsidR="0048417A" w:rsidRPr="004D57B3" w:rsidRDefault="0048417A" w:rsidP="00836B55">
            <w:pPr>
              <w:pStyle w:val="TableText"/>
              <w:rPr>
                <w:b/>
              </w:rPr>
            </w:pPr>
            <w:r w:rsidRPr="004D57B3">
              <w:rPr>
                <w:b/>
              </w:rPr>
              <w:t>Outcomes:</w:t>
            </w:r>
            <w:r w:rsidRPr="004D57B3">
              <w:t xml:space="preserve"> Accuracy,  diagnostic yield, safety </w:t>
            </w:r>
          </w:p>
        </w:tc>
        <w:tc>
          <w:tcPr>
            <w:tcW w:w="843" w:type="pct"/>
            <w:tcBorders>
              <w:left w:val="nil"/>
              <w:right w:val="nil"/>
            </w:tcBorders>
          </w:tcPr>
          <w:p w:rsidR="0048417A" w:rsidRPr="004D57B3" w:rsidRDefault="0048417A" w:rsidP="00836B55">
            <w:pPr>
              <w:pStyle w:val="TableText"/>
            </w:pPr>
            <w:r w:rsidRPr="004D57B3">
              <w:t>NHMRC level of evidence: III-2</w:t>
            </w:r>
          </w:p>
          <w:p w:rsidR="0048417A" w:rsidRPr="004D57B3" w:rsidRDefault="0048417A" w:rsidP="00836B55">
            <w:pPr>
              <w:pStyle w:val="TableText"/>
            </w:pPr>
            <w:r w:rsidRPr="004D57B3">
              <w:t>Comparison: CX</w:t>
            </w:r>
            <w:r w:rsidRPr="004D57B3">
              <w:rPr>
                <w:b/>
              </w:rPr>
              <w:t>:</w:t>
            </w:r>
            <w:r w:rsidRPr="004D57B3">
              <w:t xml:space="preserve">  ET</w:t>
            </w:r>
          </w:p>
          <w:p w:rsidR="0048417A" w:rsidRPr="004D57B3" w:rsidRDefault="0048417A" w:rsidP="00836B55">
            <w:pPr>
              <w:pStyle w:val="TableText"/>
            </w:pPr>
            <w:r w:rsidRPr="004D57B3">
              <w:t>Applicability: P2</w:t>
            </w:r>
          </w:p>
          <w:p w:rsidR="0048417A" w:rsidRPr="004D57B3" w:rsidRDefault="0048417A" w:rsidP="00836B55">
            <w:pPr>
              <w:pStyle w:val="TableText"/>
            </w:pPr>
            <w:r w:rsidRPr="004D57B3">
              <w:t>Quality: POOR</w:t>
            </w:r>
          </w:p>
        </w:tc>
      </w:tr>
      <w:tr w:rsidR="0048417A" w:rsidRPr="004D57B3" w:rsidTr="00836B55">
        <w:trPr>
          <w:trHeight w:val="1441"/>
        </w:trPr>
        <w:tc>
          <w:tcPr>
            <w:tcW w:w="417" w:type="pct"/>
            <w:tcBorders>
              <w:left w:val="nil"/>
              <w:right w:val="nil"/>
            </w:tcBorders>
          </w:tcPr>
          <w:p w:rsidR="0048417A" w:rsidRPr="004D57B3" w:rsidRDefault="0048417A" w:rsidP="00836B55">
            <w:pPr>
              <w:pStyle w:val="TableText"/>
              <w:spacing w:after="0"/>
            </w:pPr>
            <w:r w:rsidRPr="004D57B3">
              <w:t xml:space="preserve">Albert et al </w:t>
            </w:r>
            <w:r w:rsidRPr="004D57B3">
              <w:rPr>
                <w:noProof/>
              </w:rPr>
              <w:t>(2005)</w:t>
            </w:r>
          </w:p>
          <w:p w:rsidR="0048417A" w:rsidRPr="004D57B3" w:rsidRDefault="0048417A" w:rsidP="00836B55">
            <w:pPr>
              <w:pStyle w:val="TableText"/>
              <w:spacing w:after="0"/>
            </w:pPr>
            <w:r w:rsidRPr="004D57B3">
              <w:t>Germany</w:t>
            </w:r>
          </w:p>
          <w:p w:rsidR="0048417A" w:rsidRPr="004D57B3" w:rsidRDefault="0048417A" w:rsidP="00836B55">
            <w:pPr>
              <w:pStyle w:val="TableText"/>
              <w:spacing w:after="0"/>
            </w:pPr>
            <w:r w:rsidRPr="004D57B3">
              <w:t>Single centre</w:t>
            </w:r>
          </w:p>
          <w:p w:rsidR="0048417A" w:rsidRPr="004D57B3" w:rsidRDefault="0048417A" w:rsidP="00836B55">
            <w:pPr>
              <w:pStyle w:val="TableText"/>
              <w:spacing w:after="0"/>
            </w:pPr>
            <w:r w:rsidRPr="004D57B3">
              <w:t>5/02</w:t>
            </w:r>
            <w:r>
              <w:t>-</w:t>
            </w:r>
            <w:r w:rsidRPr="004D57B3">
              <w:t>12/03</w:t>
            </w:r>
          </w:p>
        </w:tc>
        <w:tc>
          <w:tcPr>
            <w:tcW w:w="211" w:type="pct"/>
            <w:tcBorders>
              <w:left w:val="nil"/>
              <w:right w:val="nil"/>
            </w:tcBorders>
          </w:tcPr>
          <w:p w:rsidR="0048417A" w:rsidRPr="004D57B3" w:rsidRDefault="0048417A" w:rsidP="00836B55">
            <w:pPr>
              <w:pStyle w:val="TableText"/>
            </w:pPr>
            <w:r w:rsidRPr="004D57B3">
              <w:t>25</w:t>
            </w:r>
          </w:p>
        </w:tc>
        <w:tc>
          <w:tcPr>
            <w:tcW w:w="421" w:type="pct"/>
            <w:tcBorders>
              <w:left w:val="nil"/>
              <w:right w:val="nil"/>
            </w:tcBorders>
          </w:tcPr>
          <w:p w:rsidR="0048417A" w:rsidRPr="004D57B3" w:rsidRDefault="0048417A" w:rsidP="00836B55">
            <w:pPr>
              <w:pStyle w:val="TableText"/>
            </w:pPr>
            <w:r w:rsidRPr="004D57B3">
              <w:t>CE</w:t>
            </w:r>
          </w:p>
          <w:p w:rsidR="0048417A" w:rsidRPr="004D57B3" w:rsidRDefault="0048417A" w:rsidP="00836B55">
            <w:pPr>
              <w:pStyle w:val="TableText"/>
            </w:pPr>
            <w:r w:rsidRPr="004D57B3">
              <w:t>compared with</w:t>
            </w:r>
          </w:p>
          <w:p w:rsidR="0048417A" w:rsidRPr="004D57B3" w:rsidRDefault="0048417A" w:rsidP="00836B55">
            <w:pPr>
              <w:pStyle w:val="TableText"/>
            </w:pPr>
            <w:r w:rsidRPr="004D57B3">
              <w:t>MRI and</w:t>
            </w:r>
          </w:p>
          <w:p w:rsidR="0048417A" w:rsidRPr="004D57B3" w:rsidRDefault="0048417A" w:rsidP="00836B55">
            <w:pPr>
              <w:pStyle w:val="TableText"/>
            </w:pPr>
            <w:r w:rsidRPr="004D57B3">
              <w:t>SBE</w:t>
            </w:r>
          </w:p>
        </w:tc>
        <w:tc>
          <w:tcPr>
            <w:tcW w:w="1896" w:type="pct"/>
            <w:tcBorders>
              <w:left w:val="nil"/>
              <w:right w:val="nil"/>
            </w:tcBorders>
          </w:tcPr>
          <w:p w:rsidR="0048417A" w:rsidRPr="004D57B3" w:rsidRDefault="0048417A" w:rsidP="00836B55">
            <w:pPr>
              <w:pStyle w:val="TableText"/>
              <w:numPr>
                <w:ilvl w:val="0"/>
                <w:numId w:val="16"/>
              </w:numPr>
            </w:pPr>
            <w:r w:rsidRPr="004D57B3">
              <w:t>Patients with newly suspected CD  in which the work-up did not establish a diagnosis other than CD</w:t>
            </w:r>
          </w:p>
          <w:p w:rsidR="0048417A" w:rsidRPr="004D57B3" w:rsidRDefault="0048417A" w:rsidP="00836B55">
            <w:pPr>
              <w:pStyle w:val="TableText"/>
              <w:numPr>
                <w:ilvl w:val="0"/>
                <w:numId w:val="16"/>
              </w:numPr>
            </w:pPr>
            <w:r w:rsidRPr="004D57B3">
              <w:t>Mean age 37 years (m) or 40 years (f), 75% female</w:t>
            </w:r>
          </w:p>
          <w:p w:rsidR="0048417A" w:rsidRPr="004D57B3" w:rsidRDefault="0048417A" w:rsidP="00836B55">
            <w:pPr>
              <w:pStyle w:val="TableText"/>
              <w:numPr>
                <w:ilvl w:val="0"/>
                <w:numId w:val="16"/>
              </w:numPr>
              <w:rPr>
                <w:b/>
              </w:rPr>
            </w:pPr>
            <w:r w:rsidRPr="004D57B3">
              <w:rPr>
                <w:b/>
              </w:rPr>
              <w:t xml:space="preserve">Prior tests: </w:t>
            </w:r>
            <w:r w:rsidRPr="004D57B3">
              <w:t>AU, E, C+IL, MS, UE (not necessarily negative for CD)</w:t>
            </w:r>
          </w:p>
        </w:tc>
        <w:tc>
          <w:tcPr>
            <w:tcW w:w="1211" w:type="pct"/>
            <w:tcBorders>
              <w:left w:val="nil"/>
              <w:right w:val="nil"/>
            </w:tcBorders>
          </w:tcPr>
          <w:p w:rsidR="0048417A" w:rsidRPr="004D57B3" w:rsidRDefault="0048417A" w:rsidP="00836B55">
            <w:pPr>
              <w:pStyle w:val="TableText"/>
            </w:pPr>
            <w:r w:rsidRPr="004D57B3">
              <w:rPr>
                <w:b/>
              </w:rPr>
              <w:t xml:space="preserve">Study design: </w:t>
            </w:r>
            <w:r w:rsidRPr="004D57B3">
              <w:t xml:space="preserve">Prospective, consecutive </w:t>
            </w:r>
          </w:p>
          <w:p w:rsidR="0048417A" w:rsidRPr="004D57B3" w:rsidRDefault="0048417A" w:rsidP="00836B55">
            <w:pPr>
              <w:pStyle w:val="TableText"/>
              <w:rPr>
                <w:b/>
              </w:rPr>
            </w:pPr>
            <w:r w:rsidRPr="004D57B3">
              <w:rPr>
                <w:b/>
              </w:rPr>
              <w:t xml:space="preserve">Reference standard: </w:t>
            </w:r>
            <w:r w:rsidRPr="004D57B3">
              <w:t>Combined diagnostic endpoint of all imaging methods and diagnosis at follow</w:t>
            </w:r>
            <w:r>
              <w:t>-</w:t>
            </w:r>
            <w:r w:rsidRPr="004D57B3">
              <w:t>up</w:t>
            </w:r>
          </w:p>
          <w:p w:rsidR="0048417A" w:rsidRPr="004D57B3" w:rsidRDefault="0048417A" w:rsidP="00836B55">
            <w:pPr>
              <w:pStyle w:val="TableText"/>
            </w:pPr>
            <w:r w:rsidRPr="004D57B3">
              <w:rPr>
                <w:b/>
              </w:rPr>
              <w:t xml:space="preserve">Outcomes: </w:t>
            </w:r>
            <w:r w:rsidRPr="004D57B3">
              <w:t>Accuracy,  diagnostic yield, safety</w:t>
            </w:r>
          </w:p>
        </w:tc>
        <w:tc>
          <w:tcPr>
            <w:tcW w:w="843" w:type="pct"/>
            <w:tcBorders>
              <w:left w:val="nil"/>
              <w:right w:val="nil"/>
            </w:tcBorders>
          </w:tcPr>
          <w:p w:rsidR="0048417A" w:rsidRPr="004D57B3" w:rsidRDefault="0048417A" w:rsidP="00836B55">
            <w:pPr>
              <w:pStyle w:val="TableText"/>
            </w:pPr>
            <w:r w:rsidRPr="004D57B3">
              <w:t>NHMRC level of evidence: III-2</w:t>
            </w:r>
          </w:p>
          <w:p w:rsidR="0048417A" w:rsidRPr="004D57B3" w:rsidRDefault="0048417A" w:rsidP="00836B55">
            <w:pPr>
              <w:pStyle w:val="TableText"/>
            </w:pPr>
            <w:r w:rsidRPr="004D57B3">
              <w:t>Comparison: C1: MRI, CX: ET</w:t>
            </w:r>
          </w:p>
          <w:p w:rsidR="0048417A" w:rsidRPr="004D57B3" w:rsidRDefault="0048417A" w:rsidP="00836B55">
            <w:pPr>
              <w:pStyle w:val="TableText"/>
            </w:pPr>
            <w:r w:rsidRPr="004D57B3">
              <w:t>Applicability: P2</w:t>
            </w:r>
          </w:p>
          <w:p w:rsidR="0048417A" w:rsidRPr="004D57B3" w:rsidRDefault="0048417A" w:rsidP="00836B55">
            <w:pPr>
              <w:pStyle w:val="TableText"/>
            </w:pPr>
            <w:r w:rsidRPr="004D57B3">
              <w:t>Quality: POOR</w:t>
            </w:r>
          </w:p>
          <w:p w:rsidR="0048417A" w:rsidRPr="004D57B3" w:rsidRDefault="0048417A" w:rsidP="00836B55">
            <w:pPr>
              <w:pStyle w:val="TableText"/>
            </w:pPr>
          </w:p>
        </w:tc>
      </w:tr>
      <w:tr w:rsidR="0048417A" w:rsidRPr="004D57B3" w:rsidTr="00836B55">
        <w:trPr>
          <w:trHeight w:val="1419"/>
        </w:trPr>
        <w:tc>
          <w:tcPr>
            <w:tcW w:w="417" w:type="pct"/>
            <w:tcBorders>
              <w:left w:val="nil"/>
              <w:right w:val="nil"/>
            </w:tcBorders>
          </w:tcPr>
          <w:p w:rsidR="0048417A" w:rsidRPr="004D57B3" w:rsidRDefault="0048417A" w:rsidP="00836B55">
            <w:pPr>
              <w:pStyle w:val="TableText"/>
              <w:spacing w:after="0"/>
            </w:pPr>
            <w:proofErr w:type="spellStart"/>
            <w:r w:rsidRPr="004D57B3">
              <w:t>Casciani</w:t>
            </w:r>
            <w:proofErr w:type="spellEnd"/>
            <w:r w:rsidRPr="004D57B3">
              <w:t xml:space="preserve"> et al </w:t>
            </w:r>
            <w:r>
              <w:rPr>
                <w:noProof/>
              </w:rPr>
              <w:t>(2011)</w:t>
            </w:r>
          </w:p>
          <w:p w:rsidR="0048417A" w:rsidRPr="004D57B3" w:rsidRDefault="0048417A" w:rsidP="00836B55">
            <w:pPr>
              <w:pStyle w:val="TableText"/>
              <w:spacing w:after="0"/>
            </w:pPr>
            <w:r w:rsidRPr="004D57B3">
              <w:t>Italy</w:t>
            </w:r>
          </w:p>
          <w:p w:rsidR="0048417A" w:rsidRPr="004D57B3" w:rsidRDefault="0048417A" w:rsidP="00836B55">
            <w:pPr>
              <w:pStyle w:val="TableText"/>
              <w:spacing w:after="0"/>
            </w:pPr>
            <w:r w:rsidRPr="004D57B3">
              <w:t>Single centre</w:t>
            </w:r>
          </w:p>
          <w:p w:rsidR="0048417A" w:rsidRPr="004D57B3" w:rsidRDefault="0048417A" w:rsidP="00836B55">
            <w:pPr>
              <w:pStyle w:val="TableText"/>
              <w:spacing w:after="0"/>
            </w:pPr>
            <w:r w:rsidRPr="004D57B3">
              <w:t>1/09</w:t>
            </w:r>
            <w:r>
              <w:t>-</w:t>
            </w:r>
            <w:r w:rsidRPr="004D57B3">
              <w:t>12/09</w:t>
            </w:r>
          </w:p>
        </w:tc>
        <w:tc>
          <w:tcPr>
            <w:tcW w:w="211" w:type="pct"/>
            <w:tcBorders>
              <w:left w:val="nil"/>
              <w:right w:val="nil"/>
            </w:tcBorders>
          </w:tcPr>
          <w:p w:rsidR="0048417A" w:rsidRPr="004D57B3" w:rsidRDefault="0048417A" w:rsidP="00836B55">
            <w:pPr>
              <w:pStyle w:val="TableText"/>
            </w:pPr>
            <w:r w:rsidRPr="004D57B3">
              <w:t>60</w:t>
            </w:r>
          </w:p>
        </w:tc>
        <w:tc>
          <w:tcPr>
            <w:tcW w:w="421" w:type="pct"/>
            <w:tcBorders>
              <w:left w:val="nil"/>
              <w:right w:val="nil"/>
            </w:tcBorders>
          </w:tcPr>
          <w:p w:rsidR="0048417A" w:rsidRPr="004D57B3" w:rsidRDefault="0048417A" w:rsidP="00836B55">
            <w:pPr>
              <w:pStyle w:val="TableText"/>
            </w:pPr>
            <w:r w:rsidRPr="004D57B3">
              <w:t xml:space="preserve">CE </w:t>
            </w:r>
          </w:p>
          <w:p w:rsidR="0048417A" w:rsidRPr="004D57B3" w:rsidRDefault="0048417A" w:rsidP="00836B55">
            <w:pPr>
              <w:pStyle w:val="TableText"/>
            </w:pPr>
            <w:r w:rsidRPr="004D57B3">
              <w:t xml:space="preserve">compared with </w:t>
            </w:r>
          </w:p>
          <w:p w:rsidR="0048417A" w:rsidRPr="004D57B3" w:rsidRDefault="0048417A" w:rsidP="00836B55">
            <w:pPr>
              <w:pStyle w:val="TableText"/>
            </w:pPr>
            <w:r w:rsidRPr="004D57B3">
              <w:t>MRE</w:t>
            </w:r>
          </w:p>
        </w:tc>
        <w:tc>
          <w:tcPr>
            <w:tcW w:w="1896" w:type="pct"/>
            <w:tcBorders>
              <w:left w:val="nil"/>
              <w:right w:val="nil"/>
            </w:tcBorders>
          </w:tcPr>
          <w:p w:rsidR="0048417A" w:rsidRPr="004D57B3" w:rsidRDefault="0048417A" w:rsidP="00836B55">
            <w:pPr>
              <w:pStyle w:val="TableText"/>
              <w:numPr>
                <w:ilvl w:val="0"/>
                <w:numId w:val="16"/>
              </w:numPr>
            </w:pPr>
            <w:r w:rsidRPr="004D57B3">
              <w:t>Paediatric patients with suspected CD (≥1 symptom and one biochemical sign of systemic inflammation)</w:t>
            </w:r>
          </w:p>
          <w:p w:rsidR="0048417A" w:rsidRPr="004D57B3" w:rsidRDefault="0048417A" w:rsidP="00836B55">
            <w:pPr>
              <w:pStyle w:val="TableText"/>
              <w:numPr>
                <w:ilvl w:val="0"/>
                <w:numId w:val="16"/>
              </w:numPr>
            </w:pPr>
            <w:r w:rsidRPr="004D57B3">
              <w:t>Mean age 14 years, 40% female</w:t>
            </w:r>
          </w:p>
          <w:p w:rsidR="0048417A" w:rsidRPr="004D57B3" w:rsidRDefault="0048417A" w:rsidP="00836B55">
            <w:pPr>
              <w:pStyle w:val="TableText"/>
              <w:numPr>
                <w:ilvl w:val="0"/>
                <w:numId w:val="16"/>
              </w:numPr>
              <w:rPr>
                <w:b/>
              </w:rPr>
            </w:pPr>
            <w:r w:rsidRPr="004D57B3">
              <w:rPr>
                <w:b/>
              </w:rPr>
              <w:t xml:space="preserve">Prior tests: </w:t>
            </w:r>
            <w:r w:rsidRPr="004D57B3">
              <w:t>C+IL (not necessarily negative for CD), EGD, +</w:t>
            </w:r>
            <w:proofErr w:type="spellStart"/>
            <w:r w:rsidRPr="004D57B3">
              <w:t>ve</w:t>
            </w:r>
            <w:proofErr w:type="spellEnd"/>
            <w:r w:rsidRPr="004D57B3">
              <w:t xml:space="preserve"> blood tests or inflammatory markers</w:t>
            </w:r>
          </w:p>
        </w:tc>
        <w:tc>
          <w:tcPr>
            <w:tcW w:w="1211" w:type="pct"/>
            <w:tcBorders>
              <w:left w:val="nil"/>
              <w:right w:val="nil"/>
            </w:tcBorders>
          </w:tcPr>
          <w:p w:rsidR="0048417A" w:rsidRPr="004D57B3" w:rsidRDefault="0048417A" w:rsidP="00836B55">
            <w:pPr>
              <w:pStyle w:val="TableText"/>
            </w:pPr>
            <w:r w:rsidRPr="004D57B3">
              <w:rPr>
                <w:b/>
              </w:rPr>
              <w:t>Study design:</w:t>
            </w:r>
            <w:r w:rsidRPr="004D57B3">
              <w:t xml:space="preserve"> Prospective, consecutive </w:t>
            </w:r>
          </w:p>
          <w:p w:rsidR="0048417A" w:rsidRPr="004D57B3" w:rsidRDefault="0048417A" w:rsidP="00836B55">
            <w:pPr>
              <w:pStyle w:val="TableText"/>
              <w:rPr>
                <w:b/>
              </w:rPr>
            </w:pPr>
            <w:r w:rsidRPr="004D57B3">
              <w:rPr>
                <w:b/>
              </w:rPr>
              <w:t xml:space="preserve">Reference standard: </w:t>
            </w:r>
            <w:r w:rsidRPr="004D57B3">
              <w:t>Diagnosis at follow</w:t>
            </w:r>
            <w:r>
              <w:t>-</w:t>
            </w:r>
            <w:r w:rsidRPr="004D57B3">
              <w:t>up</w:t>
            </w:r>
          </w:p>
          <w:p w:rsidR="0048417A" w:rsidRPr="004D57B3" w:rsidRDefault="0048417A" w:rsidP="00836B55">
            <w:pPr>
              <w:pStyle w:val="TableText"/>
            </w:pPr>
            <w:r w:rsidRPr="004D57B3">
              <w:rPr>
                <w:b/>
              </w:rPr>
              <w:t xml:space="preserve">Outcomes: </w:t>
            </w:r>
            <w:r w:rsidRPr="004D57B3">
              <w:t>Accuracy, diagnostic yield, complete CE/capsule reached the caecum, capsule reached the distal ileum.</w:t>
            </w:r>
            <w:r w:rsidRPr="004D57B3">
              <w:rPr>
                <w:b/>
              </w:rPr>
              <w:t xml:space="preserve"> </w:t>
            </w:r>
          </w:p>
        </w:tc>
        <w:tc>
          <w:tcPr>
            <w:tcW w:w="843" w:type="pct"/>
            <w:tcBorders>
              <w:left w:val="nil"/>
              <w:right w:val="nil"/>
            </w:tcBorders>
          </w:tcPr>
          <w:p w:rsidR="0048417A" w:rsidRPr="004D57B3" w:rsidRDefault="0048417A" w:rsidP="00836B55">
            <w:pPr>
              <w:pStyle w:val="TableText"/>
            </w:pPr>
            <w:r w:rsidRPr="004D57B3">
              <w:t>NHMRC level of evidence: III-2</w:t>
            </w:r>
          </w:p>
          <w:p w:rsidR="0048417A" w:rsidRPr="004D57B3" w:rsidRDefault="0048417A" w:rsidP="00836B55">
            <w:pPr>
              <w:pStyle w:val="TableText"/>
            </w:pPr>
            <w:r w:rsidRPr="004D57B3">
              <w:t>Comparison: C1: MRE, CX: ET</w:t>
            </w:r>
          </w:p>
          <w:p w:rsidR="0048417A" w:rsidRPr="004D57B3" w:rsidRDefault="0048417A" w:rsidP="00836B55">
            <w:pPr>
              <w:pStyle w:val="TableText"/>
            </w:pPr>
            <w:r w:rsidRPr="004D57B3">
              <w:t>Applicability: P2</w:t>
            </w:r>
          </w:p>
          <w:p w:rsidR="0048417A" w:rsidRPr="004D57B3" w:rsidRDefault="0048417A" w:rsidP="00836B55">
            <w:pPr>
              <w:pStyle w:val="TableText"/>
            </w:pPr>
            <w:r w:rsidRPr="004D57B3">
              <w:t>Quality: FAIR</w:t>
            </w:r>
          </w:p>
        </w:tc>
      </w:tr>
      <w:tr w:rsidR="0048417A" w:rsidRPr="004D57B3" w:rsidTr="00836B55">
        <w:trPr>
          <w:trHeight w:val="903"/>
        </w:trPr>
        <w:tc>
          <w:tcPr>
            <w:tcW w:w="417" w:type="pct"/>
            <w:tcBorders>
              <w:left w:val="nil"/>
              <w:right w:val="nil"/>
            </w:tcBorders>
          </w:tcPr>
          <w:p w:rsidR="0048417A" w:rsidRPr="004D57B3" w:rsidRDefault="0048417A" w:rsidP="00836B55">
            <w:pPr>
              <w:pStyle w:val="TableText"/>
              <w:spacing w:after="0"/>
            </w:pPr>
            <w:proofErr w:type="spellStart"/>
            <w:r w:rsidRPr="004D57B3">
              <w:t>Girelli</w:t>
            </w:r>
            <w:proofErr w:type="spellEnd"/>
            <w:r w:rsidRPr="004D57B3">
              <w:t xml:space="preserve"> et al </w:t>
            </w:r>
            <w:r w:rsidRPr="004D57B3">
              <w:rPr>
                <w:noProof/>
              </w:rPr>
              <w:t>(2007)</w:t>
            </w:r>
          </w:p>
          <w:p w:rsidR="0048417A" w:rsidRPr="004D57B3" w:rsidRDefault="0048417A" w:rsidP="00836B55">
            <w:pPr>
              <w:pStyle w:val="TableText"/>
              <w:spacing w:after="0"/>
            </w:pPr>
            <w:r w:rsidRPr="004D57B3">
              <w:t>Italy</w:t>
            </w:r>
          </w:p>
          <w:p w:rsidR="0048417A" w:rsidRPr="004D57B3" w:rsidRDefault="0048417A" w:rsidP="00836B55">
            <w:pPr>
              <w:pStyle w:val="TableText"/>
              <w:spacing w:after="0"/>
            </w:pPr>
            <w:r w:rsidRPr="004D57B3">
              <w:t>Single centre</w:t>
            </w:r>
          </w:p>
          <w:p w:rsidR="0048417A" w:rsidRPr="004D57B3" w:rsidRDefault="0048417A" w:rsidP="00836B55">
            <w:pPr>
              <w:pStyle w:val="TableText"/>
              <w:spacing w:after="0"/>
            </w:pPr>
            <w:r w:rsidRPr="004D57B3">
              <w:t>4/02</w:t>
            </w:r>
            <w:r>
              <w:t>-</w:t>
            </w:r>
            <w:r w:rsidRPr="004D57B3">
              <w:t>3/05</w:t>
            </w:r>
          </w:p>
          <w:p w:rsidR="0048417A" w:rsidRPr="004D57B3" w:rsidRDefault="0048417A" w:rsidP="00836B55">
            <w:pPr>
              <w:pStyle w:val="TableText"/>
              <w:spacing w:after="0"/>
            </w:pPr>
          </w:p>
        </w:tc>
        <w:tc>
          <w:tcPr>
            <w:tcW w:w="211" w:type="pct"/>
            <w:tcBorders>
              <w:left w:val="nil"/>
              <w:right w:val="nil"/>
            </w:tcBorders>
          </w:tcPr>
          <w:p w:rsidR="0048417A" w:rsidRPr="004D57B3" w:rsidRDefault="0048417A" w:rsidP="00836B55">
            <w:pPr>
              <w:pStyle w:val="TableText"/>
            </w:pPr>
            <w:r w:rsidRPr="004D57B3">
              <w:t>27</w:t>
            </w:r>
          </w:p>
        </w:tc>
        <w:tc>
          <w:tcPr>
            <w:tcW w:w="421" w:type="pct"/>
            <w:tcBorders>
              <w:left w:val="nil"/>
              <w:right w:val="nil"/>
            </w:tcBorders>
          </w:tcPr>
          <w:p w:rsidR="0048417A" w:rsidRPr="004D57B3" w:rsidRDefault="0048417A" w:rsidP="00836B55">
            <w:pPr>
              <w:pStyle w:val="TableText"/>
            </w:pPr>
            <w:r w:rsidRPr="004D57B3">
              <w:t>CE</w:t>
            </w:r>
          </w:p>
        </w:tc>
        <w:tc>
          <w:tcPr>
            <w:tcW w:w="1896" w:type="pct"/>
            <w:tcBorders>
              <w:left w:val="nil"/>
              <w:right w:val="nil"/>
            </w:tcBorders>
          </w:tcPr>
          <w:p w:rsidR="0048417A" w:rsidRPr="004D57B3" w:rsidRDefault="0048417A" w:rsidP="00836B55">
            <w:pPr>
              <w:pStyle w:val="TableText"/>
              <w:numPr>
                <w:ilvl w:val="0"/>
                <w:numId w:val="16"/>
              </w:numPr>
            </w:pPr>
            <w:r w:rsidRPr="004D57B3">
              <w:t>Patients with suspected small bowel CD referred for symptoms (continuous or recurrent abdominal pain, diarrhoea ≥ 3 months plus extra symptom/s)</w:t>
            </w:r>
          </w:p>
          <w:p w:rsidR="0048417A" w:rsidRPr="004D57B3" w:rsidRDefault="0048417A" w:rsidP="00836B55">
            <w:pPr>
              <w:pStyle w:val="TableText"/>
              <w:numPr>
                <w:ilvl w:val="0"/>
                <w:numId w:val="16"/>
              </w:numPr>
            </w:pPr>
            <w:r w:rsidRPr="004D57B3">
              <w:t>Mean age 40 years, 48% female</w:t>
            </w:r>
          </w:p>
          <w:p w:rsidR="0048417A" w:rsidRPr="004D57B3" w:rsidRDefault="0048417A" w:rsidP="00836B55">
            <w:pPr>
              <w:pStyle w:val="TableText"/>
              <w:numPr>
                <w:ilvl w:val="0"/>
                <w:numId w:val="16"/>
              </w:numPr>
            </w:pPr>
            <w:r w:rsidRPr="004D57B3">
              <w:rPr>
                <w:b/>
              </w:rPr>
              <w:t xml:space="preserve">Prior tests: </w:t>
            </w:r>
            <w:r w:rsidRPr="004D57B3">
              <w:t>Colonoscopy up to the caecum, stool cultures, blood tests, SBS/AU/CT (diagnosis of  CD either unconfirmed or equivocal for all tests)</w:t>
            </w:r>
            <w:r w:rsidRPr="004D57B3">
              <w:rPr>
                <w:b/>
              </w:rPr>
              <w:t xml:space="preserve"> </w:t>
            </w:r>
          </w:p>
        </w:tc>
        <w:tc>
          <w:tcPr>
            <w:tcW w:w="1211" w:type="pct"/>
            <w:tcBorders>
              <w:left w:val="nil"/>
              <w:right w:val="nil"/>
            </w:tcBorders>
          </w:tcPr>
          <w:p w:rsidR="0048417A" w:rsidRPr="004D57B3" w:rsidRDefault="0048417A" w:rsidP="00836B55">
            <w:pPr>
              <w:pStyle w:val="TableText"/>
            </w:pPr>
            <w:r w:rsidRPr="004D57B3">
              <w:rPr>
                <w:b/>
              </w:rPr>
              <w:t xml:space="preserve">Study design: </w:t>
            </w:r>
            <w:r w:rsidRPr="004D57B3">
              <w:t xml:space="preserve">Prospective, consecutive </w:t>
            </w:r>
          </w:p>
          <w:p w:rsidR="0048417A" w:rsidRPr="004D57B3" w:rsidRDefault="0048417A" w:rsidP="00836B55">
            <w:pPr>
              <w:pStyle w:val="TableText"/>
            </w:pPr>
            <w:r w:rsidRPr="004D57B3">
              <w:rPr>
                <w:b/>
              </w:rPr>
              <w:t xml:space="preserve">Reference standard: </w:t>
            </w:r>
            <w:r w:rsidRPr="004D57B3">
              <w:t xml:space="preserve">Final diagnosis at LTFU </w:t>
            </w:r>
          </w:p>
          <w:p w:rsidR="0048417A" w:rsidRPr="004D57B3" w:rsidRDefault="0048417A" w:rsidP="00836B55">
            <w:pPr>
              <w:pStyle w:val="TableText"/>
            </w:pPr>
            <w:r w:rsidRPr="004D57B3">
              <w:rPr>
                <w:b/>
              </w:rPr>
              <w:t xml:space="preserve">Outcomes: </w:t>
            </w:r>
            <w:r w:rsidRPr="004D57B3">
              <w:t>Accuracy, diagnostic yield, failure to reach caecum, surgical retention/therapy following capsule retention</w:t>
            </w:r>
          </w:p>
        </w:tc>
        <w:tc>
          <w:tcPr>
            <w:tcW w:w="843" w:type="pct"/>
            <w:tcBorders>
              <w:left w:val="nil"/>
              <w:right w:val="nil"/>
            </w:tcBorders>
          </w:tcPr>
          <w:p w:rsidR="0048417A" w:rsidRPr="004D57B3" w:rsidRDefault="0048417A" w:rsidP="00836B55">
            <w:pPr>
              <w:pStyle w:val="TableText"/>
            </w:pPr>
            <w:r w:rsidRPr="004D57B3">
              <w:t>NHMRC level of evidence: III-2</w:t>
            </w:r>
          </w:p>
          <w:p w:rsidR="0048417A" w:rsidRPr="004D57B3" w:rsidRDefault="0048417A" w:rsidP="00836B55">
            <w:pPr>
              <w:pStyle w:val="TableText"/>
            </w:pPr>
            <w:r w:rsidRPr="004D57B3">
              <w:t>Comparison: CX: ET</w:t>
            </w:r>
          </w:p>
          <w:p w:rsidR="0048417A" w:rsidRPr="004D57B3" w:rsidRDefault="0048417A" w:rsidP="00836B55">
            <w:pPr>
              <w:pStyle w:val="TableText"/>
            </w:pPr>
            <w:r w:rsidRPr="004D57B3">
              <w:t>Applicability: P2</w:t>
            </w:r>
          </w:p>
          <w:p w:rsidR="0048417A" w:rsidRPr="004D57B3" w:rsidRDefault="0048417A" w:rsidP="00836B55">
            <w:pPr>
              <w:pStyle w:val="TableText"/>
            </w:pPr>
            <w:r w:rsidRPr="004D57B3">
              <w:t>Quality: FAIR</w:t>
            </w:r>
          </w:p>
          <w:p w:rsidR="0048417A" w:rsidRPr="004D57B3" w:rsidRDefault="0048417A" w:rsidP="00836B55">
            <w:pPr>
              <w:pStyle w:val="TableText"/>
            </w:pPr>
          </w:p>
        </w:tc>
      </w:tr>
      <w:tr w:rsidR="0048417A" w:rsidRPr="004D57B3" w:rsidTr="00836B55">
        <w:trPr>
          <w:trHeight w:val="903"/>
        </w:trPr>
        <w:tc>
          <w:tcPr>
            <w:tcW w:w="417" w:type="pct"/>
            <w:tcBorders>
              <w:left w:val="nil"/>
              <w:right w:val="nil"/>
            </w:tcBorders>
          </w:tcPr>
          <w:p w:rsidR="0048417A" w:rsidRPr="004D57B3" w:rsidRDefault="0048417A" w:rsidP="00836B55">
            <w:pPr>
              <w:pStyle w:val="TableText"/>
              <w:spacing w:after="0"/>
            </w:pPr>
            <w:proofErr w:type="spellStart"/>
            <w:r w:rsidRPr="004D57B3">
              <w:t>Tukey</w:t>
            </w:r>
            <w:proofErr w:type="spellEnd"/>
            <w:r w:rsidRPr="004D57B3">
              <w:t xml:space="preserve"> et al </w:t>
            </w:r>
            <w:r w:rsidRPr="004D57B3">
              <w:rPr>
                <w:noProof/>
              </w:rPr>
              <w:t>(2009)</w:t>
            </w:r>
          </w:p>
          <w:p w:rsidR="0048417A" w:rsidRPr="004D57B3" w:rsidRDefault="0048417A" w:rsidP="00836B55">
            <w:pPr>
              <w:pStyle w:val="TableText"/>
              <w:spacing w:after="0"/>
            </w:pPr>
            <w:r w:rsidRPr="004D57B3">
              <w:t>USA</w:t>
            </w:r>
          </w:p>
          <w:p w:rsidR="0048417A" w:rsidRPr="004D57B3" w:rsidRDefault="0048417A" w:rsidP="00836B55">
            <w:pPr>
              <w:pStyle w:val="TableText"/>
              <w:spacing w:after="0"/>
            </w:pPr>
            <w:r w:rsidRPr="004D57B3">
              <w:t>Single centre</w:t>
            </w:r>
          </w:p>
          <w:p w:rsidR="0048417A" w:rsidRPr="004D57B3" w:rsidRDefault="0048417A" w:rsidP="00836B55">
            <w:pPr>
              <w:pStyle w:val="TableText"/>
              <w:spacing w:after="0"/>
            </w:pPr>
            <w:r w:rsidRPr="004D57B3">
              <w:t>Up to 5/07</w:t>
            </w:r>
          </w:p>
        </w:tc>
        <w:tc>
          <w:tcPr>
            <w:tcW w:w="211" w:type="pct"/>
            <w:tcBorders>
              <w:left w:val="nil"/>
              <w:right w:val="nil"/>
            </w:tcBorders>
          </w:tcPr>
          <w:p w:rsidR="0048417A" w:rsidRPr="004D57B3" w:rsidRDefault="0048417A" w:rsidP="00836B55">
            <w:pPr>
              <w:pStyle w:val="TableText"/>
            </w:pPr>
            <w:r w:rsidRPr="004D57B3">
              <w:t>105</w:t>
            </w:r>
          </w:p>
        </w:tc>
        <w:tc>
          <w:tcPr>
            <w:tcW w:w="421" w:type="pct"/>
            <w:tcBorders>
              <w:left w:val="nil"/>
              <w:right w:val="nil"/>
            </w:tcBorders>
          </w:tcPr>
          <w:p w:rsidR="0048417A" w:rsidRPr="004D57B3" w:rsidRDefault="0048417A" w:rsidP="00836B55">
            <w:pPr>
              <w:pStyle w:val="TableText"/>
            </w:pPr>
            <w:r w:rsidRPr="004D57B3">
              <w:t>CE</w:t>
            </w:r>
          </w:p>
        </w:tc>
        <w:tc>
          <w:tcPr>
            <w:tcW w:w="1896" w:type="pct"/>
            <w:tcBorders>
              <w:left w:val="nil"/>
              <w:right w:val="nil"/>
            </w:tcBorders>
          </w:tcPr>
          <w:p w:rsidR="0048417A" w:rsidRPr="004D57B3" w:rsidRDefault="0048417A" w:rsidP="00836B55">
            <w:pPr>
              <w:pStyle w:val="TableText"/>
              <w:numPr>
                <w:ilvl w:val="0"/>
                <w:numId w:val="16"/>
              </w:numPr>
            </w:pPr>
            <w:r w:rsidRPr="004D57B3">
              <w:t>Adult patients evaluated by CE for suspected CD with normal or equivocal prior investigations</w:t>
            </w:r>
          </w:p>
          <w:p w:rsidR="0048417A" w:rsidRPr="004D57B3" w:rsidRDefault="0048417A" w:rsidP="00836B55">
            <w:pPr>
              <w:pStyle w:val="TableText"/>
              <w:numPr>
                <w:ilvl w:val="0"/>
                <w:numId w:val="16"/>
              </w:numPr>
            </w:pPr>
            <w:r w:rsidRPr="004D57B3">
              <w:t>Mean age 50 years, 66% female</w:t>
            </w:r>
          </w:p>
          <w:p w:rsidR="0048417A" w:rsidRPr="004D57B3" w:rsidRDefault="0048417A" w:rsidP="00836B55">
            <w:pPr>
              <w:pStyle w:val="TableText"/>
              <w:numPr>
                <w:ilvl w:val="0"/>
                <w:numId w:val="16"/>
              </w:numPr>
            </w:pPr>
            <w:r w:rsidRPr="004D57B3">
              <w:rPr>
                <w:b/>
              </w:rPr>
              <w:t xml:space="preserve">Prior tests: </w:t>
            </w:r>
            <w:r w:rsidRPr="004D57B3">
              <w:t>C+IL, SBFT or CT (all tests negative or equivocal for CD)</w:t>
            </w:r>
          </w:p>
        </w:tc>
        <w:tc>
          <w:tcPr>
            <w:tcW w:w="1211" w:type="pct"/>
            <w:tcBorders>
              <w:left w:val="nil"/>
              <w:right w:val="nil"/>
            </w:tcBorders>
          </w:tcPr>
          <w:p w:rsidR="0048417A" w:rsidRPr="004D57B3" w:rsidRDefault="0048417A" w:rsidP="00836B55">
            <w:pPr>
              <w:pStyle w:val="TableText"/>
              <w:rPr>
                <w:b/>
              </w:rPr>
            </w:pPr>
            <w:r w:rsidRPr="004D57B3">
              <w:rPr>
                <w:b/>
              </w:rPr>
              <w:t xml:space="preserve">Study design: </w:t>
            </w:r>
            <w:r w:rsidRPr="004D57B3">
              <w:t xml:space="preserve">Retrospective </w:t>
            </w:r>
          </w:p>
          <w:p w:rsidR="0048417A" w:rsidRPr="004D57B3" w:rsidRDefault="0048417A" w:rsidP="00836B55">
            <w:pPr>
              <w:pStyle w:val="TableText"/>
              <w:rPr>
                <w:b/>
              </w:rPr>
            </w:pPr>
            <w:r w:rsidRPr="004D57B3">
              <w:rPr>
                <w:b/>
              </w:rPr>
              <w:t>Reference standard:</w:t>
            </w:r>
            <w:r w:rsidRPr="004D57B3">
              <w:t xml:space="preserve"> Diagnosis at follow</w:t>
            </w:r>
            <w:r>
              <w:t>-</w:t>
            </w:r>
            <w:r w:rsidRPr="004D57B3">
              <w:t xml:space="preserve">up </w:t>
            </w:r>
          </w:p>
          <w:p w:rsidR="0048417A" w:rsidRPr="004D57B3" w:rsidRDefault="0048417A" w:rsidP="00836B55">
            <w:pPr>
              <w:pStyle w:val="TableText"/>
            </w:pPr>
            <w:r w:rsidRPr="004D57B3">
              <w:rPr>
                <w:b/>
              </w:rPr>
              <w:t xml:space="preserve">Outcomes: </w:t>
            </w:r>
            <w:r w:rsidRPr="004D57B3">
              <w:t>Accuracy, diagnostic yield incomplete CE</w:t>
            </w:r>
          </w:p>
        </w:tc>
        <w:tc>
          <w:tcPr>
            <w:tcW w:w="843" w:type="pct"/>
            <w:tcBorders>
              <w:left w:val="nil"/>
              <w:right w:val="nil"/>
            </w:tcBorders>
          </w:tcPr>
          <w:p w:rsidR="0048417A" w:rsidRPr="004D57B3" w:rsidRDefault="0048417A" w:rsidP="00836B55">
            <w:pPr>
              <w:pStyle w:val="TableText"/>
            </w:pPr>
            <w:r w:rsidRPr="004D57B3">
              <w:t>NHMRC level of evidence: III-2</w:t>
            </w:r>
          </w:p>
          <w:p w:rsidR="0048417A" w:rsidRPr="004D57B3" w:rsidRDefault="0048417A" w:rsidP="00836B55">
            <w:pPr>
              <w:pStyle w:val="TableText"/>
            </w:pPr>
            <w:r w:rsidRPr="004D57B3">
              <w:t>Comparison:</w:t>
            </w:r>
            <w:r>
              <w:t xml:space="preserve"> </w:t>
            </w:r>
            <w:r w:rsidRPr="004D57B3">
              <w:t>CX: ET</w:t>
            </w:r>
          </w:p>
          <w:p w:rsidR="0048417A" w:rsidRPr="004D57B3" w:rsidRDefault="0048417A" w:rsidP="00836B55">
            <w:pPr>
              <w:pStyle w:val="TableText"/>
            </w:pPr>
            <w:r w:rsidRPr="004D57B3">
              <w:t>Applicability: P2</w:t>
            </w:r>
          </w:p>
          <w:p w:rsidR="0048417A" w:rsidRPr="004D57B3" w:rsidRDefault="0048417A" w:rsidP="00836B55">
            <w:pPr>
              <w:pStyle w:val="TableText"/>
            </w:pPr>
            <w:r w:rsidRPr="004D57B3">
              <w:t>Quality:</w:t>
            </w:r>
            <w:r>
              <w:t xml:space="preserve"> </w:t>
            </w:r>
            <w:r w:rsidRPr="004D57B3">
              <w:t>FAIR</w:t>
            </w:r>
          </w:p>
        </w:tc>
      </w:tr>
    </w:tbl>
    <w:p w:rsidR="0048417A" w:rsidRPr="004D57B3" w:rsidRDefault="0048417A" w:rsidP="00836B55">
      <w:pPr>
        <w:pStyle w:val="TableText"/>
        <w:sectPr w:rsidR="0048417A" w:rsidRPr="004D57B3" w:rsidSect="00836B55">
          <w:pgSz w:w="16838" w:h="11906" w:orient="landscape"/>
          <w:pgMar w:top="1440" w:right="1440" w:bottom="1440" w:left="1440" w:header="720" w:footer="720" w:gutter="0"/>
          <w:paperSrc w:first="2" w:other="2"/>
          <w:cols w:space="720"/>
          <w:docGrid w:linePitch="326"/>
        </w:sectPr>
      </w:pPr>
      <w:r w:rsidRPr="004D57B3">
        <w:rPr>
          <w:i/>
        </w:rPr>
        <w:t>Abbreviation</w:t>
      </w:r>
      <w:r>
        <w:rPr>
          <w:i/>
        </w:rPr>
        <w:t>s</w:t>
      </w:r>
      <w:r w:rsidRPr="004D57B3">
        <w:rPr>
          <w:i/>
        </w:rPr>
        <w:t xml:space="preserve">: </w:t>
      </w:r>
      <w:r w:rsidRPr="004D57B3">
        <w:t xml:space="preserve">AU = abdominal ultrasound, CE = capsule endoscopy, CD = Crohn’s disease, C+IL = colonoscopy with attempted </w:t>
      </w:r>
      <w:proofErr w:type="spellStart"/>
      <w:r w:rsidRPr="004D57B3">
        <w:t>ileoscopy</w:t>
      </w:r>
      <w:proofErr w:type="spellEnd"/>
      <w:r w:rsidRPr="004D57B3">
        <w:t xml:space="preserve">, CT = computed tomography, E= endoscopy, EGD = </w:t>
      </w:r>
      <w:proofErr w:type="spellStart"/>
      <w:r w:rsidRPr="004D57B3">
        <w:t>oesophagogastroduodenoscopy</w:t>
      </w:r>
      <w:proofErr w:type="spellEnd"/>
      <w:r w:rsidRPr="004D57B3">
        <w:t>,</w:t>
      </w:r>
      <w:r>
        <w:t xml:space="preserve"> ET = empirical treatment,</w:t>
      </w:r>
      <w:r w:rsidRPr="004D57B3">
        <w:t xml:space="preserve"> LTFU= </w:t>
      </w:r>
      <w:r>
        <w:t>long-term</w:t>
      </w:r>
      <w:r w:rsidRPr="004D57B3">
        <w:t xml:space="preserve"> follow</w:t>
      </w:r>
      <w:r>
        <w:t>-</w:t>
      </w:r>
      <w:r w:rsidRPr="004D57B3">
        <w:t>up</w:t>
      </w:r>
      <w:r>
        <w:t>,</w:t>
      </w:r>
      <w:r w:rsidRPr="004D57B3">
        <w:t xml:space="preserve"> MS = microbiological stool tests, MRE = magnetic resonance imaging with </w:t>
      </w:r>
      <w:proofErr w:type="spellStart"/>
      <w:r w:rsidRPr="004D57B3">
        <w:t>enterography</w:t>
      </w:r>
      <w:proofErr w:type="spellEnd"/>
      <w:r w:rsidRPr="004D57B3">
        <w:t xml:space="preserve">, MRI = magnetic resonance imaging, SBE = small bowel </w:t>
      </w:r>
      <w:proofErr w:type="spellStart"/>
      <w:r w:rsidRPr="004D57B3">
        <w:t>enteroclysis</w:t>
      </w:r>
      <w:proofErr w:type="spellEnd"/>
      <w:r w:rsidRPr="004D57B3">
        <w:t xml:space="preserve"> (</w:t>
      </w:r>
      <w:r>
        <w:t>d</w:t>
      </w:r>
      <w:r w:rsidRPr="004D57B3">
        <w:t xml:space="preserve">ouble contrast small bowel fluoroscopy), SBFT = </w:t>
      </w:r>
      <w:r>
        <w:t>small bowel follow-through</w:t>
      </w:r>
      <w:r w:rsidRPr="004D57B3">
        <w:t>, SBS = small bowel series, UE = upper endoscopy</w:t>
      </w:r>
    </w:p>
    <w:p w:rsidR="0048417A" w:rsidRPr="004D57B3" w:rsidRDefault="0048417A" w:rsidP="00836B55">
      <w:pPr>
        <w:pStyle w:val="Heading4"/>
        <w:rPr>
          <w:noProof/>
        </w:rPr>
      </w:pPr>
      <w:r w:rsidRPr="004D57B3">
        <w:rPr>
          <w:noProof/>
        </w:rPr>
        <w:lastRenderedPageBreak/>
        <w:t>Diagnostic accuracy results</w:t>
      </w:r>
    </w:p>
    <w:p w:rsidR="0048417A" w:rsidRPr="004D57B3" w:rsidRDefault="0048417A" w:rsidP="00836B55">
      <w:r w:rsidRPr="004D57B3">
        <w:t xml:space="preserve">The results of studies reporting the accuracy of capsule endoscopy for suspected small bowel Crohn’s disease are presented in </w:t>
      </w:r>
      <w:r w:rsidR="00AE591B">
        <w:fldChar w:fldCharType="begin"/>
      </w:r>
      <w:r w:rsidR="00AE591B">
        <w:instrText xml:space="preserve"> REF _Ref279156019 \h  \* MERGEFORMAT </w:instrText>
      </w:r>
      <w:r w:rsidR="00AE591B">
        <w:fldChar w:fldCharType="separate"/>
      </w:r>
      <w:r w:rsidRPr="004D57B3">
        <w:t xml:space="preserve">Table </w:t>
      </w:r>
      <w:r>
        <w:rPr>
          <w:noProof/>
        </w:rPr>
        <w:t>24</w:t>
      </w:r>
      <w:r w:rsidR="00AE591B">
        <w:fldChar w:fldCharType="end"/>
      </w:r>
      <w:r w:rsidRPr="004D57B3">
        <w:t>.</w:t>
      </w:r>
    </w:p>
    <w:p w:rsidR="0048417A" w:rsidRPr="004D57B3" w:rsidRDefault="0048417A" w:rsidP="00836B55">
      <w:pPr>
        <w:pStyle w:val="Heading4"/>
      </w:pPr>
      <w:r>
        <w:t>C</w:t>
      </w:r>
      <w:r w:rsidRPr="004D57B3">
        <w:t>apsule endoscopy v</w:t>
      </w:r>
      <w:r>
        <w:t>ersu</w:t>
      </w:r>
      <w:r w:rsidRPr="004D57B3">
        <w:t>s ET</w:t>
      </w:r>
    </w:p>
    <w:p w:rsidR="0048417A" w:rsidRPr="004D57B3" w:rsidRDefault="0048417A" w:rsidP="00836B55">
      <w:r w:rsidRPr="004D57B3">
        <w:t xml:space="preserve">The five included studies that reported on the diagnostic accuracy of capsule endoscopy provided the basis for a comparison of capsule endoscopy and empirical treatment </w:t>
      </w:r>
      <w:r>
        <w:rPr>
          <w:noProof/>
        </w:rPr>
        <w:t>(Albert et al 2005; Casciani et al 2011; Figueiredo et al 2010; Girelli et al 2007; Tukey et al 2009)</w:t>
      </w:r>
      <w:r w:rsidRPr="004D57B3">
        <w:t>.</w:t>
      </w:r>
    </w:p>
    <w:p w:rsidR="0048417A" w:rsidRPr="004D57B3" w:rsidRDefault="0048417A" w:rsidP="00836B55">
      <w:r w:rsidRPr="004D57B3">
        <w:t>In the four studies reporting results using a threshold of at least ≥2 ulcers or Crohn’s disease specific lesions, the sensitivity of capsule endoscopy ranged from 47</w:t>
      </w:r>
      <w:r>
        <w:t>%</w:t>
      </w:r>
      <w:r w:rsidRPr="004D57B3">
        <w:t xml:space="preserve"> (95% CI 22</w:t>
      </w:r>
      <w:r>
        <w:t>-</w:t>
      </w:r>
      <w:r w:rsidRPr="004D57B3">
        <w:t>73%) to 92</w:t>
      </w:r>
      <w:r>
        <w:t>%</w:t>
      </w:r>
      <w:r w:rsidRPr="004D57B3">
        <w:t xml:space="preserve"> (95% CI 62</w:t>
      </w:r>
      <w:r>
        <w:t>-</w:t>
      </w:r>
      <w:r w:rsidRPr="004D57B3">
        <w:t>100%) and the specificity ranged from 89</w:t>
      </w:r>
      <w:r>
        <w:t>%</w:t>
      </w:r>
      <w:r w:rsidRPr="004D57B3">
        <w:t xml:space="preserve"> (95% CI 81</w:t>
      </w:r>
      <w:r>
        <w:t>-</w:t>
      </w:r>
      <w:r w:rsidRPr="004D57B3">
        <w:t>94%) to 100% (95% CI 72</w:t>
      </w:r>
      <w:r>
        <w:t>-</w:t>
      </w:r>
      <w:r w:rsidRPr="004D57B3">
        <w:t>100%). The TN</w:t>
      </w:r>
      <w:proofErr w:type="gramStart"/>
      <w:r w:rsidRPr="004D57B3">
        <w:t>:FN</w:t>
      </w:r>
      <w:proofErr w:type="gramEnd"/>
      <w:r w:rsidRPr="004D57B3">
        <w:t xml:space="preserve"> ratio ranged from 1.4:1 to 26.3:1 </w:t>
      </w:r>
      <w:r>
        <w:rPr>
          <w:noProof/>
        </w:rPr>
        <w:t>(Albert et al 2005; Casciani et al 2011; Girelli et al 2007; Tukey et al 2009)</w:t>
      </w:r>
      <w:r w:rsidRPr="004D57B3">
        <w:t xml:space="preserve">. Two of the studies reported negative LRs which are considered convincing evidence for excluding disease (0.08 and 0.09) and two reported a negative LR which is considered as providing little evidence for excluding disease (0.26 and 0.58). </w:t>
      </w:r>
    </w:p>
    <w:p w:rsidR="0048417A" w:rsidRPr="004D57B3" w:rsidRDefault="0048417A" w:rsidP="00836B55">
      <w:r w:rsidRPr="004D57B3">
        <w:t>For the less stringent threshold of any small bowel ulcers, reported in four studies, the sensitivity of capsule endoscopy ranged from 85</w:t>
      </w:r>
      <w:r>
        <w:t>%</w:t>
      </w:r>
      <w:r w:rsidRPr="004D57B3">
        <w:t xml:space="preserve"> (95% CI 58</w:t>
      </w:r>
      <w:r>
        <w:t>-</w:t>
      </w:r>
      <w:r w:rsidRPr="004D57B3">
        <w:t>96%) to 100</w:t>
      </w:r>
      <w:r>
        <w:t>%</w:t>
      </w:r>
      <w:r w:rsidRPr="004D57B3">
        <w:t xml:space="preserve"> (95% CI 72</w:t>
      </w:r>
      <w:r>
        <w:t>-</w:t>
      </w:r>
      <w:r w:rsidRPr="004D57B3">
        <w:t>100%) and the specificity ranged from 74</w:t>
      </w:r>
      <w:r>
        <w:t>%</w:t>
      </w:r>
      <w:r w:rsidRPr="004D57B3">
        <w:t xml:space="preserve"> (95% CI 64</w:t>
      </w:r>
      <w:r>
        <w:t>-</w:t>
      </w:r>
      <w:r w:rsidRPr="004D57B3">
        <w:t>82%) to 92</w:t>
      </w:r>
      <w:r>
        <w:t>%</w:t>
      </w:r>
      <w:r w:rsidRPr="004D57B3">
        <w:t xml:space="preserve"> (95% </w:t>
      </w:r>
      <w:r>
        <w:br w:type="textWrapping" w:clear="all"/>
      </w:r>
      <w:r w:rsidRPr="004D57B3">
        <w:t>CI 73</w:t>
      </w:r>
      <w:r>
        <w:t>-</w:t>
      </w:r>
      <w:r w:rsidRPr="004D57B3">
        <w:t>99%). The TN</w:t>
      </w:r>
      <w:proofErr w:type="gramStart"/>
      <w:r w:rsidRPr="004D57B3">
        <w:t>:FN</w:t>
      </w:r>
      <w:proofErr w:type="gramEnd"/>
      <w:r w:rsidRPr="004D57B3">
        <w:t xml:space="preserve"> ratio was between 10:1 and 33:1. The negative LR was considered convincing in three studies (0, 0.08, </w:t>
      </w:r>
      <w:proofErr w:type="gramStart"/>
      <w:r w:rsidRPr="004D57B3">
        <w:t>0.08</w:t>
      </w:r>
      <w:proofErr w:type="gramEnd"/>
      <w:r w:rsidRPr="004D57B3">
        <w:t xml:space="preserve">) and borderline strong evidence in another (0.21). </w:t>
      </w:r>
    </w:p>
    <w:p w:rsidR="0048417A" w:rsidRPr="004D57B3" w:rsidRDefault="0048417A" w:rsidP="00836B55">
      <w:pPr>
        <w:pStyle w:val="Heading4"/>
      </w:pPr>
      <w:r>
        <w:t>C</w:t>
      </w:r>
      <w:r w:rsidRPr="004D57B3">
        <w:t xml:space="preserve">apsule endoscopy </w:t>
      </w:r>
      <w:r>
        <w:t>versus</w:t>
      </w:r>
      <w:r w:rsidRPr="004D57B3">
        <w:t xml:space="preserve"> MRI and MRE</w:t>
      </w:r>
    </w:p>
    <w:p w:rsidR="0048417A" w:rsidRPr="004D57B3" w:rsidRDefault="0048417A" w:rsidP="00836B55">
      <w:r w:rsidRPr="004D57B3">
        <w:t xml:space="preserve">Two included studies provided head-to-head comparisons of capsule endoscopy and MR – with </w:t>
      </w:r>
      <w:r>
        <w:rPr>
          <w:noProof/>
        </w:rPr>
        <w:t>(Casciani et al 2011)</w:t>
      </w:r>
      <w:r w:rsidRPr="004D57B3">
        <w:t xml:space="preserve"> and without </w:t>
      </w:r>
      <w:r w:rsidRPr="004D57B3">
        <w:rPr>
          <w:noProof/>
        </w:rPr>
        <w:t>(Albert et al 2005)</w:t>
      </w:r>
      <w:r w:rsidRPr="004D57B3">
        <w:t xml:space="preserve"> </w:t>
      </w:r>
      <w:proofErr w:type="spellStart"/>
      <w:r w:rsidRPr="004D57B3">
        <w:t>enterography</w:t>
      </w:r>
      <w:proofErr w:type="spellEnd"/>
      <w:r w:rsidRPr="004D57B3">
        <w:t xml:space="preserve">. The study by </w:t>
      </w:r>
      <w:proofErr w:type="spellStart"/>
      <w:r w:rsidRPr="004D57B3">
        <w:t>Casciani</w:t>
      </w:r>
      <w:proofErr w:type="spellEnd"/>
      <w:r w:rsidRPr="004D57B3">
        <w:t xml:space="preserve"> et al </w:t>
      </w:r>
      <w:r>
        <w:rPr>
          <w:noProof/>
        </w:rPr>
        <w:t>(2011)</w:t>
      </w:r>
      <w:r w:rsidRPr="004D57B3">
        <w:t xml:space="preserve"> reported diagnostic accuracy results for two different capsule endoscopy test thresholds: &gt;3 small bowel ulcers and </w:t>
      </w:r>
      <w:r>
        <w:t>‘</w:t>
      </w:r>
      <w:r w:rsidRPr="004D57B3">
        <w:t>any small bowel ulcers</w:t>
      </w:r>
      <w:r>
        <w:t>’</w:t>
      </w:r>
      <w:r w:rsidRPr="004D57B3">
        <w:t xml:space="preserve">. For the threshold of &gt;3 small bowel ulcers sensitivity for capsule endoscopy </w:t>
      </w:r>
      <w:r>
        <w:t>versus</w:t>
      </w:r>
      <w:r w:rsidRPr="004D57B3">
        <w:t xml:space="preserve"> MRE was 91</w:t>
      </w:r>
      <w:r>
        <w:t>%</w:t>
      </w:r>
      <w:r w:rsidRPr="004D57B3">
        <w:t xml:space="preserve"> (95% CI 57</w:t>
      </w:r>
      <w:r>
        <w:t>-</w:t>
      </w:r>
      <w:r w:rsidRPr="004D57B3">
        <w:t xml:space="preserve">100%) </w:t>
      </w:r>
      <w:r>
        <w:t>versus</w:t>
      </w:r>
      <w:r w:rsidRPr="004D57B3">
        <w:t xml:space="preserve"> 100</w:t>
      </w:r>
      <w:r>
        <w:t>%</w:t>
      </w:r>
      <w:r w:rsidRPr="004D57B3">
        <w:t xml:space="preserve"> (95% CI 82</w:t>
      </w:r>
      <w:r>
        <w:t>-</w:t>
      </w:r>
      <w:r w:rsidRPr="004D57B3">
        <w:t>100%) and specificity was 100</w:t>
      </w:r>
      <w:r>
        <w:t>%</w:t>
      </w:r>
      <w:r w:rsidRPr="004D57B3">
        <w:t xml:space="preserve"> (95% CI 87</w:t>
      </w:r>
      <w:r>
        <w:t>-</w:t>
      </w:r>
      <w:r w:rsidRPr="004D57B3">
        <w:t>100%) v</w:t>
      </w:r>
      <w:r>
        <w:t>ersu</w:t>
      </w:r>
      <w:r w:rsidRPr="004D57B3">
        <w:t>s 98</w:t>
      </w:r>
      <w:r>
        <w:t>%</w:t>
      </w:r>
      <w:r w:rsidRPr="004D57B3">
        <w:t xml:space="preserve"> (87</w:t>
      </w:r>
      <w:r>
        <w:t>-</w:t>
      </w:r>
      <w:r w:rsidRPr="004D57B3">
        <w:t xml:space="preserve">100%). For the threshold of any small bowel ulcers sensitivity for </w:t>
      </w:r>
      <w:r>
        <w:t>capsule endoscopy</w:t>
      </w:r>
      <w:r w:rsidRPr="004D57B3">
        <w:t xml:space="preserve"> v</w:t>
      </w:r>
      <w:r>
        <w:t>ersu</w:t>
      </w:r>
      <w:r w:rsidRPr="004D57B3">
        <w:t>s MRE was 100</w:t>
      </w:r>
      <w:r>
        <w:t>%</w:t>
      </w:r>
      <w:r w:rsidRPr="004D57B3">
        <w:t xml:space="preserve"> (95% CI 72</w:t>
      </w:r>
      <w:r>
        <w:t>-</w:t>
      </w:r>
      <w:r w:rsidRPr="004D57B3">
        <w:t>100%) v</w:t>
      </w:r>
      <w:r>
        <w:t>ersu</w:t>
      </w:r>
      <w:r w:rsidRPr="004D57B3">
        <w:t>s 100</w:t>
      </w:r>
      <w:r>
        <w:t>%</w:t>
      </w:r>
      <w:r w:rsidRPr="004D57B3">
        <w:t xml:space="preserve"> (95% CI 82</w:t>
      </w:r>
      <w:r>
        <w:t>-</w:t>
      </w:r>
      <w:r w:rsidRPr="004D57B3">
        <w:t>100%) and specificity was 92</w:t>
      </w:r>
      <w:r>
        <w:t>%</w:t>
      </w:r>
      <w:r w:rsidRPr="004D57B3">
        <w:t xml:space="preserve"> (95% CI 73</w:t>
      </w:r>
      <w:r>
        <w:t>-</w:t>
      </w:r>
      <w:r w:rsidRPr="004D57B3">
        <w:t>99%) v</w:t>
      </w:r>
      <w:r>
        <w:t>ersu</w:t>
      </w:r>
      <w:r w:rsidRPr="004D57B3">
        <w:t>s 98</w:t>
      </w:r>
      <w:r>
        <w:t>%</w:t>
      </w:r>
      <w:r w:rsidRPr="004D57B3">
        <w:t xml:space="preserve"> (95% CI 87</w:t>
      </w:r>
      <w:r>
        <w:t>-</w:t>
      </w:r>
      <w:r w:rsidRPr="004D57B3">
        <w:t xml:space="preserve">100%) </w:t>
      </w:r>
      <w:r>
        <w:rPr>
          <w:noProof/>
        </w:rPr>
        <w:t>(Casciani et al 2011)</w:t>
      </w:r>
      <w:r w:rsidRPr="004D57B3">
        <w:t xml:space="preserve">. In the study by Albert et al </w:t>
      </w:r>
      <w:r w:rsidRPr="004D57B3">
        <w:rPr>
          <w:noProof/>
        </w:rPr>
        <w:t>(2005)</w:t>
      </w:r>
      <w:r w:rsidRPr="004D57B3">
        <w:t>, sensitivity for capsule endoscopy v</w:t>
      </w:r>
      <w:r>
        <w:t>ersu</w:t>
      </w:r>
      <w:r w:rsidRPr="004D57B3">
        <w:t>s MRI was 92</w:t>
      </w:r>
      <w:r>
        <w:t>%</w:t>
      </w:r>
      <w:r w:rsidRPr="004D57B3">
        <w:t xml:space="preserve"> (95% CI 62</w:t>
      </w:r>
      <w:r>
        <w:t>-</w:t>
      </w:r>
      <w:r w:rsidRPr="004D57B3">
        <w:t>100%) v</w:t>
      </w:r>
      <w:r>
        <w:t>ersu</w:t>
      </w:r>
      <w:r w:rsidRPr="004D57B3">
        <w:t>s 71</w:t>
      </w:r>
      <w:r>
        <w:t>%</w:t>
      </w:r>
      <w:r w:rsidRPr="004D57B3">
        <w:t xml:space="preserve"> (95% CI 42</w:t>
      </w:r>
      <w:r>
        <w:t>-</w:t>
      </w:r>
      <w:r w:rsidRPr="004D57B3">
        <w:t>90%). Specificity for capsule endoscopy v</w:t>
      </w:r>
      <w:r>
        <w:t>ersu</w:t>
      </w:r>
      <w:r w:rsidRPr="004D57B3">
        <w:t>s MRI was 100% (95% CI 72</w:t>
      </w:r>
      <w:r>
        <w:t>-</w:t>
      </w:r>
      <w:r w:rsidRPr="004D57B3">
        <w:t>100%) v</w:t>
      </w:r>
      <w:r>
        <w:t>ersu</w:t>
      </w:r>
      <w:r w:rsidRPr="004D57B3">
        <w:t>s 80</w:t>
      </w:r>
      <w:r>
        <w:t>%</w:t>
      </w:r>
      <w:r w:rsidRPr="004D57B3">
        <w:t xml:space="preserve"> (95% CI 44</w:t>
      </w:r>
      <w:r>
        <w:t>-</w:t>
      </w:r>
      <w:r w:rsidRPr="004D57B3">
        <w:t xml:space="preserve">96%). </w:t>
      </w:r>
    </w:p>
    <w:p w:rsidR="0048417A" w:rsidRPr="004D57B3" w:rsidRDefault="0048417A" w:rsidP="00836B55">
      <w:r w:rsidRPr="004D57B3">
        <w:t xml:space="preserve">The patients in the study by </w:t>
      </w:r>
      <w:proofErr w:type="spellStart"/>
      <w:r w:rsidRPr="004D57B3">
        <w:t>Casciani</w:t>
      </w:r>
      <w:proofErr w:type="spellEnd"/>
      <w:r w:rsidRPr="004D57B3">
        <w:t xml:space="preserve"> et al </w:t>
      </w:r>
      <w:r>
        <w:rPr>
          <w:noProof/>
        </w:rPr>
        <w:t>(2011)</w:t>
      </w:r>
      <w:r w:rsidRPr="004D57B3">
        <w:t xml:space="preserve"> were aged between 6 and 18 and the reported accuracy of MRE in their study is high compared with previous studies. The superior accuracy of MRE reported by </w:t>
      </w:r>
      <w:proofErr w:type="spellStart"/>
      <w:r w:rsidRPr="004D57B3">
        <w:t>Casciani</w:t>
      </w:r>
      <w:proofErr w:type="spellEnd"/>
      <w:r w:rsidRPr="004D57B3">
        <w:t xml:space="preserve"> </w:t>
      </w:r>
      <w:r>
        <w:rPr>
          <w:noProof/>
        </w:rPr>
        <w:t>(2011)</w:t>
      </w:r>
      <w:r w:rsidRPr="004D57B3">
        <w:t xml:space="preserve"> compared with Albert et al </w:t>
      </w:r>
      <w:r w:rsidRPr="004D57B3">
        <w:rPr>
          <w:noProof/>
        </w:rPr>
        <w:t>(2005)</w:t>
      </w:r>
      <w:r w:rsidRPr="004D57B3">
        <w:t xml:space="preserve"> may be partially attributed to the use of </w:t>
      </w:r>
      <w:proofErr w:type="spellStart"/>
      <w:r w:rsidRPr="004D57B3">
        <w:t>enterography</w:t>
      </w:r>
      <w:proofErr w:type="spellEnd"/>
      <w:r w:rsidRPr="004D57B3">
        <w:t xml:space="preserve"> in the former study. </w:t>
      </w:r>
    </w:p>
    <w:p w:rsidR="0048417A" w:rsidRPr="004D57B3" w:rsidRDefault="0048417A" w:rsidP="00836B55">
      <w:pPr>
        <w:pStyle w:val="Heading4"/>
      </w:pPr>
      <w:r>
        <w:t>C</w:t>
      </w:r>
      <w:r w:rsidRPr="004D57B3">
        <w:t>apsule endoscopy v</w:t>
      </w:r>
      <w:r>
        <w:t>ersu</w:t>
      </w:r>
      <w:r w:rsidRPr="004D57B3">
        <w:t>s CT</w:t>
      </w:r>
    </w:p>
    <w:p w:rsidR="0048417A" w:rsidRPr="004D57B3" w:rsidRDefault="0048417A" w:rsidP="00836B55">
      <w:pPr>
        <w:rPr>
          <w:noProof/>
        </w:rPr>
      </w:pPr>
      <w:r w:rsidRPr="004D57B3">
        <w:t xml:space="preserve">This review did not identify any studies comparing the diagnostic accuracy of capsule endoscopy and CT (with or without </w:t>
      </w:r>
      <w:proofErr w:type="spellStart"/>
      <w:r w:rsidRPr="004D57B3">
        <w:t>enterography</w:t>
      </w:r>
      <w:proofErr w:type="spellEnd"/>
      <w:r w:rsidRPr="004D57B3">
        <w:t>) for suspected but unconfirmed small bowel Crohn’s disease.</w:t>
      </w:r>
    </w:p>
    <w:p w:rsidR="0048417A" w:rsidRPr="004D57B3" w:rsidRDefault="0048417A" w:rsidP="00836B55">
      <w:pPr>
        <w:pStyle w:val="Heading4"/>
        <w:rPr>
          <w:noProof/>
        </w:rPr>
      </w:pPr>
      <w:r w:rsidRPr="004D57B3">
        <w:rPr>
          <w:noProof/>
        </w:rPr>
        <w:lastRenderedPageBreak/>
        <w:t>Summary</w:t>
      </w:r>
    </w:p>
    <w:p w:rsidR="0048417A" w:rsidRPr="004D57B3" w:rsidRDefault="0048417A" w:rsidP="00836B55">
      <w:r w:rsidRPr="004D57B3">
        <w:t xml:space="preserve">Five included studies provided evidence for a comparison of capsule endoscopy and empirical treatment </w:t>
      </w:r>
      <w:r>
        <w:rPr>
          <w:noProof/>
        </w:rPr>
        <w:t>(Albert et al 2005; Casciani et al 2011; Figueiredo et al 2010; Girelli et al 2007; Tukey et al 2009)</w:t>
      </w:r>
      <w:r w:rsidRPr="004D57B3">
        <w:t>. In studies using a threshold of at least ≥2 ulcers or Crohn’s disease specific lesions, the sensitivity of capsule endoscopy ranged from 47</w:t>
      </w:r>
      <w:r>
        <w:t>%</w:t>
      </w:r>
      <w:r w:rsidRPr="004D57B3">
        <w:t xml:space="preserve"> (95% CI 22</w:t>
      </w:r>
      <w:r>
        <w:t>-</w:t>
      </w:r>
      <w:r w:rsidRPr="004D57B3">
        <w:t>73%) to 92</w:t>
      </w:r>
      <w:r>
        <w:t>%</w:t>
      </w:r>
      <w:r w:rsidRPr="004D57B3">
        <w:t xml:space="preserve"> (95% CI 62</w:t>
      </w:r>
      <w:r>
        <w:t>-</w:t>
      </w:r>
      <w:r w:rsidRPr="004D57B3">
        <w:t>100%) and the specificity ranged from 89</w:t>
      </w:r>
      <w:r>
        <w:t>%</w:t>
      </w:r>
      <w:r w:rsidRPr="004D57B3">
        <w:t xml:space="preserve"> (95% </w:t>
      </w:r>
      <w:r>
        <w:br w:type="textWrapping" w:clear="all"/>
      </w:r>
      <w:r w:rsidRPr="004D57B3">
        <w:t>CI 8</w:t>
      </w:r>
      <w:r>
        <w:t>-</w:t>
      </w:r>
      <w:r w:rsidRPr="004D57B3">
        <w:t>94%) to 100</w:t>
      </w:r>
      <w:r>
        <w:t>%</w:t>
      </w:r>
      <w:r w:rsidRPr="004D57B3">
        <w:t xml:space="preserve"> (95% CI 72</w:t>
      </w:r>
      <w:r>
        <w:t>-</w:t>
      </w:r>
      <w:r w:rsidRPr="004D57B3">
        <w:t xml:space="preserve">100%). The negative LR ranged from 0.08 to 0.58 </w:t>
      </w:r>
      <w:r>
        <w:rPr>
          <w:noProof/>
        </w:rPr>
        <w:t>(Albert et al 2005; Casciani et al 2011; Girelli et al 2007; Tukey et al 2009)</w:t>
      </w:r>
      <w:r w:rsidRPr="004D57B3">
        <w:t>. For the threshold of any small bowel ulcers, the sensitivity of capsule endoscopy ranged from 85</w:t>
      </w:r>
      <w:r>
        <w:t>%</w:t>
      </w:r>
      <w:r w:rsidRPr="004D57B3">
        <w:t xml:space="preserve"> (95% CI 58</w:t>
      </w:r>
      <w:r>
        <w:t>-</w:t>
      </w:r>
      <w:r w:rsidRPr="004D57B3">
        <w:t>96%) to 100</w:t>
      </w:r>
      <w:r>
        <w:t>%</w:t>
      </w:r>
      <w:r w:rsidRPr="004D57B3">
        <w:t xml:space="preserve"> (95% CI 72</w:t>
      </w:r>
      <w:r>
        <w:t>-</w:t>
      </w:r>
      <w:r w:rsidRPr="004D57B3">
        <w:t>100%) and the specificity ranged from 74</w:t>
      </w:r>
      <w:r>
        <w:t>%</w:t>
      </w:r>
      <w:r w:rsidRPr="004D57B3">
        <w:t xml:space="preserve"> (95% CI 64</w:t>
      </w:r>
      <w:r>
        <w:t>-</w:t>
      </w:r>
      <w:r w:rsidRPr="004D57B3">
        <w:t>82%) to 92</w:t>
      </w:r>
      <w:r>
        <w:t>%</w:t>
      </w:r>
      <w:r w:rsidRPr="004D57B3">
        <w:t xml:space="preserve"> (95% CI 73</w:t>
      </w:r>
      <w:r>
        <w:t>-</w:t>
      </w:r>
      <w:r w:rsidRPr="004D57B3">
        <w:t xml:space="preserve">99%). The negative LR ranged from 0 to 0.21 </w:t>
      </w:r>
      <w:r>
        <w:rPr>
          <w:noProof/>
        </w:rPr>
        <w:t>(Casciani et al 2011; Figueiredo et al 2010; Girelli et al 2007; Tukey et al 2009)</w:t>
      </w:r>
      <w:r w:rsidRPr="004D57B3">
        <w:t xml:space="preserve">. Overall, most studies had negative LRs &lt;0.10, the threshold for providing convincing evidence to exclude disease; however, two studies had negative LRs which were above the negative LR threshold for providing strong evidence for excluding disease &lt;0.20. This included the largest and most applicable study which had a negative LR &gt;0.20 at both thresholds. </w:t>
      </w:r>
    </w:p>
    <w:p w:rsidR="0048417A" w:rsidRPr="004D57B3" w:rsidRDefault="0048417A" w:rsidP="00836B55">
      <w:r w:rsidRPr="004D57B3">
        <w:t xml:space="preserve">Two included studies comparing capsule endoscopy and MRI or MRE </w:t>
      </w:r>
      <w:r>
        <w:rPr>
          <w:noProof/>
        </w:rPr>
        <w:t>(Albert et al 2005; Casciani et al 2011)</w:t>
      </w:r>
      <w:r w:rsidRPr="004D57B3">
        <w:t xml:space="preserve"> found that capsule endoscopy and MRE have similar comparative accuracy and that capsule endoscopy is more accurate than MRI without </w:t>
      </w:r>
      <w:proofErr w:type="spellStart"/>
      <w:r w:rsidRPr="004D57B3">
        <w:t>enterography</w:t>
      </w:r>
      <w:proofErr w:type="spellEnd"/>
      <w:r w:rsidRPr="004D57B3">
        <w:t xml:space="preserve">. Using a threshold of &gt;3 small bowel ulcers, the sensitivity of capsule endoscopy </w:t>
      </w:r>
      <w:r>
        <w:t>versus</w:t>
      </w:r>
      <w:r w:rsidRPr="004D57B3">
        <w:t xml:space="preserve"> MRE was 91</w:t>
      </w:r>
      <w:r>
        <w:t>%</w:t>
      </w:r>
      <w:r w:rsidRPr="004D57B3">
        <w:t xml:space="preserve"> (95% CI 57</w:t>
      </w:r>
      <w:r>
        <w:t>-</w:t>
      </w:r>
      <w:r w:rsidRPr="004D57B3">
        <w:t xml:space="preserve">100%) </w:t>
      </w:r>
      <w:r>
        <w:t>versus</w:t>
      </w:r>
      <w:r w:rsidRPr="004D57B3">
        <w:t xml:space="preserve"> 100</w:t>
      </w:r>
      <w:r>
        <w:t>%</w:t>
      </w:r>
      <w:r w:rsidRPr="004D57B3">
        <w:t xml:space="preserve"> (95% CI 82</w:t>
      </w:r>
      <w:r>
        <w:t>-</w:t>
      </w:r>
      <w:r w:rsidRPr="004D57B3">
        <w:t>100%) and the specificity was 100</w:t>
      </w:r>
      <w:r>
        <w:t>%</w:t>
      </w:r>
      <w:r w:rsidRPr="004D57B3">
        <w:t xml:space="preserve"> (95% CI 87</w:t>
      </w:r>
      <w:r>
        <w:t>-</w:t>
      </w:r>
      <w:r w:rsidRPr="004D57B3">
        <w:t xml:space="preserve">100%) </w:t>
      </w:r>
      <w:r>
        <w:t>versus</w:t>
      </w:r>
      <w:r w:rsidRPr="004D57B3">
        <w:t xml:space="preserve"> 98</w:t>
      </w:r>
      <w:r>
        <w:t>%</w:t>
      </w:r>
      <w:r w:rsidRPr="004D57B3">
        <w:t xml:space="preserve"> (</w:t>
      </w:r>
      <w:r>
        <w:t xml:space="preserve">95% CI </w:t>
      </w:r>
      <w:r w:rsidRPr="004D57B3">
        <w:t>87</w:t>
      </w:r>
      <w:r>
        <w:t>-</w:t>
      </w:r>
      <w:r w:rsidRPr="004D57B3">
        <w:t>100%). Using a threshold of any small bowel ulcers, capsule endoscopy and MRE had similar sensitivity (100% [95% CI 72</w:t>
      </w:r>
      <w:r>
        <w:t>-</w:t>
      </w:r>
      <w:r w:rsidRPr="004D57B3">
        <w:t xml:space="preserve">100%] </w:t>
      </w:r>
      <w:r>
        <w:t>versus</w:t>
      </w:r>
      <w:r w:rsidRPr="004D57B3">
        <w:t xml:space="preserve"> 100% [95% CI 82</w:t>
      </w:r>
      <w:r>
        <w:t>-</w:t>
      </w:r>
      <w:r w:rsidRPr="004D57B3">
        <w:t>100%]) and specificity (92% [95% CI 73</w:t>
      </w:r>
      <w:r>
        <w:t>-</w:t>
      </w:r>
      <w:r w:rsidRPr="004D57B3">
        <w:t xml:space="preserve">99%] </w:t>
      </w:r>
      <w:r>
        <w:t>versus</w:t>
      </w:r>
      <w:r w:rsidRPr="004D57B3">
        <w:t xml:space="preserve"> 98% [95% CI 87</w:t>
      </w:r>
      <w:r>
        <w:t>-</w:t>
      </w:r>
      <w:r w:rsidRPr="004D57B3">
        <w:t xml:space="preserve">100%]). On this basis, capsule endoscopy is considered likely to have at least comparable accuracy to MR. </w:t>
      </w:r>
    </w:p>
    <w:p w:rsidR="0048417A" w:rsidRPr="004D57B3" w:rsidRDefault="0048417A" w:rsidP="00836B55">
      <w:r w:rsidRPr="004D57B3">
        <w:t xml:space="preserve">No studies were included that compared the diagnostic accuracy of capsule endoscopy and CT (with or without </w:t>
      </w:r>
      <w:proofErr w:type="spellStart"/>
      <w:r w:rsidRPr="004D57B3">
        <w:t>enterography</w:t>
      </w:r>
      <w:proofErr w:type="spellEnd"/>
      <w:r w:rsidRPr="004D57B3">
        <w:t>).</w:t>
      </w:r>
      <w:r w:rsidR="00B81800" w:rsidRPr="004D57B3">
        <w:t xml:space="preserve"> </w:t>
      </w:r>
    </w:p>
    <w:p w:rsidR="0048417A" w:rsidRPr="004D57B3" w:rsidRDefault="0048417A" w:rsidP="00836B55">
      <w:pPr>
        <w:pStyle w:val="TableNamea"/>
        <w:ind w:left="2495"/>
        <w:sectPr w:rsidR="0048417A" w:rsidRPr="004D57B3" w:rsidSect="00836B55">
          <w:pgSz w:w="11906" w:h="16838"/>
          <w:pgMar w:top="1440" w:right="1440" w:bottom="1440" w:left="1440" w:header="720" w:footer="720" w:gutter="0"/>
          <w:paperSrc w:first="2" w:other="2"/>
          <w:cols w:space="720"/>
          <w:docGrid w:linePitch="326"/>
        </w:sectPr>
      </w:pPr>
      <w:bookmarkStart w:id="182" w:name="_Ref251759567"/>
      <w:bookmarkStart w:id="183" w:name="_Toc255305592"/>
    </w:p>
    <w:p w:rsidR="0048417A" w:rsidRPr="004D57B3" w:rsidRDefault="0048417A" w:rsidP="00836B55">
      <w:pPr>
        <w:pStyle w:val="TableName"/>
        <w:ind w:left="765" w:hanging="765"/>
      </w:pPr>
      <w:bookmarkStart w:id="184" w:name="_Ref279156019"/>
      <w:bookmarkStart w:id="185" w:name="_Toc291859586"/>
      <w:bookmarkEnd w:id="182"/>
      <w:r w:rsidRPr="004D57B3">
        <w:lastRenderedPageBreak/>
        <w:t xml:space="preserve">Table </w:t>
      </w:r>
      <w:r w:rsidR="00AE591B">
        <w:fldChar w:fldCharType="begin"/>
      </w:r>
      <w:r w:rsidR="00AE591B">
        <w:instrText xml:space="preserve"> SEQ Table \* ARABIC </w:instrText>
      </w:r>
      <w:r w:rsidR="00AE591B">
        <w:fldChar w:fldCharType="separate"/>
      </w:r>
      <w:r>
        <w:rPr>
          <w:noProof/>
        </w:rPr>
        <w:t>24</w:t>
      </w:r>
      <w:r w:rsidR="00AE591B">
        <w:rPr>
          <w:noProof/>
        </w:rPr>
        <w:fldChar w:fldCharType="end"/>
      </w:r>
      <w:bookmarkEnd w:id="184"/>
      <w:r w:rsidRPr="004D57B3">
        <w:tab/>
        <w:t>Diagnostic accuracy of capsule endoscopy for the diagnosis of suspected small bowel Crohn’s disease</w:t>
      </w:r>
      <w:bookmarkEnd w:id="183"/>
      <w:bookmarkEnd w:id="185"/>
    </w:p>
    <w:tbl>
      <w:tblPr>
        <w:tblW w:w="14138" w:type="dxa"/>
        <w:tblBorders>
          <w:top w:val="single" w:sz="4" w:space="0" w:color="auto"/>
          <w:bottom w:val="single" w:sz="4" w:space="0" w:color="auto"/>
          <w:insideH w:val="single" w:sz="4" w:space="0" w:color="auto"/>
        </w:tblBorders>
        <w:tblLayout w:type="fixed"/>
        <w:tblCellMar>
          <w:left w:w="28" w:type="dxa"/>
          <w:right w:w="28" w:type="dxa"/>
        </w:tblCellMar>
        <w:tblLook w:val="00A0" w:firstRow="1" w:lastRow="0" w:firstColumn="1" w:lastColumn="0" w:noHBand="0" w:noVBand="0"/>
      </w:tblPr>
      <w:tblGrid>
        <w:gridCol w:w="261"/>
        <w:gridCol w:w="1886"/>
        <w:gridCol w:w="551"/>
        <w:gridCol w:w="408"/>
        <w:gridCol w:w="565"/>
        <w:gridCol w:w="1035"/>
        <w:gridCol w:w="1134"/>
        <w:gridCol w:w="55"/>
        <w:gridCol w:w="414"/>
        <w:gridCol w:w="523"/>
        <w:gridCol w:w="1134"/>
        <w:gridCol w:w="592"/>
        <w:gridCol w:w="893"/>
        <w:gridCol w:w="608"/>
        <w:gridCol w:w="34"/>
        <w:gridCol w:w="859"/>
        <w:gridCol w:w="607"/>
        <w:gridCol w:w="943"/>
        <w:gridCol w:w="567"/>
        <w:gridCol w:w="993"/>
        <w:gridCol w:w="76"/>
      </w:tblGrid>
      <w:tr w:rsidR="0048417A" w:rsidRPr="004D57B3" w:rsidTr="00836B55">
        <w:trPr>
          <w:gridAfter w:val="1"/>
          <w:wAfter w:w="76" w:type="dxa"/>
          <w:trHeight w:val="278"/>
        </w:trPr>
        <w:tc>
          <w:tcPr>
            <w:tcW w:w="2147" w:type="dxa"/>
            <w:gridSpan w:val="2"/>
            <w:vMerge w:val="restart"/>
            <w:shd w:val="pct10" w:color="auto" w:fill="auto"/>
          </w:tcPr>
          <w:p w:rsidR="0048417A" w:rsidRPr="004D57B3" w:rsidRDefault="0048417A" w:rsidP="00836B55">
            <w:pPr>
              <w:pStyle w:val="TableHeading0"/>
              <w:rPr>
                <w:lang w:val="en-AU"/>
              </w:rPr>
            </w:pPr>
            <w:r w:rsidRPr="004D57B3">
              <w:rPr>
                <w:rFonts w:ascii="Arial Narrow" w:hAnsi="Arial Narrow"/>
                <w:lang w:val="en-AU"/>
              </w:rPr>
              <w:t>Author (year)</w:t>
            </w:r>
          </w:p>
        </w:tc>
        <w:tc>
          <w:tcPr>
            <w:tcW w:w="551" w:type="dxa"/>
            <w:vMerge w:val="restart"/>
            <w:shd w:val="pct10" w:color="auto" w:fill="auto"/>
          </w:tcPr>
          <w:p w:rsidR="0048417A" w:rsidRPr="004D57B3" w:rsidRDefault="0048417A" w:rsidP="00836B55">
            <w:pPr>
              <w:pStyle w:val="TableHeading0"/>
              <w:rPr>
                <w:rFonts w:ascii="Arial Narrow" w:hAnsi="Arial Narrow"/>
                <w:lang w:val="en-AU"/>
              </w:rPr>
            </w:pPr>
            <w:r w:rsidRPr="004D57B3">
              <w:rPr>
                <w:rFonts w:ascii="Arial Narrow" w:hAnsi="Arial Narrow"/>
                <w:i/>
                <w:lang w:val="en-AU"/>
              </w:rPr>
              <w:t>N</w:t>
            </w:r>
            <w:r w:rsidRPr="004D57B3">
              <w:rPr>
                <w:rFonts w:ascii="Arial Narrow" w:hAnsi="Arial Narrow"/>
                <w:lang w:val="en-AU"/>
              </w:rPr>
              <w:t xml:space="preserve"> pts</w:t>
            </w:r>
            <w:r w:rsidRPr="004D57B3">
              <w:rPr>
                <w:vertAlign w:val="superscript"/>
              </w:rPr>
              <w:t>§</w:t>
            </w:r>
          </w:p>
          <w:p w:rsidR="0048417A" w:rsidRPr="004D57B3" w:rsidRDefault="0048417A" w:rsidP="00836B55">
            <w:pPr>
              <w:pStyle w:val="TableHeading0"/>
              <w:rPr>
                <w:lang w:val="en-AU"/>
              </w:rPr>
            </w:pPr>
          </w:p>
        </w:tc>
        <w:tc>
          <w:tcPr>
            <w:tcW w:w="408" w:type="dxa"/>
            <w:vMerge w:val="restart"/>
            <w:shd w:val="pct10" w:color="auto" w:fill="auto"/>
          </w:tcPr>
          <w:p w:rsidR="0048417A" w:rsidRPr="004D57B3" w:rsidRDefault="0048417A" w:rsidP="00836B55">
            <w:pPr>
              <w:pStyle w:val="TableHeading0"/>
              <w:rPr>
                <w:rFonts w:ascii="Arial Narrow" w:hAnsi="Arial Narrow"/>
                <w:lang w:val="en-AU"/>
              </w:rPr>
            </w:pPr>
            <w:r>
              <w:rPr>
                <w:rFonts w:ascii="Arial Narrow" w:hAnsi="Arial Narrow"/>
                <w:lang w:val="en-AU"/>
              </w:rPr>
              <w:t>–</w:t>
            </w:r>
            <w:proofErr w:type="spellStart"/>
            <w:r w:rsidRPr="004D57B3">
              <w:rPr>
                <w:rFonts w:ascii="Arial Narrow" w:hAnsi="Arial Narrow"/>
                <w:lang w:val="en-AU"/>
              </w:rPr>
              <w:t>ve</w:t>
            </w:r>
            <w:proofErr w:type="spellEnd"/>
          </w:p>
          <w:p w:rsidR="0048417A" w:rsidRPr="004D57B3" w:rsidRDefault="0048417A" w:rsidP="00836B55">
            <w:pPr>
              <w:pStyle w:val="TableHeading0"/>
              <w:rPr>
                <w:sz w:val="16"/>
                <w:szCs w:val="16"/>
                <w:lang w:val="en-AU"/>
              </w:rPr>
            </w:pPr>
            <w:r w:rsidRPr="004D57B3">
              <w:rPr>
                <w:rFonts w:ascii="Arial Narrow" w:hAnsi="Arial Narrow"/>
                <w:sz w:val="16"/>
                <w:szCs w:val="16"/>
                <w:lang w:val="en-AU"/>
              </w:rPr>
              <w:t>C+IL</w:t>
            </w:r>
            <w:r w:rsidRPr="004D57B3">
              <w:rPr>
                <w:rFonts w:ascii="Arial Narrow" w:hAnsi="Arial Narrow"/>
                <w:b w:val="0"/>
                <w:sz w:val="16"/>
                <w:szCs w:val="16"/>
                <w:lang w:val="en-AU"/>
              </w:rPr>
              <w:t>°</w:t>
            </w:r>
          </w:p>
        </w:tc>
        <w:tc>
          <w:tcPr>
            <w:tcW w:w="565" w:type="dxa"/>
            <w:vMerge w:val="restart"/>
            <w:shd w:val="pct10" w:color="auto" w:fill="auto"/>
          </w:tcPr>
          <w:p w:rsidR="0048417A" w:rsidRPr="004D57B3" w:rsidRDefault="0048417A" w:rsidP="00836B55">
            <w:pPr>
              <w:pStyle w:val="TableHeading0"/>
              <w:rPr>
                <w:rFonts w:ascii="Arial Narrow" w:hAnsi="Arial Narrow"/>
                <w:lang w:val="en-AU"/>
              </w:rPr>
            </w:pPr>
            <w:r>
              <w:rPr>
                <w:rFonts w:ascii="Arial Narrow" w:hAnsi="Arial Narrow"/>
                <w:lang w:val="en-AU"/>
              </w:rPr>
              <w:t>–</w:t>
            </w:r>
            <w:proofErr w:type="spellStart"/>
            <w:r w:rsidRPr="004D57B3">
              <w:rPr>
                <w:rFonts w:ascii="Arial Narrow" w:hAnsi="Arial Narrow"/>
                <w:lang w:val="en-AU"/>
              </w:rPr>
              <w:t>ve</w:t>
            </w:r>
            <w:proofErr w:type="spellEnd"/>
          </w:p>
          <w:p w:rsidR="0048417A" w:rsidRPr="004D57B3" w:rsidRDefault="0048417A" w:rsidP="00836B55">
            <w:pPr>
              <w:pStyle w:val="TableHeading0"/>
              <w:rPr>
                <w:sz w:val="16"/>
                <w:szCs w:val="16"/>
                <w:lang w:val="en-AU"/>
              </w:rPr>
            </w:pPr>
            <w:r w:rsidRPr="004D57B3">
              <w:rPr>
                <w:rFonts w:ascii="Arial Narrow" w:hAnsi="Arial Narrow"/>
                <w:sz w:val="16"/>
                <w:szCs w:val="16"/>
                <w:lang w:val="en-AU"/>
              </w:rPr>
              <w:t>SBR</w:t>
            </w:r>
            <w:r w:rsidRPr="004D57B3">
              <w:rPr>
                <w:rFonts w:ascii="Arial Narrow" w:hAnsi="Arial Narrow"/>
                <w:b w:val="0"/>
                <w:sz w:val="16"/>
                <w:szCs w:val="16"/>
                <w:lang w:val="en-AU"/>
              </w:rPr>
              <w:t>°</w:t>
            </w:r>
          </w:p>
        </w:tc>
        <w:tc>
          <w:tcPr>
            <w:tcW w:w="2169" w:type="dxa"/>
            <w:gridSpan w:val="2"/>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Sensitivity % (95% CI)</w:t>
            </w:r>
          </w:p>
        </w:tc>
        <w:tc>
          <w:tcPr>
            <w:tcW w:w="2126" w:type="dxa"/>
            <w:gridSpan w:val="4"/>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Specificity % (95% CI)</w:t>
            </w:r>
          </w:p>
        </w:tc>
        <w:tc>
          <w:tcPr>
            <w:tcW w:w="1485" w:type="dxa"/>
            <w:gridSpan w:val="2"/>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LR+</w:t>
            </w:r>
          </w:p>
        </w:tc>
        <w:tc>
          <w:tcPr>
            <w:tcW w:w="1501" w:type="dxa"/>
            <w:gridSpan w:val="3"/>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LR</w:t>
            </w:r>
            <w:r>
              <w:rPr>
                <w:rFonts w:ascii="Arial Narrow" w:hAnsi="Arial Narrow"/>
                <w:lang w:val="en-AU"/>
              </w:rPr>
              <w:t>–</w:t>
            </w:r>
          </w:p>
        </w:tc>
        <w:tc>
          <w:tcPr>
            <w:tcW w:w="1550" w:type="dxa"/>
            <w:gridSpan w:val="2"/>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 xml:space="preserve">TP:FP </w:t>
            </w:r>
          </w:p>
          <w:p w:rsidR="0048417A" w:rsidRPr="004D57B3" w:rsidRDefault="0048417A" w:rsidP="00836B55">
            <w:pPr>
              <w:pStyle w:val="TableHeading0"/>
              <w:jc w:val="center"/>
              <w:rPr>
                <w:rFonts w:ascii="Arial Narrow" w:hAnsi="Arial Narrow"/>
                <w:lang w:val="en-AU"/>
              </w:rPr>
            </w:pPr>
          </w:p>
        </w:tc>
        <w:tc>
          <w:tcPr>
            <w:tcW w:w="1560" w:type="dxa"/>
            <w:gridSpan w:val="2"/>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 xml:space="preserve">TN:FN </w:t>
            </w:r>
          </w:p>
          <w:p w:rsidR="0048417A" w:rsidRPr="004D57B3" w:rsidRDefault="0048417A" w:rsidP="00836B55">
            <w:pPr>
              <w:pStyle w:val="TableHeading0"/>
              <w:jc w:val="center"/>
              <w:rPr>
                <w:rFonts w:ascii="Arial Narrow" w:hAnsi="Arial Narrow"/>
                <w:lang w:val="en-AU"/>
              </w:rPr>
            </w:pPr>
          </w:p>
        </w:tc>
      </w:tr>
      <w:tr w:rsidR="0048417A" w:rsidRPr="004D57B3" w:rsidTr="00836B55">
        <w:trPr>
          <w:gridAfter w:val="1"/>
          <w:wAfter w:w="76" w:type="dxa"/>
          <w:trHeight w:val="148"/>
        </w:trPr>
        <w:tc>
          <w:tcPr>
            <w:tcW w:w="2147" w:type="dxa"/>
            <w:gridSpan w:val="2"/>
            <w:vMerge/>
          </w:tcPr>
          <w:p w:rsidR="0048417A" w:rsidRPr="004D57B3" w:rsidRDefault="0048417A" w:rsidP="00836B55">
            <w:pPr>
              <w:pStyle w:val="TableHeading0"/>
              <w:rPr>
                <w:lang w:val="en-AU"/>
              </w:rPr>
            </w:pPr>
          </w:p>
        </w:tc>
        <w:tc>
          <w:tcPr>
            <w:tcW w:w="551" w:type="dxa"/>
            <w:vMerge/>
          </w:tcPr>
          <w:p w:rsidR="0048417A" w:rsidRPr="004D57B3" w:rsidRDefault="0048417A" w:rsidP="00836B55">
            <w:pPr>
              <w:pStyle w:val="TableHeading0"/>
              <w:rPr>
                <w:lang w:val="en-AU"/>
              </w:rPr>
            </w:pPr>
          </w:p>
        </w:tc>
        <w:tc>
          <w:tcPr>
            <w:tcW w:w="408" w:type="dxa"/>
            <w:vMerge/>
          </w:tcPr>
          <w:p w:rsidR="0048417A" w:rsidRPr="004D57B3" w:rsidRDefault="0048417A" w:rsidP="00836B55">
            <w:pPr>
              <w:pStyle w:val="TableHeading0"/>
              <w:rPr>
                <w:lang w:val="en-AU"/>
              </w:rPr>
            </w:pPr>
          </w:p>
        </w:tc>
        <w:tc>
          <w:tcPr>
            <w:tcW w:w="565" w:type="dxa"/>
            <w:vMerge/>
          </w:tcPr>
          <w:p w:rsidR="0048417A" w:rsidRPr="004D57B3" w:rsidRDefault="0048417A" w:rsidP="00836B55">
            <w:pPr>
              <w:pStyle w:val="TableHeading0"/>
              <w:rPr>
                <w:lang w:val="en-AU"/>
              </w:rPr>
            </w:pPr>
          </w:p>
        </w:tc>
        <w:tc>
          <w:tcPr>
            <w:tcW w:w="1035" w:type="dxa"/>
            <w:shd w:val="pct10" w:color="auto" w:fill="auto"/>
            <w:vAlign w:val="center"/>
          </w:tcPr>
          <w:p w:rsidR="0048417A" w:rsidRPr="004D57B3" w:rsidRDefault="0048417A" w:rsidP="00836B55">
            <w:pPr>
              <w:pStyle w:val="TableHeading0"/>
              <w:jc w:val="center"/>
              <w:rPr>
                <w:lang w:val="en-AU"/>
              </w:rPr>
            </w:pPr>
            <w:r w:rsidRPr="004D57B3">
              <w:rPr>
                <w:rFonts w:ascii="Arial Narrow" w:hAnsi="Arial Narrow"/>
                <w:lang w:val="en-AU"/>
              </w:rPr>
              <w:t>CE</w:t>
            </w:r>
          </w:p>
        </w:tc>
        <w:tc>
          <w:tcPr>
            <w:tcW w:w="1134" w:type="dxa"/>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Comparator</w:t>
            </w:r>
          </w:p>
        </w:tc>
        <w:tc>
          <w:tcPr>
            <w:tcW w:w="992" w:type="dxa"/>
            <w:gridSpan w:val="3"/>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CE</w:t>
            </w:r>
          </w:p>
        </w:tc>
        <w:tc>
          <w:tcPr>
            <w:tcW w:w="1134" w:type="dxa"/>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Comparator</w:t>
            </w:r>
          </w:p>
        </w:tc>
        <w:tc>
          <w:tcPr>
            <w:tcW w:w="592" w:type="dxa"/>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CE</w:t>
            </w:r>
          </w:p>
        </w:tc>
        <w:tc>
          <w:tcPr>
            <w:tcW w:w="893" w:type="dxa"/>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Comparator</w:t>
            </w:r>
          </w:p>
        </w:tc>
        <w:tc>
          <w:tcPr>
            <w:tcW w:w="608" w:type="dxa"/>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CE</w:t>
            </w:r>
          </w:p>
        </w:tc>
        <w:tc>
          <w:tcPr>
            <w:tcW w:w="893" w:type="dxa"/>
            <w:gridSpan w:val="2"/>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Comparator</w:t>
            </w:r>
          </w:p>
        </w:tc>
        <w:tc>
          <w:tcPr>
            <w:tcW w:w="607" w:type="dxa"/>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CE</w:t>
            </w:r>
          </w:p>
        </w:tc>
        <w:tc>
          <w:tcPr>
            <w:tcW w:w="943" w:type="dxa"/>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Comparator</w:t>
            </w:r>
          </w:p>
        </w:tc>
        <w:tc>
          <w:tcPr>
            <w:tcW w:w="567" w:type="dxa"/>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CE</w:t>
            </w:r>
          </w:p>
        </w:tc>
        <w:tc>
          <w:tcPr>
            <w:tcW w:w="993" w:type="dxa"/>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Comparator</w:t>
            </w:r>
          </w:p>
        </w:tc>
      </w:tr>
      <w:tr w:rsidR="0048417A" w:rsidRPr="004D57B3" w:rsidTr="00836B55">
        <w:trPr>
          <w:gridAfter w:val="1"/>
          <w:wAfter w:w="76" w:type="dxa"/>
          <w:trHeight w:val="294"/>
        </w:trPr>
        <w:tc>
          <w:tcPr>
            <w:tcW w:w="10952" w:type="dxa"/>
            <w:gridSpan w:val="16"/>
            <w:shd w:val="pct5" w:color="auto" w:fill="auto"/>
          </w:tcPr>
          <w:p w:rsidR="0048417A" w:rsidRPr="004D57B3" w:rsidRDefault="0048417A" w:rsidP="00836B55">
            <w:pPr>
              <w:pStyle w:val="TableText"/>
              <w:rPr>
                <w:b/>
              </w:rPr>
            </w:pPr>
            <w:r w:rsidRPr="004D57B3">
              <w:rPr>
                <w:b/>
              </w:rPr>
              <w:t xml:space="preserve">CE </w:t>
            </w:r>
            <w:r>
              <w:rPr>
                <w:b/>
              </w:rPr>
              <w:t>versus</w:t>
            </w:r>
            <w:r w:rsidRPr="004D57B3">
              <w:rPr>
                <w:b/>
              </w:rPr>
              <w:t xml:space="preserve"> MR</w:t>
            </w:r>
          </w:p>
        </w:tc>
        <w:tc>
          <w:tcPr>
            <w:tcW w:w="607" w:type="dxa"/>
            <w:shd w:val="pct5" w:color="auto" w:fill="auto"/>
          </w:tcPr>
          <w:p w:rsidR="0048417A" w:rsidRPr="004D57B3" w:rsidRDefault="0048417A" w:rsidP="00836B55">
            <w:pPr>
              <w:pStyle w:val="TableText"/>
            </w:pPr>
          </w:p>
        </w:tc>
        <w:tc>
          <w:tcPr>
            <w:tcW w:w="943" w:type="dxa"/>
            <w:shd w:val="pct5" w:color="auto" w:fill="auto"/>
          </w:tcPr>
          <w:p w:rsidR="0048417A" w:rsidRPr="004D57B3" w:rsidRDefault="0048417A" w:rsidP="00836B55">
            <w:pPr>
              <w:pStyle w:val="TableText"/>
            </w:pPr>
          </w:p>
        </w:tc>
        <w:tc>
          <w:tcPr>
            <w:tcW w:w="567" w:type="dxa"/>
            <w:shd w:val="pct5" w:color="auto" w:fill="auto"/>
          </w:tcPr>
          <w:p w:rsidR="0048417A" w:rsidRPr="004D57B3" w:rsidRDefault="0048417A" w:rsidP="00836B55">
            <w:pPr>
              <w:pStyle w:val="TableText"/>
            </w:pPr>
          </w:p>
        </w:tc>
        <w:tc>
          <w:tcPr>
            <w:tcW w:w="993" w:type="dxa"/>
            <w:shd w:val="pct5" w:color="auto" w:fill="auto"/>
          </w:tcPr>
          <w:p w:rsidR="0048417A" w:rsidRPr="004D57B3" w:rsidRDefault="0048417A" w:rsidP="00836B55">
            <w:pPr>
              <w:pStyle w:val="TableText"/>
            </w:pPr>
          </w:p>
        </w:tc>
      </w:tr>
      <w:tr w:rsidR="0048417A" w:rsidRPr="004D57B3" w:rsidTr="00836B55">
        <w:trPr>
          <w:gridAfter w:val="1"/>
          <w:wAfter w:w="76" w:type="dxa"/>
          <w:trHeight w:val="216"/>
        </w:trPr>
        <w:tc>
          <w:tcPr>
            <w:tcW w:w="261" w:type="dxa"/>
            <w:vMerge w:val="restart"/>
          </w:tcPr>
          <w:p w:rsidR="0048417A" w:rsidRPr="004D57B3" w:rsidRDefault="0048417A" w:rsidP="00836B55">
            <w:pPr>
              <w:pStyle w:val="TableText"/>
            </w:pPr>
          </w:p>
        </w:tc>
        <w:tc>
          <w:tcPr>
            <w:tcW w:w="10691" w:type="dxa"/>
            <w:gridSpan w:val="15"/>
          </w:tcPr>
          <w:p w:rsidR="0048417A" w:rsidRPr="00B0412F" w:rsidRDefault="0048417A" w:rsidP="00836B55">
            <w:pPr>
              <w:pStyle w:val="TableText0"/>
              <w:spacing w:before="0" w:after="0"/>
              <w:rPr>
                <w:rFonts w:ascii="Arial Narrow" w:hAnsi="Arial Narrow"/>
                <w:i/>
              </w:rPr>
            </w:pPr>
            <w:r w:rsidRPr="00B0412F">
              <w:rPr>
                <w:rFonts w:ascii="Arial Narrow" w:hAnsi="Arial Narrow"/>
                <w:i/>
              </w:rPr>
              <w:t>&gt;3 small bowel ulcers</w:t>
            </w:r>
          </w:p>
        </w:tc>
        <w:tc>
          <w:tcPr>
            <w:tcW w:w="607" w:type="dxa"/>
          </w:tcPr>
          <w:p w:rsidR="0048417A" w:rsidRPr="00B0412F" w:rsidRDefault="0048417A" w:rsidP="00836B55">
            <w:pPr>
              <w:pStyle w:val="TableText0"/>
              <w:spacing w:before="0" w:after="0"/>
              <w:rPr>
                <w:rFonts w:ascii="Arial Narrow" w:hAnsi="Arial Narrow"/>
                <w:i/>
              </w:rPr>
            </w:pPr>
          </w:p>
        </w:tc>
        <w:tc>
          <w:tcPr>
            <w:tcW w:w="943" w:type="dxa"/>
          </w:tcPr>
          <w:p w:rsidR="0048417A" w:rsidRPr="00B0412F" w:rsidRDefault="0048417A" w:rsidP="00836B55">
            <w:pPr>
              <w:pStyle w:val="TableText0"/>
              <w:spacing w:before="0" w:after="0"/>
              <w:rPr>
                <w:rFonts w:ascii="Arial Narrow" w:hAnsi="Arial Narrow"/>
                <w:i/>
              </w:rPr>
            </w:pPr>
          </w:p>
        </w:tc>
        <w:tc>
          <w:tcPr>
            <w:tcW w:w="567" w:type="dxa"/>
          </w:tcPr>
          <w:p w:rsidR="0048417A" w:rsidRPr="00B0412F" w:rsidRDefault="0048417A" w:rsidP="00836B55">
            <w:pPr>
              <w:pStyle w:val="TableText0"/>
              <w:spacing w:before="0" w:after="0"/>
              <w:rPr>
                <w:rFonts w:ascii="Arial Narrow" w:hAnsi="Arial Narrow"/>
                <w:i/>
              </w:rPr>
            </w:pPr>
          </w:p>
        </w:tc>
        <w:tc>
          <w:tcPr>
            <w:tcW w:w="993" w:type="dxa"/>
          </w:tcPr>
          <w:p w:rsidR="0048417A" w:rsidRPr="00B0412F" w:rsidRDefault="0048417A" w:rsidP="00836B55">
            <w:pPr>
              <w:pStyle w:val="TableText0"/>
              <w:spacing w:before="0" w:after="0"/>
              <w:rPr>
                <w:rFonts w:ascii="Arial Narrow" w:hAnsi="Arial Narrow"/>
                <w:i/>
              </w:rPr>
            </w:pPr>
          </w:p>
        </w:tc>
      </w:tr>
      <w:tr w:rsidR="0048417A" w:rsidRPr="004D57B3" w:rsidTr="00836B55">
        <w:trPr>
          <w:gridAfter w:val="1"/>
          <w:wAfter w:w="76" w:type="dxa"/>
          <w:trHeight w:val="148"/>
        </w:trPr>
        <w:tc>
          <w:tcPr>
            <w:tcW w:w="261" w:type="dxa"/>
            <w:vMerge/>
          </w:tcPr>
          <w:p w:rsidR="0048417A" w:rsidRPr="004D57B3" w:rsidRDefault="0048417A" w:rsidP="00836B55">
            <w:pPr>
              <w:pStyle w:val="TableText"/>
              <w:spacing w:before="0" w:after="0"/>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Casciani</w:t>
            </w:r>
            <w:proofErr w:type="spellEnd"/>
            <w:r w:rsidRPr="004D57B3">
              <w:rPr>
                <w:sz w:val="18"/>
                <w:szCs w:val="18"/>
              </w:rPr>
              <w:t xml:space="preserve"> et al 2010 – MRE</w:t>
            </w:r>
          </w:p>
        </w:tc>
        <w:tc>
          <w:tcPr>
            <w:tcW w:w="551" w:type="dxa"/>
          </w:tcPr>
          <w:p w:rsidR="0048417A" w:rsidRPr="004D57B3" w:rsidRDefault="0048417A" w:rsidP="00836B55">
            <w:pPr>
              <w:pStyle w:val="TableText"/>
              <w:spacing w:before="0" w:after="0"/>
              <w:jc w:val="center"/>
              <w:rPr>
                <w:lang w:eastAsia="en-US"/>
              </w:rPr>
            </w:pPr>
            <w:r w:rsidRPr="004D57B3">
              <w:rPr>
                <w:lang w:eastAsia="en-US"/>
              </w:rPr>
              <w:t>37 (60)</w:t>
            </w:r>
          </w:p>
        </w:tc>
        <w:tc>
          <w:tcPr>
            <w:tcW w:w="973" w:type="dxa"/>
            <w:gridSpan w:val="2"/>
          </w:tcPr>
          <w:p w:rsidR="0048417A" w:rsidRPr="004D57B3" w:rsidRDefault="0048417A" w:rsidP="00836B55">
            <w:pPr>
              <w:pStyle w:val="TableText"/>
              <w:spacing w:before="0" w:after="0"/>
              <w:rPr>
                <w:lang w:eastAsia="en-US"/>
              </w:rPr>
            </w:pPr>
            <w:r w:rsidRPr="004D57B3">
              <w:rPr>
                <w:lang w:eastAsia="en-US"/>
              </w:rPr>
              <w:t>Unclear</w:t>
            </w:r>
          </w:p>
        </w:tc>
        <w:tc>
          <w:tcPr>
            <w:tcW w:w="1035"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91(57-100)</w:t>
            </w:r>
          </w:p>
        </w:tc>
        <w:tc>
          <w:tcPr>
            <w:tcW w:w="1134"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100(82-100)</w:t>
            </w:r>
          </w:p>
        </w:tc>
        <w:tc>
          <w:tcPr>
            <w:tcW w:w="992" w:type="dxa"/>
            <w:gridSpan w:val="3"/>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100(87-100)</w:t>
            </w:r>
          </w:p>
        </w:tc>
        <w:tc>
          <w:tcPr>
            <w:tcW w:w="1134"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98(87-100)</w:t>
            </w:r>
          </w:p>
        </w:tc>
        <w:tc>
          <w:tcPr>
            <w:tcW w:w="592" w:type="dxa"/>
          </w:tcPr>
          <w:p w:rsidR="0048417A" w:rsidRPr="00B0412F" w:rsidRDefault="0048417A" w:rsidP="00836B55">
            <w:pPr>
              <w:pStyle w:val="TableText0"/>
              <w:spacing w:before="0" w:after="0"/>
              <w:jc w:val="center"/>
              <w:rPr>
                <w:rFonts w:ascii="Arial Narrow" w:hAnsi="Arial Narrow"/>
              </w:rPr>
            </w:pPr>
            <w:proofErr w:type="spellStart"/>
            <w:r w:rsidRPr="00B0412F">
              <w:rPr>
                <w:rFonts w:ascii="Arial Narrow" w:hAnsi="Arial Narrow"/>
              </w:rPr>
              <w:t>nd</w:t>
            </w:r>
            <w:proofErr w:type="spellEnd"/>
          </w:p>
        </w:tc>
        <w:tc>
          <w:tcPr>
            <w:tcW w:w="893"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41.00</w:t>
            </w:r>
          </w:p>
        </w:tc>
        <w:tc>
          <w:tcPr>
            <w:tcW w:w="642" w:type="dxa"/>
            <w:gridSpan w:val="2"/>
          </w:tcPr>
          <w:p w:rsidR="0048417A" w:rsidRPr="00B0412F" w:rsidRDefault="0048417A" w:rsidP="00836B55">
            <w:pPr>
              <w:pStyle w:val="TableText0"/>
              <w:spacing w:before="0" w:after="0"/>
              <w:rPr>
                <w:rFonts w:ascii="Arial Narrow" w:hAnsi="Arial Narrow"/>
              </w:rPr>
            </w:pPr>
            <w:r w:rsidRPr="00B0412F">
              <w:rPr>
                <w:rFonts w:ascii="Arial Narrow" w:hAnsi="Arial Narrow"/>
              </w:rPr>
              <w:t xml:space="preserve">   0.09</w:t>
            </w:r>
          </w:p>
        </w:tc>
        <w:tc>
          <w:tcPr>
            <w:tcW w:w="859"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 xml:space="preserve"> 0.00</w:t>
            </w:r>
          </w:p>
        </w:tc>
        <w:tc>
          <w:tcPr>
            <w:tcW w:w="607"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10:0</w:t>
            </w:r>
          </w:p>
        </w:tc>
        <w:tc>
          <w:tcPr>
            <w:tcW w:w="943"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19:1</w:t>
            </w:r>
          </w:p>
        </w:tc>
        <w:tc>
          <w:tcPr>
            <w:tcW w:w="567"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26:1</w:t>
            </w:r>
          </w:p>
        </w:tc>
        <w:tc>
          <w:tcPr>
            <w:tcW w:w="993" w:type="dxa"/>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40:0</w:t>
            </w:r>
          </w:p>
        </w:tc>
      </w:tr>
      <w:tr w:rsidR="0048417A" w:rsidRPr="004D57B3" w:rsidTr="00836B55">
        <w:trPr>
          <w:gridAfter w:val="1"/>
          <w:wAfter w:w="76" w:type="dxa"/>
          <w:trHeight w:val="148"/>
        </w:trPr>
        <w:tc>
          <w:tcPr>
            <w:tcW w:w="261" w:type="dxa"/>
            <w:vMerge/>
          </w:tcPr>
          <w:p w:rsidR="0048417A" w:rsidRPr="004D57B3" w:rsidRDefault="0048417A" w:rsidP="00836B55">
            <w:pPr>
              <w:pStyle w:val="TableText"/>
            </w:pPr>
          </w:p>
        </w:tc>
        <w:tc>
          <w:tcPr>
            <w:tcW w:w="10691" w:type="dxa"/>
            <w:gridSpan w:val="15"/>
          </w:tcPr>
          <w:p w:rsidR="0048417A" w:rsidRPr="00B0412F" w:rsidRDefault="0048417A" w:rsidP="00836B55">
            <w:pPr>
              <w:pStyle w:val="TableText0"/>
              <w:rPr>
                <w:rFonts w:ascii="Arial Narrow" w:hAnsi="Arial Narrow"/>
                <w:i/>
              </w:rPr>
            </w:pPr>
            <w:r w:rsidRPr="00B0412F">
              <w:rPr>
                <w:rFonts w:ascii="Arial Narrow" w:hAnsi="Arial Narrow"/>
                <w:i/>
              </w:rPr>
              <w:t>≥2 ulcers or Crohn’s specific lesions</w:t>
            </w:r>
          </w:p>
        </w:tc>
        <w:tc>
          <w:tcPr>
            <w:tcW w:w="607" w:type="dxa"/>
          </w:tcPr>
          <w:p w:rsidR="0048417A" w:rsidRPr="00B0412F" w:rsidRDefault="0048417A" w:rsidP="00836B55">
            <w:pPr>
              <w:pStyle w:val="TableText0"/>
              <w:spacing w:before="0" w:after="0"/>
              <w:rPr>
                <w:rFonts w:ascii="Arial Narrow" w:hAnsi="Arial Narrow"/>
                <w:i/>
              </w:rPr>
            </w:pPr>
          </w:p>
        </w:tc>
        <w:tc>
          <w:tcPr>
            <w:tcW w:w="943" w:type="dxa"/>
          </w:tcPr>
          <w:p w:rsidR="0048417A" w:rsidRPr="00B0412F" w:rsidRDefault="0048417A" w:rsidP="00836B55">
            <w:pPr>
              <w:pStyle w:val="TableText0"/>
              <w:spacing w:before="0" w:after="0"/>
              <w:rPr>
                <w:rFonts w:ascii="Arial Narrow" w:hAnsi="Arial Narrow"/>
                <w:i/>
              </w:rPr>
            </w:pPr>
          </w:p>
        </w:tc>
        <w:tc>
          <w:tcPr>
            <w:tcW w:w="567" w:type="dxa"/>
          </w:tcPr>
          <w:p w:rsidR="0048417A" w:rsidRPr="00B0412F" w:rsidRDefault="0048417A" w:rsidP="00836B55">
            <w:pPr>
              <w:pStyle w:val="TableText0"/>
              <w:spacing w:before="0" w:after="0"/>
              <w:rPr>
                <w:rFonts w:ascii="Arial Narrow" w:hAnsi="Arial Narrow"/>
                <w:i/>
              </w:rPr>
            </w:pPr>
          </w:p>
        </w:tc>
        <w:tc>
          <w:tcPr>
            <w:tcW w:w="993" w:type="dxa"/>
          </w:tcPr>
          <w:p w:rsidR="0048417A" w:rsidRPr="00B0412F" w:rsidRDefault="0048417A" w:rsidP="00836B55">
            <w:pPr>
              <w:pStyle w:val="TableText0"/>
              <w:spacing w:before="0" w:after="0"/>
              <w:rPr>
                <w:rFonts w:ascii="Arial Narrow" w:hAnsi="Arial Narrow"/>
                <w:i/>
              </w:rPr>
            </w:pPr>
          </w:p>
        </w:tc>
      </w:tr>
      <w:tr w:rsidR="0048417A" w:rsidRPr="004D57B3" w:rsidTr="00836B55">
        <w:trPr>
          <w:gridAfter w:val="1"/>
          <w:wAfter w:w="76" w:type="dxa"/>
          <w:trHeight w:val="148"/>
        </w:trPr>
        <w:tc>
          <w:tcPr>
            <w:tcW w:w="261" w:type="dxa"/>
            <w:vMerge/>
            <w:tcBorders>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r w:rsidRPr="004D57B3">
              <w:rPr>
                <w:sz w:val="18"/>
                <w:szCs w:val="18"/>
              </w:rPr>
              <w:t>Albert et al 2005</w:t>
            </w:r>
            <w:r w:rsidRPr="004D57B3">
              <w:rPr>
                <w:vertAlign w:val="superscript"/>
              </w:rPr>
              <w:t xml:space="preserve">† </w:t>
            </w:r>
            <w:r w:rsidRPr="004D57B3">
              <w:rPr>
                <w:sz w:val="18"/>
                <w:szCs w:val="18"/>
              </w:rPr>
              <w:t xml:space="preserve">– </w:t>
            </w:r>
            <w:r w:rsidRPr="0053410C">
              <w:t>MRI</w:t>
            </w:r>
          </w:p>
        </w:tc>
        <w:tc>
          <w:tcPr>
            <w:tcW w:w="551" w:type="dxa"/>
          </w:tcPr>
          <w:p w:rsidR="0048417A" w:rsidRPr="004D57B3" w:rsidRDefault="0048417A" w:rsidP="00836B55">
            <w:pPr>
              <w:pStyle w:val="TableText"/>
              <w:jc w:val="center"/>
              <w:rPr>
                <w:lang w:eastAsia="en-US"/>
              </w:rPr>
            </w:pPr>
            <w:r w:rsidRPr="004D57B3">
              <w:rPr>
                <w:lang w:eastAsia="en-US"/>
              </w:rPr>
              <w:t>24 (24)</w:t>
            </w:r>
          </w:p>
        </w:tc>
        <w:tc>
          <w:tcPr>
            <w:tcW w:w="408" w:type="dxa"/>
          </w:tcPr>
          <w:p w:rsidR="0048417A" w:rsidRPr="004D57B3" w:rsidRDefault="0048417A" w:rsidP="00836B55">
            <w:pPr>
              <w:pStyle w:val="TableText"/>
              <w:rPr>
                <w:lang w:eastAsia="en-US"/>
              </w:rPr>
            </w:pPr>
            <w:r w:rsidRPr="004D57B3">
              <w:rPr>
                <w:szCs w:val="18"/>
                <w:lang w:eastAsia="en-US"/>
              </w:rPr>
              <w:sym w:font="Wingdings 2" w:char="F0CF"/>
            </w:r>
          </w:p>
        </w:tc>
        <w:tc>
          <w:tcPr>
            <w:tcW w:w="565" w:type="dxa"/>
          </w:tcPr>
          <w:p w:rsidR="0048417A" w:rsidRPr="004D57B3" w:rsidRDefault="0048417A" w:rsidP="00836B55">
            <w:pPr>
              <w:pStyle w:val="TableText"/>
              <w:rPr>
                <w:lang w:eastAsia="en-US"/>
              </w:rPr>
            </w:pPr>
            <w:r w:rsidRPr="004D57B3">
              <w:rPr>
                <w:szCs w:val="18"/>
                <w:lang w:eastAsia="en-US"/>
              </w:rPr>
              <w:sym w:font="Wingdings 2" w:char="F0CF"/>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92(62-100)</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71(42-90)</w:t>
            </w:r>
          </w:p>
        </w:tc>
        <w:tc>
          <w:tcPr>
            <w:tcW w:w="992" w:type="dxa"/>
            <w:gridSpan w:val="3"/>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100(72-100)</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80(44-96)</w:t>
            </w:r>
          </w:p>
        </w:tc>
        <w:tc>
          <w:tcPr>
            <w:tcW w:w="592" w:type="dxa"/>
          </w:tcPr>
          <w:p w:rsidR="0048417A" w:rsidRPr="00B0412F" w:rsidRDefault="0048417A" w:rsidP="00836B55">
            <w:pPr>
              <w:pStyle w:val="TableText0"/>
              <w:jc w:val="center"/>
              <w:rPr>
                <w:rFonts w:ascii="Arial Narrow" w:hAnsi="Arial Narrow"/>
              </w:rPr>
            </w:pPr>
            <w:proofErr w:type="spellStart"/>
            <w:r w:rsidRPr="00B0412F">
              <w:rPr>
                <w:rFonts w:ascii="Arial Narrow" w:hAnsi="Arial Narrow"/>
              </w:rPr>
              <w:t>nd</w:t>
            </w:r>
            <w:proofErr w:type="spellEnd"/>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3.57</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0.08</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0.36</w:t>
            </w:r>
          </w:p>
        </w:tc>
        <w:tc>
          <w:tcPr>
            <w:tcW w:w="607"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12:0</w:t>
            </w:r>
          </w:p>
        </w:tc>
        <w:tc>
          <w:tcPr>
            <w:tcW w:w="943"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5:1</w:t>
            </w:r>
          </w:p>
        </w:tc>
        <w:tc>
          <w:tcPr>
            <w:tcW w:w="567"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11:1</w:t>
            </w:r>
          </w:p>
        </w:tc>
        <w:tc>
          <w:tcPr>
            <w:tcW w:w="993"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2:1</w:t>
            </w:r>
          </w:p>
        </w:tc>
      </w:tr>
      <w:tr w:rsidR="0048417A" w:rsidRPr="004D57B3" w:rsidTr="00836B55">
        <w:trPr>
          <w:gridAfter w:val="1"/>
          <w:wAfter w:w="76" w:type="dxa"/>
          <w:trHeight w:val="148"/>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r w:rsidRPr="004D57B3">
              <w:rPr>
                <w:i/>
                <w:sz w:val="18"/>
                <w:szCs w:val="18"/>
              </w:rPr>
              <w:t>Any small bowel ulcers</w:t>
            </w:r>
          </w:p>
        </w:tc>
        <w:tc>
          <w:tcPr>
            <w:tcW w:w="551" w:type="dxa"/>
          </w:tcPr>
          <w:p w:rsidR="0048417A" w:rsidRPr="004D57B3" w:rsidRDefault="0048417A" w:rsidP="00836B55">
            <w:pPr>
              <w:pStyle w:val="TableText"/>
              <w:jc w:val="center"/>
              <w:rPr>
                <w:lang w:eastAsia="en-US"/>
              </w:rPr>
            </w:pPr>
          </w:p>
        </w:tc>
        <w:tc>
          <w:tcPr>
            <w:tcW w:w="408" w:type="dxa"/>
          </w:tcPr>
          <w:p w:rsidR="0048417A" w:rsidRPr="004D57B3" w:rsidRDefault="0048417A" w:rsidP="00836B55">
            <w:pPr>
              <w:pStyle w:val="TableText"/>
              <w:jc w:val="center"/>
              <w:rPr>
                <w:lang w:eastAsia="en-US"/>
              </w:rPr>
            </w:pPr>
          </w:p>
        </w:tc>
        <w:tc>
          <w:tcPr>
            <w:tcW w:w="565" w:type="dxa"/>
          </w:tcPr>
          <w:p w:rsidR="0048417A" w:rsidRPr="004D57B3" w:rsidRDefault="0048417A" w:rsidP="00836B55">
            <w:pPr>
              <w:pStyle w:val="TableText"/>
              <w:rPr>
                <w:lang w:eastAsia="en-US"/>
              </w:rPr>
            </w:pPr>
          </w:p>
        </w:tc>
        <w:tc>
          <w:tcPr>
            <w:tcW w:w="1035" w:type="dxa"/>
          </w:tcPr>
          <w:p w:rsidR="0048417A" w:rsidRPr="00B0412F" w:rsidRDefault="0048417A" w:rsidP="00836B55">
            <w:pPr>
              <w:pStyle w:val="TableText0"/>
              <w:jc w:val="center"/>
              <w:rPr>
                <w:rFonts w:ascii="Arial Narrow" w:hAnsi="Arial Narrow"/>
              </w:rPr>
            </w:pPr>
          </w:p>
        </w:tc>
        <w:tc>
          <w:tcPr>
            <w:tcW w:w="1134" w:type="dxa"/>
          </w:tcPr>
          <w:p w:rsidR="0048417A" w:rsidRPr="00B0412F" w:rsidRDefault="0048417A" w:rsidP="00836B55">
            <w:pPr>
              <w:pStyle w:val="TableText0"/>
              <w:jc w:val="center"/>
              <w:rPr>
                <w:rFonts w:ascii="Arial Narrow" w:hAnsi="Arial Narrow"/>
              </w:rPr>
            </w:pPr>
          </w:p>
        </w:tc>
        <w:tc>
          <w:tcPr>
            <w:tcW w:w="992" w:type="dxa"/>
            <w:gridSpan w:val="3"/>
          </w:tcPr>
          <w:p w:rsidR="0048417A" w:rsidRPr="00B0412F" w:rsidRDefault="0048417A" w:rsidP="00836B55">
            <w:pPr>
              <w:pStyle w:val="TableText0"/>
              <w:jc w:val="center"/>
              <w:rPr>
                <w:rFonts w:ascii="Arial Narrow" w:hAnsi="Arial Narrow"/>
              </w:rPr>
            </w:pPr>
          </w:p>
        </w:tc>
        <w:tc>
          <w:tcPr>
            <w:tcW w:w="1134" w:type="dxa"/>
          </w:tcPr>
          <w:p w:rsidR="0048417A" w:rsidRPr="00B0412F" w:rsidRDefault="0048417A" w:rsidP="00836B55">
            <w:pPr>
              <w:pStyle w:val="TableText0"/>
              <w:jc w:val="center"/>
              <w:rPr>
                <w:rFonts w:ascii="Arial Narrow" w:hAnsi="Arial Narrow"/>
              </w:rPr>
            </w:pPr>
          </w:p>
        </w:tc>
        <w:tc>
          <w:tcPr>
            <w:tcW w:w="592" w:type="dxa"/>
          </w:tcPr>
          <w:p w:rsidR="0048417A" w:rsidRPr="00B0412F" w:rsidRDefault="0048417A" w:rsidP="00836B55">
            <w:pPr>
              <w:pStyle w:val="TableText0"/>
              <w:jc w:val="center"/>
              <w:rPr>
                <w:rFonts w:ascii="Arial Narrow" w:hAnsi="Arial Narrow"/>
              </w:rPr>
            </w:pPr>
          </w:p>
        </w:tc>
        <w:tc>
          <w:tcPr>
            <w:tcW w:w="893" w:type="dxa"/>
          </w:tcPr>
          <w:p w:rsidR="0048417A" w:rsidRPr="00B0412F" w:rsidRDefault="0048417A" w:rsidP="00836B55">
            <w:pPr>
              <w:pStyle w:val="TableText0"/>
              <w:jc w:val="center"/>
              <w:rPr>
                <w:rFonts w:ascii="Arial Narrow" w:hAnsi="Arial Narrow"/>
              </w:rPr>
            </w:pPr>
          </w:p>
        </w:tc>
        <w:tc>
          <w:tcPr>
            <w:tcW w:w="642" w:type="dxa"/>
            <w:gridSpan w:val="2"/>
          </w:tcPr>
          <w:p w:rsidR="0048417A" w:rsidRPr="00B0412F" w:rsidRDefault="0048417A" w:rsidP="00836B55">
            <w:pPr>
              <w:pStyle w:val="TableText0"/>
              <w:jc w:val="center"/>
              <w:rPr>
                <w:rFonts w:ascii="Arial Narrow" w:hAnsi="Arial Narrow"/>
              </w:rPr>
            </w:pPr>
          </w:p>
        </w:tc>
        <w:tc>
          <w:tcPr>
            <w:tcW w:w="859" w:type="dxa"/>
          </w:tcPr>
          <w:p w:rsidR="0048417A" w:rsidRPr="00B0412F" w:rsidRDefault="0048417A" w:rsidP="00836B55">
            <w:pPr>
              <w:pStyle w:val="TableText0"/>
              <w:jc w:val="center"/>
              <w:rPr>
                <w:rFonts w:ascii="Arial Narrow" w:hAnsi="Arial Narrow"/>
              </w:rPr>
            </w:pPr>
          </w:p>
        </w:tc>
        <w:tc>
          <w:tcPr>
            <w:tcW w:w="607" w:type="dxa"/>
          </w:tcPr>
          <w:p w:rsidR="0048417A" w:rsidRPr="00B0412F" w:rsidRDefault="0048417A" w:rsidP="00836B55">
            <w:pPr>
              <w:pStyle w:val="TableText0"/>
              <w:spacing w:before="0" w:after="0"/>
              <w:jc w:val="center"/>
              <w:rPr>
                <w:rFonts w:ascii="Arial Narrow" w:hAnsi="Arial Narrow"/>
              </w:rPr>
            </w:pPr>
          </w:p>
        </w:tc>
        <w:tc>
          <w:tcPr>
            <w:tcW w:w="943" w:type="dxa"/>
          </w:tcPr>
          <w:p w:rsidR="0048417A" w:rsidRPr="00B0412F" w:rsidRDefault="0048417A" w:rsidP="00836B55">
            <w:pPr>
              <w:pStyle w:val="TableText0"/>
              <w:spacing w:before="0" w:after="0"/>
              <w:jc w:val="center"/>
              <w:rPr>
                <w:rFonts w:ascii="Arial Narrow" w:hAnsi="Arial Narrow"/>
              </w:rPr>
            </w:pPr>
          </w:p>
        </w:tc>
        <w:tc>
          <w:tcPr>
            <w:tcW w:w="567" w:type="dxa"/>
          </w:tcPr>
          <w:p w:rsidR="0048417A" w:rsidRPr="00B0412F" w:rsidRDefault="0048417A" w:rsidP="00836B55">
            <w:pPr>
              <w:pStyle w:val="TableText0"/>
              <w:spacing w:before="0" w:after="0"/>
              <w:jc w:val="center"/>
              <w:rPr>
                <w:rFonts w:ascii="Arial Narrow" w:hAnsi="Arial Narrow"/>
              </w:rPr>
            </w:pPr>
          </w:p>
        </w:tc>
        <w:tc>
          <w:tcPr>
            <w:tcW w:w="993" w:type="dxa"/>
          </w:tcPr>
          <w:p w:rsidR="0048417A" w:rsidRPr="00B0412F" w:rsidRDefault="0048417A" w:rsidP="00836B55">
            <w:pPr>
              <w:pStyle w:val="TableText0"/>
              <w:spacing w:before="0" w:after="0"/>
              <w:jc w:val="center"/>
              <w:rPr>
                <w:rFonts w:ascii="Arial Narrow" w:hAnsi="Arial Narrow"/>
              </w:rPr>
            </w:pPr>
          </w:p>
        </w:tc>
      </w:tr>
      <w:tr w:rsidR="0048417A" w:rsidRPr="004D57B3" w:rsidTr="00836B55">
        <w:trPr>
          <w:trHeight w:val="148"/>
        </w:trPr>
        <w:tc>
          <w:tcPr>
            <w:tcW w:w="261" w:type="dxa"/>
            <w:tcBorders>
              <w:top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Casciani</w:t>
            </w:r>
            <w:proofErr w:type="spellEnd"/>
            <w:r w:rsidRPr="004D57B3">
              <w:rPr>
                <w:sz w:val="18"/>
                <w:szCs w:val="18"/>
              </w:rPr>
              <w:t xml:space="preserve"> et al 2010 – MRE</w:t>
            </w:r>
          </w:p>
        </w:tc>
        <w:tc>
          <w:tcPr>
            <w:tcW w:w="551" w:type="dxa"/>
          </w:tcPr>
          <w:p w:rsidR="0048417A" w:rsidRPr="004D57B3" w:rsidRDefault="0048417A" w:rsidP="00836B55">
            <w:pPr>
              <w:pStyle w:val="TableText"/>
              <w:jc w:val="center"/>
              <w:rPr>
                <w:lang w:eastAsia="en-US"/>
              </w:rPr>
            </w:pPr>
            <w:r w:rsidRPr="004D57B3">
              <w:rPr>
                <w:lang w:eastAsia="en-US"/>
              </w:rPr>
              <w:t>37 (60)</w:t>
            </w:r>
          </w:p>
        </w:tc>
        <w:tc>
          <w:tcPr>
            <w:tcW w:w="973" w:type="dxa"/>
            <w:gridSpan w:val="2"/>
          </w:tcPr>
          <w:p w:rsidR="0048417A" w:rsidRPr="004D57B3" w:rsidRDefault="0048417A" w:rsidP="000E4781">
            <w:pPr>
              <w:pStyle w:val="TableText"/>
            </w:pPr>
            <w:r w:rsidRPr="004D57B3">
              <w:rPr>
                <w:lang w:eastAsia="en-US"/>
              </w:rPr>
              <w:t>Unclear</w:t>
            </w:r>
            <w:r w:rsidRPr="004D57B3">
              <w:t xml:space="preserve"> </w:t>
            </w:r>
          </w:p>
        </w:tc>
        <w:tc>
          <w:tcPr>
            <w:tcW w:w="1035" w:type="dxa"/>
          </w:tcPr>
          <w:p w:rsidR="0048417A" w:rsidRPr="00B0412F" w:rsidRDefault="0048417A" w:rsidP="00836B55">
            <w:pPr>
              <w:pStyle w:val="TableText0"/>
              <w:jc w:val="center"/>
              <w:rPr>
                <w:rFonts w:ascii="Arial Narrow" w:hAnsi="Arial Narrow"/>
                <w:sz w:val="16"/>
                <w:szCs w:val="16"/>
              </w:rPr>
            </w:pPr>
            <w:r w:rsidRPr="00B0412F">
              <w:rPr>
                <w:rFonts w:ascii="Arial Narrow" w:hAnsi="Arial Narrow"/>
              </w:rPr>
              <w:t>100</w:t>
            </w:r>
            <w:r w:rsidRPr="00B0412F">
              <w:rPr>
                <w:rFonts w:ascii="Arial Narrow" w:hAnsi="Arial Narrow"/>
                <w:szCs w:val="18"/>
              </w:rPr>
              <w:t>(72-100)</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100(82-100)</w:t>
            </w:r>
          </w:p>
        </w:tc>
        <w:tc>
          <w:tcPr>
            <w:tcW w:w="992" w:type="dxa"/>
            <w:gridSpan w:val="3"/>
          </w:tcPr>
          <w:p w:rsidR="0048417A" w:rsidRPr="00B0412F" w:rsidRDefault="0048417A" w:rsidP="00836B55">
            <w:pPr>
              <w:pStyle w:val="TableText0"/>
              <w:jc w:val="center"/>
              <w:rPr>
                <w:rFonts w:ascii="Arial Narrow" w:hAnsi="Arial Narrow"/>
              </w:rPr>
            </w:pPr>
            <w:r w:rsidRPr="00B0412F">
              <w:rPr>
                <w:rFonts w:ascii="Arial Narrow" w:hAnsi="Arial Narrow"/>
              </w:rPr>
              <w:t>92(73-99)</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98(87-100)</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13.00</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41.00</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0.00</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0.00</w:t>
            </w:r>
          </w:p>
        </w:tc>
        <w:tc>
          <w:tcPr>
            <w:tcW w:w="607"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5.5:1</w:t>
            </w:r>
          </w:p>
        </w:tc>
        <w:tc>
          <w:tcPr>
            <w:tcW w:w="943"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19:1</w:t>
            </w:r>
          </w:p>
        </w:tc>
        <w:tc>
          <w:tcPr>
            <w:tcW w:w="567"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24:0</w:t>
            </w:r>
          </w:p>
        </w:tc>
        <w:tc>
          <w:tcPr>
            <w:tcW w:w="993" w:type="dxa"/>
            <w:vAlign w:val="center"/>
          </w:tcPr>
          <w:p w:rsidR="0048417A" w:rsidRPr="00B0412F" w:rsidRDefault="0048417A" w:rsidP="00836B55">
            <w:pPr>
              <w:pStyle w:val="TableText0"/>
              <w:spacing w:before="0" w:after="0"/>
              <w:jc w:val="center"/>
              <w:rPr>
                <w:rFonts w:ascii="Arial Narrow" w:hAnsi="Arial Narrow"/>
              </w:rPr>
            </w:pPr>
            <w:r w:rsidRPr="00B0412F">
              <w:rPr>
                <w:rFonts w:ascii="Arial Narrow" w:hAnsi="Arial Narrow"/>
              </w:rPr>
              <w:t>40:0</w:t>
            </w:r>
          </w:p>
        </w:tc>
        <w:tc>
          <w:tcPr>
            <w:tcW w:w="76"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shd w:val="pct5" w:color="auto" w:fill="auto"/>
          </w:tcPr>
          <w:p w:rsidR="0048417A" w:rsidRPr="004D57B3" w:rsidRDefault="0048417A" w:rsidP="00836B55">
            <w:pPr>
              <w:pStyle w:val="TableText"/>
            </w:pPr>
          </w:p>
        </w:tc>
        <w:tc>
          <w:tcPr>
            <w:tcW w:w="1886" w:type="dxa"/>
            <w:shd w:val="pct5" w:color="auto" w:fill="auto"/>
          </w:tcPr>
          <w:p w:rsidR="0048417A" w:rsidRPr="004D57B3" w:rsidRDefault="0048417A" w:rsidP="00836B55">
            <w:pPr>
              <w:pStyle w:val="Taabletextcharcharchar"/>
              <w:numPr>
                <w:ilvl w:val="0"/>
                <w:numId w:val="0"/>
              </w:numPr>
              <w:ind w:left="232" w:hanging="232"/>
              <w:rPr>
                <w:sz w:val="18"/>
                <w:szCs w:val="18"/>
              </w:rPr>
            </w:pPr>
          </w:p>
        </w:tc>
        <w:tc>
          <w:tcPr>
            <w:tcW w:w="551" w:type="dxa"/>
            <w:shd w:val="pct5" w:color="auto" w:fill="auto"/>
          </w:tcPr>
          <w:p w:rsidR="0048417A" w:rsidRPr="004D57B3" w:rsidRDefault="0048417A" w:rsidP="00836B55">
            <w:pPr>
              <w:pStyle w:val="TableText"/>
              <w:jc w:val="center"/>
              <w:rPr>
                <w:lang w:eastAsia="en-US"/>
              </w:rPr>
            </w:pPr>
          </w:p>
        </w:tc>
        <w:tc>
          <w:tcPr>
            <w:tcW w:w="408" w:type="dxa"/>
            <w:shd w:val="pct5" w:color="auto" w:fill="auto"/>
          </w:tcPr>
          <w:p w:rsidR="0048417A" w:rsidRPr="004D57B3" w:rsidRDefault="0048417A" w:rsidP="00836B55">
            <w:pPr>
              <w:pStyle w:val="TableText"/>
              <w:jc w:val="center"/>
              <w:rPr>
                <w:lang w:eastAsia="en-US"/>
              </w:rPr>
            </w:pPr>
          </w:p>
        </w:tc>
        <w:tc>
          <w:tcPr>
            <w:tcW w:w="565" w:type="dxa"/>
            <w:shd w:val="pct5" w:color="auto" w:fill="auto"/>
          </w:tcPr>
          <w:p w:rsidR="0048417A" w:rsidRPr="004D57B3" w:rsidRDefault="0048417A" w:rsidP="00836B55">
            <w:pPr>
              <w:pStyle w:val="TableText"/>
              <w:rPr>
                <w:lang w:eastAsia="en-US"/>
              </w:rPr>
            </w:pPr>
          </w:p>
        </w:tc>
        <w:tc>
          <w:tcPr>
            <w:tcW w:w="1035" w:type="dxa"/>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Sensitivity%</w:t>
            </w:r>
          </w:p>
          <w:p w:rsidR="0048417A" w:rsidRPr="00B0412F" w:rsidRDefault="0048417A" w:rsidP="00836B55">
            <w:pPr>
              <w:pStyle w:val="TableText0"/>
              <w:jc w:val="center"/>
              <w:rPr>
                <w:rFonts w:ascii="Arial Narrow" w:hAnsi="Arial Narrow"/>
                <w:b/>
              </w:rPr>
            </w:pPr>
            <w:r w:rsidRPr="00B0412F">
              <w:rPr>
                <w:rFonts w:ascii="Arial Narrow" w:hAnsi="Arial Narrow"/>
                <w:b/>
              </w:rPr>
              <w:t xml:space="preserve"> (95% CI)</w:t>
            </w:r>
          </w:p>
        </w:tc>
        <w:tc>
          <w:tcPr>
            <w:tcW w:w="1134" w:type="dxa"/>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 xml:space="preserve">Specificity% </w:t>
            </w:r>
          </w:p>
          <w:p w:rsidR="0048417A" w:rsidRPr="00B0412F" w:rsidRDefault="0048417A" w:rsidP="00836B55">
            <w:pPr>
              <w:pStyle w:val="TableText0"/>
              <w:jc w:val="center"/>
              <w:rPr>
                <w:rFonts w:ascii="Arial Narrow" w:hAnsi="Arial Narrow"/>
                <w:b/>
              </w:rPr>
            </w:pPr>
            <w:r w:rsidRPr="00B0412F">
              <w:rPr>
                <w:rFonts w:ascii="Arial Narrow" w:hAnsi="Arial Narrow"/>
                <w:b/>
              </w:rPr>
              <w:t>(95% CI)</w:t>
            </w:r>
          </w:p>
        </w:tc>
        <w:tc>
          <w:tcPr>
            <w:tcW w:w="992" w:type="dxa"/>
            <w:gridSpan w:val="3"/>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Prevalence</w:t>
            </w:r>
          </w:p>
          <w:p w:rsidR="0048417A" w:rsidRPr="00B0412F" w:rsidRDefault="0048417A" w:rsidP="00836B55">
            <w:pPr>
              <w:pStyle w:val="TableText0"/>
              <w:jc w:val="center"/>
              <w:rPr>
                <w:rFonts w:ascii="Arial Narrow" w:hAnsi="Arial Narrow"/>
                <w:b/>
              </w:rPr>
            </w:pPr>
            <w:r w:rsidRPr="00B0412F">
              <w:rPr>
                <w:rFonts w:ascii="Arial Narrow" w:hAnsi="Arial Narrow"/>
                <w:b/>
              </w:rPr>
              <w:t xml:space="preserve"> CD %</w:t>
            </w:r>
          </w:p>
        </w:tc>
        <w:tc>
          <w:tcPr>
            <w:tcW w:w="2619" w:type="dxa"/>
            <w:gridSpan w:val="3"/>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CE additional</w:t>
            </w:r>
          </w:p>
        </w:tc>
        <w:tc>
          <w:tcPr>
            <w:tcW w:w="642" w:type="dxa"/>
            <w:gridSpan w:val="2"/>
            <w:shd w:val="pct5" w:color="auto" w:fill="auto"/>
          </w:tcPr>
          <w:p w:rsidR="0048417A" w:rsidRPr="00B0412F" w:rsidRDefault="0048417A" w:rsidP="00836B55">
            <w:pPr>
              <w:pStyle w:val="TableText0"/>
              <w:jc w:val="center"/>
              <w:rPr>
                <w:rFonts w:ascii="Arial Narrow" w:hAnsi="Arial Narrow"/>
              </w:rPr>
            </w:pPr>
          </w:p>
        </w:tc>
        <w:tc>
          <w:tcPr>
            <w:tcW w:w="859" w:type="dxa"/>
            <w:shd w:val="pct5" w:color="auto" w:fill="auto"/>
          </w:tcPr>
          <w:p w:rsidR="0048417A" w:rsidRPr="00B0412F" w:rsidRDefault="0048417A" w:rsidP="00836B55">
            <w:pPr>
              <w:pStyle w:val="TableText0"/>
              <w:jc w:val="center"/>
              <w:rPr>
                <w:rFonts w:ascii="Arial Narrow" w:hAnsi="Arial Narrow"/>
              </w:rPr>
            </w:pPr>
          </w:p>
        </w:tc>
        <w:tc>
          <w:tcPr>
            <w:tcW w:w="607" w:type="dxa"/>
            <w:shd w:val="pct5" w:color="auto" w:fill="auto"/>
          </w:tcPr>
          <w:p w:rsidR="0048417A" w:rsidRPr="00B0412F" w:rsidRDefault="0048417A" w:rsidP="00836B55">
            <w:pPr>
              <w:pStyle w:val="TableText0"/>
              <w:jc w:val="center"/>
              <w:rPr>
                <w:rFonts w:ascii="Arial Narrow" w:hAnsi="Arial Narrow"/>
              </w:rPr>
            </w:pPr>
          </w:p>
        </w:tc>
        <w:tc>
          <w:tcPr>
            <w:tcW w:w="943" w:type="dxa"/>
            <w:shd w:val="pct5" w:color="auto" w:fill="auto"/>
          </w:tcPr>
          <w:p w:rsidR="0048417A" w:rsidRPr="00B0412F" w:rsidRDefault="0048417A" w:rsidP="00836B55">
            <w:pPr>
              <w:pStyle w:val="TableText0"/>
              <w:jc w:val="center"/>
              <w:rPr>
                <w:rFonts w:ascii="Arial Narrow" w:hAnsi="Arial Narrow"/>
              </w:rPr>
            </w:pPr>
          </w:p>
        </w:tc>
        <w:tc>
          <w:tcPr>
            <w:tcW w:w="567" w:type="dxa"/>
            <w:shd w:val="pct5" w:color="auto" w:fill="auto"/>
          </w:tcPr>
          <w:p w:rsidR="0048417A" w:rsidRPr="00B0412F" w:rsidRDefault="0048417A" w:rsidP="00836B55">
            <w:pPr>
              <w:pStyle w:val="TableText0"/>
              <w:jc w:val="center"/>
              <w:rPr>
                <w:rFonts w:ascii="Arial Narrow" w:hAnsi="Arial Narrow"/>
              </w:rPr>
            </w:pPr>
          </w:p>
        </w:tc>
        <w:tc>
          <w:tcPr>
            <w:tcW w:w="993" w:type="dxa"/>
            <w:shd w:val="pct5" w:color="auto" w:fill="auto"/>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shd w:val="pct5" w:color="auto" w:fill="auto"/>
          </w:tcPr>
          <w:p w:rsidR="0048417A" w:rsidRPr="004D57B3" w:rsidRDefault="0048417A" w:rsidP="00836B55">
            <w:pPr>
              <w:pStyle w:val="TableText"/>
              <w:rPr>
                <w:b/>
              </w:rPr>
            </w:pPr>
            <w:r w:rsidRPr="004D57B3">
              <w:rPr>
                <w:b/>
              </w:rPr>
              <w:t xml:space="preserve">CE </w:t>
            </w:r>
          </w:p>
        </w:tc>
        <w:tc>
          <w:tcPr>
            <w:tcW w:w="1886" w:type="dxa"/>
            <w:shd w:val="pct5" w:color="auto" w:fill="auto"/>
          </w:tcPr>
          <w:p w:rsidR="0048417A" w:rsidRPr="004D57B3" w:rsidRDefault="0048417A" w:rsidP="00836B55">
            <w:pPr>
              <w:pStyle w:val="Taabletextcharcharchar"/>
              <w:numPr>
                <w:ilvl w:val="0"/>
                <w:numId w:val="0"/>
              </w:numPr>
              <w:ind w:left="232" w:hanging="232"/>
              <w:rPr>
                <w:b/>
                <w:sz w:val="18"/>
                <w:szCs w:val="18"/>
              </w:rPr>
            </w:pPr>
          </w:p>
        </w:tc>
        <w:tc>
          <w:tcPr>
            <w:tcW w:w="551" w:type="dxa"/>
            <w:shd w:val="pct5" w:color="auto" w:fill="auto"/>
          </w:tcPr>
          <w:p w:rsidR="0048417A" w:rsidRPr="004D57B3" w:rsidRDefault="0048417A" w:rsidP="00836B55">
            <w:pPr>
              <w:pStyle w:val="TableText"/>
              <w:jc w:val="center"/>
              <w:rPr>
                <w:lang w:eastAsia="en-US"/>
              </w:rPr>
            </w:pPr>
          </w:p>
        </w:tc>
        <w:tc>
          <w:tcPr>
            <w:tcW w:w="408" w:type="dxa"/>
            <w:shd w:val="pct5" w:color="auto" w:fill="auto"/>
          </w:tcPr>
          <w:p w:rsidR="0048417A" w:rsidRPr="004D57B3" w:rsidRDefault="0048417A" w:rsidP="00836B55">
            <w:pPr>
              <w:pStyle w:val="TableText"/>
              <w:jc w:val="center"/>
              <w:rPr>
                <w:lang w:eastAsia="en-US"/>
              </w:rPr>
            </w:pPr>
          </w:p>
        </w:tc>
        <w:tc>
          <w:tcPr>
            <w:tcW w:w="565" w:type="dxa"/>
            <w:shd w:val="pct5" w:color="auto" w:fill="auto"/>
          </w:tcPr>
          <w:p w:rsidR="0048417A" w:rsidRPr="004D57B3" w:rsidRDefault="0048417A" w:rsidP="00836B55">
            <w:pPr>
              <w:pStyle w:val="TableText"/>
              <w:rPr>
                <w:lang w:eastAsia="en-US"/>
              </w:rPr>
            </w:pPr>
          </w:p>
        </w:tc>
        <w:tc>
          <w:tcPr>
            <w:tcW w:w="1035" w:type="dxa"/>
            <w:shd w:val="pct5" w:color="auto" w:fill="auto"/>
          </w:tcPr>
          <w:p w:rsidR="0048417A" w:rsidRPr="00B0412F" w:rsidRDefault="0048417A" w:rsidP="00836B55">
            <w:pPr>
              <w:pStyle w:val="TableText0"/>
              <w:jc w:val="center"/>
              <w:rPr>
                <w:rFonts w:ascii="Arial Narrow" w:hAnsi="Arial Narrow"/>
              </w:rPr>
            </w:pPr>
          </w:p>
        </w:tc>
        <w:tc>
          <w:tcPr>
            <w:tcW w:w="1603" w:type="dxa"/>
            <w:gridSpan w:val="3"/>
            <w:shd w:val="pct5" w:color="auto" w:fill="auto"/>
          </w:tcPr>
          <w:p w:rsidR="0048417A" w:rsidRPr="00B0412F" w:rsidRDefault="0048417A" w:rsidP="00836B55">
            <w:pPr>
              <w:pStyle w:val="TableText0"/>
              <w:jc w:val="center"/>
              <w:rPr>
                <w:rFonts w:ascii="Arial Narrow" w:hAnsi="Arial Narrow"/>
              </w:rPr>
            </w:pPr>
          </w:p>
        </w:tc>
        <w:tc>
          <w:tcPr>
            <w:tcW w:w="523" w:type="dxa"/>
            <w:shd w:val="pct5" w:color="auto" w:fill="auto"/>
          </w:tcPr>
          <w:p w:rsidR="0048417A" w:rsidRPr="00B0412F" w:rsidRDefault="0048417A" w:rsidP="00836B55">
            <w:pPr>
              <w:pStyle w:val="TableText0"/>
              <w:jc w:val="center"/>
              <w:rPr>
                <w:rFonts w:ascii="Arial Narrow" w:hAnsi="Arial Narrow"/>
              </w:rPr>
            </w:pPr>
          </w:p>
        </w:tc>
        <w:tc>
          <w:tcPr>
            <w:tcW w:w="1134" w:type="dxa"/>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Negatives</w:t>
            </w:r>
          </w:p>
        </w:tc>
        <w:tc>
          <w:tcPr>
            <w:tcW w:w="592" w:type="dxa"/>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TN</w:t>
            </w:r>
          </w:p>
        </w:tc>
        <w:tc>
          <w:tcPr>
            <w:tcW w:w="893" w:type="dxa"/>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FN</w:t>
            </w:r>
          </w:p>
        </w:tc>
        <w:tc>
          <w:tcPr>
            <w:tcW w:w="642" w:type="dxa"/>
            <w:gridSpan w:val="2"/>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TN:FN</w:t>
            </w:r>
          </w:p>
        </w:tc>
        <w:tc>
          <w:tcPr>
            <w:tcW w:w="859" w:type="dxa"/>
            <w:shd w:val="pct5" w:color="auto" w:fill="auto"/>
          </w:tcPr>
          <w:p w:rsidR="0048417A" w:rsidRPr="00B0412F" w:rsidRDefault="0048417A" w:rsidP="00836B55">
            <w:pPr>
              <w:pStyle w:val="TableText0"/>
              <w:jc w:val="center"/>
              <w:rPr>
                <w:rFonts w:ascii="Arial Narrow" w:hAnsi="Arial Narrow"/>
                <w:b/>
              </w:rPr>
            </w:pPr>
            <w:r w:rsidRPr="00B0412F">
              <w:rPr>
                <w:rFonts w:ascii="Arial Narrow" w:hAnsi="Arial Narrow"/>
                <w:b/>
              </w:rPr>
              <w:t>LR–</w:t>
            </w:r>
          </w:p>
        </w:tc>
        <w:tc>
          <w:tcPr>
            <w:tcW w:w="607" w:type="dxa"/>
            <w:shd w:val="pct5" w:color="auto" w:fill="auto"/>
          </w:tcPr>
          <w:p w:rsidR="0048417A" w:rsidRPr="00B0412F" w:rsidRDefault="0048417A" w:rsidP="00836B55">
            <w:pPr>
              <w:pStyle w:val="TableText0"/>
              <w:jc w:val="center"/>
              <w:rPr>
                <w:rFonts w:ascii="Arial Narrow" w:hAnsi="Arial Narrow"/>
              </w:rPr>
            </w:pPr>
          </w:p>
        </w:tc>
        <w:tc>
          <w:tcPr>
            <w:tcW w:w="943" w:type="dxa"/>
            <w:shd w:val="pct5" w:color="auto" w:fill="auto"/>
          </w:tcPr>
          <w:p w:rsidR="0048417A" w:rsidRPr="00B0412F" w:rsidRDefault="0048417A" w:rsidP="00836B55">
            <w:pPr>
              <w:pStyle w:val="TableText0"/>
              <w:jc w:val="center"/>
              <w:rPr>
                <w:rFonts w:ascii="Arial Narrow" w:hAnsi="Arial Narrow"/>
              </w:rPr>
            </w:pPr>
          </w:p>
        </w:tc>
        <w:tc>
          <w:tcPr>
            <w:tcW w:w="567" w:type="dxa"/>
            <w:shd w:val="pct5" w:color="auto" w:fill="auto"/>
          </w:tcPr>
          <w:p w:rsidR="0048417A" w:rsidRPr="00B0412F" w:rsidRDefault="0048417A" w:rsidP="00836B55">
            <w:pPr>
              <w:pStyle w:val="TableText0"/>
              <w:jc w:val="center"/>
              <w:rPr>
                <w:rFonts w:ascii="Arial Narrow" w:hAnsi="Arial Narrow"/>
              </w:rPr>
            </w:pPr>
          </w:p>
        </w:tc>
        <w:tc>
          <w:tcPr>
            <w:tcW w:w="993" w:type="dxa"/>
            <w:shd w:val="pct5" w:color="auto" w:fill="auto"/>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94"/>
        </w:trPr>
        <w:tc>
          <w:tcPr>
            <w:tcW w:w="261" w:type="dxa"/>
            <w:tcBorders>
              <w:bottom w:val="nil"/>
            </w:tcBorders>
          </w:tcPr>
          <w:p w:rsidR="0048417A" w:rsidRPr="004D57B3" w:rsidRDefault="0048417A" w:rsidP="00836B55">
            <w:pPr>
              <w:pStyle w:val="TableText"/>
            </w:pPr>
          </w:p>
        </w:tc>
        <w:tc>
          <w:tcPr>
            <w:tcW w:w="2437" w:type="dxa"/>
            <w:gridSpan w:val="2"/>
          </w:tcPr>
          <w:p w:rsidR="0048417A" w:rsidRPr="004D57B3" w:rsidRDefault="0048417A" w:rsidP="00836B55">
            <w:pPr>
              <w:pStyle w:val="TableText"/>
              <w:rPr>
                <w:lang w:eastAsia="en-US"/>
              </w:rPr>
            </w:pPr>
            <w:r w:rsidRPr="004D57B3">
              <w:rPr>
                <w:i/>
                <w:szCs w:val="18"/>
              </w:rPr>
              <w:t>≥2 ulcers or Crohn’s specific lesions</w:t>
            </w:r>
          </w:p>
        </w:tc>
        <w:tc>
          <w:tcPr>
            <w:tcW w:w="408" w:type="dxa"/>
          </w:tcPr>
          <w:p w:rsidR="0048417A" w:rsidRPr="004D57B3" w:rsidRDefault="0048417A" w:rsidP="00836B55">
            <w:pPr>
              <w:pStyle w:val="TableText"/>
              <w:jc w:val="center"/>
              <w:rPr>
                <w:lang w:eastAsia="en-US"/>
              </w:rPr>
            </w:pPr>
          </w:p>
        </w:tc>
        <w:tc>
          <w:tcPr>
            <w:tcW w:w="565" w:type="dxa"/>
          </w:tcPr>
          <w:p w:rsidR="0048417A" w:rsidRPr="004D57B3" w:rsidRDefault="0048417A" w:rsidP="00836B55">
            <w:pPr>
              <w:pStyle w:val="TableText"/>
              <w:rPr>
                <w:lang w:eastAsia="en-US"/>
              </w:rPr>
            </w:pPr>
          </w:p>
        </w:tc>
        <w:tc>
          <w:tcPr>
            <w:tcW w:w="1035" w:type="dxa"/>
          </w:tcPr>
          <w:p w:rsidR="0048417A" w:rsidRPr="00B0412F" w:rsidRDefault="0048417A" w:rsidP="00836B55">
            <w:pPr>
              <w:pStyle w:val="TableText0"/>
              <w:jc w:val="center"/>
              <w:rPr>
                <w:rFonts w:ascii="Arial Narrow" w:hAnsi="Arial Narrow"/>
              </w:rPr>
            </w:pPr>
          </w:p>
        </w:tc>
        <w:tc>
          <w:tcPr>
            <w:tcW w:w="1603" w:type="dxa"/>
            <w:gridSpan w:val="3"/>
          </w:tcPr>
          <w:p w:rsidR="0048417A" w:rsidRPr="00B0412F" w:rsidRDefault="0048417A" w:rsidP="00836B55">
            <w:pPr>
              <w:pStyle w:val="TableText0"/>
              <w:jc w:val="center"/>
              <w:rPr>
                <w:rFonts w:ascii="Arial Narrow" w:hAnsi="Arial Narrow"/>
              </w:rPr>
            </w:pPr>
          </w:p>
        </w:tc>
        <w:tc>
          <w:tcPr>
            <w:tcW w:w="523" w:type="dxa"/>
          </w:tcPr>
          <w:p w:rsidR="0048417A" w:rsidRPr="00B0412F" w:rsidRDefault="0048417A" w:rsidP="00836B55">
            <w:pPr>
              <w:pStyle w:val="TableText0"/>
              <w:jc w:val="center"/>
              <w:rPr>
                <w:rFonts w:ascii="Arial Narrow" w:hAnsi="Arial Narrow"/>
              </w:rPr>
            </w:pPr>
          </w:p>
        </w:tc>
        <w:tc>
          <w:tcPr>
            <w:tcW w:w="1134" w:type="dxa"/>
          </w:tcPr>
          <w:p w:rsidR="0048417A" w:rsidRPr="00B0412F" w:rsidRDefault="0048417A" w:rsidP="00836B55">
            <w:pPr>
              <w:pStyle w:val="TableText0"/>
              <w:jc w:val="center"/>
              <w:rPr>
                <w:rFonts w:ascii="Arial Narrow" w:hAnsi="Arial Narrow"/>
              </w:rPr>
            </w:pPr>
          </w:p>
        </w:tc>
        <w:tc>
          <w:tcPr>
            <w:tcW w:w="592" w:type="dxa"/>
          </w:tcPr>
          <w:p w:rsidR="0048417A" w:rsidRPr="00B0412F" w:rsidRDefault="0048417A" w:rsidP="00836B55">
            <w:pPr>
              <w:pStyle w:val="TableText0"/>
              <w:jc w:val="center"/>
              <w:rPr>
                <w:rFonts w:ascii="Arial Narrow" w:hAnsi="Arial Narrow"/>
              </w:rPr>
            </w:pPr>
          </w:p>
        </w:tc>
        <w:tc>
          <w:tcPr>
            <w:tcW w:w="893" w:type="dxa"/>
          </w:tcPr>
          <w:p w:rsidR="0048417A" w:rsidRPr="00B0412F" w:rsidRDefault="0048417A" w:rsidP="00836B55">
            <w:pPr>
              <w:pStyle w:val="TableText0"/>
              <w:jc w:val="center"/>
              <w:rPr>
                <w:rFonts w:ascii="Arial Narrow" w:hAnsi="Arial Narrow"/>
              </w:rPr>
            </w:pPr>
          </w:p>
        </w:tc>
        <w:tc>
          <w:tcPr>
            <w:tcW w:w="642" w:type="dxa"/>
            <w:gridSpan w:val="2"/>
          </w:tcPr>
          <w:p w:rsidR="0048417A" w:rsidRPr="00B0412F" w:rsidRDefault="0048417A" w:rsidP="00836B55">
            <w:pPr>
              <w:pStyle w:val="TableText0"/>
              <w:jc w:val="center"/>
              <w:rPr>
                <w:rFonts w:ascii="Arial Narrow" w:hAnsi="Arial Narrow"/>
              </w:rPr>
            </w:pPr>
          </w:p>
        </w:tc>
        <w:tc>
          <w:tcPr>
            <w:tcW w:w="859" w:type="dxa"/>
          </w:tcPr>
          <w:p w:rsidR="0048417A" w:rsidRPr="00B0412F" w:rsidRDefault="0048417A" w:rsidP="00836B55">
            <w:pPr>
              <w:pStyle w:val="TableText0"/>
              <w:jc w:val="center"/>
              <w:rPr>
                <w:rFonts w:ascii="Arial Narrow" w:hAnsi="Arial Narrow"/>
              </w:rPr>
            </w:pP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r w:rsidRPr="004D57B3">
              <w:rPr>
                <w:sz w:val="18"/>
                <w:szCs w:val="18"/>
              </w:rPr>
              <w:t>Albert et al 2005</w:t>
            </w:r>
            <w:r w:rsidRPr="004D57B3">
              <w:rPr>
                <w:vertAlign w:val="superscript"/>
              </w:rPr>
              <w:t>†</w:t>
            </w:r>
          </w:p>
        </w:tc>
        <w:tc>
          <w:tcPr>
            <w:tcW w:w="551" w:type="dxa"/>
            <w:tcBorders>
              <w:top w:val="nil"/>
            </w:tcBorders>
          </w:tcPr>
          <w:p w:rsidR="0048417A" w:rsidRPr="004D57B3" w:rsidRDefault="0048417A" w:rsidP="00836B55">
            <w:pPr>
              <w:pStyle w:val="TableText"/>
              <w:jc w:val="center"/>
              <w:rPr>
                <w:lang w:eastAsia="en-US"/>
              </w:rPr>
            </w:pPr>
            <w:r w:rsidRPr="004D57B3">
              <w:rPr>
                <w:lang w:eastAsia="en-US"/>
              </w:rPr>
              <w:t>24</w:t>
            </w:r>
          </w:p>
        </w:tc>
        <w:tc>
          <w:tcPr>
            <w:tcW w:w="408" w:type="dxa"/>
          </w:tcPr>
          <w:p w:rsidR="0048417A" w:rsidRPr="004D57B3" w:rsidRDefault="0048417A" w:rsidP="00260BB3">
            <w:pPr>
              <w:pStyle w:val="TableText"/>
              <w:jc w:val="center"/>
              <w:rPr>
                <w:lang w:eastAsia="en-US"/>
              </w:rPr>
            </w:pPr>
            <w:r w:rsidRPr="004D57B3">
              <w:rPr>
                <w:szCs w:val="18"/>
                <w:lang w:eastAsia="en-US"/>
              </w:rPr>
              <w:sym w:font="Wingdings 2" w:char="F0CF"/>
            </w:r>
            <w:r w:rsidRPr="004D57B3">
              <w:rPr>
                <w:lang w:eastAsia="en-US"/>
              </w:rPr>
              <w:t xml:space="preserve"> </w:t>
            </w:r>
          </w:p>
        </w:tc>
        <w:tc>
          <w:tcPr>
            <w:tcW w:w="565" w:type="dxa"/>
          </w:tcPr>
          <w:p w:rsidR="0048417A" w:rsidRPr="004D57B3" w:rsidRDefault="0048417A" w:rsidP="00836B55">
            <w:pPr>
              <w:pStyle w:val="TableText"/>
              <w:rPr>
                <w:lang w:eastAsia="en-US"/>
              </w:rPr>
            </w:pPr>
            <w:r w:rsidRPr="004D57B3">
              <w:rPr>
                <w:lang w:eastAsia="en-US"/>
              </w:rPr>
              <w:t xml:space="preserve"> </w:t>
            </w:r>
            <w:r w:rsidRPr="004D57B3">
              <w:rPr>
                <w:szCs w:val="18"/>
                <w:lang w:eastAsia="en-US"/>
              </w:rPr>
              <w:sym w:font="Wingdings 2" w:char="F0CF"/>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92(62-100)</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100(72-100)</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54</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12</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11</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1</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11:1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0.08</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Casciani</w:t>
            </w:r>
            <w:proofErr w:type="spellEnd"/>
            <w:r w:rsidRPr="004D57B3">
              <w:rPr>
                <w:sz w:val="18"/>
                <w:szCs w:val="18"/>
              </w:rPr>
              <w:t xml:space="preserve"> et al 2010</w:t>
            </w:r>
          </w:p>
        </w:tc>
        <w:tc>
          <w:tcPr>
            <w:tcW w:w="551" w:type="dxa"/>
            <w:tcBorders>
              <w:top w:val="nil"/>
            </w:tcBorders>
          </w:tcPr>
          <w:p w:rsidR="0048417A" w:rsidRPr="004D57B3" w:rsidRDefault="0048417A" w:rsidP="00836B55">
            <w:pPr>
              <w:pStyle w:val="TableText"/>
              <w:spacing w:before="0" w:after="0"/>
              <w:jc w:val="center"/>
              <w:rPr>
                <w:lang w:eastAsia="en-US"/>
              </w:rPr>
            </w:pPr>
            <w:r w:rsidRPr="004D57B3">
              <w:rPr>
                <w:lang w:eastAsia="en-US"/>
              </w:rPr>
              <w:t>37</w:t>
            </w:r>
          </w:p>
        </w:tc>
        <w:tc>
          <w:tcPr>
            <w:tcW w:w="973" w:type="dxa"/>
            <w:gridSpan w:val="2"/>
          </w:tcPr>
          <w:p w:rsidR="0048417A" w:rsidRPr="00B0412F" w:rsidRDefault="0048417A" w:rsidP="00836B55">
            <w:pPr>
              <w:pStyle w:val="TableText0"/>
              <w:rPr>
                <w:rFonts w:ascii="Arial Narrow" w:hAnsi="Arial Narrow"/>
              </w:rPr>
            </w:pPr>
            <w:r w:rsidRPr="00B0412F">
              <w:rPr>
                <w:rFonts w:ascii="Arial Narrow" w:hAnsi="Arial Narrow"/>
              </w:rPr>
              <w:t>Unclear</w:t>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91(57-100)</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100(87-100)</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30</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27</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26</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1</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26:1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0.09</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Girelli</w:t>
            </w:r>
            <w:proofErr w:type="spellEnd"/>
            <w:r w:rsidRPr="004D57B3">
              <w:rPr>
                <w:sz w:val="18"/>
                <w:szCs w:val="18"/>
              </w:rPr>
              <w:t xml:space="preserve"> et al 2007</w:t>
            </w:r>
          </w:p>
        </w:tc>
        <w:tc>
          <w:tcPr>
            <w:tcW w:w="551" w:type="dxa"/>
            <w:tcBorders>
              <w:top w:val="nil"/>
            </w:tcBorders>
          </w:tcPr>
          <w:p w:rsidR="0048417A" w:rsidRPr="004D57B3" w:rsidRDefault="0048417A" w:rsidP="00836B55">
            <w:pPr>
              <w:pStyle w:val="TableText"/>
              <w:jc w:val="center"/>
              <w:rPr>
                <w:lang w:eastAsia="en-US"/>
              </w:rPr>
            </w:pPr>
            <w:r w:rsidRPr="004D57B3">
              <w:rPr>
                <w:lang w:eastAsia="en-US"/>
              </w:rPr>
              <w:t>27</w:t>
            </w:r>
          </w:p>
        </w:tc>
        <w:tc>
          <w:tcPr>
            <w:tcW w:w="408" w:type="dxa"/>
          </w:tcPr>
          <w:p w:rsidR="0048417A" w:rsidRPr="004D57B3" w:rsidRDefault="0048417A" w:rsidP="00836B55">
            <w:pPr>
              <w:pStyle w:val="TableText"/>
              <w:jc w:val="center"/>
              <w:rPr>
                <w:lang w:eastAsia="en-US"/>
              </w:rPr>
            </w:pPr>
            <w:r w:rsidRPr="004D57B3">
              <w:rPr>
                <w:szCs w:val="18"/>
                <w:lang w:eastAsia="en-US"/>
              </w:rPr>
              <w:sym w:font="Wingdings 2" w:char="F0CF"/>
            </w:r>
          </w:p>
        </w:tc>
        <w:tc>
          <w:tcPr>
            <w:tcW w:w="565" w:type="dxa"/>
          </w:tcPr>
          <w:p w:rsidR="0048417A" w:rsidRPr="004D57B3" w:rsidRDefault="0048417A" w:rsidP="00836B55">
            <w:pPr>
              <w:pStyle w:val="TableText"/>
              <w:rPr>
                <w:lang w:eastAsia="en-US"/>
              </w:rPr>
            </w:pPr>
            <w:r w:rsidRPr="004D57B3">
              <w:rPr>
                <w:szCs w:val="18"/>
                <w:lang w:eastAsia="en-US"/>
              </w:rPr>
              <w:sym w:font="Wingdings" w:char="F0FC"/>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47(22-73)</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92(60-100)</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56</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19</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11</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8</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1.4:1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0.58</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Tukey</w:t>
            </w:r>
            <w:proofErr w:type="spellEnd"/>
            <w:r w:rsidRPr="004D57B3">
              <w:rPr>
                <w:sz w:val="18"/>
                <w:szCs w:val="18"/>
              </w:rPr>
              <w:t xml:space="preserve"> et al 2009</w:t>
            </w:r>
          </w:p>
        </w:tc>
        <w:tc>
          <w:tcPr>
            <w:tcW w:w="551" w:type="dxa"/>
            <w:tcBorders>
              <w:top w:val="nil"/>
            </w:tcBorders>
          </w:tcPr>
          <w:p w:rsidR="0048417A" w:rsidRPr="004D57B3" w:rsidRDefault="0048417A" w:rsidP="00836B55">
            <w:pPr>
              <w:pStyle w:val="TableText"/>
              <w:jc w:val="center"/>
              <w:rPr>
                <w:lang w:eastAsia="en-US"/>
              </w:rPr>
            </w:pPr>
            <w:r w:rsidRPr="004D57B3">
              <w:rPr>
                <w:lang w:eastAsia="en-US"/>
              </w:rPr>
              <w:t>102</w:t>
            </w:r>
          </w:p>
        </w:tc>
        <w:tc>
          <w:tcPr>
            <w:tcW w:w="408" w:type="dxa"/>
          </w:tcPr>
          <w:p w:rsidR="0048417A" w:rsidRPr="004D57B3" w:rsidRDefault="0048417A" w:rsidP="00836B55">
            <w:pPr>
              <w:pStyle w:val="TableText"/>
              <w:jc w:val="center"/>
              <w:rPr>
                <w:lang w:eastAsia="en-US"/>
              </w:rPr>
            </w:pPr>
            <w:r w:rsidRPr="004D57B3">
              <w:rPr>
                <w:szCs w:val="18"/>
                <w:lang w:eastAsia="en-US"/>
              </w:rPr>
              <w:sym w:font="Wingdings" w:char="F0FC"/>
            </w:r>
          </w:p>
        </w:tc>
        <w:tc>
          <w:tcPr>
            <w:tcW w:w="565" w:type="dxa"/>
          </w:tcPr>
          <w:p w:rsidR="0048417A" w:rsidRPr="004D57B3" w:rsidRDefault="0048417A" w:rsidP="00836B55">
            <w:pPr>
              <w:pStyle w:val="TableText"/>
              <w:rPr>
                <w:lang w:eastAsia="en-US"/>
              </w:rPr>
            </w:pPr>
            <w:r w:rsidRPr="004D57B3">
              <w:rPr>
                <w:szCs w:val="18"/>
                <w:lang w:eastAsia="en-US"/>
              </w:rPr>
              <w:sym w:font="Wingdings" w:char="F0FC"/>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77(50-92)</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89(81-94)</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13</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82</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79</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3</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26.3:1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0.26</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94"/>
        </w:trPr>
        <w:tc>
          <w:tcPr>
            <w:tcW w:w="261" w:type="dxa"/>
            <w:tcBorders>
              <w:top w:val="nil"/>
              <w:bottom w:val="nil"/>
            </w:tcBorders>
          </w:tcPr>
          <w:p w:rsidR="0048417A" w:rsidRPr="004D57B3" w:rsidRDefault="0048417A" w:rsidP="00836B55">
            <w:pPr>
              <w:pStyle w:val="TableText"/>
              <w:rPr>
                <w:i/>
              </w:rPr>
            </w:pPr>
          </w:p>
        </w:tc>
        <w:tc>
          <w:tcPr>
            <w:tcW w:w="2437" w:type="dxa"/>
            <w:gridSpan w:val="2"/>
          </w:tcPr>
          <w:p w:rsidR="0048417A" w:rsidRPr="004D57B3" w:rsidRDefault="0048417A" w:rsidP="00836B55">
            <w:pPr>
              <w:pStyle w:val="TableText"/>
              <w:rPr>
                <w:lang w:eastAsia="en-US"/>
              </w:rPr>
            </w:pPr>
            <w:r w:rsidRPr="004D57B3">
              <w:rPr>
                <w:i/>
                <w:szCs w:val="18"/>
              </w:rPr>
              <w:t>Any small bowel lesions/ulcers</w:t>
            </w:r>
          </w:p>
        </w:tc>
        <w:tc>
          <w:tcPr>
            <w:tcW w:w="408" w:type="dxa"/>
          </w:tcPr>
          <w:p w:rsidR="0048417A" w:rsidRPr="004D57B3" w:rsidRDefault="0048417A" w:rsidP="00836B55">
            <w:pPr>
              <w:pStyle w:val="TableText"/>
              <w:jc w:val="center"/>
              <w:rPr>
                <w:lang w:eastAsia="en-US"/>
              </w:rPr>
            </w:pPr>
          </w:p>
        </w:tc>
        <w:tc>
          <w:tcPr>
            <w:tcW w:w="565" w:type="dxa"/>
          </w:tcPr>
          <w:p w:rsidR="0048417A" w:rsidRPr="004D57B3" w:rsidRDefault="0048417A" w:rsidP="00836B55">
            <w:pPr>
              <w:pStyle w:val="TableText"/>
              <w:rPr>
                <w:lang w:eastAsia="en-US"/>
              </w:rPr>
            </w:pPr>
          </w:p>
        </w:tc>
        <w:tc>
          <w:tcPr>
            <w:tcW w:w="1035" w:type="dxa"/>
          </w:tcPr>
          <w:p w:rsidR="0048417A" w:rsidRPr="00B0412F" w:rsidRDefault="0048417A" w:rsidP="00836B55">
            <w:pPr>
              <w:pStyle w:val="TableText0"/>
              <w:jc w:val="center"/>
              <w:rPr>
                <w:rFonts w:ascii="Arial Narrow" w:hAnsi="Arial Narrow"/>
              </w:rPr>
            </w:pPr>
          </w:p>
        </w:tc>
        <w:tc>
          <w:tcPr>
            <w:tcW w:w="1189" w:type="dxa"/>
            <w:gridSpan w:val="2"/>
          </w:tcPr>
          <w:p w:rsidR="0048417A" w:rsidRPr="00B0412F" w:rsidRDefault="0048417A" w:rsidP="00836B55">
            <w:pPr>
              <w:pStyle w:val="TableText0"/>
              <w:jc w:val="center"/>
              <w:rPr>
                <w:rFonts w:ascii="Arial Narrow" w:hAnsi="Arial Narrow"/>
              </w:rPr>
            </w:pPr>
          </w:p>
        </w:tc>
        <w:tc>
          <w:tcPr>
            <w:tcW w:w="937" w:type="dxa"/>
            <w:gridSpan w:val="2"/>
          </w:tcPr>
          <w:p w:rsidR="0048417A" w:rsidRPr="00B0412F" w:rsidRDefault="0048417A" w:rsidP="00836B55">
            <w:pPr>
              <w:pStyle w:val="TableText0"/>
              <w:jc w:val="center"/>
              <w:rPr>
                <w:rFonts w:ascii="Arial Narrow" w:hAnsi="Arial Narrow"/>
              </w:rPr>
            </w:pPr>
          </w:p>
        </w:tc>
        <w:tc>
          <w:tcPr>
            <w:tcW w:w="1134" w:type="dxa"/>
          </w:tcPr>
          <w:p w:rsidR="0048417A" w:rsidRPr="00B0412F" w:rsidRDefault="0048417A" w:rsidP="00836B55">
            <w:pPr>
              <w:pStyle w:val="TableText0"/>
              <w:jc w:val="center"/>
              <w:rPr>
                <w:rFonts w:ascii="Arial Narrow" w:hAnsi="Arial Narrow"/>
              </w:rPr>
            </w:pPr>
          </w:p>
        </w:tc>
        <w:tc>
          <w:tcPr>
            <w:tcW w:w="592" w:type="dxa"/>
          </w:tcPr>
          <w:p w:rsidR="0048417A" w:rsidRPr="00B0412F" w:rsidRDefault="0048417A" w:rsidP="00836B55">
            <w:pPr>
              <w:pStyle w:val="TableText0"/>
              <w:jc w:val="center"/>
              <w:rPr>
                <w:rFonts w:ascii="Arial Narrow" w:hAnsi="Arial Narrow"/>
              </w:rPr>
            </w:pPr>
          </w:p>
        </w:tc>
        <w:tc>
          <w:tcPr>
            <w:tcW w:w="893" w:type="dxa"/>
          </w:tcPr>
          <w:p w:rsidR="0048417A" w:rsidRPr="00B0412F" w:rsidRDefault="0048417A" w:rsidP="00836B55">
            <w:pPr>
              <w:pStyle w:val="TableText0"/>
              <w:jc w:val="center"/>
              <w:rPr>
                <w:rFonts w:ascii="Arial Narrow" w:hAnsi="Arial Narrow"/>
              </w:rPr>
            </w:pPr>
          </w:p>
        </w:tc>
        <w:tc>
          <w:tcPr>
            <w:tcW w:w="642" w:type="dxa"/>
            <w:gridSpan w:val="2"/>
          </w:tcPr>
          <w:p w:rsidR="0048417A" w:rsidRPr="00B0412F" w:rsidRDefault="0048417A" w:rsidP="00836B55">
            <w:pPr>
              <w:pStyle w:val="TableText0"/>
              <w:jc w:val="center"/>
              <w:rPr>
                <w:rFonts w:ascii="Arial Narrow" w:hAnsi="Arial Narrow"/>
              </w:rPr>
            </w:pPr>
          </w:p>
        </w:tc>
        <w:tc>
          <w:tcPr>
            <w:tcW w:w="859" w:type="dxa"/>
          </w:tcPr>
          <w:p w:rsidR="0048417A" w:rsidRPr="00B0412F" w:rsidRDefault="0048417A" w:rsidP="00836B55">
            <w:pPr>
              <w:pStyle w:val="TableText0"/>
              <w:jc w:val="center"/>
              <w:rPr>
                <w:rFonts w:ascii="Arial Narrow" w:hAnsi="Arial Narrow"/>
              </w:rPr>
            </w:pP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94"/>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Casciani</w:t>
            </w:r>
            <w:proofErr w:type="spellEnd"/>
            <w:r w:rsidRPr="004D57B3">
              <w:rPr>
                <w:sz w:val="18"/>
                <w:szCs w:val="18"/>
              </w:rPr>
              <w:t xml:space="preserve"> et al 2010</w:t>
            </w:r>
          </w:p>
        </w:tc>
        <w:tc>
          <w:tcPr>
            <w:tcW w:w="551" w:type="dxa"/>
          </w:tcPr>
          <w:p w:rsidR="0048417A" w:rsidRPr="004D57B3" w:rsidRDefault="0048417A" w:rsidP="00836B55">
            <w:pPr>
              <w:pStyle w:val="TableText"/>
              <w:jc w:val="center"/>
              <w:rPr>
                <w:lang w:eastAsia="en-US"/>
              </w:rPr>
            </w:pPr>
            <w:r w:rsidRPr="004D57B3">
              <w:rPr>
                <w:lang w:eastAsia="en-US"/>
              </w:rPr>
              <w:t xml:space="preserve">37 </w:t>
            </w:r>
          </w:p>
        </w:tc>
        <w:tc>
          <w:tcPr>
            <w:tcW w:w="973" w:type="dxa"/>
            <w:gridSpan w:val="2"/>
          </w:tcPr>
          <w:p w:rsidR="0048417A" w:rsidRPr="004D57B3" w:rsidRDefault="0048417A" w:rsidP="00836B55">
            <w:pPr>
              <w:pStyle w:val="TableText"/>
              <w:rPr>
                <w:lang w:eastAsia="en-US"/>
              </w:rPr>
            </w:pPr>
            <w:r w:rsidRPr="004D57B3">
              <w:rPr>
                <w:lang w:eastAsia="en-US"/>
              </w:rPr>
              <w:t>Unclear</w:t>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100(72-100)</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92(73-99)</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30</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24</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24</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0</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24:0</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0.00</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94"/>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Figueiredo</w:t>
            </w:r>
            <w:proofErr w:type="spellEnd"/>
            <w:r w:rsidRPr="004D57B3">
              <w:rPr>
                <w:sz w:val="18"/>
                <w:szCs w:val="18"/>
              </w:rPr>
              <w:t xml:space="preserve"> et al 2010</w:t>
            </w:r>
          </w:p>
        </w:tc>
        <w:tc>
          <w:tcPr>
            <w:tcW w:w="551" w:type="dxa"/>
          </w:tcPr>
          <w:p w:rsidR="0048417A" w:rsidRPr="004D57B3" w:rsidRDefault="0048417A" w:rsidP="00836B55">
            <w:pPr>
              <w:pStyle w:val="TableText"/>
              <w:jc w:val="center"/>
              <w:rPr>
                <w:lang w:eastAsia="en-US"/>
              </w:rPr>
            </w:pPr>
            <w:r w:rsidRPr="004D57B3">
              <w:rPr>
                <w:lang w:eastAsia="en-US"/>
              </w:rPr>
              <w:t>72</w:t>
            </w:r>
          </w:p>
        </w:tc>
        <w:tc>
          <w:tcPr>
            <w:tcW w:w="408" w:type="dxa"/>
          </w:tcPr>
          <w:p w:rsidR="0048417A" w:rsidRPr="004D57B3" w:rsidRDefault="0048417A" w:rsidP="00836B55">
            <w:pPr>
              <w:pStyle w:val="TableText"/>
              <w:jc w:val="center"/>
              <w:rPr>
                <w:lang w:eastAsia="en-US"/>
              </w:rPr>
            </w:pPr>
            <w:r w:rsidRPr="004D57B3">
              <w:rPr>
                <w:szCs w:val="18"/>
                <w:lang w:eastAsia="en-US"/>
              </w:rPr>
              <w:sym w:font="Wingdings" w:char="F0FC"/>
            </w:r>
          </w:p>
        </w:tc>
        <w:tc>
          <w:tcPr>
            <w:tcW w:w="565" w:type="dxa"/>
          </w:tcPr>
          <w:p w:rsidR="0048417A" w:rsidRPr="004D57B3" w:rsidRDefault="0048417A" w:rsidP="00836B55">
            <w:pPr>
              <w:pStyle w:val="TableText"/>
              <w:rPr>
                <w:lang w:eastAsia="en-US"/>
              </w:rPr>
            </w:pPr>
            <w:r w:rsidRPr="004D57B3">
              <w:rPr>
                <w:lang w:eastAsia="en-US"/>
              </w:rPr>
              <w:t>Unclear</w:t>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94(79-98)</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80(66-90)</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43</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35</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33</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2</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16.5:1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0.08</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Figueiredo</w:t>
            </w:r>
            <w:proofErr w:type="spellEnd"/>
            <w:r w:rsidRPr="004D57B3">
              <w:rPr>
                <w:sz w:val="18"/>
                <w:szCs w:val="18"/>
              </w:rPr>
              <w:t xml:space="preserve"> et al 2010</w:t>
            </w:r>
            <w:r w:rsidRPr="004D57B3" w:rsidDel="00D020C1">
              <w:rPr>
                <w:szCs w:val="18"/>
                <w:vertAlign w:val="superscript"/>
              </w:rPr>
              <w:t>‡</w:t>
            </w:r>
          </w:p>
        </w:tc>
        <w:tc>
          <w:tcPr>
            <w:tcW w:w="551" w:type="dxa"/>
          </w:tcPr>
          <w:p w:rsidR="0048417A" w:rsidRPr="004D57B3" w:rsidRDefault="0048417A" w:rsidP="00836B55">
            <w:pPr>
              <w:pStyle w:val="TableText"/>
              <w:jc w:val="center"/>
              <w:rPr>
                <w:lang w:eastAsia="en-US"/>
              </w:rPr>
            </w:pPr>
            <w:r w:rsidRPr="004D57B3">
              <w:rPr>
                <w:lang w:eastAsia="en-US"/>
              </w:rPr>
              <w:t>43</w:t>
            </w:r>
          </w:p>
        </w:tc>
        <w:tc>
          <w:tcPr>
            <w:tcW w:w="408" w:type="dxa"/>
          </w:tcPr>
          <w:p w:rsidR="0048417A" w:rsidRPr="004D57B3" w:rsidRDefault="0048417A" w:rsidP="00836B55">
            <w:pPr>
              <w:pStyle w:val="TableText"/>
              <w:jc w:val="center"/>
              <w:rPr>
                <w:lang w:eastAsia="en-US"/>
              </w:rPr>
            </w:pPr>
            <w:r w:rsidRPr="004D57B3">
              <w:rPr>
                <w:szCs w:val="18"/>
                <w:lang w:eastAsia="en-US"/>
              </w:rPr>
              <w:sym w:font="Wingdings" w:char="F0FC"/>
            </w:r>
          </w:p>
        </w:tc>
        <w:tc>
          <w:tcPr>
            <w:tcW w:w="565" w:type="dxa"/>
          </w:tcPr>
          <w:p w:rsidR="0048417A" w:rsidRPr="004D57B3" w:rsidRDefault="0048417A" w:rsidP="00836B55">
            <w:pPr>
              <w:pStyle w:val="TableText"/>
              <w:rPr>
                <w:lang w:eastAsia="en-US"/>
              </w:rPr>
            </w:pPr>
            <w:r w:rsidRPr="004D57B3">
              <w:rPr>
                <w:lang w:eastAsia="en-US"/>
              </w:rPr>
              <w:t>Unclear</w:t>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96(77-100)</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86(63-96)</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51</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19</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18</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1</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18:1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0.05</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tcBorders>
              <w:top w:val="nil"/>
              <w:bottom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Girelli</w:t>
            </w:r>
            <w:proofErr w:type="spellEnd"/>
            <w:r w:rsidRPr="004D57B3">
              <w:rPr>
                <w:sz w:val="18"/>
                <w:szCs w:val="18"/>
              </w:rPr>
              <w:t xml:space="preserve"> et al 2007</w:t>
            </w:r>
          </w:p>
        </w:tc>
        <w:tc>
          <w:tcPr>
            <w:tcW w:w="551" w:type="dxa"/>
          </w:tcPr>
          <w:p w:rsidR="0048417A" w:rsidRPr="004D57B3" w:rsidRDefault="0048417A" w:rsidP="00836B55">
            <w:pPr>
              <w:pStyle w:val="TableText"/>
              <w:jc w:val="center"/>
              <w:rPr>
                <w:lang w:eastAsia="en-US"/>
              </w:rPr>
            </w:pPr>
            <w:r w:rsidRPr="004D57B3">
              <w:rPr>
                <w:lang w:eastAsia="en-US"/>
              </w:rPr>
              <w:t>27</w:t>
            </w:r>
          </w:p>
        </w:tc>
        <w:tc>
          <w:tcPr>
            <w:tcW w:w="408" w:type="dxa"/>
          </w:tcPr>
          <w:p w:rsidR="0048417A" w:rsidRPr="004D57B3" w:rsidRDefault="0048417A" w:rsidP="00836B55">
            <w:pPr>
              <w:pStyle w:val="TableText"/>
              <w:jc w:val="center"/>
              <w:rPr>
                <w:lang w:eastAsia="en-US"/>
              </w:rPr>
            </w:pPr>
            <w:r w:rsidRPr="004D57B3">
              <w:rPr>
                <w:szCs w:val="18"/>
                <w:lang w:eastAsia="en-US"/>
              </w:rPr>
              <w:sym w:font="Wingdings 2" w:char="F0CF"/>
            </w:r>
          </w:p>
        </w:tc>
        <w:tc>
          <w:tcPr>
            <w:tcW w:w="565" w:type="dxa"/>
          </w:tcPr>
          <w:p w:rsidR="0048417A" w:rsidRPr="004D57B3" w:rsidRDefault="0048417A" w:rsidP="00836B55">
            <w:pPr>
              <w:pStyle w:val="TableText"/>
              <w:rPr>
                <w:lang w:eastAsia="en-US"/>
              </w:rPr>
            </w:pPr>
            <w:r w:rsidRPr="004D57B3">
              <w:rPr>
                <w:szCs w:val="18"/>
                <w:lang w:eastAsia="en-US"/>
              </w:rPr>
              <w:sym w:font="Wingdings" w:char="F0FC"/>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93(66-100)</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83(51-97)</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56</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11</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10</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1</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10:1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0.08</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r w:rsidR="0048417A" w:rsidRPr="004D57B3" w:rsidTr="00836B55">
        <w:trPr>
          <w:gridAfter w:val="1"/>
          <w:wAfter w:w="76" w:type="dxa"/>
          <w:trHeight w:val="278"/>
        </w:trPr>
        <w:tc>
          <w:tcPr>
            <w:tcW w:w="261" w:type="dxa"/>
            <w:tcBorders>
              <w:top w:val="nil"/>
            </w:tcBorders>
          </w:tcPr>
          <w:p w:rsidR="0048417A" w:rsidRPr="004D57B3" w:rsidRDefault="0048417A" w:rsidP="00836B55">
            <w:pPr>
              <w:pStyle w:val="TableText"/>
            </w:pPr>
          </w:p>
        </w:tc>
        <w:tc>
          <w:tcPr>
            <w:tcW w:w="1886"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Tukey</w:t>
            </w:r>
            <w:proofErr w:type="spellEnd"/>
            <w:r w:rsidRPr="004D57B3">
              <w:rPr>
                <w:sz w:val="18"/>
                <w:szCs w:val="18"/>
              </w:rPr>
              <w:t xml:space="preserve"> et al 2009</w:t>
            </w:r>
          </w:p>
        </w:tc>
        <w:tc>
          <w:tcPr>
            <w:tcW w:w="551" w:type="dxa"/>
          </w:tcPr>
          <w:p w:rsidR="0048417A" w:rsidRPr="004D57B3" w:rsidRDefault="0048417A" w:rsidP="00836B55">
            <w:pPr>
              <w:pStyle w:val="TableText"/>
              <w:jc w:val="center"/>
              <w:rPr>
                <w:lang w:eastAsia="en-US"/>
              </w:rPr>
            </w:pPr>
            <w:r w:rsidRPr="004D57B3">
              <w:rPr>
                <w:lang w:eastAsia="en-US"/>
              </w:rPr>
              <w:t>102</w:t>
            </w:r>
          </w:p>
        </w:tc>
        <w:tc>
          <w:tcPr>
            <w:tcW w:w="408" w:type="dxa"/>
          </w:tcPr>
          <w:p w:rsidR="0048417A" w:rsidRPr="004D57B3" w:rsidRDefault="0048417A" w:rsidP="00836B55">
            <w:pPr>
              <w:pStyle w:val="TableText"/>
              <w:jc w:val="center"/>
              <w:rPr>
                <w:lang w:eastAsia="en-US"/>
              </w:rPr>
            </w:pPr>
            <w:r w:rsidRPr="004D57B3">
              <w:rPr>
                <w:szCs w:val="18"/>
                <w:lang w:eastAsia="en-US"/>
              </w:rPr>
              <w:sym w:font="Wingdings" w:char="F0FC"/>
            </w:r>
          </w:p>
        </w:tc>
        <w:tc>
          <w:tcPr>
            <w:tcW w:w="565" w:type="dxa"/>
          </w:tcPr>
          <w:p w:rsidR="0048417A" w:rsidRPr="004D57B3" w:rsidRDefault="0048417A" w:rsidP="00836B55">
            <w:pPr>
              <w:pStyle w:val="TableText"/>
              <w:rPr>
                <w:lang w:eastAsia="en-US"/>
              </w:rPr>
            </w:pPr>
            <w:r w:rsidRPr="004D57B3">
              <w:rPr>
                <w:szCs w:val="18"/>
                <w:lang w:eastAsia="en-US"/>
              </w:rPr>
              <w:sym w:font="Wingdings" w:char="F0FC"/>
            </w:r>
          </w:p>
        </w:tc>
        <w:tc>
          <w:tcPr>
            <w:tcW w:w="1035" w:type="dxa"/>
          </w:tcPr>
          <w:p w:rsidR="0048417A" w:rsidRPr="00B0412F" w:rsidRDefault="0048417A" w:rsidP="00836B55">
            <w:pPr>
              <w:pStyle w:val="TableText0"/>
              <w:jc w:val="center"/>
              <w:rPr>
                <w:rFonts w:ascii="Arial Narrow" w:hAnsi="Arial Narrow"/>
              </w:rPr>
            </w:pPr>
            <w:r w:rsidRPr="00B0412F">
              <w:rPr>
                <w:rFonts w:ascii="Arial Narrow" w:hAnsi="Arial Narrow"/>
              </w:rPr>
              <w:t>85(58-96)</w:t>
            </w:r>
          </w:p>
        </w:tc>
        <w:tc>
          <w:tcPr>
            <w:tcW w:w="1189"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74(64-82)</w:t>
            </w:r>
          </w:p>
        </w:tc>
        <w:tc>
          <w:tcPr>
            <w:tcW w:w="937"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13</w:t>
            </w:r>
          </w:p>
        </w:tc>
        <w:tc>
          <w:tcPr>
            <w:tcW w:w="1134" w:type="dxa"/>
          </w:tcPr>
          <w:p w:rsidR="0048417A" w:rsidRPr="00B0412F" w:rsidRDefault="0048417A" w:rsidP="00836B55">
            <w:pPr>
              <w:pStyle w:val="TableText0"/>
              <w:jc w:val="center"/>
              <w:rPr>
                <w:rFonts w:ascii="Arial Narrow" w:hAnsi="Arial Narrow"/>
              </w:rPr>
            </w:pPr>
            <w:r w:rsidRPr="00B0412F">
              <w:rPr>
                <w:rFonts w:ascii="Arial Narrow" w:hAnsi="Arial Narrow"/>
              </w:rPr>
              <w:t>68</w:t>
            </w:r>
          </w:p>
        </w:tc>
        <w:tc>
          <w:tcPr>
            <w:tcW w:w="592" w:type="dxa"/>
          </w:tcPr>
          <w:p w:rsidR="0048417A" w:rsidRPr="00B0412F" w:rsidRDefault="0048417A" w:rsidP="00836B55">
            <w:pPr>
              <w:pStyle w:val="TableText0"/>
              <w:jc w:val="center"/>
              <w:rPr>
                <w:rFonts w:ascii="Arial Narrow" w:hAnsi="Arial Narrow"/>
              </w:rPr>
            </w:pPr>
            <w:r w:rsidRPr="00B0412F">
              <w:rPr>
                <w:rFonts w:ascii="Arial Narrow" w:hAnsi="Arial Narrow"/>
              </w:rPr>
              <w:t>66</w:t>
            </w:r>
          </w:p>
        </w:tc>
        <w:tc>
          <w:tcPr>
            <w:tcW w:w="893" w:type="dxa"/>
          </w:tcPr>
          <w:p w:rsidR="0048417A" w:rsidRPr="00B0412F" w:rsidRDefault="0048417A" w:rsidP="00836B55">
            <w:pPr>
              <w:pStyle w:val="TableText0"/>
              <w:jc w:val="center"/>
              <w:rPr>
                <w:rFonts w:ascii="Arial Narrow" w:hAnsi="Arial Narrow"/>
              </w:rPr>
            </w:pPr>
            <w:r w:rsidRPr="00B0412F">
              <w:rPr>
                <w:rFonts w:ascii="Arial Narrow" w:hAnsi="Arial Narrow"/>
              </w:rPr>
              <w:t>2</w:t>
            </w:r>
          </w:p>
        </w:tc>
        <w:tc>
          <w:tcPr>
            <w:tcW w:w="642" w:type="dxa"/>
            <w:gridSpan w:val="2"/>
          </w:tcPr>
          <w:p w:rsidR="0048417A" w:rsidRPr="00B0412F" w:rsidRDefault="0048417A" w:rsidP="00836B55">
            <w:pPr>
              <w:pStyle w:val="TableText0"/>
              <w:jc w:val="center"/>
              <w:rPr>
                <w:rFonts w:ascii="Arial Narrow" w:hAnsi="Arial Narrow"/>
              </w:rPr>
            </w:pPr>
            <w:r w:rsidRPr="00B0412F">
              <w:rPr>
                <w:rFonts w:ascii="Arial Narrow" w:hAnsi="Arial Narrow"/>
              </w:rPr>
              <w:t>33:1</w:t>
            </w:r>
          </w:p>
        </w:tc>
        <w:tc>
          <w:tcPr>
            <w:tcW w:w="859" w:type="dxa"/>
          </w:tcPr>
          <w:p w:rsidR="0048417A" w:rsidRPr="00B0412F" w:rsidRDefault="0048417A" w:rsidP="00836B55">
            <w:pPr>
              <w:pStyle w:val="TableText0"/>
              <w:jc w:val="center"/>
              <w:rPr>
                <w:rFonts w:ascii="Arial Narrow" w:hAnsi="Arial Narrow"/>
              </w:rPr>
            </w:pPr>
            <w:r w:rsidRPr="00B0412F">
              <w:rPr>
                <w:rFonts w:ascii="Arial Narrow" w:hAnsi="Arial Narrow"/>
              </w:rPr>
              <w:t>0.21</w:t>
            </w:r>
          </w:p>
        </w:tc>
        <w:tc>
          <w:tcPr>
            <w:tcW w:w="607" w:type="dxa"/>
          </w:tcPr>
          <w:p w:rsidR="0048417A" w:rsidRPr="00B0412F" w:rsidRDefault="0048417A" w:rsidP="00836B55">
            <w:pPr>
              <w:pStyle w:val="TableText0"/>
              <w:jc w:val="center"/>
              <w:rPr>
                <w:rFonts w:ascii="Arial Narrow" w:hAnsi="Arial Narrow"/>
              </w:rPr>
            </w:pPr>
          </w:p>
        </w:tc>
        <w:tc>
          <w:tcPr>
            <w:tcW w:w="943" w:type="dxa"/>
          </w:tcPr>
          <w:p w:rsidR="0048417A" w:rsidRPr="00B0412F" w:rsidRDefault="0048417A" w:rsidP="00836B55">
            <w:pPr>
              <w:pStyle w:val="TableText0"/>
              <w:jc w:val="center"/>
              <w:rPr>
                <w:rFonts w:ascii="Arial Narrow" w:hAnsi="Arial Narrow"/>
              </w:rPr>
            </w:pPr>
          </w:p>
        </w:tc>
        <w:tc>
          <w:tcPr>
            <w:tcW w:w="567" w:type="dxa"/>
          </w:tcPr>
          <w:p w:rsidR="0048417A" w:rsidRPr="00B0412F" w:rsidRDefault="0048417A" w:rsidP="00836B55">
            <w:pPr>
              <w:pStyle w:val="TableText0"/>
              <w:jc w:val="center"/>
              <w:rPr>
                <w:rFonts w:ascii="Arial Narrow" w:hAnsi="Arial Narrow"/>
              </w:rPr>
            </w:pPr>
          </w:p>
        </w:tc>
        <w:tc>
          <w:tcPr>
            <w:tcW w:w="993" w:type="dxa"/>
          </w:tcPr>
          <w:p w:rsidR="0048417A" w:rsidRPr="00B0412F" w:rsidRDefault="0048417A" w:rsidP="00836B55">
            <w:pPr>
              <w:pStyle w:val="TableText0"/>
              <w:jc w:val="center"/>
              <w:rPr>
                <w:rFonts w:ascii="Arial Narrow" w:hAnsi="Arial Narrow"/>
              </w:rPr>
            </w:pPr>
          </w:p>
        </w:tc>
      </w:tr>
    </w:tbl>
    <w:p w:rsidR="0048417A" w:rsidRPr="004D57B3" w:rsidRDefault="0048417A" w:rsidP="00836B55">
      <w:pPr>
        <w:pStyle w:val="TableNotes"/>
        <w:ind w:left="0"/>
        <w:rPr>
          <w:szCs w:val="16"/>
        </w:rPr>
      </w:pPr>
      <w:r w:rsidRPr="004D57B3">
        <w:rPr>
          <w:szCs w:val="16"/>
          <w:vertAlign w:val="superscript"/>
        </w:rPr>
        <w:t>†</w:t>
      </w:r>
      <w:r w:rsidRPr="004D57B3">
        <w:rPr>
          <w:szCs w:val="16"/>
        </w:rPr>
        <w:t xml:space="preserve"> Patients did have prior tests (including C+IL) but those receiving a diagnosis of Crohn’s disease on prior tests were not excluded. </w:t>
      </w:r>
      <w:r w:rsidRPr="004D57B3" w:rsidDel="00D020C1">
        <w:rPr>
          <w:szCs w:val="16"/>
          <w:vertAlign w:val="superscript"/>
        </w:rPr>
        <w:t>‡</w:t>
      </w:r>
      <w:r w:rsidRPr="004D57B3">
        <w:rPr>
          <w:szCs w:val="16"/>
        </w:rPr>
        <w:t xml:space="preserve"> In patients for </w:t>
      </w:r>
      <w:proofErr w:type="gramStart"/>
      <w:r w:rsidRPr="004D57B3">
        <w:rPr>
          <w:szCs w:val="16"/>
        </w:rPr>
        <w:t>whom</w:t>
      </w:r>
      <w:proofErr w:type="gramEnd"/>
      <w:r w:rsidRPr="004D57B3">
        <w:rPr>
          <w:szCs w:val="16"/>
        </w:rPr>
        <w:t xml:space="preserve"> retrograde </w:t>
      </w:r>
      <w:proofErr w:type="spellStart"/>
      <w:r w:rsidRPr="004D57B3">
        <w:rPr>
          <w:szCs w:val="16"/>
        </w:rPr>
        <w:t>ileoscopy</w:t>
      </w:r>
      <w:proofErr w:type="spellEnd"/>
      <w:r w:rsidRPr="004D57B3">
        <w:rPr>
          <w:szCs w:val="16"/>
        </w:rPr>
        <w:t xml:space="preserve"> was achieved and negative.</w:t>
      </w:r>
    </w:p>
    <w:p w:rsidR="0048417A" w:rsidRPr="004D57B3" w:rsidRDefault="0048417A" w:rsidP="00836B55">
      <w:pPr>
        <w:pStyle w:val="TableNotes"/>
        <w:ind w:left="0"/>
        <w:rPr>
          <w:szCs w:val="16"/>
        </w:rPr>
      </w:pPr>
      <w:r w:rsidRPr="004D57B3">
        <w:rPr>
          <w:szCs w:val="16"/>
          <w:vertAlign w:val="superscript"/>
        </w:rPr>
        <w:t>§</w:t>
      </w:r>
      <w:r w:rsidRPr="004D57B3">
        <w:rPr>
          <w:szCs w:val="16"/>
        </w:rPr>
        <w:t xml:space="preserve"> </w:t>
      </w:r>
      <w:proofErr w:type="gramStart"/>
      <w:r w:rsidRPr="004D57B3">
        <w:rPr>
          <w:szCs w:val="16"/>
        </w:rPr>
        <w:t>N(</w:t>
      </w:r>
      <w:proofErr w:type="gramEnd"/>
      <w:r w:rsidRPr="004D57B3">
        <w:rPr>
          <w:szCs w:val="16"/>
        </w:rPr>
        <w:t xml:space="preserve">N) = total patients included in 2x2 table for CE (total patients in 2x2 table for comparator). °Diagnosis of Crohn’s disease unconfirmed by colonoscopy and attempted </w:t>
      </w:r>
      <w:proofErr w:type="spellStart"/>
      <w:r w:rsidRPr="004D57B3">
        <w:rPr>
          <w:szCs w:val="16"/>
        </w:rPr>
        <w:t>ileoscopy</w:t>
      </w:r>
      <w:proofErr w:type="spellEnd"/>
      <w:r w:rsidRPr="004D57B3">
        <w:rPr>
          <w:szCs w:val="16"/>
        </w:rPr>
        <w:t xml:space="preserve"> (C+IL) or small bowel radiology (SBR). A rating of</w:t>
      </w:r>
      <w:r w:rsidRPr="004D57B3">
        <w:rPr>
          <w:szCs w:val="16"/>
          <w:lang w:eastAsia="en-US"/>
        </w:rPr>
        <w:sym w:font="Wingdings 2" w:char="F0CF"/>
      </w:r>
      <w:r w:rsidRPr="004D57B3">
        <w:rPr>
          <w:szCs w:val="16"/>
        </w:rPr>
        <w:t xml:space="preserve"> indicates patients did not receive a negative result on the test listed in the column (C+IL or SBR) (test was not performed or the test was performed but patients with a positive result were not necessarily excluded). A rating of </w:t>
      </w:r>
      <w:r w:rsidRPr="004D57B3">
        <w:rPr>
          <w:szCs w:val="16"/>
          <w:lang w:eastAsia="en-US"/>
        </w:rPr>
        <w:sym w:font="Wingdings" w:char="F0FC"/>
      </w:r>
      <w:r w:rsidRPr="004D57B3">
        <w:rPr>
          <w:szCs w:val="16"/>
          <w:lang w:eastAsia="en-US"/>
        </w:rPr>
        <w:t xml:space="preserve"> indicates that patients received a negative result on the test listed. A rating of unclear indicates that the reporting was insufficient to determine whether patients received a negative result on the prior tests.</w:t>
      </w:r>
    </w:p>
    <w:p w:rsidR="0048417A" w:rsidRPr="004D57B3" w:rsidRDefault="0048417A" w:rsidP="00836B55">
      <w:pPr>
        <w:pStyle w:val="TableNotes"/>
        <w:ind w:left="0"/>
      </w:pPr>
      <w:r w:rsidRPr="004D57B3">
        <w:rPr>
          <w:i/>
          <w:szCs w:val="16"/>
        </w:rPr>
        <w:t>Abbreviations:</w:t>
      </w:r>
      <w:r w:rsidRPr="004D57B3">
        <w:rPr>
          <w:szCs w:val="16"/>
        </w:rPr>
        <w:t xml:space="preserve"> </w:t>
      </w:r>
      <w:proofErr w:type="spellStart"/>
      <w:r w:rsidRPr="004D57B3">
        <w:rPr>
          <w:szCs w:val="16"/>
        </w:rPr>
        <w:t>nd</w:t>
      </w:r>
      <w:proofErr w:type="spellEnd"/>
      <w:r w:rsidRPr="004D57B3">
        <w:rPr>
          <w:szCs w:val="16"/>
        </w:rPr>
        <w:t>=not defined</w:t>
      </w:r>
      <w:r>
        <w:rPr>
          <w:szCs w:val="16"/>
        </w:rPr>
        <w:t>,</w:t>
      </w:r>
      <w:r w:rsidRPr="004D57B3">
        <w:rPr>
          <w:szCs w:val="16"/>
        </w:rPr>
        <w:t xml:space="preserve"> CE = capsule endoscopy</w:t>
      </w:r>
      <w:r>
        <w:rPr>
          <w:szCs w:val="16"/>
        </w:rPr>
        <w:t>,</w:t>
      </w:r>
      <w:r w:rsidRPr="004D57B3">
        <w:rPr>
          <w:szCs w:val="16"/>
        </w:rPr>
        <w:t xml:space="preserve"> MR = magnetic resonance imaging or magnetic resonance </w:t>
      </w:r>
      <w:proofErr w:type="spellStart"/>
      <w:r w:rsidRPr="004D57B3">
        <w:rPr>
          <w:szCs w:val="16"/>
        </w:rPr>
        <w:t>enterography</w:t>
      </w:r>
      <w:proofErr w:type="spellEnd"/>
      <w:r>
        <w:rPr>
          <w:szCs w:val="16"/>
        </w:rPr>
        <w:t>,</w:t>
      </w:r>
      <w:r w:rsidRPr="004D57B3">
        <w:rPr>
          <w:szCs w:val="16"/>
        </w:rPr>
        <w:t xml:space="preserve"> </w:t>
      </w:r>
      <w:r>
        <w:rPr>
          <w:szCs w:val="16"/>
        </w:rPr>
        <w:t xml:space="preserve">MRI = magnetic resonance imaging without </w:t>
      </w:r>
      <w:proofErr w:type="spellStart"/>
      <w:r>
        <w:rPr>
          <w:szCs w:val="16"/>
        </w:rPr>
        <w:t>enterography</w:t>
      </w:r>
      <w:proofErr w:type="spellEnd"/>
      <w:r>
        <w:rPr>
          <w:szCs w:val="16"/>
        </w:rPr>
        <w:t xml:space="preserve">, MRE = magnetic resonance imaging with </w:t>
      </w:r>
      <w:proofErr w:type="spellStart"/>
      <w:r>
        <w:rPr>
          <w:szCs w:val="16"/>
        </w:rPr>
        <w:t>enterography</w:t>
      </w:r>
      <w:proofErr w:type="spellEnd"/>
      <w:r>
        <w:rPr>
          <w:szCs w:val="16"/>
        </w:rPr>
        <w:t xml:space="preserve">, </w:t>
      </w:r>
      <w:r w:rsidRPr="004D57B3">
        <w:rPr>
          <w:szCs w:val="16"/>
        </w:rPr>
        <w:t xml:space="preserve">C+IL = colonoscopy plus attempted </w:t>
      </w:r>
      <w:proofErr w:type="spellStart"/>
      <w:r w:rsidRPr="004D57B3">
        <w:rPr>
          <w:szCs w:val="16"/>
        </w:rPr>
        <w:t>ileoscopy</w:t>
      </w:r>
      <w:proofErr w:type="spellEnd"/>
      <w:r>
        <w:rPr>
          <w:szCs w:val="16"/>
        </w:rPr>
        <w:t>,</w:t>
      </w:r>
      <w:r w:rsidRPr="004D57B3">
        <w:rPr>
          <w:szCs w:val="16"/>
        </w:rPr>
        <w:t xml:space="preserve"> SBR = small bowel radiology</w:t>
      </w:r>
      <w:r>
        <w:rPr>
          <w:szCs w:val="16"/>
        </w:rPr>
        <w:t>,</w:t>
      </w:r>
      <w:r w:rsidRPr="004D57B3">
        <w:rPr>
          <w:szCs w:val="16"/>
        </w:rPr>
        <w:t xml:space="preserve"> CD = Crohn’s disease</w:t>
      </w:r>
      <w:r>
        <w:rPr>
          <w:szCs w:val="16"/>
        </w:rPr>
        <w:t>,</w:t>
      </w:r>
      <w:r w:rsidRPr="004D57B3">
        <w:rPr>
          <w:szCs w:val="16"/>
        </w:rPr>
        <w:t xml:space="preserve"> CI = confidence interval</w:t>
      </w:r>
      <w:r>
        <w:rPr>
          <w:szCs w:val="16"/>
        </w:rPr>
        <w:t>,</w:t>
      </w:r>
      <w:r w:rsidRPr="004D57B3">
        <w:rPr>
          <w:szCs w:val="16"/>
        </w:rPr>
        <w:t xml:space="preserve"> TN = true</w:t>
      </w:r>
      <w:r>
        <w:rPr>
          <w:szCs w:val="16"/>
        </w:rPr>
        <w:t>-</w:t>
      </w:r>
      <w:r w:rsidRPr="004D57B3">
        <w:rPr>
          <w:szCs w:val="16"/>
        </w:rPr>
        <w:t>negative</w:t>
      </w:r>
      <w:r>
        <w:rPr>
          <w:szCs w:val="16"/>
        </w:rPr>
        <w:t>,</w:t>
      </w:r>
      <w:r w:rsidRPr="004D57B3">
        <w:rPr>
          <w:szCs w:val="16"/>
        </w:rPr>
        <w:t xml:space="preserve"> FN = false</w:t>
      </w:r>
      <w:r>
        <w:rPr>
          <w:szCs w:val="16"/>
        </w:rPr>
        <w:t>-</w:t>
      </w:r>
      <w:r w:rsidRPr="004D57B3">
        <w:rPr>
          <w:szCs w:val="16"/>
        </w:rPr>
        <w:t>negative</w:t>
      </w:r>
      <w:r>
        <w:rPr>
          <w:szCs w:val="16"/>
        </w:rPr>
        <w:t>,</w:t>
      </w:r>
      <w:r w:rsidRPr="004D57B3">
        <w:rPr>
          <w:szCs w:val="16"/>
        </w:rPr>
        <w:t xml:space="preserve"> TP = true</w:t>
      </w:r>
      <w:r>
        <w:rPr>
          <w:szCs w:val="16"/>
        </w:rPr>
        <w:t>-positive,</w:t>
      </w:r>
      <w:r w:rsidRPr="004D57B3">
        <w:rPr>
          <w:szCs w:val="16"/>
        </w:rPr>
        <w:t xml:space="preserve"> FP = false</w:t>
      </w:r>
      <w:r>
        <w:rPr>
          <w:szCs w:val="16"/>
        </w:rPr>
        <w:t>-</w:t>
      </w:r>
      <w:r w:rsidRPr="004D57B3">
        <w:rPr>
          <w:szCs w:val="16"/>
        </w:rPr>
        <w:t xml:space="preserve">positive </w:t>
      </w:r>
      <w:bookmarkStart w:id="186" w:name="_Ref251675880"/>
      <w:bookmarkStart w:id="187" w:name="_Toc255305590"/>
    </w:p>
    <w:p w:rsidR="0048417A" w:rsidRPr="004D57B3" w:rsidRDefault="0048417A" w:rsidP="00836B55">
      <w:pPr>
        <w:pStyle w:val="TableName"/>
        <w:sectPr w:rsidR="0048417A" w:rsidRPr="004D57B3" w:rsidSect="00836B55">
          <w:pgSz w:w="16838" w:h="11906" w:orient="landscape"/>
          <w:pgMar w:top="1440" w:right="1440" w:bottom="1440" w:left="1440" w:header="720" w:footer="720" w:gutter="0"/>
          <w:paperSrc w:first="2" w:other="2"/>
          <w:cols w:space="720"/>
          <w:docGrid w:linePitch="326"/>
        </w:sectPr>
      </w:pPr>
    </w:p>
    <w:bookmarkEnd w:id="186"/>
    <w:bookmarkEnd w:id="187"/>
    <w:p w:rsidR="0048417A" w:rsidRPr="004D57B3" w:rsidRDefault="0048417A" w:rsidP="00836B55">
      <w:pPr>
        <w:pStyle w:val="Heading3"/>
      </w:pPr>
      <w:r w:rsidRPr="004D57B3">
        <w:lastRenderedPageBreak/>
        <w:t>Diagnostic yield</w:t>
      </w:r>
    </w:p>
    <w:p w:rsidR="0048417A" w:rsidRPr="004D57B3" w:rsidRDefault="0048417A" w:rsidP="00836B55">
      <w:r w:rsidRPr="004D57B3">
        <w:t xml:space="preserve">Fourteen studies were identified that assessed the diagnostic yield of capsule endoscopy. Most of the 14 studies that reported diagnostic yield of capsule endoscopy were of poor quality (11 poor, </w:t>
      </w:r>
      <w:r>
        <w:t>3</w:t>
      </w:r>
      <w:r w:rsidRPr="004D57B3">
        <w:t xml:space="preserve"> fair) and of limited applicability (11 limited, </w:t>
      </w:r>
      <w:r>
        <w:t>3</w:t>
      </w:r>
      <w:r w:rsidRPr="004D57B3">
        <w:t xml:space="preserve"> applicable). Eleven of 14 included studies reported the diagnostic yield of capsule endoscopy for &lt;40 subjects with suspected Crohn’s disease; 8 of 14 reported it for &lt;30 subjects with suspected Crohn’s disease.</w:t>
      </w:r>
    </w:p>
    <w:p w:rsidR="0048417A" w:rsidRPr="004D57B3" w:rsidRDefault="0048417A" w:rsidP="00836B55">
      <w:r w:rsidRPr="004D57B3">
        <w:t xml:space="preserve">Full details of all included studies are presented in the data extraction tables in </w:t>
      </w:r>
      <w:r w:rsidR="00AE591B">
        <w:fldChar w:fldCharType="begin"/>
      </w:r>
      <w:r w:rsidR="00AE591B">
        <w:instrText xml:space="preserve"> REF _Ref281981704 \h  \* MERGEFORMAT </w:instrText>
      </w:r>
      <w:r w:rsidR="00AE591B">
        <w:fldChar w:fldCharType="separate"/>
      </w:r>
      <w:r w:rsidRPr="004D57B3">
        <w:rPr>
          <w:bCs/>
        </w:rPr>
        <w:t xml:space="preserve">Appendix </w:t>
      </w:r>
      <w:r>
        <w:rPr>
          <w:bCs/>
        </w:rPr>
        <w:t>D</w:t>
      </w:r>
      <w:r w:rsidR="00AE591B">
        <w:fldChar w:fldCharType="end"/>
      </w:r>
      <w:r w:rsidRPr="004D57B3">
        <w:t xml:space="preserve">. As no accuracy studies were identified which directly compared capsule endoscopy with CT, </w:t>
      </w:r>
      <w:r w:rsidR="00AE591B">
        <w:fldChar w:fldCharType="begin"/>
      </w:r>
      <w:r w:rsidR="00AE591B">
        <w:instrText xml:space="preserve"> REF _Ref279672913 \h  \* MERGEFORMAT </w:instrText>
      </w:r>
      <w:r w:rsidR="00AE591B">
        <w:fldChar w:fldCharType="separate"/>
      </w:r>
      <w:r w:rsidRPr="004D57B3">
        <w:t xml:space="preserve">Table </w:t>
      </w:r>
      <w:r>
        <w:rPr>
          <w:noProof/>
        </w:rPr>
        <w:t>25</w:t>
      </w:r>
      <w:r w:rsidR="00AE591B">
        <w:fldChar w:fldCharType="end"/>
      </w:r>
      <w:r w:rsidRPr="004D57B3">
        <w:t xml:space="preserve"> summarises the results of all included diagnostic yield studies that provided a direct comparison of the yield of capsule endoscopy with CT (with or without </w:t>
      </w:r>
      <w:proofErr w:type="spellStart"/>
      <w:r w:rsidRPr="004D57B3">
        <w:t>enterography</w:t>
      </w:r>
      <w:proofErr w:type="spellEnd"/>
      <w:r w:rsidRPr="004D57B3">
        <w:t>).</w:t>
      </w:r>
    </w:p>
    <w:p w:rsidR="0048417A" w:rsidRPr="004D57B3" w:rsidRDefault="0048417A" w:rsidP="00836B55">
      <w:pPr>
        <w:pStyle w:val="TableName"/>
        <w:ind w:left="1485" w:hanging="765"/>
      </w:pPr>
      <w:bookmarkStart w:id="188" w:name="_Ref279672913"/>
      <w:bookmarkStart w:id="189" w:name="_Toc291859587"/>
      <w:r w:rsidRPr="004D57B3">
        <w:t xml:space="preserve">Table </w:t>
      </w:r>
      <w:r w:rsidR="00AE591B">
        <w:fldChar w:fldCharType="begin"/>
      </w:r>
      <w:r w:rsidR="00AE591B">
        <w:instrText xml:space="preserve"> SEQ Table \* ARABIC </w:instrText>
      </w:r>
      <w:r w:rsidR="00AE591B">
        <w:fldChar w:fldCharType="separate"/>
      </w:r>
      <w:r>
        <w:rPr>
          <w:noProof/>
        </w:rPr>
        <w:t>25</w:t>
      </w:r>
      <w:r w:rsidR="00AE591B">
        <w:rPr>
          <w:noProof/>
        </w:rPr>
        <w:fldChar w:fldCharType="end"/>
      </w:r>
      <w:bookmarkEnd w:id="188"/>
      <w:r w:rsidRPr="004D57B3">
        <w:tab/>
        <w:t>Comparative diagnostic yield of CE for the diagnosis of suspected small bowel Crohn’s disease</w:t>
      </w:r>
      <w:bookmarkEnd w:id="189"/>
    </w:p>
    <w:tbl>
      <w:tblPr>
        <w:tblW w:w="0" w:type="auto"/>
        <w:tblInd w:w="720" w:type="dxa"/>
        <w:tblBorders>
          <w:top w:val="single" w:sz="4" w:space="0" w:color="auto"/>
          <w:bottom w:val="single" w:sz="4" w:space="0" w:color="auto"/>
          <w:insideH w:val="single" w:sz="4" w:space="0" w:color="auto"/>
        </w:tblBorders>
        <w:tblCellMar>
          <w:left w:w="28" w:type="dxa"/>
          <w:right w:w="28" w:type="dxa"/>
        </w:tblCellMar>
        <w:tblLook w:val="00A0" w:firstRow="1" w:lastRow="0" w:firstColumn="1" w:lastColumn="0" w:noHBand="0" w:noVBand="0"/>
      </w:tblPr>
      <w:tblGrid>
        <w:gridCol w:w="62"/>
        <w:gridCol w:w="1934"/>
        <w:gridCol w:w="565"/>
        <w:gridCol w:w="452"/>
        <w:gridCol w:w="565"/>
        <w:gridCol w:w="696"/>
        <w:gridCol w:w="1057"/>
        <w:gridCol w:w="62"/>
        <w:gridCol w:w="557"/>
        <w:gridCol w:w="934"/>
        <w:gridCol w:w="434"/>
      </w:tblGrid>
      <w:tr w:rsidR="0048417A" w:rsidRPr="004D57B3" w:rsidTr="00836B55">
        <w:trPr>
          <w:trHeight w:val="278"/>
        </w:trPr>
        <w:tc>
          <w:tcPr>
            <w:tcW w:w="0" w:type="auto"/>
            <w:gridSpan w:val="2"/>
            <w:vMerge w:val="restart"/>
            <w:shd w:val="pct10" w:color="auto" w:fill="auto"/>
          </w:tcPr>
          <w:p w:rsidR="0048417A" w:rsidRPr="004D57B3" w:rsidRDefault="0048417A" w:rsidP="00836B55">
            <w:pPr>
              <w:pStyle w:val="TableHeading0"/>
              <w:rPr>
                <w:lang w:val="en-AU"/>
              </w:rPr>
            </w:pPr>
            <w:r w:rsidRPr="004D57B3">
              <w:rPr>
                <w:rFonts w:ascii="Arial Narrow" w:hAnsi="Arial Narrow"/>
                <w:lang w:val="en-AU"/>
              </w:rPr>
              <w:t>Author (year)</w:t>
            </w:r>
          </w:p>
        </w:tc>
        <w:tc>
          <w:tcPr>
            <w:tcW w:w="0" w:type="auto"/>
            <w:vMerge w:val="restart"/>
            <w:shd w:val="pct10" w:color="auto" w:fill="auto"/>
          </w:tcPr>
          <w:p w:rsidR="0048417A" w:rsidRPr="004D57B3" w:rsidRDefault="0048417A" w:rsidP="00836B55">
            <w:pPr>
              <w:pStyle w:val="TableHeading0"/>
              <w:rPr>
                <w:rFonts w:ascii="Arial Narrow" w:hAnsi="Arial Narrow"/>
                <w:lang w:val="en-AU"/>
              </w:rPr>
            </w:pPr>
            <w:r>
              <w:rPr>
                <w:rFonts w:ascii="Arial Narrow" w:hAnsi="Arial Narrow"/>
                <w:lang w:val="en-AU"/>
              </w:rPr>
              <w:t>n</w:t>
            </w:r>
            <w:r w:rsidRPr="004D57B3">
              <w:rPr>
                <w:rFonts w:ascii="Arial Narrow" w:hAnsi="Arial Narrow"/>
                <w:lang w:val="en-AU"/>
              </w:rPr>
              <w:t xml:space="preserve"> pts</w:t>
            </w:r>
            <w:r w:rsidRPr="004D57B3">
              <w:rPr>
                <w:vertAlign w:val="superscript"/>
              </w:rPr>
              <w:t>§</w:t>
            </w:r>
          </w:p>
          <w:p w:rsidR="0048417A" w:rsidRPr="004D57B3" w:rsidRDefault="0048417A" w:rsidP="00836B55">
            <w:pPr>
              <w:pStyle w:val="TableHeading0"/>
              <w:rPr>
                <w:lang w:val="en-AU"/>
              </w:rPr>
            </w:pPr>
          </w:p>
        </w:tc>
        <w:tc>
          <w:tcPr>
            <w:tcW w:w="0" w:type="auto"/>
            <w:vMerge w:val="restart"/>
            <w:shd w:val="pct10" w:color="auto" w:fill="auto"/>
          </w:tcPr>
          <w:p w:rsidR="0048417A" w:rsidRPr="004D57B3" w:rsidRDefault="0048417A" w:rsidP="00836B55">
            <w:pPr>
              <w:pStyle w:val="TableHeading0"/>
              <w:rPr>
                <w:rFonts w:ascii="Arial Narrow" w:hAnsi="Arial Narrow"/>
                <w:lang w:val="en-AU"/>
              </w:rPr>
            </w:pPr>
            <w:r>
              <w:rPr>
                <w:rFonts w:ascii="Arial Narrow" w:hAnsi="Arial Narrow"/>
                <w:lang w:val="en-AU"/>
              </w:rPr>
              <w:t>–</w:t>
            </w:r>
            <w:proofErr w:type="spellStart"/>
            <w:r w:rsidRPr="004D57B3">
              <w:rPr>
                <w:rFonts w:ascii="Arial Narrow" w:hAnsi="Arial Narrow"/>
                <w:lang w:val="en-AU"/>
              </w:rPr>
              <w:t>ve</w:t>
            </w:r>
            <w:proofErr w:type="spellEnd"/>
          </w:p>
          <w:p w:rsidR="0048417A" w:rsidRPr="004D57B3" w:rsidRDefault="0048417A" w:rsidP="00836B55">
            <w:pPr>
              <w:pStyle w:val="TableHeading0"/>
              <w:rPr>
                <w:lang w:val="en-AU"/>
              </w:rPr>
            </w:pPr>
            <w:r w:rsidRPr="004D57B3">
              <w:rPr>
                <w:rFonts w:ascii="Arial Narrow" w:hAnsi="Arial Narrow"/>
                <w:lang w:val="en-AU"/>
              </w:rPr>
              <w:t>C+IL</w:t>
            </w:r>
            <w:r w:rsidRPr="004D57B3">
              <w:rPr>
                <w:rFonts w:ascii="Arial Narrow" w:hAnsi="Arial Narrow"/>
                <w:b w:val="0"/>
                <w:lang w:val="en-AU"/>
              </w:rPr>
              <w:t>°</w:t>
            </w:r>
          </w:p>
        </w:tc>
        <w:tc>
          <w:tcPr>
            <w:tcW w:w="0" w:type="auto"/>
            <w:vMerge w:val="restart"/>
            <w:shd w:val="pct10" w:color="auto" w:fill="auto"/>
          </w:tcPr>
          <w:p w:rsidR="0048417A" w:rsidRPr="004D57B3" w:rsidRDefault="0048417A" w:rsidP="00836B55">
            <w:pPr>
              <w:pStyle w:val="TableHeading0"/>
              <w:rPr>
                <w:rFonts w:ascii="Arial Narrow" w:hAnsi="Arial Narrow"/>
                <w:lang w:val="en-AU"/>
              </w:rPr>
            </w:pPr>
            <w:r>
              <w:rPr>
                <w:rFonts w:ascii="Arial Narrow" w:hAnsi="Arial Narrow"/>
                <w:lang w:val="en-AU"/>
              </w:rPr>
              <w:t>–</w:t>
            </w:r>
            <w:proofErr w:type="spellStart"/>
            <w:r w:rsidRPr="004D57B3">
              <w:rPr>
                <w:rFonts w:ascii="Arial Narrow" w:hAnsi="Arial Narrow"/>
                <w:lang w:val="en-AU"/>
              </w:rPr>
              <w:t>ve</w:t>
            </w:r>
            <w:proofErr w:type="spellEnd"/>
          </w:p>
          <w:p w:rsidR="0048417A" w:rsidRPr="004D57B3" w:rsidRDefault="0048417A" w:rsidP="00836B55">
            <w:pPr>
              <w:pStyle w:val="TableHeading0"/>
              <w:rPr>
                <w:lang w:val="en-AU"/>
              </w:rPr>
            </w:pPr>
            <w:r w:rsidRPr="004D57B3">
              <w:rPr>
                <w:rFonts w:ascii="Arial Narrow" w:hAnsi="Arial Narrow"/>
                <w:lang w:val="en-AU"/>
              </w:rPr>
              <w:t>SBR</w:t>
            </w:r>
            <w:r w:rsidRPr="004D57B3">
              <w:rPr>
                <w:rFonts w:ascii="Arial Narrow" w:hAnsi="Arial Narrow"/>
                <w:b w:val="0"/>
                <w:lang w:val="en-AU"/>
              </w:rPr>
              <w:t>°</w:t>
            </w:r>
          </w:p>
        </w:tc>
        <w:tc>
          <w:tcPr>
            <w:tcW w:w="0" w:type="auto"/>
            <w:gridSpan w:val="2"/>
            <w:shd w:val="pct10" w:color="auto" w:fill="auto"/>
          </w:tcPr>
          <w:p w:rsidR="0048417A" w:rsidRPr="004D57B3" w:rsidRDefault="0048417A" w:rsidP="00836B55">
            <w:pPr>
              <w:pStyle w:val="TableHeading0"/>
              <w:jc w:val="center"/>
              <w:rPr>
                <w:lang w:val="en-AU"/>
              </w:rPr>
            </w:pPr>
            <w:r w:rsidRPr="004D57B3">
              <w:rPr>
                <w:rFonts w:ascii="Arial Narrow" w:hAnsi="Arial Narrow"/>
                <w:lang w:val="en-AU"/>
              </w:rPr>
              <w:t>Yield% (95% CI)</w:t>
            </w:r>
          </w:p>
        </w:tc>
        <w:tc>
          <w:tcPr>
            <w:tcW w:w="0" w:type="auto"/>
            <w:shd w:val="pct10" w:color="auto" w:fill="auto"/>
          </w:tcPr>
          <w:p w:rsidR="0048417A" w:rsidRPr="004D57B3" w:rsidRDefault="0048417A" w:rsidP="00836B55">
            <w:pPr>
              <w:pStyle w:val="TableHeading0"/>
              <w:jc w:val="center"/>
              <w:rPr>
                <w:rFonts w:ascii="Arial Narrow" w:hAnsi="Arial Narrow"/>
                <w:lang w:val="en-AU"/>
              </w:rPr>
            </w:pPr>
          </w:p>
        </w:tc>
        <w:tc>
          <w:tcPr>
            <w:tcW w:w="0" w:type="auto"/>
            <w:vMerge w:val="restart"/>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Quality</w:t>
            </w:r>
          </w:p>
        </w:tc>
        <w:tc>
          <w:tcPr>
            <w:tcW w:w="0" w:type="auto"/>
            <w:vMerge w:val="restart"/>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Applicability</w:t>
            </w:r>
          </w:p>
        </w:tc>
        <w:tc>
          <w:tcPr>
            <w:tcW w:w="0" w:type="auto"/>
            <w:vMerge w:val="restart"/>
            <w:shd w:val="pct10" w:color="auto" w:fill="auto"/>
          </w:tcPr>
          <w:p w:rsidR="0048417A" w:rsidRPr="004D57B3" w:rsidRDefault="0048417A" w:rsidP="00836B55">
            <w:pPr>
              <w:pStyle w:val="TableHeading0"/>
              <w:jc w:val="center"/>
              <w:rPr>
                <w:rFonts w:ascii="Arial Narrow" w:hAnsi="Arial Narrow"/>
                <w:lang w:val="en-AU"/>
              </w:rPr>
            </w:pPr>
            <w:r w:rsidRPr="004D57B3">
              <w:rPr>
                <w:rFonts w:ascii="Arial Narrow" w:hAnsi="Arial Narrow"/>
                <w:lang w:val="en-AU"/>
              </w:rPr>
              <w:t>Level</w:t>
            </w:r>
          </w:p>
        </w:tc>
      </w:tr>
      <w:tr w:rsidR="0048417A" w:rsidRPr="004D57B3" w:rsidTr="00836B55">
        <w:trPr>
          <w:trHeight w:val="148"/>
        </w:trPr>
        <w:tc>
          <w:tcPr>
            <w:tcW w:w="0" w:type="auto"/>
            <w:gridSpan w:val="2"/>
            <w:vMerge/>
          </w:tcPr>
          <w:p w:rsidR="0048417A" w:rsidRPr="004D57B3" w:rsidRDefault="0048417A" w:rsidP="00836B55">
            <w:pPr>
              <w:pStyle w:val="TableHeading0"/>
              <w:rPr>
                <w:lang w:val="en-AU"/>
              </w:rPr>
            </w:pPr>
          </w:p>
        </w:tc>
        <w:tc>
          <w:tcPr>
            <w:tcW w:w="0" w:type="auto"/>
            <w:vMerge/>
          </w:tcPr>
          <w:p w:rsidR="0048417A" w:rsidRPr="004D57B3" w:rsidRDefault="0048417A" w:rsidP="00836B55">
            <w:pPr>
              <w:pStyle w:val="TableHeading0"/>
              <w:rPr>
                <w:lang w:val="en-AU"/>
              </w:rPr>
            </w:pPr>
          </w:p>
        </w:tc>
        <w:tc>
          <w:tcPr>
            <w:tcW w:w="0" w:type="auto"/>
            <w:vMerge/>
          </w:tcPr>
          <w:p w:rsidR="0048417A" w:rsidRPr="004D57B3" w:rsidRDefault="0048417A" w:rsidP="00836B55">
            <w:pPr>
              <w:pStyle w:val="TableHeading0"/>
              <w:rPr>
                <w:lang w:val="en-AU"/>
              </w:rPr>
            </w:pPr>
          </w:p>
        </w:tc>
        <w:tc>
          <w:tcPr>
            <w:tcW w:w="0" w:type="auto"/>
            <w:vMerge/>
          </w:tcPr>
          <w:p w:rsidR="0048417A" w:rsidRPr="004D57B3" w:rsidRDefault="0048417A" w:rsidP="00836B55">
            <w:pPr>
              <w:pStyle w:val="TableHeading0"/>
              <w:rPr>
                <w:lang w:val="en-AU"/>
              </w:rPr>
            </w:pPr>
          </w:p>
        </w:tc>
        <w:tc>
          <w:tcPr>
            <w:tcW w:w="0" w:type="auto"/>
            <w:shd w:val="pct10" w:color="auto" w:fill="auto"/>
          </w:tcPr>
          <w:p w:rsidR="0048417A" w:rsidRPr="004D57B3" w:rsidRDefault="0048417A" w:rsidP="00836B55">
            <w:pPr>
              <w:pStyle w:val="TableHeading0"/>
              <w:rPr>
                <w:lang w:val="en-AU"/>
              </w:rPr>
            </w:pPr>
            <w:r w:rsidRPr="004D57B3">
              <w:rPr>
                <w:rFonts w:ascii="Arial Narrow" w:hAnsi="Arial Narrow"/>
                <w:lang w:val="en-AU"/>
              </w:rPr>
              <w:t>CE</w:t>
            </w:r>
          </w:p>
        </w:tc>
        <w:tc>
          <w:tcPr>
            <w:tcW w:w="0" w:type="auto"/>
            <w:shd w:val="pct10" w:color="auto" w:fill="auto"/>
          </w:tcPr>
          <w:p w:rsidR="0048417A" w:rsidRPr="004D57B3" w:rsidRDefault="0048417A" w:rsidP="00836B55">
            <w:pPr>
              <w:pStyle w:val="TableHeading0"/>
              <w:rPr>
                <w:lang w:val="en-AU"/>
              </w:rPr>
            </w:pPr>
            <w:r w:rsidRPr="004D57B3">
              <w:rPr>
                <w:rFonts w:ascii="Arial Narrow" w:hAnsi="Arial Narrow"/>
                <w:lang w:val="en-AU"/>
              </w:rPr>
              <w:t>Comparator</w:t>
            </w:r>
          </w:p>
        </w:tc>
        <w:tc>
          <w:tcPr>
            <w:tcW w:w="0" w:type="auto"/>
            <w:shd w:val="pct10" w:color="auto" w:fill="auto"/>
          </w:tcPr>
          <w:p w:rsidR="0048417A" w:rsidRPr="004D57B3" w:rsidRDefault="0048417A" w:rsidP="00836B55">
            <w:pPr>
              <w:pStyle w:val="TableHeading0"/>
              <w:rPr>
                <w:rFonts w:ascii="Arial Narrow" w:hAnsi="Arial Narrow"/>
                <w:lang w:val="en-AU"/>
              </w:rPr>
            </w:pPr>
          </w:p>
        </w:tc>
        <w:tc>
          <w:tcPr>
            <w:tcW w:w="0" w:type="auto"/>
            <w:vMerge/>
            <w:shd w:val="pct10" w:color="auto" w:fill="auto"/>
          </w:tcPr>
          <w:p w:rsidR="0048417A" w:rsidRPr="004D57B3" w:rsidRDefault="0048417A" w:rsidP="00836B55">
            <w:pPr>
              <w:pStyle w:val="TableHeading0"/>
              <w:rPr>
                <w:rFonts w:ascii="Arial Narrow" w:hAnsi="Arial Narrow"/>
                <w:lang w:val="en-AU"/>
              </w:rPr>
            </w:pPr>
          </w:p>
        </w:tc>
        <w:tc>
          <w:tcPr>
            <w:tcW w:w="0" w:type="auto"/>
            <w:vMerge/>
            <w:shd w:val="pct10" w:color="auto" w:fill="auto"/>
          </w:tcPr>
          <w:p w:rsidR="0048417A" w:rsidRPr="004D57B3" w:rsidRDefault="0048417A" w:rsidP="00836B55">
            <w:pPr>
              <w:pStyle w:val="TableHeading0"/>
              <w:rPr>
                <w:rFonts w:ascii="Arial Narrow" w:hAnsi="Arial Narrow"/>
                <w:lang w:val="en-AU"/>
              </w:rPr>
            </w:pPr>
          </w:p>
        </w:tc>
        <w:tc>
          <w:tcPr>
            <w:tcW w:w="0" w:type="auto"/>
            <w:vMerge/>
            <w:shd w:val="pct10" w:color="auto" w:fill="auto"/>
          </w:tcPr>
          <w:p w:rsidR="0048417A" w:rsidRPr="004D57B3" w:rsidRDefault="0048417A" w:rsidP="00836B55">
            <w:pPr>
              <w:pStyle w:val="TableHeading0"/>
              <w:rPr>
                <w:rFonts w:ascii="Arial Narrow" w:hAnsi="Arial Narrow"/>
                <w:lang w:val="en-AU"/>
              </w:rPr>
            </w:pPr>
          </w:p>
        </w:tc>
      </w:tr>
      <w:tr w:rsidR="0048417A" w:rsidRPr="004D57B3" w:rsidTr="00836B55">
        <w:trPr>
          <w:trHeight w:val="278"/>
        </w:trPr>
        <w:tc>
          <w:tcPr>
            <w:tcW w:w="0" w:type="auto"/>
            <w:gridSpan w:val="2"/>
            <w:shd w:val="pct5" w:color="auto" w:fill="auto"/>
          </w:tcPr>
          <w:p w:rsidR="0048417A" w:rsidRPr="004D57B3" w:rsidRDefault="0048417A" w:rsidP="00836B55">
            <w:pPr>
              <w:pStyle w:val="Taabletextcharcharchar"/>
              <w:numPr>
                <w:ilvl w:val="0"/>
                <w:numId w:val="0"/>
              </w:numPr>
              <w:ind w:left="232" w:hanging="232"/>
              <w:rPr>
                <w:sz w:val="18"/>
                <w:szCs w:val="18"/>
              </w:rPr>
            </w:pPr>
            <w:r w:rsidRPr="004D57B3">
              <w:t xml:space="preserve">CE </w:t>
            </w:r>
            <w:r>
              <w:t>versus</w:t>
            </w:r>
            <w:r w:rsidRPr="004D57B3">
              <w:t xml:space="preserve"> CT</w:t>
            </w:r>
          </w:p>
        </w:tc>
        <w:tc>
          <w:tcPr>
            <w:tcW w:w="0" w:type="auto"/>
            <w:shd w:val="pct5" w:color="auto" w:fill="auto"/>
          </w:tcPr>
          <w:p w:rsidR="0048417A" w:rsidRPr="004D57B3" w:rsidRDefault="0048417A" w:rsidP="00836B55">
            <w:pPr>
              <w:pStyle w:val="TableText"/>
              <w:jc w:val="center"/>
              <w:rPr>
                <w:lang w:eastAsia="en-US"/>
              </w:rPr>
            </w:pPr>
          </w:p>
        </w:tc>
        <w:tc>
          <w:tcPr>
            <w:tcW w:w="0" w:type="auto"/>
            <w:shd w:val="pct5" w:color="auto" w:fill="auto"/>
          </w:tcPr>
          <w:p w:rsidR="0048417A" w:rsidRPr="004D57B3" w:rsidRDefault="0048417A" w:rsidP="00836B55">
            <w:pPr>
              <w:pStyle w:val="TableText"/>
              <w:jc w:val="center"/>
              <w:rPr>
                <w:lang w:eastAsia="en-US"/>
              </w:rPr>
            </w:pPr>
          </w:p>
        </w:tc>
        <w:tc>
          <w:tcPr>
            <w:tcW w:w="0" w:type="auto"/>
            <w:shd w:val="pct5" w:color="auto" w:fill="auto"/>
          </w:tcPr>
          <w:p w:rsidR="0048417A" w:rsidRPr="004D57B3" w:rsidRDefault="0048417A" w:rsidP="00836B55">
            <w:pPr>
              <w:pStyle w:val="TableText"/>
              <w:rPr>
                <w:lang w:eastAsia="en-US"/>
              </w:rPr>
            </w:pPr>
          </w:p>
        </w:tc>
        <w:tc>
          <w:tcPr>
            <w:tcW w:w="0" w:type="auto"/>
            <w:shd w:val="pct5" w:color="auto" w:fill="auto"/>
          </w:tcPr>
          <w:p w:rsidR="0048417A" w:rsidRPr="00B0412F" w:rsidRDefault="0048417A" w:rsidP="00836B55">
            <w:pPr>
              <w:pStyle w:val="TableText0"/>
              <w:jc w:val="center"/>
              <w:rPr>
                <w:rFonts w:ascii="Arial Narrow" w:hAnsi="Arial Narrow"/>
              </w:rPr>
            </w:pPr>
          </w:p>
        </w:tc>
        <w:tc>
          <w:tcPr>
            <w:tcW w:w="0" w:type="auto"/>
            <w:shd w:val="pct5" w:color="auto" w:fill="auto"/>
          </w:tcPr>
          <w:p w:rsidR="0048417A" w:rsidRPr="00B0412F" w:rsidRDefault="0048417A" w:rsidP="00836B55">
            <w:pPr>
              <w:pStyle w:val="TableText0"/>
              <w:jc w:val="center"/>
              <w:rPr>
                <w:rFonts w:ascii="Arial Narrow" w:hAnsi="Arial Narrow"/>
              </w:rPr>
            </w:pPr>
          </w:p>
        </w:tc>
        <w:tc>
          <w:tcPr>
            <w:tcW w:w="0" w:type="auto"/>
            <w:shd w:val="pct5" w:color="auto" w:fill="auto"/>
          </w:tcPr>
          <w:p w:rsidR="0048417A" w:rsidRPr="00B0412F" w:rsidRDefault="0048417A" w:rsidP="00836B55">
            <w:pPr>
              <w:pStyle w:val="TableText0"/>
              <w:jc w:val="center"/>
              <w:rPr>
                <w:rFonts w:ascii="Arial Narrow" w:hAnsi="Arial Narrow"/>
              </w:rPr>
            </w:pPr>
          </w:p>
        </w:tc>
        <w:tc>
          <w:tcPr>
            <w:tcW w:w="0" w:type="auto"/>
            <w:shd w:val="pct5" w:color="auto" w:fill="auto"/>
          </w:tcPr>
          <w:p w:rsidR="0048417A" w:rsidRPr="00B0412F" w:rsidRDefault="0048417A" w:rsidP="00836B55">
            <w:pPr>
              <w:pStyle w:val="TableText0"/>
              <w:jc w:val="center"/>
              <w:rPr>
                <w:rFonts w:ascii="Arial Narrow" w:hAnsi="Arial Narrow"/>
              </w:rPr>
            </w:pPr>
          </w:p>
        </w:tc>
        <w:tc>
          <w:tcPr>
            <w:tcW w:w="0" w:type="auto"/>
            <w:shd w:val="pct5" w:color="auto" w:fill="auto"/>
          </w:tcPr>
          <w:p w:rsidR="0048417A" w:rsidRPr="00B0412F" w:rsidRDefault="0048417A" w:rsidP="00836B55">
            <w:pPr>
              <w:pStyle w:val="TableText0"/>
              <w:jc w:val="center"/>
              <w:rPr>
                <w:rFonts w:ascii="Arial Narrow" w:hAnsi="Arial Narrow"/>
              </w:rPr>
            </w:pPr>
          </w:p>
        </w:tc>
        <w:tc>
          <w:tcPr>
            <w:tcW w:w="0" w:type="auto"/>
            <w:shd w:val="pct5" w:color="auto" w:fill="auto"/>
          </w:tcPr>
          <w:p w:rsidR="0048417A" w:rsidRPr="00B0412F" w:rsidRDefault="0048417A" w:rsidP="00836B55">
            <w:pPr>
              <w:pStyle w:val="TableText0"/>
              <w:jc w:val="center"/>
              <w:rPr>
                <w:rFonts w:ascii="Arial Narrow" w:hAnsi="Arial Narrow"/>
              </w:rPr>
            </w:pPr>
          </w:p>
        </w:tc>
      </w:tr>
      <w:tr w:rsidR="0048417A" w:rsidRPr="004D57B3" w:rsidTr="00836B55">
        <w:trPr>
          <w:trHeight w:val="278"/>
        </w:trPr>
        <w:tc>
          <w:tcPr>
            <w:tcW w:w="0" w:type="auto"/>
            <w:tcBorders>
              <w:top w:val="nil"/>
              <w:bottom w:val="nil"/>
            </w:tcBorders>
          </w:tcPr>
          <w:p w:rsidR="0048417A" w:rsidRPr="004D57B3" w:rsidRDefault="0048417A" w:rsidP="00836B55">
            <w:pPr>
              <w:pStyle w:val="TableText"/>
            </w:pPr>
          </w:p>
        </w:tc>
        <w:tc>
          <w:tcPr>
            <w:tcW w:w="0" w:type="auto"/>
            <w:gridSpan w:val="3"/>
          </w:tcPr>
          <w:p w:rsidR="0048417A" w:rsidRPr="004D57B3" w:rsidRDefault="0048417A" w:rsidP="00836B55">
            <w:pPr>
              <w:pStyle w:val="TableText"/>
              <w:rPr>
                <w:lang w:eastAsia="en-US"/>
              </w:rPr>
            </w:pPr>
            <w:r w:rsidRPr="004D57B3">
              <w:rPr>
                <w:i/>
                <w:szCs w:val="18"/>
              </w:rPr>
              <w:t>Any CD small bowel lesions/ulcers</w:t>
            </w:r>
          </w:p>
        </w:tc>
        <w:tc>
          <w:tcPr>
            <w:tcW w:w="0" w:type="auto"/>
          </w:tcPr>
          <w:p w:rsidR="0048417A" w:rsidRPr="004D57B3" w:rsidRDefault="0048417A" w:rsidP="00836B55">
            <w:pPr>
              <w:pStyle w:val="TableText"/>
              <w:rPr>
                <w:lang w:eastAsia="en-US"/>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r>
      <w:tr w:rsidR="0048417A" w:rsidRPr="004D57B3" w:rsidTr="00836B55">
        <w:trPr>
          <w:trHeight w:val="278"/>
        </w:trPr>
        <w:tc>
          <w:tcPr>
            <w:tcW w:w="0" w:type="auto"/>
            <w:tcBorders>
              <w:top w:val="nil"/>
              <w:bottom w:val="nil"/>
            </w:tcBorders>
          </w:tcPr>
          <w:p w:rsidR="0048417A" w:rsidRPr="004D57B3" w:rsidRDefault="0048417A" w:rsidP="00836B55">
            <w:pPr>
              <w:pStyle w:val="TableText"/>
            </w:pPr>
          </w:p>
        </w:tc>
        <w:tc>
          <w:tcPr>
            <w:tcW w:w="1934"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Figueiredo</w:t>
            </w:r>
            <w:proofErr w:type="spellEnd"/>
            <w:r w:rsidRPr="004D57B3">
              <w:rPr>
                <w:sz w:val="18"/>
                <w:szCs w:val="18"/>
              </w:rPr>
              <w:t xml:space="preserve"> et al 2010</w:t>
            </w:r>
            <w:r w:rsidRPr="004D57B3" w:rsidDel="00D020C1">
              <w:rPr>
                <w:szCs w:val="18"/>
                <w:vertAlign w:val="superscript"/>
              </w:rPr>
              <w:t>‡</w:t>
            </w:r>
            <w:r w:rsidRPr="004D57B3">
              <w:rPr>
                <w:szCs w:val="18"/>
                <w:vertAlign w:val="superscript"/>
              </w:rPr>
              <w:t xml:space="preserve"> </w:t>
            </w:r>
            <w:r>
              <w:rPr>
                <w:szCs w:val="18"/>
              </w:rPr>
              <w:t>–</w:t>
            </w:r>
            <w:r w:rsidRPr="004D57B3">
              <w:rPr>
                <w:szCs w:val="18"/>
              </w:rPr>
              <w:t xml:space="preserve"> CT</w:t>
            </w:r>
          </w:p>
        </w:tc>
        <w:tc>
          <w:tcPr>
            <w:tcW w:w="565" w:type="dxa"/>
            <w:tcBorders>
              <w:top w:val="nil"/>
            </w:tcBorders>
          </w:tcPr>
          <w:p w:rsidR="0048417A" w:rsidRPr="004D57B3" w:rsidRDefault="0048417A" w:rsidP="00836B55">
            <w:pPr>
              <w:pStyle w:val="TableText"/>
              <w:jc w:val="center"/>
              <w:rPr>
                <w:lang w:eastAsia="en-US"/>
              </w:rPr>
            </w:pPr>
            <w:r w:rsidRPr="004D57B3">
              <w:rPr>
                <w:lang w:eastAsia="en-US"/>
              </w:rPr>
              <w:t>78(37)</w:t>
            </w:r>
          </w:p>
        </w:tc>
        <w:tc>
          <w:tcPr>
            <w:tcW w:w="0" w:type="auto"/>
          </w:tcPr>
          <w:p w:rsidR="0048417A" w:rsidRPr="004D57B3" w:rsidRDefault="0048417A" w:rsidP="00836B55">
            <w:pPr>
              <w:pStyle w:val="TableText"/>
              <w:jc w:val="center"/>
              <w:rPr>
                <w:lang w:eastAsia="en-US"/>
              </w:rPr>
            </w:pPr>
            <w:r w:rsidRPr="004D57B3">
              <w:rPr>
                <w:szCs w:val="18"/>
                <w:lang w:eastAsia="en-US"/>
              </w:rPr>
              <w:sym w:font="Wingdings" w:char="F0FC"/>
            </w:r>
          </w:p>
        </w:tc>
        <w:tc>
          <w:tcPr>
            <w:tcW w:w="0" w:type="auto"/>
          </w:tcPr>
          <w:p w:rsidR="0048417A" w:rsidRPr="004D57B3" w:rsidRDefault="0048417A" w:rsidP="00836B55">
            <w:pPr>
              <w:pStyle w:val="TableText"/>
              <w:rPr>
                <w:lang w:eastAsia="en-US"/>
              </w:rPr>
            </w:pPr>
            <w:r w:rsidRPr="004D57B3">
              <w:rPr>
                <w:lang w:eastAsia="en-US"/>
              </w:rPr>
              <w:t>Unclear</w:t>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47(37-58)</w:t>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38(23-55)</w:t>
            </w: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POOR</w:t>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Limited</w:t>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III-2</w:t>
            </w:r>
          </w:p>
        </w:tc>
      </w:tr>
      <w:tr w:rsidR="0048417A" w:rsidRPr="004D57B3" w:rsidTr="00836B55">
        <w:trPr>
          <w:trHeight w:val="294"/>
        </w:trPr>
        <w:tc>
          <w:tcPr>
            <w:tcW w:w="0" w:type="auto"/>
            <w:tcBorders>
              <w:top w:val="nil"/>
              <w:bottom w:val="nil"/>
            </w:tcBorders>
          </w:tcPr>
          <w:p w:rsidR="0048417A" w:rsidRPr="004D57B3" w:rsidRDefault="0048417A" w:rsidP="00836B55">
            <w:pPr>
              <w:pStyle w:val="TableText"/>
              <w:rPr>
                <w:i/>
              </w:rPr>
            </w:pPr>
          </w:p>
        </w:tc>
        <w:tc>
          <w:tcPr>
            <w:tcW w:w="1934" w:type="dxa"/>
          </w:tcPr>
          <w:p w:rsidR="0048417A" w:rsidRPr="004D57B3" w:rsidRDefault="0048417A" w:rsidP="00836B55">
            <w:pPr>
              <w:pStyle w:val="Taabletextcharcharchar"/>
              <w:numPr>
                <w:ilvl w:val="0"/>
                <w:numId w:val="0"/>
              </w:numPr>
              <w:rPr>
                <w:i/>
                <w:sz w:val="18"/>
                <w:szCs w:val="18"/>
              </w:rPr>
            </w:pPr>
            <w:r w:rsidRPr="004D57B3">
              <w:rPr>
                <w:i/>
                <w:sz w:val="18"/>
                <w:szCs w:val="18"/>
              </w:rPr>
              <w:t>Explained referral</w:t>
            </w:r>
          </w:p>
        </w:tc>
        <w:tc>
          <w:tcPr>
            <w:tcW w:w="565" w:type="dxa"/>
            <w:tcBorders>
              <w:top w:val="nil"/>
            </w:tcBorders>
          </w:tcPr>
          <w:p w:rsidR="0048417A" w:rsidRPr="004D57B3" w:rsidRDefault="0048417A" w:rsidP="00836B55">
            <w:pPr>
              <w:pStyle w:val="TableText"/>
              <w:jc w:val="center"/>
              <w:rPr>
                <w:lang w:eastAsia="en-US"/>
              </w:rPr>
            </w:pPr>
          </w:p>
        </w:tc>
        <w:tc>
          <w:tcPr>
            <w:tcW w:w="0" w:type="auto"/>
          </w:tcPr>
          <w:p w:rsidR="0048417A" w:rsidRPr="004D57B3" w:rsidRDefault="0048417A" w:rsidP="00836B55">
            <w:pPr>
              <w:pStyle w:val="TableText"/>
              <w:jc w:val="center"/>
              <w:rPr>
                <w:lang w:eastAsia="en-US"/>
              </w:rPr>
            </w:pPr>
          </w:p>
        </w:tc>
        <w:tc>
          <w:tcPr>
            <w:tcW w:w="0" w:type="auto"/>
          </w:tcPr>
          <w:p w:rsidR="0048417A" w:rsidRPr="004D57B3" w:rsidRDefault="0048417A" w:rsidP="00836B55">
            <w:pPr>
              <w:pStyle w:val="TableText"/>
              <w:rPr>
                <w:lang w:eastAsia="en-US"/>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p>
        </w:tc>
      </w:tr>
      <w:tr w:rsidR="0048417A" w:rsidRPr="004D57B3" w:rsidTr="00836B55">
        <w:trPr>
          <w:trHeight w:val="278"/>
        </w:trPr>
        <w:tc>
          <w:tcPr>
            <w:tcW w:w="0" w:type="auto"/>
            <w:tcBorders>
              <w:top w:val="nil"/>
            </w:tcBorders>
          </w:tcPr>
          <w:p w:rsidR="0048417A" w:rsidRPr="004D57B3" w:rsidRDefault="0048417A" w:rsidP="00836B55">
            <w:pPr>
              <w:pStyle w:val="TableText"/>
            </w:pPr>
          </w:p>
        </w:tc>
        <w:tc>
          <w:tcPr>
            <w:tcW w:w="1934" w:type="dxa"/>
          </w:tcPr>
          <w:p w:rsidR="0048417A" w:rsidRPr="004D57B3" w:rsidRDefault="0048417A" w:rsidP="00836B55">
            <w:pPr>
              <w:pStyle w:val="Taabletextcharcharchar"/>
              <w:numPr>
                <w:ilvl w:val="0"/>
                <w:numId w:val="0"/>
              </w:numPr>
              <w:ind w:left="232" w:hanging="232"/>
              <w:rPr>
                <w:sz w:val="18"/>
                <w:szCs w:val="18"/>
              </w:rPr>
            </w:pPr>
            <w:proofErr w:type="spellStart"/>
            <w:r w:rsidRPr="004D57B3">
              <w:rPr>
                <w:sz w:val="18"/>
                <w:szCs w:val="18"/>
              </w:rPr>
              <w:t>Eliakim</w:t>
            </w:r>
            <w:proofErr w:type="spellEnd"/>
            <w:r w:rsidRPr="004D57B3">
              <w:rPr>
                <w:sz w:val="18"/>
                <w:szCs w:val="18"/>
              </w:rPr>
              <w:t xml:space="preserve"> et al  2004 – CTE</w:t>
            </w:r>
          </w:p>
        </w:tc>
        <w:tc>
          <w:tcPr>
            <w:tcW w:w="565" w:type="dxa"/>
          </w:tcPr>
          <w:p w:rsidR="0048417A" w:rsidRPr="004D57B3" w:rsidRDefault="0048417A" w:rsidP="00836B55">
            <w:pPr>
              <w:pStyle w:val="TableText"/>
              <w:jc w:val="center"/>
              <w:rPr>
                <w:lang w:eastAsia="en-US"/>
              </w:rPr>
            </w:pPr>
            <w:r w:rsidRPr="004D57B3">
              <w:rPr>
                <w:lang w:eastAsia="en-US"/>
              </w:rPr>
              <w:t>35(35)</w:t>
            </w:r>
          </w:p>
        </w:tc>
        <w:tc>
          <w:tcPr>
            <w:tcW w:w="0" w:type="auto"/>
          </w:tcPr>
          <w:p w:rsidR="0048417A" w:rsidRPr="004D57B3" w:rsidRDefault="0048417A" w:rsidP="00836B55">
            <w:pPr>
              <w:pStyle w:val="TableText"/>
              <w:jc w:val="center"/>
              <w:rPr>
                <w:lang w:eastAsia="en-US"/>
              </w:rPr>
            </w:pPr>
            <w:r w:rsidRPr="004D57B3">
              <w:rPr>
                <w:szCs w:val="18"/>
                <w:lang w:eastAsia="en-US"/>
              </w:rPr>
              <w:sym w:font="Wingdings" w:char="F0FC"/>
            </w:r>
          </w:p>
        </w:tc>
        <w:tc>
          <w:tcPr>
            <w:tcW w:w="0" w:type="auto"/>
          </w:tcPr>
          <w:p w:rsidR="0048417A" w:rsidRPr="004D57B3" w:rsidRDefault="0048417A" w:rsidP="00836B55">
            <w:pPr>
              <w:pStyle w:val="TableText"/>
              <w:jc w:val="center"/>
              <w:rPr>
                <w:lang w:eastAsia="en-US"/>
              </w:rPr>
            </w:pPr>
            <w:r w:rsidRPr="004D57B3">
              <w:rPr>
                <w:szCs w:val="18"/>
                <w:lang w:eastAsia="en-US"/>
              </w:rPr>
              <w:sym w:font="Wingdings" w:char="F0FC"/>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77(59-89)</w:t>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20(raw data nr)</w:t>
            </w:r>
          </w:p>
        </w:tc>
        <w:tc>
          <w:tcPr>
            <w:tcW w:w="0" w:type="auto"/>
          </w:tcPr>
          <w:p w:rsidR="0048417A" w:rsidRPr="00B0412F" w:rsidRDefault="0048417A" w:rsidP="00836B55">
            <w:pPr>
              <w:pStyle w:val="TableText0"/>
              <w:jc w:val="center"/>
              <w:rPr>
                <w:rFonts w:ascii="Arial Narrow" w:hAnsi="Arial Narrow"/>
              </w:rPr>
            </w:pP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POOR</w:t>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No/Limited</w:t>
            </w:r>
          </w:p>
        </w:tc>
        <w:tc>
          <w:tcPr>
            <w:tcW w:w="0" w:type="auto"/>
          </w:tcPr>
          <w:p w:rsidR="0048417A" w:rsidRPr="00B0412F" w:rsidRDefault="0048417A" w:rsidP="00836B55">
            <w:pPr>
              <w:pStyle w:val="TableText0"/>
              <w:jc w:val="center"/>
              <w:rPr>
                <w:rFonts w:ascii="Arial Narrow" w:hAnsi="Arial Narrow"/>
              </w:rPr>
            </w:pPr>
            <w:r w:rsidRPr="00B0412F">
              <w:rPr>
                <w:rFonts w:ascii="Arial Narrow" w:hAnsi="Arial Narrow"/>
              </w:rPr>
              <w:t>IV</w:t>
            </w:r>
          </w:p>
        </w:tc>
      </w:tr>
    </w:tbl>
    <w:p w:rsidR="0048417A" w:rsidRPr="004D57B3" w:rsidRDefault="0048417A" w:rsidP="00836B55">
      <w:pPr>
        <w:pStyle w:val="TableNotes"/>
        <w:ind w:left="709"/>
      </w:pPr>
      <w:r w:rsidRPr="004D57B3" w:rsidDel="00D020C1">
        <w:rPr>
          <w:szCs w:val="18"/>
          <w:vertAlign w:val="superscript"/>
        </w:rPr>
        <w:t>‡</w:t>
      </w:r>
      <w:r w:rsidRPr="004D57B3">
        <w:rPr>
          <w:szCs w:val="18"/>
        </w:rPr>
        <w:t xml:space="preserve"> </w:t>
      </w:r>
      <w:r w:rsidRPr="004D57B3">
        <w:t>CT was not a comparator in this study however yield data w</w:t>
      </w:r>
      <w:r>
        <w:t>ere</w:t>
      </w:r>
      <w:r w:rsidRPr="004D57B3">
        <w:t xml:space="preserve"> provided for 37 patients who underwent CT. Threshold for a positive CT result is unknown.</w:t>
      </w:r>
    </w:p>
    <w:p w:rsidR="0048417A" w:rsidRPr="004D57B3" w:rsidRDefault="0048417A" w:rsidP="00836B55">
      <w:pPr>
        <w:pStyle w:val="TableNotes"/>
        <w:ind w:left="709"/>
      </w:pPr>
      <w:r w:rsidRPr="004D57B3">
        <w:rPr>
          <w:vertAlign w:val="superscript"/>
        </w:rPr>
        <w:t>§</w:t>
      </w:r>
      <w:r w:rsidRPr="004D57B3">
        <w:t xml:space="preserve"> </w:t>
      </w:r>
      <w:r>
        <w:t>n</w:t>
      </w:r>
      <w:r w:rsidRPr="004D57B3">
        <w:t xml:space="preserve"> = number of patients </w:t>
      </w:r>
      <w:r>
        <w:t>who underwent CE; (n</w:t>
      </w:r>
      <w:r w:rsidRPr="004D57B3">
        <w:t>) = number of patients who underwent CT.</w:t>
      </w:r>
    </w:p>
    <w:p w:rsidR="0048417A" w:rsidRPr="004D57B3" w:rsidRDefault="0048417A" w:rsidP="00836B55">
      <w:pPr>
        <w:pStyle w:val="TableNotes"/>
        <w:ind w:left="709"/>
      </w:pPr>
      <w:r w:rsidRPr="004D57B3">
        <w:t>°</w:t>
      </w:r>
      <w:r w:rsidRPr="004D57B3">
        <w:rPr>
          <w:vertAlign w:val="superscript"/>
        </w:rPr>
        <w:t xml:space="preserve"> </w:t>
      </w:r>
      <w:r w:rsidRPr="004D57B3">
        <w:t xml:space="preserve">A rating of </w:t>
      </w:r>
      <w:r w:rsidRPr="004D57B3">
        <w:rPr>
          <w:szCs w:val="16"/>
          <w:lang w:eastAsia="en-US"/>
        </w:rPr>
        <w:sym w:font="Wingdings" w:char="F0FC"/>
      </w:r>
      <w:r w:rsidRPr="004D57B3">
        <w:rPr>
          <w:lang w:eastAsia="en-US"/>
        </w:rPr>
        <w:t xml:space="preserve"> indicates that a d</w:t>
      </w:r>
      <w:r w:rsidRPr="004D57B3">
        <w:t xml:space="preserve">iagnosis of Crohn’s disease unconfirmed by colonoscopy and attempted </w:t>
      </w:r>
      <w:proofErr w:type="spellStart"/>
      <w:r w:rsidRPr="004D57B3">
        <w:t>ileoscopy</w:t>
      </w:r>
      <w:proofErr w:type="spellEnd"/>
      <w:r w:rsidRPr="004D57B3">
        <w:t xml:space="preserve"> (C+IL) or small bowel radiology (SBR). A rating of unclear indicates that this was not clearly reported in the study.</w:t>
      </w:r>
    </w:p>
    <w:p w:rsidR="0048417A" w:rsidRPr="004D57B3" w:rsidRDefault="0048417A" w:rsidP="00836B55">
      <w:pPr>
        <w:pStyle w:val="TableNotes"/>
        <w:ind w:left="709"/>
        <w:rPr>
          <w:i/>
        </w:rPr>
      </w:pPr>
      <w:r w:rsidRPr="004D57B3">
        <w:rPr>
          <w:i/>
          <w:szCs w:val="18"/>
        </w:rPr>
        <w:t>Abbreviations:</w:t>
      </w:r>
      <w:r w:rsidRPr="004D57B3">
        <w:rPr>
          <w:szCs w:val="18"/>
        </w:rPr>
        <w:t xml:space="preserve"> CE = capsule endoscopy</w:t>
      </w:r>
      <w:r>
        <w:rPr>
          <w:szCs w:val="18"/>
        </w:rPr>
        <w:t>,</w:t>
      </w:r>
      <w:r w:rsidRPr="004D57B3">
        <w:rPr>
          <w:szCs w:val="18"/>
        </w:rPr>
        <w:t xml:space="preserve"> CT = computed tomography with or without </w:t>
      </w:r>
      <w:proofErr w:type="spellStart"/>
      <w:r w:rsidRPr="004D57B3">
        <w:rPr>
          <w:szCs w:val="18"/>
        </w:rPr>
        <w:t>enterography</w:t>
      </w:r>
      <w:proofErr w:type="spellEnd"/>
      <w:r>
        <w:rPr>
          <w:szCs w:val="18"/>
        </w:rPr>
        <w:t>,</w:t>
      </w:r>
      <w:r w:rsidRPr="004D57B3">
        <w:rPr>
          <w:szCs w:val="18"/>
        </w:rPr>
        <w:t xml:space="preserve"> </w:t>
      </w:r>
      <w:r>
        <w:rPr>
          <w:szCs w:val="18"/>
        </w:rPr>
        <w:t xml:space="preserve">CTE = computed tomography with </w:t>
      </w:r>
      <w:proofErr w:type="spellStart"/>
      <w:r>
        <w:rPr>
          <w:szCs w:val="18"/>
        </w:rPr>
        <w:t>enterography</w:t>
      </w:r>
      <w:proofErr w:type="spellEnd"/>
      <w:r>
        <w:rPr>
          <w:szCs w:val="18"/>
        </w:rPr>
        <w:t xml:space="preserve">, </w:t>
      </w:r>
      <w:r w:rsidRPr="004D57B3">
        <w:rPr>
          <w:szCs w:val="18"/>
        </w:rPr>
        <w:t xml:space="preserve">C+IL = colonoscopy plus attempted </w:t>
      </w:r>
      <w:proofErr w:type="spellStart"/>
      <w:r w:rsidRPr="004D57B3">
        <w:rPr>
          <w:szCs w:val="18"/>
        </w:rPr>
        <w:t>ileoscopy</w:t>
      </w:r>
      <w:proofErr w:type="spellEnd"/>
      <w:r>
        <w:rPr>
          <w:szCs w:val="18"/>
        </w:rPr>
        <w:t>,</w:t>
      </w:r>
      <w:r w:rsidRPr="004D57B3">
        <w:rPr>
          <w:szCs w:val="18"/>
        </w:rPr>
        <w:t xml:space="preserve"> SBR = small bowel radiology</w:t>
      </w:r>
      <w:r>
        <w:rPr>
          <w:szCs w:val="18"/>
        </w:rPr>
        <w:t>,</w:t>
      </w:r>
      <w:r w:rsidRPr="004D57B3">
        <w:rPr>
          <w:szCs w:val="18"/>
        </w:rPr>
        <w:t xml:space="preserve"> CD = Crohn’s disease</w:t>
      </w:r>
      <w:r>
        <w:rPr>
          <w:szCs w:val="18"/>
        </w:rPr>
        <w:t>,</w:t>
      </w:r>
      <w:r w:rsidRPr="004D57B3">
        <w:rPr>
          <w:szCs w:val="18"/>
        </w:rPr>
        <w:t xml:space="preserve"> CI = confidence interval</w:t>
      </w:r>
    </w:p>
    <w:p w:rsidR="0048417A" w:rsidRPr="004D57B3" w:rsidRDefault="0048417A" w:rsidP="00836B55">
      <w:pPr>
        <w:pStyle w:val="Heading4"/>
      </w:pPr>
      <w:r>
        <w:t>C</w:t>
      </w:r>
      <w:r w:rsidRPr="004D57B3">
        <w:t xml:space="preserve">apsule endoscopy </w:t>
      </w:r>
      <w:r>
        <w:t>versus</w:t>
      </w:r>
      <w:r w:rsidRPr="004D57B3">
        <w:t xml:space="preserve"> CT</w:t>
      </w:r>
    </w:p>
    <w:p w:rsidR="0048417A" w:rsidRPr="004D57B3" w:rsidRDefault="0048417A" w:rsidP="00836B55">
      <w:r w:rsidRPr="004D57B3">
        <w:t xml:space="preserve">One included study provided a direct comparison of the diagnostic yield of capsule endoscopy with CT </w:t>
      </w:r>
      <w:proofErr w:type="spellStart"/>
      <w:r w:rsidRPr="004D57B3">
        <w:t>enterography</w:t>
      </w:r>
      <w:proofErr w:type="spellEnd"/>
      <w:r w:rsidRPr="004D57B3">
        <w:t xml:space="preserve"> </w:t>
      </w:r>
      <w:r w:rsidRPr="004D57B3">
        <w:rPr>
          <w:noProof/>
        </w:rPr>
        <w:t>(Eliakim et al 2004)</w:t>
      </w:r>
      <w:r w:rsidRPr="004D57B3">
        <w:t xml:space="preserve">. One study, in which CT was not an explicit comparator, provided data on the yield of CT in 37 of the 78 patients enrolled in the study </w:t>
      </w:r>
      <w:r w:rsidRPr="004D57B3">
        <w:rPr>
          <w:noProof/>
        </w:rPr>
        <w:t>(Figueiredo et al 2010)</w:t>
      </w:r>
      <w:r w:rsidRPr="004D57B3">
        <w:t xml:space="preserve">. Both of these studies reported that capsule endoscopy had a higher diagnostic yield than CT (see </w:t>
      </w:r>
      <w:r w:rsidR="00AE591B">
        <w:fldChar w:fldCharType="begin"/>
      </w:r>
      <w:r w:rsidR="00AE591B">
        <w:instrText xml:space="preserve"> REF _Ref279672913 \h  \* MERGEFORMAT </w:instrText>
      </w:r>
      <w:r w:rsidR="00AE591B">
        <w:fldChar w:fldCharType="separate"/>
      </w:r>
      <w:r w:rsidRPr="004D57B3">
        <w:t xml:space="preserve">Table </w:t>
      </w:r>
      <w:r>
        <w:rPr>
          <w:noProof/>
        </w:rPr>
        <w:t>25</w:t>
      </w:r>
      <w:r w:rsidR="00AE591B">
        <w:fldChar w:fldCharType="end"/>
      </w:r>
      <w:r w:rsidRPr="004D57B3">
        <w:t xml:space="preserve">) although </w:t>
      </w:r>
      <w:proofErr w:type="spellStart"/>
      <w:r w:rsidRPr="004D57B3">
        <w:t>Figueiredo</w:t>
      </w:r>
      <w:proofErr w:type="spellEnd"/>
      <w:r w:rsidRPr="004D57B3">
        <w:t xml:space="preserve"> </w:t>
      </w:r>
      <w:r w:rsidRPr="004D57B3">
        <w:rPr>
          <w:noProof/>
        </w:rPr>
        <w:t>(2010)</w:t>
      </w:r>
      <w:r w:rsidRPr="004D57B3">
        <w:t xml:space="preserve"> reported similar yields for each test.</w:t>
      </w:r>
    </w:p>
    <w:p w:rsidR="0048417A" w:rsidRPr="004D57B3" w:rsidRDefault="0048417A" w:rsidP="00836B55">
      <w:pPr>
        <w:pStyle w:val="Heading3"/>
      </w:pPr>
      <w:bookmarkStart w:id="190" w:name="_Toc188861199"/>
      <w:r w:rsidRPr="004D57B3">
        <w:t>Does it change patient management?</w:t>
      </w:r>
      <w:bookmarkEnd w:id="190"/>
    </w:p>
    <w:p w:rsidR="0048417A" w:rsidRPr="004D57B3" w:rsidRDefault="0048417A" w:rsidP="00836B55">
      <w:r w:rsidRPr="004D57B3">
        <w:t>No studies reporting on changes in patient management were identified in the systematic literature review.</w:t>
      </w:r>
    </w:p>
    <w:p w:rsidR="0048417A" w:rsidRPr="004D57B3" w:rsidRDefault="0048417A" w:rsidP="00836B55">
      <w:pPr>
        <w:pStyle w:val="Heading3"/>
      </w:pPr>
      <w:bookmarkStart w:id="191" w:name="_Toc188861200"/>
      <w:r w:rsidRPr="004D57B3">
        <w:t>Does change in management improve patient outcomes?</w:t>
      </w:r>
      <w:bookmarkEnd w:id="191"/>
    </w:p>
    <w:p w:rsidR="0048417A" w:rsidRPr="004D57B3" w:rsidRDefault="0048417A" w:rsidP="00836B55">
      <w:pPr>
        <w:pStyle w:val="Heading4"/>
      </w:pPr>
      <w:r>
        <w:t>C</w:t>
      </w:r>
      <w:r w:rsidRPr="004D57B3">
        <w:t xml:space="preserve">apsule endoscopy </w:t>
      </w:r>
      <w:r>
        <w:t>versus</w:t>
      </w:r>
      <w:r w:rsidRPr="004D57B3">
        <w:t xml:space="preserve"> empirical treatment</w:t>
      </w:r>
    </w:p>
    <w:p w:rsidR="0048417A" w:rsidRPr="004D57B3" w:rsidRDefault="0048417A" w:rsidP="00836B55">
      <w:r w:rsidRPr="004D57B3">
        <w:t xml:space="preserve">In patients who are treated empirically, all patients undergo drug treatment for Crohn’s disease. In this subgroup of patients, the main role of capsule endoscopy is to exclude those patients who do not have Crohn’s disease so that they are not treated unnecessarily. Therefore, a change in management is only expected in those patients who test negative on capsule endoscopy. In the assessment of capsule endoscopy as an </w:t>
      </w:r>
      <w:r w:rsidRPr="004D57B3">
        <w:lastRenderedPageBreak/>
        <w:t xml:space="preserve">incremental test over prior tests, a case for improved patient outcomes using a linked evidence approach depends on three pieces of evidence: evidence that capsule endoscopy accurately excludes disease; that this test result leads to an avoidance of treatment; and that this change in management results in improved patient outcomes. </w:t>
      </w:r>
    </w:p>
    <w:p w:rsidR="0048417A" w:rsidRPr="004D57B3" w:rsidRDefault="0048417A" w:rsidP="00836B55">
      <w:r w:rsidRPr="004D57B3">
        <w:t>A case for improved management could not be established due to the uncertainty that affected each of the three constituents of a potential linked evidence case. Firstly, the discriminatory ability of capsule endoscopy to exclude Crohn’s disease remains uncertain because the accuracy data in the present review w</w:t>
      </w:r>
      <w:r>
        <w:t>ere</w:t>
      </w:r>
      <w:r w:rsidRPr="004D57B3">
        <w:t xml:space="preserve"> variable, and w</w:t>
      </w:r>
      <w:r>
        <w:t>ere</w:t>
      </w:r>
      <w:r w:rsidRPr="004D57B3">
        <w:t xml:space="preserve"> derived from studies of poor to fair quality and of limited applicability. Although in several smaller studies, the negative LRs provided convincing evidence of the ability of capsule endoscopy to exclude Crohn’s disease, in the largest and most applicable study, the negative LR failed to meet this threshold. </w:t>
      </w:r>
    </w:p>
    <w:p w:rsidR="0048417A" w:rsidRPr="004D57B3" w:rsidRDefault="0048417A" w:rsidP="00836B55">
      <w:proofErr w:type="gramStart"/>
      <w:r w:rsidRPr="004D57B3">
        <w:t>Secondly, the extent to which excluding Crohn’s disease by using capsule endoscopy as an incremental test over prior tests would affect patient management is uncertain.</w:t>
      </w:r>
      <w:proofErr w:type="gramEnd"/>
      <w:r w:rsidRPr="004D57B3">
        <w:t xml:space="preserve"> No studies were identified which demonstrated changes in patient management (including the avoidance of planned treatment) due to capsule endoscopy results. The proportion of patients who would receive empirical treatment despite a negative capsule endoscopy result is therefore uncertain. Thirdly, it is uncertain whether a change in management would result in improved patient outcomes due to uncertainty regarding the balance of trade</w:t>
      </w:r>
      <w:r>
        <w:t>-</w:t>
      </w:r>
      <w:r w:rsidRPr="004D57B3">
        <w:t xml:space="preserve">offs between the benefits (avoiding </w:t>
      </w:r>
      <w:r>
        <w:t>side-effects</w:t>
      </w:r>
      <w:r w:rsidRPr="004D57B3">
        <w:t xml:space="preserve">) and harms (avoiding potential symptom alleviation) of avoiding empirical treatment on the basis of a negative capsule endoscopy result. </w:t>
      </w:r>
    </w:p>
    <w:p w:rsidR="0048417A" w:rsidRPr="004D57B3" w:rsidRDefault="0048417A" w:rsidP="00836B55">
      <w:r w:rsidRPr="004D57B3">
        <w:t>With variable accuracy data on the discriminatory ability of capsule endoscopy to exclude disease, no studies identified on change in management, and uncertainties about the nature of the empirical treatment patient pathway and its harms and benefits, a linked evidence case for improved patient outcomes when capsule endoscopy is used as an incremental test over prior tests cannot be made.</w:t>
      </w:r>
    </w:p>
    <w:p w:rsidR="0048417A" w:rsidRPr="00757485" w:rsidRDefault="0048417A" w:rsidP="00836B55">
      <w:pPr>
        <w:pStyle w:val="Heading4"/>
        <w:rPr>
          <w:szCs w:val="24"/>
        </w:rPr>
      </w:pPr>
      <w:r>
        <w:t>C</w:t>
      </w:r>
      <w:r w:rsidRPr="004D57B3">
        <w:t xml:space="preserve">apsule endoscopy </w:t>
      </w:r>
      <w:r>
        <w:t>versus</w:t>
      </w:r>
      <w:r w:rsidRPr="004D57B3">
        <w:t xml:space="preserve"> </w:t>
      </w:r>
      <w:r w:rsidRPr="00757485">
        <w:rPr>
          <w:szCs w:val="24"/>
        </w:rPr>
        <w:t xml:space="preserve">MRI/MRE </w:t>
      </w:r>
    </w:p>
    <w:p w:rsidR="0048417A" w:rsidRPr="004D57B3" w:rsidRDefault="0048417A" w:rsidP="00836B55">
      <w:r w:rsidRPr="004D57B3">
        <w:t xml:space="preserve">When patients are treated with either </w:t>
      </w:r>
      <w:r>
        <w:t>MRI/</w:t>
      </w:r>
      <w:r w:rsidRPr="004D57B3">
        <w:t xml:space="preserve">MRE or CE, the main role of each test is to provide the best discrimination of true disease status.  Only two small studies, of poor and fair quality respectively, were identified in the systematic review and confidence intervals for sensitivity and specificity between the two tests were wide and overlapping. In the absence of evidence of either improved accuracy or change in management, a linked evidence case for improved patient outcomes cannot be made. </w:t>
      </w:r>
    </w:p>
    <w:tbl>
      <w:tblPr>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22"/>
      </w:tblGrid>
      <w:tr w:rsidR="0048417A" w:rsidRPr="004D57B3" w:rsidTr="00836B55">
        <w:trPr>
          <w:trHeight w:val="538"/>
        </w:trPr>
        <w:tc>
          <w:tcPr>
            <w:tcW w:w="8522" w:type="dxa"/>
          </w:tcPr>
          <w:p w:rsidR="0048417A" w:rsidRPr="004D57B3" w:rsidRDefault="0048417A" w:rsidP="00836B55">
            <w:pPr>
              <w:pStyle w:val="Heading3a"/>
              <w:spacing w:before="120" w:after="120"/>
              <w:ind w:left="0"/>
            </w:pPr>
            <w:r w:rsidRPr="004D57B3">
              <w:lastRenderedPageBreak/>
              <w:t>Summary</w:t>
            </w:r>
          </w:p>
          <w:p w:rsidR="0048417A" w:rsidRPr="004D57B3" w:rsidRDefault="0048417A" w:rsidP="00836B55">
            <w:pPr>
              <w:pStyle w:val="Heading4"/>
              <w:ind w:left="0"/>
            </w:pPr>
            <w:r w:rsidRPr="004D57B3">
              <w:t>Accuracy</w:t>
            </w:r>
          </w:p>
          <w:p w:rsidR="0048417A" w:rsidRPr="004D57B3" w:rsidRDefault="0048417A" w:rsidP="00836B55">
            <w:pPr>
              <w:pStyle w:val="Heading4"/>
              <w:spacing w:before="0" w:after="0"/>
              <w:ind w:left="0"/>
            </w:pPr>
            <w:r>
              <w:t>C</w:t>
            </w:r>
            <w:r w:rsidRPr="004D57B3">
              <w:t xml:space="preserve">apsule endoscopy </w:t>
            </w:r>
            <w:r>
              <w:t>versus</w:t>
            </w:r>
            <w:r w:rsidRPr="004D57B3">
              <w:t xml:space="preserve"> ET</w:t>
            </w:r>
          </w:p>
          <w:p w:rsidR="0048417A" w:rsidRPr="004D57B3" w:rsidRDefault="0048417A" w:rsidP="00836B55">
            <w:pPr>
              <w:numPr>
                <w:ilvl w:val="0"/>
                <w:numId w:val="19"/>
              </w:numPr>
              <w:tabs>
                <w:tab w:val="clear" w:pos="720"/>
                <w:tab w:val="num" w:pos="426"/>
              </w:tabs>
              <w:spacing w:after="0"/>
              <w:ind w:left="426" w:hanging="284"/>
            </w:pPr>
            <w:r w:rsidRPr="004D57B3">
              <w:t xml:space="preserve">Three fair quality studies and two poor quality studies provided evidence for a comparison of the accuracy of CE and </w:t>
            </w:r>
            <w:r>
              <w:t>empirical treatment</w:t>
            </w:r>
            <w:r w:rsidRPr="004D57B3">
              <w:t xml:space="preserve"> (CE as incremental over prior tests).</w:t>
            </w:r>
          </w:p>
          <w:p w:rsidR="0048417A" w:rsidRPr="004D57B3" w:rsidRDefault="0048417A" w:rsidP="00836B55">
            <w:pPr>
              <w:numPr>
                <w:ilvl w:val="0"/>
                <w:numId w:val="19"/>
              </w:numPr>
              <w:tabs>
                <w:tab w:val="clear" w:pos="720"/>
                <w:tab w:val="num" w:pos="426"/>
              </w:tabs>
              <w:ind w:left="426" w:hanging="284"/>
            </w:pPr>
            <w:r w:rsidRPr="004D57B3">
              <w:t>In four studies with a threshold of at least ≥2 ulcers or Crohn’s specific lesions, the sensitivity of CE ranged from 47</w:t>
            </w:r>
            <w:r>
              <w:t>%</w:t>
            </w:r>
            <w:r w:rsidRPr="004D57B3">
              <w:t xml:space="preserve"> (95% CI 22</w:t>
            </w:r>
            <w:r>
              <w:t>-</w:t>
            </w:r>
            <w:r w:rsidRPr="004D57B3">
              <w:t>73% to 92</w:t>
            </w:r>
            <w:r>
              <w:t>%</w:t>
            </w:r>
            <w:r w:rsidRPr="004D57B3">
              <w:t xml:space="preserve"> (95% CI 62</w:t>
            </w:r>
            <w:r>
              <w:t>-</w:t>
            </w:r>
            <w:r w:rsidRPr="004D57B3">
              <w:t>100%) and the specificity ranged from 89</w:t>
            </w:r>
            <w:r>
              <w:t>%</w:t>
            </w:r>
            <w:r w:rsidRPr="004D57B3">
              <w:t xml:space="preserve"> (95% CI 81</w:t>
            </w:r>
            <w:r>
              <w:t>-</w:t>
            </w:r>
            <w:r w:rsidRPr="004D57B3">
              <w:t>94%) to 100</w:t>
            </w:r>
            <w:r>
              <w:t>%</w:t>
            </w:r>
            <w:r w:rsidRPr="004D57B3">
              <w:t xml:space="preserve"> (95% CI 72</w:t>
            </w:r>
            <w:r>
              <w:t>-</w:t>
            </w:r>
            <w:r w:rsidRPr="004D57B3">
              <w:t xml:space="preserve">100%). The negative LR ranged from 0.08 to 0.58. </w:t>
            </w:r>
          </w:p>
          <w:p w:rsidR="0048417A" w:rsidRPr="004D57B3" w:rsidRDefault="0048417A" w:rsidP="00836B55">
            <w:pPr>
              <w:numPr>
                <w:ilvl w:val="0"/>
                <w:numId w:val="19"/>
              </w:numPr>
              <w:tabs>
                <w:tab w:val="clear" w:pos="720"/>
                <w:tab w:val="num" w:pos="426"/>
              </w:tabs>
              <w:ind w:left="426" w:hanging="284"/>
            </w:pPr>
            <w:r w:rsidRPr="004D57B3">
              <w:t>In four studies that used the threshold of any small bowel ulcers, the sensitivity of CE ranged from 85</w:t>
            </w:r>
            <w:r>
              <w:t>%</w:t>
            </w:r>
            <w:r w:rsidRPr="004D57B3">
              <w:t xml:space="preserve"> (95% CI 58</w:t>
            </w:r>
            <w:r>
              <w:t>-</w:t>
            </w:r>
            <w:r w:rsidRPr="004D57B3">
              <w:t>96%) to 100</w:t>
            </w:r>
            <w:r>
              <w:t>%</w:t>
            </w:r>
            <w:r w:rsidRPr="004D57B3">
              <w:t xml:space="preserve"> (95% CI 72</w:t>
            </w:r>
            <w:r>
              <w:t>-</w:t>
            </w:r>
            <w:r w:rsidRPr="004D57B3">
              <w:t>100%) and the specificity ranged from 74</w:t>
            </w:r>
            <w:r>
              <w:t>%</w:t>
            </w:r>
            <w:r w:rsidRPr="004D57B3">
              <w:t xml:space="preserve"> (95% CI 64</w:t>
            </w:r>
            <w:r>
              <w:t>-</w:t>
            </w:r>
            <w:r w:rsidRPr="004D57B3">
              <w:t>82%) to 92</w:t>
            </w:r>
            <w:r>
              <w:t>%</w:t>
            </w:r>
            <w:r w:rsidRPr="004D57B3">
              <w:t xml:space="preserve"> (95% CI 73</w:t>
            </w:r>
            <w:r>
              <w:t>-</w:t>
            </w:r>
            <w:r w:rsidRPr="004D57B3">
              <w:t xml:space="preserve">99%). The negative LR ranged from 0 to 0.21. Overall, most studies had negative LRs &lt;0.10, the threshold for providing convincing evidence to exclude disease; however, two studies had negative LRs which were above the negative LR threshold for providing strong evidence for excluding disease &lt;0.20. This included the largest and most applicable study which had a negative LR &gt;0.20 at both thresholds. </w:t>
            </w:r>
          </w:p>
          <w:p w:rsidR="0048417A" w:rsidRPr="004D57B3" w:rsidRDefault="0048417A" w:rsidP="00836B55">
            <w:pPr>
              <w:pStyle w:val="Heading4"/>
              <w:spacing w:before="0" w:after="0"/>
              <w:ind w:left="0"/>
            </w:pPr>
            <w:r>
              <w:t>C</w:t>
            </w:r>
            <w:r w:rsidRPr="004D57B3">
              <w:t xml:space="preserve">apsule endoscopy </w:t>
            </w:r>
            <w:r>
              <w:t>versus</w:t>
            </w:r>
            <w:r w:rsidRPr="004D57B3">
              <w:t xml:space="preserve"> MRI and MRE</w:t>
            </w:r>
          </w:p>
          <w:p w:rsidR="0048417A" w:rsidRPr="004D57B3" w:rsidRDefault="0048417A" w:rsidP="00836B55">
            <w:pPr>
              <w:numPr>
                <w:ilvl w:val="0"/>
                <w:numId w:val="19"/>
              </w:numPr>
              <w:tabs>
                <w:tab w:val="clear" w:pos="720"/>
                <w:tab w:val="num" w:pos="426"/>
              </w:tabs>
              <w:ind w:left="426" w:hanging="284"/>
            </w:pPr>
            <w:r w:rsidRPr="004D57B3">
              <w:t xml:space="preserve">One fair quality and one poor quality study comparing CE </w:t>
            </w:r>
            <w:r>
              <w:t>versus</w:t>
            </w:r>
            <w:r w:rsidRPr="004D57B3">
              <w:t xml:space="preserve"> MRE or MRI found that CE has similar accuracy to MRE and greater accuracy than MRI. On this basis, CE is likely to have at least comparable accuracy to MR.</w:t>
            </w:r>
          </w:p>
          <w:p w:rsidR="0048417A" w:rsidRPr="004D57B3" w:rsidRDefault="0048417A" w:rsidP="00836B55">
            <w:pPr>
              <w:numPr>
                <w:ilvl w:val="0"/>
                <w:numId w:val="19"/>
              </w:numPr>
              <w:tabs>
                <w:tab w:val="clear" w:pos="720"/>
                <w:tab w:val="num" w:pos="426"/>
              </w:tabs>
              <w:ind w:left="426" w:hanging="284"/>
            </w:pPr>
            <w:r w:rsidRPr="004D57B3">
              <w:t xml:space="preserve">Using a threshold of &gt;3 small bowel ulcers, the sensitivity of CE </w:t>
            </w:r>
            <w:r>
              <w:t>versus</w:t>
            </w:r>
            <w:r w:rsidRPr="004D57B3">
              <w:t xml:space="preserve"> MRE was 91</w:t>
            </w:r>
            <w:r>
              <w:t>%</w:t>
            </w:r>
            <w:r w:rsidRPr="004D57B3">
              <w:t xml:space="preserve"> (95% CI 57</w:t>
            </w:r>
            <w:r>
              <w:t>-</w:t>
            </w:r>
            <w:r w:rsidRPr="004D57B3">
              <w:t xml:space="preserve">100%) </w:t>
            </w:r>
            <w:r>
              <w:t>versus</w:t>
            </w:r>
            <w:r w:rsidRPr="004D57B3">
              <w:t xml:space="preserve"> 100</w:t>
            </w:r>
            <w:r>
              <w:t>%</w:t>
            </w:r>
            <w:r w:rsidRPr="004D57B3">
              <w:t xml:space="preserve"> (95% CI 82</w:t>
            </w:r>
            <w:r>
              <w:t>-</w:t>
            </w:r>
            <w:r w:rsidRPr="004D57B3">
              <w:t>100%) and the specificity was 100</w:t>
            </w:r>
            <w:r>
              <w:t>%</w:t>
            </w:r>
            <w:r w:rsidRPr="004D57B3">
              <w:t xml:space="preserve"> (95% CI 87</w:t>
            </w:r>
            <w:r>
              <w:t>-</w:t>
            </w:r>
            <w:r w:rsidRPr="004D57B3">
              <w:t xml:space="preserve">100%) </w:t>
            </w:r>
            <w:r>
              <w:t>versus</w:t>
            </w:r>
            <w:r w:rsidRPr="004D57B3">
              <w:t xml:space="preserve"> 98</w:t>
            </w:r>
            <w:r>
              <w:t>%</w:t>
            </w:r>
            <w:r w:rsidRPr="004D57B3">
              <w:t xml:space="preserve"> (87</w:t>
            </w:r>
            <w:r>
              <w:t>-</w:t>
            </w:r>
            <w:r w:rsidRPr="004D57B3">
              <w:t xml:space="preserve">100%). </w:t>
            </w:r>
          </w:p>
          <w:p w:rsidR="0048417A" w:rsidRPr="004D57B3" w:rsidRDefault="0048417A" w:rsidP="00836B55">
            <w:pPr>
              <w:numPr>
                <w:ilvl w:val="0"/>
                <w:numId w:val="19"/>
              </w:numPr>
              <w:tabs>
                <w:tab w:val="clear" w:pos="720"/>
                <w:tab w:val="num" w:pos="426"/>
              </w:tabs>
              <w:ind w:left="426" w:hanging="284"/>
            </w:pPr>
            <w:r w:rsidRPr="004D57B3">
              <w:t>Using a threshold of any small bowel ulcers, CE and MRE had similar sensitivity (100% [95% CI 72</w:t>
            </w:r>
            <w:r>
              <w:t>-</w:t>
            </w:r>
            <w:r w:rsidRPr="004D57B3">
              <w:t xml:space="preserve">100%] </w:t>
            </w:r>
            <w:r>
              <w:t>versus</w:t>
            </w:r>
            <w:r w:rsidRPr="004D57B3">
              <w:t xml:space="preserve"> 100% [95% CI 82</w:t>
            </w:r>
            <w:r>
              <w:t>-</w:t>
            </w:r>
            <w:r w:rsidRPr="004D57B3">
              <w:t>100%]) and specificity (92% [95% CI 73</w:t>
            </w:r>
            <w:r>
              <w:t>-</w:t>
            </w:r>
            <w:r w:rsidRPr="004D57B3">
              <w:t xml:space="preserve">99%] </w:t>
            </w:r>
            <w:r>
              <w:t>versus</w:t>
            </w:r>
            <w:r w:rsidRPr="004D57B3">
              <w:t xml:space="preserve"> 98% [95% CI 87</w:t>
            </w:r>
            <w:r>
              <w:t>-</w:t>
            </w:r>
            <w:r w:rsidRPr="004D57B3">
              <w:t>100%]).</w:t>
            </w:r>
          </w:p>
          <w:p w:rsidR="0048417A" w:rsidRPr="004D57B3" w:rsidRDefault="0048417A" w:rsidP="00836B55">
            <w:pPr>
              <w:pStyle w:val="Heading4"/>
              <w:spacing w:before="0" w:after="0"/>
              <w:ind w:left="0"/>
            </w:pPr>
            <w:r>
              <w:t>C</w:t>
            </w:r>
            <w:r w:rsidRPr="004D57B3">
              <w:t xml:space="preserve">apsule endoscopy </w:t>
            </w:r>
            <w:r>
              <w:t>versus</w:t>
            </w:r>
            <w:r w:rsidRPr="004D57B3">
              <w:t xml:space="preserve"> CT</w:t>
            </w:r>
            <w:r>
              <w:t xml:space="preserve"> and CTE</w:t>
            </w:r>
          </w:p>
          <w:p w:rsidR="0048417A" w:rsidRDefault="0048417A" w:rsidP="00836B55">
            <w:pPr>
              <w:spacing w:after="0"/>
              <w:ind w:left="0"/>
            </w:pPr>
            <w:r w:rsidRPr="004D57B3">
              <w:t>The systematic review did not yield any studies comparing the accuracy of CE and CT (or CTE) for diagnosing suspected small bowel Crohn’s disease.</w:t>
            </w:r>
          </w:p>
          <w:p w:rsidR="0048417A" w:rsidRPr="004D57B3" w:rsidRDefault="0048417A" w:rsidP="00836B55">
            <w:pPr>
              <w:spacing w:after="0"/>
              <w:ind w:left="0"/>
              <w:rPr>
                <w:noProof/>
              </w:rPr>
            </w:pPr>
          </w:p>
          <w:p w:rsidR="0048417A" w:rsidRPr="004D57B3" w:rsidRDefault="0048417A" w:rsidP="00836B55">
            <w:pPr>
              <w:pStyle w:val="Heading4Left0cmCharCharCharCharChar"/>
              <w:spacing w:after="0"/>
              <w:ind w:left="0"/>
              <w:rPr>
                <w:bCs/>
                <w:sz w:val="18"/>
              </w:rPr>
            </w:pPr>
            <w:r w:rsidRPr="004D57B3">
              <w:rPr>
                <w:bCs/>
                <w:sz w:val="18"/>
              </w:rPr>
              <w:t>Change in management</w:t>
            </w:r>
          </w:p>
          <w:p w:rsidR="0048417A" w:rsidRDefault="0048417A" w:rsidP="00836B55">
            <w:pPr>
              <w:spacing w:after="0"/>
              <w:ind w:left="0"/>
            </w:pPr>
            <w:r w:rsidRPr="004D57B3">
              <w:t>No studies investigating the therapeutic impact of CE in patients with suspected small bowel Crohn’s disease were identified.</w:t>
            </w:r>
          </w:p>
          <w:p w:rsidR="0048417A" w:rsidRPr="004D57B3" w:rsidRDefault="0048417A" w:rsidP="00836B55">
            <w:pPr>
              <w:spacing w:after="0"/>
              <w:ind w:left="0"/>
            </w:pPr>
          </w:p>
          <w:p w:rsidR="0048417A" w:rsidRPr="004D57B3" w:rsidRDefault="0048417A" w:rsidP="00836B55">
            <w:pPr>
              <w:pStyle w:val="Heading4Left0cmCharCharCharCharChar"/>
              <w:spacing w:after="0"/>
              <w:ind w:left="0"/>
              <w:rPr>
                <w:bCs/>
                <w:sz w:val="18"/>
              </w:rPr>
            </w:pPr>
            <w:r w:rsidRPr="004D57B3">
              <w:rPr>
                <w:bCs/>
                <w:sz w:val="18"/>
              </w:rPr>
              <w:t>Patient outcomes</w:t>
            </w:r>
          </w:p>
          <w:p w:rsidR="0048417A" w:rsidRPr="004D57B3" w:rsidRDefault="0048417A" w:rsidP="00836B55">
            <w:pPr>
              <w:spacing w:after="0"/>
              <w:ind w:left="0"/>
              <w:rPr>
                <w:b/>
                <w:sz w:val="18"/>
              </w:rPr>
            </w:pPr>
            <w:r w:rsidRPr="004D57B3">
              <w:t>A linked evidence case for an improvement of patient outcomes due to CE in this indication cannot be made.</w:t>
            </w:r>
          </w:p>
        </w:tc>
      </w:tr>
    </w:tbl>
    <w:p w:rsidR="0048417A" w:rsidRPr="004D57B3" w:rsidRDefault="0048417A" w:rsidP="00836B55">
      <w:pPr>
        <w:pStyle w:val="TableText"/>
        <w:ind w:left="567"/>
        <w:sectPr w:rsidR="0048417A" w:rsidRPr="004D57B3" w:rsidSect="00836B55">
          <w:pgSz w:w="11906" w:h="16838"/>
          <w:pgMar w:top="1440" w:right="1440" w:bottom="1440" w:left="1440" w:header="720" w:footer="720" w:gutter="0"/>
          <w:paperSrc w:first="2" w:other="2"/>
          <w:cols w:space="720"/>
          <w:docGrid w:linePitch="326"/>
        </w:sectPr>
      </w:pPr>
      <w:r w:rsidRPr="004D57B3">
        <w:rPr>
          <w:i/>
          <w:szCs w:val="18"/>
        </w:rPr>
        <w:t>Abbreviations:</w:t>
      </w:r>
      <w:r w:rsidRPr="004D57B3">
        <w:rPr>
          <w:szCs w:val="18"/>
        </w:rPr>
        <w:t xml:space="preserve"> </w:t>
      </w:r>
      <w:r w:rsidRPr="004D57B3">
        <w:t>CE = capsule endoscopy</w:t>
      </w:r>
      <w:r>
        <w:t xml:space="preserve">, CI = confidence interval, CT = computed tomography, CTE = </w:t>
      </w:r>
      <w:proofErr w:type="gramStart"/>
      <w:r>
        <w:t>computed  tomography</w:t>
      </w:r>
      <w:proofErr w:type="gramEnd"/>
      <w:r>
        <w:t xml:space="preserve"> </w:t>
      </w:r>
      <w:proofErr w:type="spellStart"/>
      <w:r>
        <w:t>enterography</w:t>
      </w:r>
      <w:proofErr w:type="spellEnd"/>
      <w:r>
        <w:t xml:space="preserve">, ET = empirical treatment, LR = likelihood ratio, MRE = magnetic resonance </w:t>
      </w:r>
      <w:proofErr w:type="spellStart"/>
      <w:r>
        <w:t>enterography</w:t>
      </w:r>
      <w:proofErr w:type="spellEnd"/>
      <w:r>
        <w:t>,</w:t>
      </w:r>
      <w:r w:rsidRPr="004D57B3">
        <w:t xml:space="preserve"> </w:t>
      </w:r>
      <w:r>
        <w:t xml:space="preserve">MRI = magnetic resonance imaging without </w:t>
      </w:r>
      <w:proofErr w:type="spellStart"/>
      <w:r>
        <w:t>enterography</w:t>
      </w:r>
      <w:proofErr w:type="spellEnd"/>
      <w:r>
        <w:t xml:space="preserve">, </w:t>
      </w:r>
    </w:p>
    <w:p w:rsidR="0048417A" w:rsidRPr="004D57B3" w:rsidRDefault="0048417A" w:rsidP="00836B55">
      <w:pPr>
        <w:pStyle w:val="Heading1"/>
      </w:pPr>
      <w:bookmarkStart w:id="192" w:name="_Toc296517889"/>
      <w:r w:rsidRPr="004D57B3">
        <w:lastRenderedPageBreak/>
        <w:t>Other relevant considerations</w:t>
      </w:r>
      <w:bookmarkEnd w:id="192"/>
    </w:p>
    <w:p w:rsidR="0048417A" w:rsidRPr="004D57B3" w:rsidRDefault="0048417A" w:rsidP="00836B55">
      <w:pPr>
        <w:pStyle w:val="Heading2"/>
      </w:pPr>
      <w:bookmarkStart w:id="193" w:name="_Toc296517890"/>
      <w:r w:rsidRPr="004D57B3">
        <w:t>Ongoing clinical trials</w:t>
      </w:r>
      <w:bookmarkEnd w:id="193"/>
    </w:p>
    <w:p w:rsidR="0048417A" w:rsidRPr="004D57B3" w:rsidRDefault="0048417A" w:rsidP="00836B55">
      <w:r w:rsidRPr="004D57B3">
        <w:t xml:space="preserve">A search of the clinical trials registries identified one clinical trial in Denmark which evaluates the comparative accuracy of three diagnostic methods – MRE, CTE and capsule endoscopy – for assessing small bowel disease in patients with suspected or known Crohn’s disease against the reference standard of </w:t>
      </w:r>
      <w:proofErr w:type="spellStart"/>
      <w:r w:rsidRPr="004D57B3">
        <w:t>ileoscopy</w:t>
      </w:r>
      <w:proofErr w:type="spellEnd"/>
      <w:r w:rsidRPr="004D57B3">
        <w:t xml:space="preserve"> and/or surgery. This trial is summarised in </w:t>
      </w:r>
      <w:r w:rsidR="00AE591B">
        <w:fldChar w:fldCharType="begin"/>
      </w:r>
      <w:r w:rsidR="00AE591B">
        <w:instrText xml:space="preserve"> REF _Ref283369258 \h  \* MERGEFORMAT </w:instrText>
      </w:r>
      <w:r w:rsidR="00AE591B">
        <w:fldChar w:fldCharType="separate"/>
      </w:r>
      <w:r w:rsidRPr="004D57B3">
        <w:t xml:space="preserve">Appendix </w:t>
      </w:r>
      <w:r>
        <w:t>F</w:t>
      </w:r>
      <w:r w:rsidR="00AE591B">
        <w:fldChar w:fldCharType="end"/>
      </w:r>
      <w:r w:rsidRPr="004D57B3">
        <w:t xml:space="preserve">. A forthcoming publication from this trial </w:t>
      </w:r>
      <w:r w:rsidRPr="004D57B3">
        <w:rPr>
          <w:noProof/>
        </w:rPr>
        <w:t>(Jensen et al 2011)</w:t>
      </w:r>
      <w:r w:rsidRPr="004D57B3">
        <w:rPr>
          <w:color w:val="000000"/>
        </w:rPr>
        <w:t>, identified after completion of the systematic literature review described previously,</w:t>
      </w:r>
      <w:r w:rsidRPr="004D57B3">
        <w:t xml:space="preserve"> reports that this study includes 93 patients with suspected or newly diagnosed Crohn’s disease who underwent MRE, CTE, and, if no stenosis was detected, capsule endoscopy. The sensitivity and specificity for the diagnosis of Crohn’s disease of the terminal ileum only was 100% (95% CI = 79</w:t>
      </w:r>
      <w:r>
        <w:t>-</w:t>
      </w:r>
      <w:r w:rsidRPr="004D57B3">
        <w:t>100%) and 91% (95% CI = 79</w:t>
      </w:r>
      <w:r>
        <w:t>-</w:t>
      </w:r>
      <w:r w:rsidRPr="004D57B3">
        <w:t>97%) for capsule endoscopy (n=69), 81% (58</w:t>
      </w:r>
      <w:r>
        <w:t>-</w:t>
      </w:r>
      <w:r w:rsidRPr="004D57B3">
        <w:t>95%) and 86% (74</w:t>
      </w:r>
      <w:r>
        <w:t>-</w:t>
      </w:r>
      <w:r w:rsidRPr="004D57B3">
        <w:t>94%) for MRE (n=72) and 76% (95% CI = 53</w:t>
      </w:r>
      <w:r>
        <w:t>-</w:t>
      </w:r>
      <w:r w:rsidRPr="004D57B3">
        <w:t>92%) and 85% (95% CI = 72</w:t>
      </w:r>
      <w:r>
        <w:t>-</w:t>
      </w:r>
      <w:r w:rsidRPr="004D57B3">
        <w:t>93%) for CTE (n=73). In 80 patients who underwent all modalities, capsule endoscopy detected 18 positive Crohn’s disease results in the proximal small bowel, compared with 2 and 6 diagnoses detected by MRE or CTE (P&lt;0.05). It is unknown whether these were true</w:t>
      </w:r>
      <w:r>
        <w:t>-</w:t>
      </w:r>
      <w:r w:rsidRPr="004D57B3">
        <w:t xml:space="preserve"> or false</w:t>
      </w:r>
      <w:r>
        <w:t>-</w:t>
      </w:r>
      <w:r w:rsidRPr="004D57B3">
        <w:t xml:space="preserve">positives. The applicability of these results to the present review is limited because the patient population was not restricted to those that tested negative on prior colonoscopy with </w:t>
      </w:r>
      <w:proofErr w:type="spellStart"/>
      <w:r w:rsidRPr="004D57B3">
        <w:t>ileoscopy</w:t>
      </w:r>
      <w:proofErr w:type="spellEnd"/>
      <w:r w:rsidRPr="004D57B3">
        <w:t xml:space="preserve"> and small bowel radiology and because it included newly diagnosed Crohn’s disease patients. The use of a less highly selected population is expected to result in higher diagnostic accuracy for all tests than would be found in a setting where the use of the test is restricted to patients with suspected Crohn’s disease that are undiagnosed on prior tests.</w:t>
      </w:r>
    </w:p>
    <w:p w:rsidR="0048417A" w:rsidRPr="004D57B3" w:rsidRDefault="0048417A" w:rsidP="00836B55">
      <w:pPr>
        <w:pStyle w:val="Heading2"/>
      </w:pPr>
      <w:bookmarkStart w:id="194" w:name="_Ref285462422"/>
      <w:bookmarkStart w:id="195" w:name="_Toc296517891"/>
      <w:r w:rsidRPr="004D57B3">
        <w:t>Expert opinion</w:t>
      </w:r>
      <w:bookmarkEnd w:id="194"/>
      <w:bookmarkEnd w:id="195"/>
    </w:p>
    <w:p w:rsidR="0048417A" w:rsidRPr="004D57B3" w:rsidRDefault="0048417A" w:rsidP="00836B55">
      <w:r w:rsidRPr="004D57B3">
        <w:t xml:space="preserve">It is the opinion of the majority of members of the Advisory Panel that capsule endoscopy for the diagnosis of small bowel Crohn’s disease may lead to benefits that are not evident from the limited available data. Expert opinion suggested that in clinical practice there are a small number of patients for whom it is very difficult to reach a diagnosis of Crohn’s disease. It is the view of the Advisory Panel that approximately half of such patients can be diagnosed with Crohn’s disease via other capsule endoscopy indications already funded </w:t>
      </w:r>
      <w:r>
        <w:t>through</w:t>
      </w:r>
      <w:r w:rsidRPr="004D57B3">
        <w:t xml:space="preserve"> the MBS (such as </w:t>
      </w:r>
      <w:r>
        <w:t>OGIB</w:t>
      </w:r>
      <w:r w:rsidRPr="004D57B3">
        <w:t xml:space="preserve">). However, this is not the case for some of these patients in whom the use of capsule endoscopy for the indication of suspected small bowel Crohn’s disease may be the only way to confirm the diagnosis. </w:t>
      </w:r>
    </w:p>
    <w:p w:rsidR="0048417A" w:rsidRPr="004D57B3" w:rsidRDefault="0048417A" w:rsidP="00836B55">
      <w:r w:rsidRPr="004D57B3">
        <w:t xml:space="preserve">Expert </w:t>
      </w:r>
      <w:r>
        <w:t xml:space="preserve">opinion </w:t>
      </w:r>
      <w:r w:rsidRPr="004D57B3">
        <w:t>also suggested that around half of new diagnoses of Crohn’s disease currently made via capsule endoscopy occur in patients who are being evaluated for OGIB. Based on available data, the utilisation of capsule endoscopy for the diagnosis of small bowel Crohn’s disease that was unconfirmed on prior tests was estimated to lie between 664 and 1</w:t>
      </w:r>
      <w:r>
        <w:t>,</w:t>
      </w:r>
      <w:r w:rsidRPr="004D57B3">
        <w:t xml:space="preserve">431 per year (see page </w:t>
      </w:r>
      <w:r w:rsidRPr="004D57B3">
        <w:fldChar w:fldCharType="begin"/>
      </w:r>
      <w:r w:rsidRPr="004D57B3">
        <w:instrText xml:space="preserve"> PAGEREF _Ref282073877 \h </w:instrText>
      </w:r>
      <w:r w:rsidRPr="004D57B3">
        <w:fldChar w:fldCharType="separate"/>
      </w:r>
      <w:r>
        <w:rPr>
          <w:noProof/>
        </w:rPr>
        <w:t>23</w:t>
      </w:r>
      <w:r w:rsidRPr="004D57B3">
        <w:fldChar w:fldCharType="end"/>
      </w:r>
      <w:r w:rsidRPr="004D57B3">
        <w:t xml:space="preserve">). </w:t>
      </w:r>
    </w:p>
    <w:p w:rsidR="0048417A" w:rsidRPr="004D57B3" w:rsidRDefault="0048417A" w:rsidP="00836B55">
      <w:pPr>
        <w:pStyle w:val="Heading1"/>
      </w:pPr>
      <w:bookmarkStart w:id="196" w:name="_Toc296517892"/>
      <w:r w:rsidRPr="004D57B3">
        <w:lastRenderedPageBreak/>
        <w:t>What are the economic considerations?</w:t>
      </w:r>
      <w:bookmarkEnd w:id="196"/>
      <w:r w:rsidRPr="004D57B3">
        <w:t xml:space="preserve"> </w:t>
      </w:r>
    </w:p>
    <w:p w:rsidR="0048417A" w:rsidRPr="004D57B3" w:rsidRDefault="0048417A" w:rsidP="00836B55">
      <w:r w:rsidRPr="004D57B3">
        <w:t>The economic considerations appropriate to this application are twofold:</w:t>
      </w:r>
    </w:p>
    <w:p w:rsidR="0048417A" w:rsidRPr="004D57B3" w:rsidRDefault="0048417A" w:rsidP="00836B55">
      <w:pPr>
        <w:numPr>
          <w:ilvl w:val="0"/>
          <w:numId w:val="57"/>
        </w:numPr>
      </w:pPr>
      <w:r w:rsidRPr="004D57B3">
        <w:t>Assessment of the value for money associated with the introduction of capsule endoscopy (economic evaluation)</w:t>
      </w:r>
      <w:r>
        <w:t>.</w:t>
      </w:r>
    </w:p>
    <w:p w:rsidR="0048417A" w:rsidRPr="00196462" w:rsidRDefault="0048417A" w:rsidP="00836B55">
      <w:pPr>
        <w:numPr>
          <w:ilvl w:val="0"/>
          <w:numId w:val="57"/>
        </w:numPr>
      </w:pPr>
      <w:r w:rsidRPr="00196462">
        <w:t xml:space="preserve">Estimation of the financial implications of the introduction of capsule endoscopy for the MBS and society (including costs to MBS and patient </w:t>
      </w:r>
      <w:proofErr w:type="spellStart"/>
      <w:r w:rsidRPr="00196462">
        <w:t>copayments</w:t>
      </w:r>
      <w:proofErr w:type="spellEnd"/>
      <w:r w:rsidRPr="00196462">
        <w:t>).</w:t>
      </w:r>
    </w:p>
    <w:p w:rsidR="0048417A" w:rsidRPr="004D57B3" w:rsidRDefault="0048417A" w:rsidP="00836B55">
      <w:pPr>
        <w:pStyle w:val="Heading2"/>
      </w:pPr>
      <w:bookmarkStart w:id="197" w:name="_Toc286751684"/>
      <w:bookmarkStart w:id="198" w:name="_Toc296517893"/>
      <w:r w:rsidRPr="004D57B3">
        <w:t>Economic evaluation</w:t>
      </w:r>
      <w:bookmarkEnd w:id="197"/>
      <w:bookmarkEnd w:id="198"/>
    </w:p>
    <w:p w:rsidR="0048417A" w:rsidRPr="004D57B3" w:rsidRDefault="0048417A" w:rsidP="00836B55">
      <w:r w:rsidRPr="004D57B3">
        <w:t xml:space="preserve">Economic evaluation is important in order to understand both the costs and consequences of introducing a new diagnostic test for the diagnosis of suspected small bowel Crohn’s disease. The introduction of a new diagnostic test may be costly, and it is important to ensure that where public funds are limited, those tests which represent the best value for money are identified </w:t>
      </w:r>
      <w:r w:rsidRPr="004D57B3">
        <w:rPr>
          <w:noProof/>
        </w:rPr>
        <w:t>(Drummond et al 2005)</w:t>
      </w:r>
      <w:r w:rsidRPr="004D57B3">
        <w:t>. In an economic evaluation, alternative options (</w:t>
      </w:r>
      <w:proofErr w:type="spellStart"/>
      <w:r>
        <w:t>ie</w:t>
      </w:r>
      <w:proofErr w:type="spellEnd"/>
      <w:r w:rsidRPr="004D57B3">
        <w:t xml:space="preserve"> diagnostic tests or patient pathways) are compared in terms of their costs and consequences. The most widely used type of economic evaluation is the cost-effectiveness analysis (CEA). In a CEA, consequences are measured in natural or physical units, for example detected cases of Crohn’s disease or life years gained. A cost-utility analysis (CUA) is a specific form of CEA in which the effect of healthcare technologies on life expectancy and health-related quality of life (</w:t>
      </w:r>
      <w:proofErr w:type="spellStart"/>
      <w:r w:rsidRPr="004D57B3">
        <w:t>HRQoL</w:t>
      </w:r>
      <w:proofErr w:type="spellEnd"/>
      <w:r w:rsidRPr="004D57B3">
        <w:t>) are combined. The most common outcome measure for a CUA is the quality-adjusted life year (QALY). A CUA is considered the gold standard for economic evaluations because it allows the direct comparison of the rel</w:t>
      </w:r>
      <w:r>
        <w:t>ative health benefits of health</w:t>
      </w:r>
      <w:r w:rsidRPr="004D57B3">
        <w:t xml:space="preserve">care technologies across different disease areas and populations and therefore facilitates resource allocation decisions </w:t>
      </w:r>
      <w:r w:rsidRPr="004D57B3">
        <w:rPr>
          <w:noProof/>
        </w:rPr>
        <w:t>(Drummond et al 2005; Gold et al 1996)</w:t>
      </w:r>
      <w:r w:rsidRPr="004D57B3">
        <w:t xml:space="preserve">. </w:t>
      </w:r>
    </w:p>
    <w:p w:rsidR="0048417A" w:rsidRPr="004D57B3" w:rsidRDefault="0048417A" w:rsidP="00836B55">
      <w:r w:rsidRPr="004D57B3">
        <w:t xml:space="preserve">To the extent that data allow, </w:t>
      </w:r>
      <w:r w:rsidRPr="004D57B3">
        <w:rPr>
          <w:bCs/>
        </w:rPr>
        <w:t>a decision</w:t>
      </w:r>
      <w:r>
        <w:rPr>
          <w:bCs/>
        </w:rPr>
        <w:t>-</w:t>
      </w:r>
      <w:r w:rsidRPr="004D57B3">
        <w:rPr>
          <w:bCs/>
        </w:rPr>
        <w:t xml:space="preserve">analytic model can be used to synthesise data on costs and consequences obtained from various sources, such as </w:t>
      </w:r>
      <w:r w:rsidRPr="004D57B3">
        <w:t xml:space="preserve">the literature, primary data collected and expert opinion, to estimate the cost-effectiveness or cost per QALY of the new diagnostic test compared to conventional approaches </w:t>
      </w:r>
      <w:r w:rsidRPr="004D57B3">
        <w:rPr>
          <w:noProof/>
        </w:rPr>
        <w:t>(Briggs et al 2006)</w:t>
      </w:r>
      <w:r w:rsidRPr="004D57B3">
        <w:t>. In the context of economic evaluation, a decision</w:t>
      </w:r>
      <w:r>
        <w:t>-</w:t>
      </w:r>
      <w:r w:rsidRPr="004D57B3">
        <w:t>analytic model uses mathematical relationships to define a series of possible consequences that would follow from a set of alternative options being evaluated. A key purpose of decision</w:t>
      </w:r>
      <w:r>
        <w:t>-</w:t>
      </w:r>
      <w:r w:rsidRPr="004D57B3">
        <w:t xml:space="preserve">analytic modelling is to allow for the variability and uncertainty associated with all decisions. Nevertheless, the quality of the model is highly dependent on the quality of information used to populate the model. A comparison of costs and an array of health outcomes or consequences of the new diagnostic test and its comparators may be the preferable approach when accuracy data or data on health outcomes are inadequate to populate the decision model. </w:t>
      </w:r>
    </w:p>
    <w:p w:rsidR="0048417A" w:rsidRPr="004D57B3" w:rsidRDefault="0048417A" w:rsidP="00836B55">
      <w:pPr>
        <w:pStyle w:val="Heading3"/>
      </w:pPr>
      <w:r w:rsidRPr="004D57B3">
        <w:t>Published economic literature</w:t>
      </w:r>
    </w:p>
    <w:p w:rsidR="0048417A" w:rsidRPr="004D57B3" w:rsidRDefault="0048417A" w:rsidP="00836B55">
      <w:pPr>
        <w:rPr>
          <w:b/>
          <w:bCs/>
        </w:rPr>
      </w:pPr>
      <w:r w:rsidRPr="004D57B3">
        <w:t>Three economic analyses in the international literature were identified as part of the current review. All three studies used decision</w:t>
      </w:r>
      <w:r>
        <w:t>-</w:t>
      </w:r>
      <w:r w:rsidRPr="004D57B3">
        <w:t xml:space="preserve">analytic modelling techniques to explore either the costs or cost-effectiveness of imaging strategies for diagnosing Crohn’s disease in the United States. </w:t>
      </w:r>
    </w:p>
    <w:p w:rsidR="0048417A" w:rsidRPr="004D57B3" w:rsidRDefault="0048417A" w:rsidP="00836B55">
      <w:r w:rsidRPr="004D57B3">
        <w:lastRenderedPageBreak/>
        <w:t xml:space="preserve">Goldfarb et al </w:t>
      </w:r>
      <w:r w:rsidRPr="004D57B3">
        <w:rPr>
          <w:noProof/>
        </w:rPr>
        <w:t>(2004)</w:t>
      </w:r>
      <w:r w:rsidRPr="004D57B3">
        <w:t xml:space="preserve"> constructed decision models to explore the costs of diagnosing Crohn’s disease using capsule endoscopy compared to other diagnostic methods (</w:t>
      </w:r>
      <w:proofErr w:type="spellStart"/>
      <w:r>
        <w:t>eg</w:t>
      </w:r>
      <w:proofErr w:type="spellEnd"/>
      <w:r w:rsidRPr="004D57B3">
        <w:t xml:space="preserve"> SBFT, </w:t>
      </w:r>
      <w:proofErr w:type="spellStart"/>
      <w:r w:rsidRPr="004D57B3">
        <w:t>enteroclysis</w:t>
      </w:r>
      <w:proofErr w:type="spellEnd"/>
      <w:r w:rsidRPr="004D57B3">
        <w:t xml:space="preserve">, colonoscopy, computed tomography, MRI). A payer perspective was adopted, only including direct medical costs for diagnostic testing. The model estimated that the net saving of using capsule endoscopy was US$291 per case initially presenting for work-up. As long as the diagnostic yield for capsule endoscopy was 64% or greater, capsule endoscopy was the lower cost diagnostic option regardless of the diagnostic yield of SBFT and colonoscopy. The study arms in Goldfarb’s study do not reflect the clinical flow chart (page </w:t>
      </w:r>
      <w:r w:rsidRPr="004D57B3">
        <w:fldChar w:fldCharType="begin"/>
      </w:r>
      <w:r w:rsidRPr="004D57B3">
        <w:instrText xml:space="preserve"> PAGEREF _Ref283298372 \h </w:instrText>
      </w:r>
      <w:r w:rsidRPr="004D57B3">
        <w:fldChar w:fldCharType="separate"/>
      </w:r>
      <w:r>
        <w:rPr>
          <w:noProof/>
        </w:rPr>
        <w:t>31</w:t>
      </w:r>
      <w:r w:rsidRPr="004D57B3">
        <w:fldChar w:fldCharType="end"/>
      </w:r>
      <w:r w:rsidRPr="004D57B3">
        <w:t>) that a radiologic study needs to rule out the presence of a stricture prior to the use of capsule endoscopy. Hence, their conclusions that capsule endoscopy produces a cost saving in the diagnostic work</w:t>
      </w:r>
      <w:r>
        <w:t>-</w:t>
      </w:r>
      <w:r w:rsidRPr="004D57B3">
        <w:t>up should be regarded with caution since it does not reflect the Australian real-life clinical situation.</w:t>
      </w:r>
    </w:p>
    <w:p w:rsidR="0048417A" w:rsidRPr="004D57B3" w:rsidRDefault="0048417A" w:rsidP="00836B55">
      <w:r w:rsidRPr="004D57B3">
        <w:t xml:space="preserve">A more recent cost-effectiveness study by Levesque et al </w:t>
      </w:r>
      <w:r>
        <w:rPr>
          <w:noProof/>
        </w:rPr>
        <w:t>(2010)</w:t>
      </w:r>
      <w:r w:rsidRPr="004D57B3">
        <w:t xml:space="preserve"> took these issues into account and studied capsule endoscopy as a third line test (after the failure of </w:t>
      </w:r>
      <w:proofErr w:type="spellStart"/>
      <w:r w:rsidRPr="004D57B3">
        <w:t>ileocolonoscopy</w:t>
      </w:r>
      <w:proofErr w:type="spellEnd"/>
      <w:r w:rsidRPr="004D57B3">
        <w:t xml:space="preserve"> followed by CTE or SBFT to establish a diagnosis). They developed a decision</w:t>
      </w:r>
      <w:r>
        <w:t>-</w:t>
      </w:r>
      <w:r w:rsidRPr="004D57B3">
        <w:t xml:space="preserve">analytic model to compare the lifetime costs and benefits of CTE versus SBFT and to test whether adding capsule endoscopy as a third test in patients in whom a high suspicion of disease remains after a negative </w:t>
      </w:r>
      <w:proofErr w:type="spellStart"/>
      <w:r w:rsidRPr="004D57B3">
        <w:t>ileocolonoscopy</w:t>
      </w:r>
      <w:proofErr w:type="spellEnd"/>
      <w:r w:rsidRPr="004D57B3">
        <w:t xml:space="preserve"> and follow-up SBFT is cost-effective. Effectiveness was measured in QALYs gained. The addition of capsule endoscopy after </w:t>
      </w:r>
      <w:proofErr w:type="spellStart"/>
      <w:r w:rsidRPr="004D57B3">
        <w:t>ileocolonoscopy</w:t>
      </w:r>
      <w:proofErr w:type="spellEnd"/>
      <w:r w:rsidRPr="004D57B3">
        <w:t xml:space="preserve"> and negative CTE or SBFT was estimated to cost more than $500,000 per QALY</w:t>
      </w:r>
      <w:r>
        <w:t xml:space="preserve"> </w:t>
      </w:r>
      <w:r w:rsidRPr="004D57B3">
        <w:t xml:space="preserve">gained in all tested scenarios. Capsule endoscopy was deemed too expensive even in patients with a high </w:t>
      </w:r>
      <w:proofErr w:type="spellStart"/>
      <w:r w:rsidRPr="004D57B3">
        <w:t>pretest</w:t>
      </w:r>
      <w:proofErr w:type="spellEnd"/>
      <w:r w:rsidRPr="004D57B3">
        <w:t xml:space="preserve"> probability (75%) of having Crohn’s disease, due to the poor accuracy of capsule endoscopy. Of note, the lifetime radiation risk with CTE and SBFT was not modelled in this analysis.</w:t>
      </w:r>
    </w:p>
    <w:p w:rsidR="0048417A" w:rsidRPr="004D57B3" w:rsidRDefault="0048417A" w:rsidP="00836B55">
      <w:r w:rsidRPr="004D57B3">
        <w:rPr>
          <w:bCs/>
          <w:spacing w:val="-2"/>
        </w:rPr>
        <w:t xml:space="preserve">Leighton et al </w:t>
      </w:r>
      <w:r w:rsidRPr="004D57B3">
        <w:rPr>
          <w:bCs/>
          <w:noProof/>
          <w:spacing w:val="-2"/>
        </w:rPr>
        <w:t>(2009)</w:t>
      </w:r>
      <w:r w:rsidRPr="004D57B3">
        <w:rPr>
          <w:b/>
          <w:bCs/>
          <w:spacing w:val="-2"/>
        </w:rPr>
        <w:t xml:space="preserve"> </w:t>
      </w:r>
      <w:r w:rsidRPr="004D57B3">
        <w:rPr>
          <w:spacing w:val="-2"/>
        </w:rPr>
        <w:t xml:space="preserve">modelled the clinical and economic benefits of capsule endoscopy compared </w:t>
      </w:r>
      <w:r w:rsidRPr="004D57B3">
        <w:t xml:space="preserve">to SBFT as a second line investigation after a non-diagnostic </w:t>
      </w:r>
      <w:proofErr w:type="spellStart"/>
      <w:r w:rsidRPr="004D57B3">
        <w:t>ileocolonoscopy</w:t>
      </w:r>
      <w:proofErr w:type="spellEnd"/>
      <w:r w:rsidRPr="004D57B3">
        <w:t>.</w:t>
      </w:r>
      <w:r w:rsidRPr="004D57B3">
        <w:rPr>
          <w:spacing w:val="-2"/>
        </w:rPr>
        <w:t xml:space="preserve"> </w:t>
      </w:r>
      <w:r w:rsidRPr="004D57B3">
        <w:t xml:space="preserve">The </w:t>
      </w:r>
      <w:r w:rsidRPr="004D57B3">
        <w:rPr>
          <w:spacing w:val="-4"/>
        </w:rPr>
        <w:t>decision</w:t>
      </w:r>
      <w:r>
        <w:rPr>
          <w:spacing w:val="-4"/>
        </w:rPr>
        <w:t>-</w:t>
      </w:r>
      <w:r w:rsidRPr="004D57B3">
        <w:rPr>
          <w:spacing w:val="-4"/>
        </w:rPr>
        <w:t xml:space="preserve">analytic model incorporated total and yearly costs of diagnostic work-up for suspected Crohn’s disease, including procedure-related adverse events, hospitalisations, office visits and medications. The model compared </w:t>
      </w:r>
      <w:r w:rsidRPr="004D57B3">
        <w:t>capsule endoscopy</w:t>
      </w:r>
      <w:r w:rsidRPr="004D57B3">
        <w:rPr>
          <w:spacing w:val="-4"/>
        </w:rPr>
        <w:t xml:space="preserve"> to SBFT following </w:t>
      </w:r>
      <w:proofErr w:type="spellStart"/>
      <w:r w:rsidRPr="004D57B3">
        <w:rPr>
          <w:spacing w:val="-4"/>
        </w:rPr>
        <w:t>ileocolonoscopy</w:t>
      </w:r>
      <w:proofErr w:type="spellEnd"/>
      <w:r w:rsidRPr="004D57B3">
        <w:rPr>
          <w:spacing w:val="-4"/>
        </w:rPr>
        <w:t xml:space="preserve"> and secondarily compared capsule endoscopy to SBFT for initial evaluation. </w:t>
      </w:r>
      <w:r w:rsidRPr="004D57B3">
        <w:t>At sensitivity &gt;98.7% and specificity &gt;86.4%, capsule endoscopy was estimated to be less costly than SBFT. They concluded that capsule endoscopy for the diagnostic evaluation of suspected C</w:t>
      </w:r>
      <w:r>
        <w:t>rohn’s disease</w:t>
      </w:r>
      <w:r w:rsidRPr="004D57B3">
        <w:t xml:space="preserve"> is comparable in cost to SBFT, and may be used immediately following </w:t>
      </w:r>
      <w:proofErr w:type="spellStart"/>
      <w:r w:rsidRPr="004D57B3">
        <w:t>ileocolonoscopy</w:t>
      </w:r>
      <w:proofErr w:type="spellEnd"/>
      <w:r w:rsidRPr="004D57B3">
        <w:t xml:space="preserve">. However, their model assumed </w:t>
      </w:r>
      <w:r>
        <w:t>‘</w:t>
      </w:r>
      <w:r w:rsidRPr="004D57B3">
        <w:t>no obstruction</w:t>
      </w:r>
      <w:r>
        <w:t>’</w:t>
      </w:r>
      <w:r w:rsidRPr="004D57B3">
        <w:t xml:space="preserve"> was present though it is unclear how one would reach that conclusion in a real-time scenario without prior radiologic imaging. The authors report that including retention in the model did not change the results though the assumptions used to reach this conclusion are not provided.</w:t>
      </w:r>
    </w:p>
    <w:p w:rsidR="0048417A" w:rsidRPr="004D57B3" w:rsidRDefault="0048417A" w:rsidP="00836B55">
      <w:pPr>
        <w:pStyle w:val="Heading3"/>
      </w:pPr>
      <w:r w:rsidRPr="004D57B3">
        <w:t>Economic evaluation of capsule endoscopy for small bowel Crohn’s disease in Australia</w:t>
      </w:r>
    </w:p>
    <w:p w:rsidR="0048417A" w:rsidRPr="004D57B3" w:rsidRDefault="0048417A" w:rsidP="00836B55">
      <w:r w:rsidRPr="004D57B3">
        <w:t>The three economic studies identified for this report could not be used as evidence of cost-effectiveness for the use of capsule endoscopy in Australia since they did not reflect the patient population or clinical pathway under consideration in this report. In addition, none of the studies were conducted in Australia and the substantial differences between health systems limit transferability of economic studies. A decision</w:t>
      </w:r>
      <w:r>
        <w:t>-</w:t>
      </w:r>
      <w:r w:rsidRPr="004D57B3">
        <w:t>analytic model can synthesise effectiveness data from this report, cost data from other sources and expert opinion to estimate the cost-effectiveness of capsule endoscopy compared to conventional approaches. A simple decision</w:t>
      </w:r>
      <w:r>
        <w:t>-</w:t>
      </w:r>
      <w:r w:rsidRPr="004D57B3">
        <w:t xml:space="preserve">analytic model representing the possible </w:t>
      </w:r>
      <w:r w:rsidRPr="004D57B3">
        <w:lastRenderedPageBreak/>
        <w:t>patient pathways is provided in</w:t>
      </w:r>
      <w:r>
        <w:t xml:space="preserve"> </w:t>
      </w:r>
      <w:r>
        <w:fldChar w:fldCharType="begin"/>
      </w:r>
      <w:r>
        <w:instrText xml:space="preserve"> REF _Ref289775163 \h </w:instrText>
      </w:r>
      <w:r>
        <w:fldChar w:fldCharType="separate"/>
      </w:r>
      <w:r>
        <w:t xml:space="preserve">Figure </w:t>
      </w:r>
      <w:r>
        <w:rPr>
          <w:noProof/>
        </w:rPr>
        <w:t>5</w:t>
      </w:r>
      <w:r>
        <w:fldChar w:fldCharType="end"/>
      </w:r>
      <w:r w:rsidRPr="004D57B3">
        <w:t>. It must be noted that MRI and MRE are currently not funded on the MBS as a diagnostic test for small bowel Crohn’s disease in Australia. However, expert advice suggests that MRI and MRE are used in some Australian clinical settings for the diagnosis of small bowel Crohn’s disease that is unconfirmed on prior tests.</w:t>
      </w:r>
    </w:p>
    <w:p w:rsidR="0048417A" w:rsidRPr="004D57B3" w:rsidRDefault="0048417A" w:rsidP="00836B55">
      <w:pPr>
        <w:pStyle w:val="TableName"/>
        <w:rPr>
          <w:rFonts w:ascii="Arial" w:hAnsi="Arial" w:cs="Arial"/>
          <w:i/>
        </w:rPr>
      </w:pPr>
      <w:bookmarkStart w:id="199" w:name="_Ref289775163"/>
      <w:bookmarkStart w:id="200" w:name="_Ref283374367"/>
      <w:bookmarkStart w:id="201" w:name="_Toc283389525"/>
      <w:bookmarkStart w:id="202" w:name="_Toc286751745"/>
      <w:bookmarkStart w:id="203" w:name="_Toc291859599"/>
      <w:r>
        <w:t xml:space="preserve">Figure </w:t>
      </w:r>
      <w:r w:rsidR="00AE591B">
        <w:fldChar w:fldCharType="begin"/>
      </w:r>
      <w:r w:rsidR="00AE591B">
        <w:instrText xml:space="preserve"> SEQ Figure \* ARABIC </w:instrText>
      </w:r>
      <w:r w:rsidR="00AE591B">
        <w:fldChar w:fldCharType="separate"/>
      </w:r>
      <w:r>
        <w:rPr>
          <w:noProof/>
        </w:rPr>
        <w:t>5</w:t>
      </w:r>
      <w:r w:rsidR="00AE591B">
        <w:rPr>
          <w:noProof/>
        </w:rPr>
        <w:fldChar w:fldCharType="end"/>
      </w:r>
      <w:bookmarkEnd w:id="199"/>
      <w:r w:rsidRPr="004D57B3">
        <w:tab/>
        <w:t>Simplified decision tree for the diagnosis of small bowel Crohn’s disease</w:t>
      </w:r>
      <w:bookmarkEnd w:id="200"/>
      <w:bookmarkEnd w:id="201"/>
      <w:bookmarkEnd w:id="202"/>
      <w:bookmarkEnd w:id="203"/>
    </w:p>
    <w:p w:rsidR="0048417A" w:rsidRDefault="00AE591B" w:rsidP="00836B55">
      <w:pPr>
        <w:pStyle w:val="Heading3"/>
      </w:pPr>
      <w:r>
        <w:rPr>
          <w:rFonts w:ascii="Arial" w:hAnsi="Arial" w:cs="Arial"/>
          <w:noProof/>
          <w:sz w:val="20"/>
        </w:rPr>
        <w:drawing>
          <wp:inline distT="0" distB="0" distL="0" distR="0">
            <wp:extent cx="5734050" cy="3257550"/>
            <wp:effectExtent l="0" t="0" r="0" b="0"/>
            <wp:docPr id="2" name="Picture 0" descr="Capsule Endoscopy_Economics_figure.jpg" title="Simplified decision tree for the diagnosis of small bowel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sule Endoscopy_Economics_figur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3257550"/>
                    </a:xfrm>
                    <a:prstGeom prst="rect">
                      <a:avLst/>
                    </a:prstGeom>
                    <a:noFill/>
                    <a:ln>
                      <a:noFill/>
                    </a:ln>
                  </pic:spPr>
                </pic:pic>
              </a:graphicData>
            </a:graphic>
          </wp:inline>
        </w:drawing>
      </w:r>
    </w:p>
    <w:p w:rsidR="0048417A" w:rsidRPr="00D9236E" w:rsidRDefault="0048417A" w:rsidP="00836B55">
      <w:pPr>
        <w:pStyle w:val="Heading3"/>
      </w:pPr>
      <w:r>
        <w:t>Cost consequence analysis</w:t>
      </w:r>
    </w:p>
    <w:p w:rsidR="0048417A" w:rsidRDefault="0048417A" w:rsidP="00836B55">
      <w:r>
        <w:rPr>
          <w:bCs/>
        </w:rPr>
        <w:t>High-</w:t>
      </w:r>
      <w:r w:rsidRPr="004D57B3">
        <w:rPr>
          <w:bCs/>
        </w:rPr>
        <w:t xml:space="preserve">level evidence on the comparative accuracy of </w:t>
      </w:r>
      <w:r w:rsidRPr="004D57B3">
        <w:t>capsule endoscopy</w:t>
      </w:r>
      <w:r w:rsidRPr="004D57B3">
        <w:rPr>
          <w:bCs/>
        </w:rPr>
        <w:t>, CT</w:t>
      </w:r>
      <w:r>
        <w:rPr>
          <w:bCs/>
        </w:rPr>
        <w:t>/CTE</w:t>
      </w:r>
      <w:r w:rsidRPr="004D57B3">
        <w:rPr>
          <w:bCs/>
        </w:rPr>
        <w:t xml:space="preserve"> and MRI/MRE </w:t>
      </w:r>
      <w:r w:rsidRPr="004D57B3">
        <w:t>is unavailable and is essen</w:t>
      </w:r>
      <w:r>
        <w:t>tial information for a decision-</w:t>
      </w:r>
      <w:r w:rsidRPr="004D57B3">
        <w:t xml:space="preserve">analytic model. Due to the lack of comparative effectiveness data it is therefore </w:t>
      </w:r>
      <w:r>
        <w:t>not warranted to use a decision-</w:t>
      </w:r>
      <w:r w:rsidRPr="004D57B3">
        <w:t xml:space="preserve">analytic model to estimate cost-effectiveness. </w:t>
      </w:r>
    </w:p>
    <w:p w:rsidR="0048417A" w:rsidRPr="004D57B3" w:rsidRDefault="0048417A" w:rsidP="00836B55">
      <w:r w:rsidRPr="00196462">
        <w:t xml:space="preserve">The preferable approach to assess the value for money of using capsule endoscopy is a presentation of the costs and possible consequences of capsule endoscopy and its comparators. The estimation of costs </w:t>
      </w:r>
      <w:r w:rsidRPr="00196462">
        <w:rPr>
          <w:szCs w:val="24"/>
        </w:rPr>
        <w:t xml:space="preserve">takes a limited societal perspective, which includes patient </w:t>
      </w:r>
      <w:proofErr w:type="spellStart"/>
      <w:r w:rsidRPr="00196462">
        <w:rPr>
          <w:szCs w:val="24"/>
        </w:rPr>
        <w:t>copayments</w:t>
      </w:r>
      <w:proofErr w:type="spellEnd"/>
      <w:r w:rsidRPr="00196462">
        <w:rPr>
          <w:szCs w:val="24"/>
        </w:rPr>
        <w:t xml:space="preserve">. </w:t>
      </w:r>
      <w:r w:rsidRPr="00196462">
        <w:t xml:space="preserve">Only costs of the diagnostic tests under evaluation are considered. Other costs such as </w:t>
      </w:r>
      <w:r w:rsidRPr="00196462">
        <w:rPr>
          <w:szCs w:val="24"/>
        </w:rPr>
        <w:t xml:space="preserve">downstream costs of treatment or costs of lost productivity are </w:t>
      </w:r>
      <w:r w:rsidRPr="00196462">
        <w:rPr>
          <w:color w:val="000000"/>
          <w:szCs w:val="24"/>
        </w:rPr>
        <w:t xml:space="preserve">excluded </w:t>
      </w:r>
      <w:r w:rsidRPr="00196462">
        <w:rPr>
          <w:rFonts w:cs="Arial"/>
          <w:color w:val="000000"/>
          <w:szCs w:val="24"/>
        </w:rPr>
        <w:t>as there is no evidence that suggests these cost components differ among the testing strategies.</w:t>
      </w:r>
    </w:p>
    <w:p w:rsidR="0048417A" w:rsidRPr="00196462" w:rsidRDefault="0048417A" w:rsidP="00836B55">
      <w:pPr>
        <w:pStyle w:val="Heading3"/>
      </w:pPr>
      <w:r w:rsidRPr="00196462">
        <w:t>Estimate of costs</w:t>
      </w:r>
    </w:p>
    <w:p w:rsidR="0048417A" w:rsidRPr="00196462" w:rsidRDefault="0048417A" w:rsidP="00836B55">
      <w:r w:rsidRPr="00196462">
        <w:t xml:space="preserve">The costs of performing the three diagnostic tests under evaluation were derived from a number of sources. These include the MBS </w:t>
      </w:r>
      <w:r w:rsidRPr="00196462">
        <w:rPr>
          <w:noProof/>
        </w:rPr>
        <w:t>(Commonwealth of Australia 2011a)</w:t>
      </w:r>
      <w:r w:rsidRPr="00196462">
        <w:t xml:space="preserve">, the national hospital cost data collection AR-DRG version 5.1 round 13 (2008-09) – private sector </w:t>
      </w:r>
      <w:r w:rsidRPr="00196462">
        <w:rPr>
          <w:noProof/>
        </w:rPr>
        <w:t>(Commonwealth of Australia 2010)</w:t>
      </w:r>
      <w:r>
        <w:t xml:space="preserve">, </w:t>
      </w:r>
      <w:r w:rsidRPr="00196462">
        <w:t xml:space="preserve">the PBS </w:t>
      </w:r>
      <w:r w:rsidRPr="00196462">
        <w:rPr>
          <w:noProof/>
        </w:rPr>
        <w:t>(Commonwealth of Australia 2011b)</w:t>
      </w:r>
      <w:r w:rsidRPr="00196462">
        <w:t xml:space="preserve"> and expert advice. </w:t>
      </w:r>
    </w:p>
    <w:p w:rsidR="0048417A" w:rsidRPr="00196462" w:rsidRDefault="0048417A" w:rsidP="00836B55">
      <w:pPr>
        <w:pStyle w:val="Heading4"/>
      </w:pPr>
      <w:r w:rsidRPr="00196462">
        <w:lastRenderedPageBreak/>
        <w:t>MBS items</w:t>
      </w:r>
    </w:p>
    <w:p w:rsidR="0048417A" w:rsidRPr="00196462" w:rsidRDefault="0048417A" w:rsidP="00836B55">
      <w:r w:rsidRPr="00196462">
        <w:t xml:space="preserve">The MBS item fees for capsule endoscopy and CT/CTE, which represent the Australian Government contribution for each procedure, were obtained from MBS Online </w:t>
      </w:r>
      <w:r w:rsidRPr="00196462">
        <w:rPr>
          <w:noProof/>
        </w:rPr>
        <w:t>(Commonwealth of Australia 2011a)</w:t>
      </w:r>
      <w:r w:rsidRPr="00196462">
        <w:t xml:space="preserve">. The patient usually receives a reimbursement of 75 per cent of the schedule fee for inpatient services and 85 per cent for outpatient services. Consequently, the benefit amount and not the full MBS fee were used in the calculations that follow, as using the full fee would double count some of the </w:t>
      </w:r>
      <w:proofErr w:type="spellStart"/>
      <w:r w:rsidRPr="00196462">
        <w:t>copayment</w:t>
      </w:r>
      <w:proofErr w:type="spellEnd"/>
      <w:r w:rsidRPr="00196462">
        <w:t xml:space="preserve"> contribution.</w:t>
      </w:r>
    </w:p>
    <w:p w:rsidR="0048417A" w:rsidRPr="00196462" w:rsidRDefault="0048417A" w:rsidP="00836B55">
      <w:pPr>
        <w:pStyle w:val="Heading4"/>
      </w:pPr>
      <w:r w:rsidRPr="00196462">
        <w:t xml:space="preserve">Average </w:t>
      </w:r>
      <w:proofErr w:type="spellStart"/>
      <w:r w:rsidRPr="00196462">
        <w:t>copayments</w:t>
      </w:r>
      <w:proofErr w:type="spellEnd"/>
    </w:p>
    <w:p w:rsidR="0048417A" w:rsidRPr="00196462" w:rsidRDefault="0048417A" w:rsidP="00836B55">
      <w:r w:rsidRPr="00196462">
        <w:t xml:space="preserve">Average </w:t>
      </w:r>
      <w:proofErr w:type="spellStart"/>
      <w:r w:rsidRPr="00196462">
        <w:t>copayments</w:t>
      </w:r>
      <w:proofErr w:type="spellEnd"/>
      <w:r w:rsidRPr="00196462">
        <w:t xml:space="preserve"> for MBS items were provided by the Department of Health and Ageing. The </w:t>
      </w:r>
      <w:proofErr w:type="spellStart"/>
      <w:r w:rsidRPr="00196462">
        <w:t>copayment</w:t>
      </w:r>
      <w:proofErr w:type="spellEnd"/>
      <w:r w:rsidRPr="00196462">
        <w:t xml:space="preserve"> component is calculated as the fee charged minus the MBS benefit paid plus any additional specialist fees. The </w:t>
      </w:r>
      <w:proofErr w:type="spellStart"/>
      <w:r w:rsidRPr="00196462">
        <w:t>copayment</w:t>
      </w:r>
      <w:proofErr w:type="spellEnd"/>
      <w:r w:rsidRPr="00196462">
        <w:t xml:space="preserve"> may not be the exact patient contribution, since it may also include some insurance contribution (up to 25 per cent of the MBS fee). To avoid double counting, the 25 per cent insurance contribution is not included as a separate cost. The </w:t>
      </w:r>
      <w:proofErr w:type="spellStart"/>
      <w:r w:rsidRPr="00196462">
        <w:t>copayments</w:t>
      </w:r>
      <w:proofErr w:type="spellEnd"/>
      <w:r w:rsidRPr="00196462">
        <w:t xml:space="preserve"> are calculated as averages of all procedures claimed under the item number. Consequently, there may be a degree of heterogeneity in services claimed under each item. Therefore the accuracy of the </w:t>
      </w:r>
      <w:proofErr w:type="spellStart"/>
      <w:r w:rsidRPr="00196462">
        <w:t>copayment</w:t>
      </w:r>
      <w:proofErr w:type="spellEnd"/>
      <w:r w:rsidRPr="00196462">
        <w:t xml:space="preserve"> is dependent on the other procedures that are also claimed under the same item number.</w:t>
      </w:r>
    </w:p>
    <w:p w:rsidR="0048417A" w:rsidRDefault="0048417A" w:rsidP="00836B55">
      <w:r w:rsidRPr="00196462">
        <w:t xml:space="preserve">The average </w:t>
      </w:r>
      <w:proofErr w:type="spellStart"/>
      <w:r w:rsidRPr="00196462">
        <w:t>copayments</w:t>
      </w:r>
      <w:proofErr w:type="spellEnd"/>
      <w:r w:rsidRPr="00196462">
        <w:t xml:space="preserve"> for PBS items were estimated from the maximum price patients are likely to be charged by a pharmacist, which was obtained from the PBS. Given that </w:t>
      </w:r>
      <w:proofErr w:type="spellStart"/>
      <w:r w:rsidRPr="00196462">
        <w:t>copayments</w:t>
      </w:r>
      <w:proofErr w:type="spellEnd"/>
      <w:r w:rsidRPr="00196462">
        <w:t xml:space="preserve"> for PBS items vary depending on both the item and the patient category (</w:t>
      </w:r>
      <w:proofErr w:type="spellStart"/>
      <w:r w:rsidRPr="00196462">
        <w:t>ie</w:t>
      </w:r>
      <w:proofErr w:type="spellEnd"/>
      <w:r w:rsidRPr="00196462">
        <w:t xml:space="preserve"> ordinary general beneficiaries, safety net general beneficiaries , ordinary concessional and free safety net concessional ), the estimation of the average </w:t>
      </w:r>
      <w:proofErr w:type="spellStart"/>
      <w:r w:rsidRPr="00196462">
        <w:t>copayments</w:t>
      </w:r>
      <w:proofErr w:type="spellEnd"/>
      <w:r w:rsidRPr="00196462">
        <w:t xml:space="preserve"> was also based on an assumption about the distribution across these patient categories of patients with Crohn’s disease (see notes to </w:t>
      </w:r>
      <w:r w:rsidR="00AE591B">
        <w:fldChar w:fldCharType="begin"/>
      </w:r>
      <w:r w:rsidR="00AE591B">
        <w:instrText xml:space="preserve"> REF _Ref289775450 \h  \* MERGEFORMAT </w:instrText>
      </w:r>
      <w:r w:rsidR="00AE591B">
        <w:fldChar w:fldCharType="separate"/>
      </w:r>
      <w:r w:rsidRPr="00196462">
        <w:t xml:space="preserve">Table </w:t>
      </w:r>
      <w:r>
        <w:rPr>
          <w:noProof/>
        </w:rPr>
        <w:t>26</w:t>
      </w:r>
      <w:r w:rsidR="00AE591B">
        <w:fldChar w:fldCharType="end"/>
      </w:r>
      <w:r w:rsidRPr="00196462">
        <w:t>).</w:t>
      </w:r>
    </w:p>
    <w:p w:rsidR="0048417A" w:rsidRPr="004D57B3" w:rsidRDefault="0048417A" w:rsidP="00836B55">
      <w:pPr>
        <w:pStyle w:val="Heading4"/>
      </w:pPr>
      <w:r w:rsidRPr="004D57B3">
        <w:t>The cost of capsule endoscopy</w:t>
      </w:r>
    </w:p>
    <w:p w:rsidR="0048417A" w:rsidRPr="00196462" w:rsidRDefault="0048417A" w:rsidP="00836B55">
      <w:pPr>
        <w:rPr>
          <w:szCs w:val="24"/>
        </w:rPr>
      </w:pPr>
      <w:r w:rsidRPr="00196462">
        <w:t>The current MBS fee for capsule endoscopy (performed for MBS items 11820 and 11823) is $1,961.95.</w:t>
      </w:r>
      <w:r w:rsidRPr="00196462">
        <w:rPr>
          <w:szCs w:val="24"/>
        </w:rPr>
        <w:t xml:space="preserve">The listed 85% reimbursement fee for capsule endoscopy is $1890.75. </w:t>
      </w:r>
    </w:p>
    <w:p w:rsidR="0048417A" w:rsidRPr="00196462" w:rsidRDefault="0048417A" w:rsidP="00836B55">
      <w:pPr>
        <w:rPr>
          <w:b/>
          <w:szCs w:val="24"/>
        </w:rPr>
      </w:pPr>
      <w:r w:rsidRPr="00196462">
        <w:rPr>
          <w:szCs w:val="24"/>
        </w:rPr>
        <w:t xml:space="preserve">The average </w:t>
      </w:r>
      <w:proofErr w:type="spellStart"/>
      <w:r w:rsidRPr="00196462">
        <w:rPr>
          <w:szCs w:val="24"/>
        </w:rPr>
        <w:t>copayment</w:t>
      </w:r>
      <w:proofErr w:type="spellEnd"/>
      <w:r w:rsidRPr="00196462">
        <w:rPr>
          <w:szCs w:val="24"/>
        </w:rPr>
        <w:t xml:space="preserve"> for capsule endoscopy performed in an outpatient setting is $32.95, which is the </w:t>
      </w:r>
      <w:r w:rsidRPr="00196462">
        <w:rPr>
          <w:rFonts w:cs="Arial"/>
          <w:szCs w:val="24"/>
        </w:rPr>
        <w:t xml:space="preserve">average aggregated </w:t>
      </w:r>
      <w:proofErr w:type="spellStart"/>
      <w:r w:rsidRPr="00196462">
        <w:rPr>
          <w:rFonts w:cs="Arial"/>
          <w:szCs w:val="24"/>
        </w:rPr>
        <w:t>copayment</w:t>
      </w:r>
      <w:proofErr w:type="spellEnd"/>
      <w:r w:rsidRPr="00196462">
        <w:rPr>
          <w:rFonts w:cs="Arial"/>
          <w:szCs w:val="24"/>
        </w:rPr>
        <w:t xml:space="preserve"> for MBS items 11820 and 11823</w:t>
      </w:r>
      <w:r w:rsidRPr="00196462">
        <w:rPr>
          <w:szCs w:val="24"/>
        </w:rPr>
        <w:t xml:space="preserve"> based on their respective number of services. It is assumed in this report that all capsule endoscopies for the diagnosis of small bowel Crohn’s disease are performed in an outpatient setting.</w:t>
      </w:r>
    </w:p>
    <w:p w:rsidR="0048417A" w:rsidRPr="004D57B3" w:rsidRDefault="0048417A" w:rsidP="00836B55">
      <w:r>
        <w:t>C</w:t>
      </w:r>
      <w:r w:rsidRPr="00196462">
        <w:t>apsule endoscopy carries the risk of capsule retention, which may introduce additional costs to society. Based on expert advice, the following assumptions were made to estimate the cost of capsule retention (</w:t>
      </w:r>
      <w:r w:rsidR="00AE591B">
        <w:fldChar w:fldCharType="begin"/>
      </w:r>
      <w:r w:rsidR="00AE591B">
        <w:instrText xml:space="preserve"> REF _Ref289775450 \h  \* MERGEFORMAT </w:instrText>
      </w:r>
      <w:r w:rsidR="00AE591B">
        <w:fldChar w:fldCharType="separate"/>
      </w:r>
      <w:r w:rsidRPr="00196462">
        <w:t xml:space="preserve">Table </w:t>
      </w:r>
      <w:r>
        <w:rPr>
          <w:noProof/>
        </w:rPr>
        <w:t>26</w:t>
      </w:r>
      <w:r w:rsidR="00AE591B">
        <w:fldChar w:fldCharType="end"/>
      </w:r>
      <w:r w:rsidRPr="004D57B3">
        <w:t>):</w:t>
      </w:r>
    </w:p>
    <w:p w:rsidR="0048417A" w:rsidRPr="004D57B3" w:rsidRDefault="0048417A" w:rsidP="00836B55">
      <w:pPr>
        <w:pStyle w:val="Bullet"/>
        <w:rPr>
          <w:rFonts w:cs="Tahoma"/>
        </w:rPr>
      </w:pPr>
      <w:r w:rsidRPr="004D57B3">
        <w:rPr>
          <w:rFonts w:cs="Tahoma"/>
        </w:rPr>
        <w:t xml:space="preserve">The rate of capsule retention ranges between 0% and 15% across </w:t>
      </w:r>
      <w:r>
        <w:rPr>
          <w:rFonts w:cs="Tahoma"/>
        </w:rPr>
        <w:t>the studies identified in the systematic review</w:t>
      </w:r>
      <w:r w:rsidRPr="004D57B3">
        <w:rPr>
          <w:rFonts w:cs="Tahoma"/>
        </w:rPr>
        <w:t xml:space="preserve"> (see</w:t>
      </w:r>
      <w:r>
        <w:rPr>
          <w:rFonts w:cs="Tahoma"/>
        </w:rPr>
        <w:t xml:space="preserve"> </w:t>
      </w:r>
      <w:r>
        <w:rPr>
          <w:rFonts w:cs="Tahoma"/>
        </w:rPr>
        <w:fldChar w:fldCharType="begin"/>
      </w:r>
      <w:r>
        <w:rPr>
          <w:rFonts w:cs="Tahoma"/>
        </w:rPr>
        <w:instrText xml:space="preserve"> REF _Ref278294060 \h </w:instrText>
      </w:r>
      <w:r>
        <w:rPr>
          <w:rFonts w:cs="Tahoma"/>
        </w:rPr>
      </w:r>
      <w:r>
        <w:rPr>
          <w:rFonts w:cs="Tahoma"/>
        </w:rPr>
        <w:fldChar w:fldCharType="separate"/>
      </w:r>
      <w:r w:rsidRPr="004D57B3">
        <w:t xml:space="preserve">Table </w:t>
      </w:r>
      <w:r>
        <w:rPr>
          <w:noProof/>
        </w:rPr>
        <w:t>21</w:t>
      </w:r>
      <w:r>
        <w:rPr>
          <w:rFonts w:cs="Tahoma"/>
        </w:rPr>
        <w:fldChar w:fldCharType="end"/>
      </w:r>
      <w:r w:rsidRPr="004D57B3">
        <w:rPr>
          <w:rFonts w:cs="Tahoma"/>
        </w:rPr>
        <w:t xml:space="preserve">). </w:t>
      </w:r>
    </w:p>
    <w:p w:rsidR="0048417A" w:rsidRPr="004D57B3" w:rsidRDefault="0048417A" w:rsidP="00836B55">
      <w:pPr>
        <w:pStyle w:val="Bullet"/>
        <w:rPr>
          <w:rFonts w:cs="Tahoma"/>
        </w:rPr>
      </w:pPr>
      <w:r w:rsidRPr="004D57B3">
        <w:rPr>
          <w:rFonts w:cs="Tahoma"/>
        </w:rPr>
        <w:t xml:space="preserve">All patients with capsule retention are treated with corticosteroids (on average 25mg per day over a course of </w:t>
      </w:r>
      <w:r>
        <w:rPr>
          <w:rFonts w:cs="Tahoma"/>
        </w:rPr>
        <w:t>six</w:t>
      </w:r>
      <w:r w:rsidRPr="004D57B3">
        <w:rPr>
          <w:rFonts w:cs="Tahoma"/>
        </w:rPr>
        <w:t xml:space="preserve"> weeks).</w:t>
      </w:r>
    </w:p>
    <w:p w:rsidR="0048417A" w:rsidRPr="004D57B3" w:rsidRDefault="0048417A" w:rsidP="00836B55">
      <w:pPr>
        <w:pStyle w:val="Bullet"/>
        <w:rPr>
          <w:rFonts w:cs="Tahoma"/>
        </w:rPr>
      </w:pPr>
      <w:r w:rsidRPr="004D57B3">
        <w:lastRenderedPageBreak/>
        <w:t>In many patients the capsule will pass after medical therapy. However in the others, further intervention may be required for persistent capsule retention after medical therapy:</w:t>
      </w:r>
    </w:p>
    <w:p w:rsidR="0048417A" w:rsidRPr="004D57B3" w:rsidRDefault="0048417A" w:rsidP="00836B55">
      <w:pPr>
        <w:pStyle w:val="Bullet"/>
        <w:numPr>
          <w:ilvl w:val="0"/>
          <w:numId w:val="58"/>
        </w:numPr>
      </w:pPr>
      <w:r w:rsidRPr="004D57B3">
        <w:t xml:space="preserve">In up to 50% of these patients, double balloon </w:t>
      </w:r>
      <w:proofErr w:type="spellStart"/>
      <w:r w:rsidRPr="004D57B3">
        <w:t>enteroscopy</w:t>
      </w:r>
      <w:proofErr w:type="spellEnd"/>
      <w:r w:rsidRPr="004D57B3">
        <w:t xml:space="preserve"> via the oral or anal route is used (with extraction of the capsule and possibly balloon dilatation of a stricture).</w:t>
      </w:r>
    </w:p>
    <w:p w:rsidR="0048417A" w:rsidRPr="004D57B3" w:rsidRDefault="0048417A" w:rsidP="00836B55">
      <w:pPr>
        <w:pStyle w:val="Bullet"/>
        <w:numPr>
          <w:ilvl w:val="0"/>
          <w:numId w:val="58"/>
        </w:numPr>
      </w:pPr>
      <w:r w:rsidRPr="004D57B3">
        <w:rPr>
          <w:rFonts w:cs="Tahoma"/>
        </w:rPr>
        <w:t>In up to 50% of these patients, surgery is performed either:</w:t>
      </w:r>
    </w:p>
    <w:p w:rsidR="0048417A" w:rsidRPr="004D57B3" w:rsidRDefault="0048417A" w:rsidP="00836B55">
      <w:pPr>
        <w:pStyle w:val="Bullet"/>
        <w:numPr>
          <w:ilvl w:val="0"/>
          <w:numId w:val="59"/>
        </w:numPr>
      </w:pPr>
      <w:r w:rsidRPr="004D57B3">
        <w:rPr>
          <w:szCs w:val="14"/>
        </w:rPr>
        <w:t>p</w:t>
      </w:r>
      <w:r w:rsidRPr="004D57B3">
        <w:rPr>
          <w:rFonts w:cs="Tahoma"/>
        </w:rPr>
        <w:t>rimarily for Crohn</w:t>
      </w:r>
      <w:r w:rsidRPr="004D57B3">
        <w:rPr>
          <w:rFonts w:ascii="Arial Unicode MS" w:hAnsi="Arial Unicode MS" w:cs="Arial Unicode MS"/>
        </w:rPr>
        <w:t>’</w:t>
      </w:r>
      <w:r w:rsidRPr="004D57B3">
        <w:rPr>
          <w:rFonts w:cs="Tahoma"/>
        </w:rPr>
        <w:t>s disease where the capsule can be removed at that time</w:t>
      </w:r>
      <w:r>
        <w:rPr>
          <w:rFonts w:cs="Tahoma"/>
        </w:rPr>
        <w:t>, or</w:t>
      </w:r>
      <w:r w:rsidRPr="004D57B3">
        <w:rPr>
          <w:rFonts w:cs="Tahoma"/>
        </w:rPr>
        <w:t xml:space="preserve"> </w:t>
      </w:r>
    </w:p>
    <w:p w:rsidR="0048417A" w:rsidRPr="004D57B3" w:rsidRDefault="0048417A" w:rsidP="00836B55">
      <w:pPr>
        <w:pStyle w:val="Bullet"/>
        <w:numPr>
          <w:ilvl w:val="0"/>
          <w:numId w:val="59"/>
        </w:numPr>
      </w:pPr>
      <w:proofErr w:type="gramStart"/>
      <w:r w:rsidRPr="004D57B3">
        <w:rPr>
          <w:szCs w:val="14"/>
        </w:rPr>
        <w:t>i</w:t>
      </w:r>
      <w:r w:rsidRPr="004D57B3">
        <w:rPr>
          <w:rFonts w:cs="Tahoma"/>
        </w:rPr>
        <w:t>f</w:t>
      </w:r>
      <w:proofErr w:type="gramEnd"/>
      <w:r w:rsidRPr="004D57B3">
        <w:rPr>
          <w:rFonts w:cs="Tahoma"/>
        </w:rPr>
        <w:t xml:space="preserve"> the patient develops clinical obstruction or the capsule requires removal and cannot be retrieved by double balloon </w:t>
      </w:r>
      <w:proofErr w:type="spellStart"/>
      <w:r w:rsidRPr="004D57B3">
        <w:rPr>
          <w:rFonts w:cs="Tahoma"/>
        </w:rPr>
        <w:t>enteroscopy</w:t>
      </w:r>
      <w:proofErr w:type="spellEnd"/>
      <w:r w:rsidRPr="004D57B3">
        <w:rPr>
          <w:rFonts w:cs="Tahoma"/>
        </w:rPr>
        <w:t> (this is usually a bowel resection).</w:t>
      </w:r>
    </w:p>
    <w:p w:rsidR="0048417A" w:rsidRDefault="0048417A" w:rsidP="00836B55">
      <w:pPr>
        <w:pStyle w:val="Bullet"/>
        <w:numPr>
          <w:ilvl w:val="0"/>
          <w:numId w:val="0"/>
        </w:numPr>
        <w:ind w:left="1440"/>
        <w:rPr>
          <w:rFonts w:cs="Tahoma"/>
          <w:lang w:eastAsia="en-US"/>
        </w:rPr>
      </w:pPr>
      <w:r w:rsidRPr="00DC59A3">
        <w:rPr>
          <w:rFonts w:cs="Tahoma"/>
        </w:rPr>
        <w:t xml:space="preserve">Double balloon </w:t>
      </w:r>
      <w:proofErr w:type="spellStart"/>
      <w:r w:rsidRPr="00196462">
        <w:rPr>
          <w:rFonts w:cs="Tahoma"/>
        </w:rPr>
        <w:t>enteroscopy</w:t>
      </w:r>
      <w:proofErr w:type="spellEnd"/>
      <w:r w:rsidRPr="00196462">
        <w:rPr>
          <w:rFonts w:cs="Tahoma"/>
        </w:rPr>
        <w:t xml:space="preserve"> is an inpatient procedure</w:t>
      </w:r>
      <w:r w:rsidRPr="00DC59A3">
        <w:rPr>
          <w:rFonts w:cs="Tahoma"/>
        </w:rPr>
        <w:t xml:space="preserve"> and will involve </w:t>
      </w:r>
      <w:r w:rsidRPr="00DC59A3">
        <w:rPr>
          <w:rFonts w:cs="Tahoma"/>
          <w:lang w:eastAsia="en-US"/>
        </w:rPr>
        <w:t>costs for day hospital facility services.</w:t>
      </w:r>
    </w:p>
    <w:p w:rsidR="0048417A" w:rsidRDefault="0048417A" w:rsidP="00836B55">
      <w:pPr>
        <w:pStyle w:val="Bullet"/>
        <w:numPr>
          <w:ilvl w:val="0"/>
          <w:numId w:val="0"/>
        </w:numPr>
        <w:ind w:left="1440"/>
        <w:rPr>
          <w:rFonts w:cs="Tahoma"/>
          <w:lang w:eastAsia="en-US"/>
        </w:rPr>
        <w:sectPr w:rsidR="0048417A" w:rsidSect="00836B55">
          <w:footerReference w:type="even" r:id="rId33"/>
          <w:type w:val="oddPage"/>
          <w:pgSz w:w="11906" w:h="16838"/>
          <w:pgMar w:top="1440" w:right="1440" w:bottom="1440" w:left="1440" w:header="720" w:footer="720" w:gutter="0"/>
          <w:paperSrc w:first="7" w:other="7"/>
          <w:cols w:space="720"/>
          <w:docGrid w:linePitch="326"/>
        </w:sectPr>
      </w:pPr>
    </w:p>
    <w:p w:rsidR="0048417A" w:rsidRPr="00DC59A3" w:rsidRDefault="0048417A" w:rsidP="00836B55">
      <w:pPr>
        <w:pStyle w:val="Bullet"/>
        <w:numPr>
          <w:ilvl w:val="0"/>
          <w:numId w:val="0"/>
        </w:numPr>
        <w:ind w:left="1440"/>
        <w:rPr>
          <w:rFonts w:cs="Tahoma"/>
        </w:rPr>
      </w:pPr>
    </w:p>
    <w:p w:rsidR="0048417A" w:rsidRPr="00196462" w:rsidRDefault="0048417A" w:rsidP="00836B55">
      <w:pPr>
        <w:pStyle w:val="TableName"/>
        <w:ind w:left="1485" w:hanging="765"/>
        <w:rPr>
          <w:rFonts w:ascii="Arial" w:hAnsi="Arial" w:cs="Arial"/>
        </w:rPr>
      </w:pPr>
      <w:bookmarkStart w:id="204" w:name="_Ref289775450"/>
      <w:bookmarkStart w:id="205" w:name="_Ref283373451"/>
      <w:bookmarkStart w:id="206" w:name="_Toc283389513"/>
      <w:bookmarkStart w:id="207" w:name="_Toc286751732"/>
      <w:bookmarkStart w:id="208" w:name="_Toc291859588"/>
      <w:r w:rsidRPr="00196462">
        <w:t xml:space="preserve">Table </w:t>
      </w:r>
      <w:r w:rsidR="00AE591B">
        <w:fldChar w:fldCharType="begin"/>
      </w:r>
      <w:r w:rsidR="00AE591B">
        <w:instrText xml:space="preserve"> SEQ Table \* ARABIC </w:instrText>
      </w:r>
      <w:r w:rsidR="00AE591B">
        <w:fldChar w:fldCharType="separate"/>
      </w:r>
      <w:r>
        <w:rPr>
          <w:noProof/>
        </w:rPr>
        <w:t>26</w:t>
      </w:r>
      <w:r w:rsidR="00AE591B">
        <w:rPr>
          <w:noProof/>
        </w:rPr>
        <w:fldChar w:fldCharType="end"/>
      </w:r>
      <w:bookmarkEnd w:id="204"/>
      <w:r w:rsidRPr="00196462">
        <w:tab/>
        <w:t>Estimated cost of capsule retention</w:t>
      </w:r>
      <w:bookmarkEnd w:id="205"/>
      <w:bookmarkEnd w:id="206"/>
      <w:bookmarkEnd w:id="207"/>
      <w:bookmarkEnd w:id="2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850"/>
        <w:gridCol w:w="992"/>
        <w:gridCol w:w="850"/>
        <w:gridCol w:w="921"/>
        <w:gridCol w:w="995"/>
        <w:gridCol w:w="822"/>
        <w:gridCol w:w="1616"/>
        <w:gridCol w:w="1072"/>
        <w:gridCol w:w="1259"/>
        <w:gridCol w:w="1361"/>
        <w:gridCol w:w="1205"/>
        <w:gridCol w:w="1106"/>
      </w:tblGrid>
      <w:tr w:rsidR="0048417A" w:rsidRPr="00196462" w:rsidTr="00836B55">
        <w:trPr>
          <w:trHeight w:val="40"/>
        </w:trPr>
        <w:tc>
          <w:tcPr>
            <w:tcW w:w="397"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Cost component</w:t>
            </w:r>
          </w:p>
        </w:tc>
        <w:tc>
          <w:tcPr>
            <w:tcW w:w="30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PBS item #</w:t>
            </w:r>
          </w:p>
        </w:tc>
        <w:tc>
          <w:tcPr>
            <w:tcW w:w="35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 xml:space="preserve">Dispensed price for max. </w:t>
            </w:r>
            <w:proofErr w:type="spellStart"/>
            <w:r w:rsidRPr="00196462">
              <w:rPr>
                <w:sz w:val="16"/>
                <w:szCs w:val="16"/>
              </w:rPr>
              <w:t>qty</w:t>
            </w:r>
            <w:proofErr w:type="spellEnd"/>
          </w:p>
        </w:tc>
        <w:tc>
          <w:tcPr>
            <w:tcW w:w="30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 xml:space="preserve">Max </w:t>
            </w:r>
            <w:proofErr w:type="spellStart"/>
            <w:r w:rsidRPr="00196462">
              <w:rPr>
                <w:sz w:val="16"/>
                <w:szCs w:val="16"/>
              </w:rPr>
              <w:t>qty</w:t>
            </w:r>
            <w:proofErr w:type="spellEnd"/>
            <w:r w:rsidRPr="00196462">
              <w:rPr>
                <w:sz w:val="16"/>
                <w:szCs w:val="16"/>
              </w:rPr>
              <w:t xml:space="preserve"> &amp; pack size</w:t>
            </w:r>
          </w:p>
        </w:tc>
        <w:tc>
          <w:tcPr>
            <w:tcW w:w="325"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Max price to consumer</w:t>
            </w:r>
          </w:p>
        </w:tc>
        <w:tc>
          <w:tcPr>
            <w:tcW w:w="351"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Total tablets</w:t>
            </w:r>
          </w:p>
        </w:tc>
        <w:tc>
          <w:tcPr>
            <w:tcW w:w="29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Duration</w:t>
            </w:r>
          </w:p>
        </w:tc>
        <w:tc>
          <w:tcPr>
            <w:tcW w:w="57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Cost per patient</w:t>
            </w:r>
          </w:p>
        </w:tc>
        <w:tc>
          <w:tcPr>
            <w:tcW w:w="378"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 of patients</w:t>
            </w:r>
          </w:p>
        </w:tc>
        <w:tc>
          <w:tcPr>
            <w:tcW w:w="444"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Weighted cost per patient</w:t>
            </w:r>
          </w:p>
        </w:tc>
        <w:tc>
          <w:tcPr>
            <w:tcW w:w="48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Weighted average cost to Government</w:t>
            </w:r>
          </w:p>
        </w:tc>
        <w:tc>
          <w:tcPr>
            <w:tcW w:w="425"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 xml:space="preserve">Weighted average cost to patient </w:t>
            </w:r>
          </w:p>
        </w:tc>
        <w:tc>
          <w:tcPr>
            <w:tcW w:w="39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Source of estimate</w:t>
            </w:r>
          </w:p>
        </w:tc>
      </w:tr>
      <w:tr w:rsidR="0048417A" w:rsidRPr="00196462" w:rsidTr="00836B55">
        <w:trPr>
          <w:trHeight w:val="40"/>
        </w:trPr>
        <w:tc>
          <w:tcPr>
            <w:tcW w:w="2022" w:type="pct"/>
            <w:gridSpan w:val="6"/>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r w:rsidRPr="00196462">
              <w:rPr>
                <w:i/>
                <w:color w:val="000000"/>
                <w:sz w:val="16"/>
                <w:szCs w:val="16"/>
              </w:rPr>
              <w:t>Concession card holders or general beneficiaries who have exceeded the safety net threshold</w:t>
            </w:r>
          </w:p>
        </w:tc>
        <w:tc>
          <w:tcPr>
            <w:tcW w:w="290"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p>
        </w:tc>
        <w:tc>
          <w:tcPr>
            <w:tcW w:w="570"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p>
        </w:tc>
        <w:tc>
          <w:tcPr>
            <w:tcW w:w="378"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p>
        </w:tc>
        <w:tc>
          <w:tcPr>
            <w:tcW w:w="444"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c>
          <w:tcPr>
            <w:tcW w:w="480"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c>
          <w:tcPr>
            <w:tcW w:w="425"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c>
          <w:tcPr>
            <w:tcW w:w="390"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r>
      <w:tr w:rsidR="0048417A" w:rsidRPr="00196462" w:rsidTr="00836B55">
        <w:trPr>
          <w:trHeight w:val="40"/>
        </w:trPr>
        <w:tc>
          <w:tcPr>
            <w:tcW w:w="397" w:type="pct"/>
            <w:tcBorders>
              <w:top w:val="nil"/>
              <w:left w:val="nil"/>
              <w:bottom w:val="nil"/>
              <w:right w:val="nil"/>
            </w:tcBorders>
          </w:tcPr>
          <w:p w:rsidR="0048417A" w:rsidRPr="00196462" w:rsidRDefault="0048417A" w:rsidP="00836B55">
            <w:pPr>
              <w:pStyle w:val="TableText"/>
              <w:spacing w:before="0" w:after="0"/>
              <w:rPr>
                <w:color w:val="000000"/>
                <w:sz w:val="16"/>
                <w:szCs w:val="16"/>
              </w:rPr>
            </w:pPr>
            <w:r w:rsidRPr="00196462">
              <w:rPr>
                <w:color w:val="000000"/>
                <w:sz w:val="16"/>
                <w:szCs w:val="16"/>
              </w:rPr>
              <w:t>Prednisone</w:t>
            </w:r>
          </w:p>
          <w:p w:rsidR="0048417A" w:rsidRPr="00196462" w:rsidRDefault="0048417A" w:rsidP="00836B55">
            <w:pPr>
              <w:pStyle w:val="TableText"/>
              <w:spacing w:before="0" w:after="0"/>
              <w:rPr>
                <w:color w:val="000000"/>
                <w:sz w:val="16"/>
                <w:szCs w:val="16"/>
              </w:rPr>
            </w:pPr>
            <w:r w:rsidRPr="00196462">
              <w:rPr>
                <w:color w:val="000000"/>
                <w:sz w:val="16"/>
                <w:szCs w:val="16"/>
              </w:rPr>
              <w:t>25 mg</w:t>
            </w:r>
          </w:p>
          <w:p w:rsidR="0048417A" w:rsidRPr="00196462" w:rsidRDefault="0048417A" w:rsidP="00836B55">
            <w:pPr>
              <w:pStyle w:val="TableText"/>
              <w:spacing w:before="0" w:after="0"/>
              <w:rPr>
                <w:color w:val="000000"/>
                <w:sz w:val="16"/>
                <w:szCs w:val="16"/>
              </w:rPr>
            </w:pPr>
          </w:p>
        </w:tc>
        <w:tc>
          <w:tcPr>
            <w:tcW w:w="30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1936X</w:t>
            </w:r>
          </w:p>
        </w:tc>
        <w:tc>
          <w:tcPr>
            <w:tcW w:w="35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$11.41</w:t>
            </w:r>
          </w:p>
        </w:tc>
        <w:tc>
          <w:tcPr>
            <w:tcW w:w="30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30</w:t>
            </w:r>
          </w:p>
        </w:tc>
        <w:tc>
          <w:tcPr>
            <w:tcW w:w="325"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$5.60</w:t>
            </w:r>
          </w:p>
        </w:tc>
        <w:tc>
          <w:tcPr>
            <w:tcW w:w="351"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42</w:t>
            </w:r>
          </w:p>
        </w:tc>
        <w:tc>
          <w:tcPr>
            <w:tcW w:w="29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6 weeks</w:t>
            </w:r>
          </w:p>
        </w:tc>
        <w:tc>
          <w:tcPr>
            <w:tcW w:w="57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$22.82</w:t>
            </w:r>
            <w:r w:rsidRPr="00196462">
              <w:rPr>
                <w:sz w:val="16"/>
                <w:szCs w:val="16"/>
                <w:vertAlign w:val="superscript"/>
              </w:rPr>
              <w:t>1</w:t>
            </w:r>
          </w:p>
        </w:tc>
        <w:tc>
          <w:tcPr>
            <w:tcW w:w="378"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50%</w:t>
            </w:r>
          </w:p>
        </w:tc>
        <w:tc>
          <w:tcPr>
            <w:tcW w:w="444"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$11.41</w:t>
            </w:r>
            <w:r w:rsidRPr="00196462">
              <w:rPr>
                <w:rFonts w:ascii="Arial Narrow" w:hAnsi="Arial Narrow" w:cs="Arial"/>
                <w:sz w:val="16"/>
                <w:szCs w:val="16"/>
                <w:vertAlign w:val="superscript"/>
              </w:rPr>
              <w:t>2</w:t>
            </w:r>
          </w:p>
        </w:tc>
        <w:tc>
          <w:tcPr>
            <w:tcW w:w="480"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$5.81</w:t>
            </w:r>
            <w:r w:rsidRPr="00196462">
              <w:rPr>
                <w:rFonts w:ascii="Arial Narrow" w:hAnsi="Arial Narrow" w:cs="Arial"/>
                <w:sz w:val="16"/>
                <w:szCs w:val="16"/>
                <w:vertAlign w:val="superscript"/>
              </w:rPr>
              <w:t>3</w:t>
            </w:r>
          </w:p>
        </w:tc>
        <w:tc>
          <w:tcPr>
            <w:tcW w:w="425"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$5.60</w:t>
            </w:r>
            <w:r w:rsidRPr="00196462">
              <w:rPr>
                <w:rFonts w:ascii="Arial Narrow" w:hAnsi="Arial Narrow" w:cs="Arial"/>
                <w:sz w:val="16"/>
                <w:szCs w:val="16"/>
                <w:vertAlign w:val="superscript"/>
              </w:rPr>
              <w:t>3</w:t>
            </w:r>
          </w:p>
        </w:tc>
        <w:tc>
          <w:tcPr>
            <w:tcW w:w="390"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PBS</w:t>
            </w:r>
          </w:p>
        </w:tc>
      </w:tr>
      <w:tr w:rsidR="0048417A" w:rsidRPr="00196462" w:rsidTr="00836B55">
        <w:trPr>
          <w:trHeight w:val="40"/>
        </w:trPr>
        <w:tc>
          <w:tcPr>
            <w:tcW w:w="2022" w:type="pct"/>
            <w:gridSpan w:val="6"/>
            <w:tcBorders>
              <w:top w:val="nil"/>
              <w:left w:val="nil"/>
              <w:bottom w:val="nil"/>
              <w:right w:val="nil"/>
            </w:tcBorders>
          </w:tcPr>
          <w:p w:rsidR="0048417A" w:rsidRPr="00196462" w:rsidRDefault="0048417A" w:rsidP="00836B55">
            <w:pPr>
              <w:pStyle w:val="TableText"/>
              <w:spacing w:before="0" w:after="0"/>
              <w:rPr>
                <w:sz w:val="16"/>
                <w:szCs w:val="16"/>
              </w:rPr>
            </w:pPr>
            <w:r w:rsidRPr="00196462">
              <w:rPr>
                <w:i/>
                <w:color w:val="000000"/>
                <w:sz w:val="16"/>
                <w:szCs w:val="16"/>
              </w:rPr>
              <w:t>General beneficiaries</w:t>
            </w:r>
          </w:p>
        </w:tc>
        <w:tc>
          <w:tcPr>
            <w:tcW w:w="290" w:type="pct"/>
            <w:tcBorders>
              <w:top w:val="nil"/>
              <w:left w:val="nil"/>
              <w:bottom w:val="nil"/>
              <w:right w:val="nil"/>
            </w:tcBorders>
          </w:tcPr>
          <w:p w:rsidR="0048417A" w:rsidRPr="00196462" w:rsidRDefault="0048417A" w:rsidP="00836B55">
            <w:pPr>
              <w:pStyle w:val="TableText"/>
              <w:spacing w:before="0" w:after="0"/>
              <w:rPr>
                <w:sz w:val="16"/>
                <w:szCs w:val="16"/>
              </w:rPr>
            </w:pPr>
          </w:p>
        </w:tc>
        <w:tc>
          <w:tcPr>
            <w:tcW w:w="570" w:type="pct"/>
            <w:tcBorders>
              <w:top w:val="nil"/>
              <w:left w:val="nil"/>
              <w:bottom w:val="nil"/>
              <w:right w:val="nil"/>
            </w:tcBorders>
          </w:tcPr>
          <w:p w:rsidR="0048417A" w:rsidRPr="00196462" w:rsidRDefault="0048417A" w:rsidP="00836B55">
            <w:pPr>
              <w:pStyle w:val="TableText"/>
              <w:spacing w:before="0" w:after="0"/>
              <w:rPr>
                <w:sz w:val="16"/>
                <w:szCs w:val="16"/>
              </w:rPr>
            </w:pPr>
          </w:p>
        </w:tc>
        <w:tc>
          <w:tcPr>
            <w:tcW w:w="378" w:type="pct"/>
            <w:tcBorders>
              <w:top w:val="nil"/>
              <w:left w:val="nil"/>
              <w:bottom w:val="nil"/>
              <w:right w:val="nil"/>
            </w:tcBorders>
          </w:tcPr>
          <w:p w:rsidR="0048417A" w:rsidRPr="00196462" w:rsidRDefault="0048417A" w:rsidP="00836B55">
            <w:pPr>
              <w:pStyle w:val="TableText"/>
              <w:spacing w:before="0" w:after="0"/>
              <w:rPr>
                <w:sz w:val="16"/>
                <w:szCs w:val="16"/>
              </w:rPr>
            </w:pPr>
          </w:p>
        </w:tc>
        <w:tc>
          <w:tcPr>
            <w:tcW w:w="444"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c>
          <w:tcPr>
            <w:tcW w:w="480"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c>
          <w:tcPr>
            <w:tcW w:w="425"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c>
          <w:tcPr>
            <w:tcW w:w="390"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p>
        </w:tc>
      </w:tr>
      <w:tr w:rsidR="0048417A" w:rsidRPr="00196462" w:rsidTr="00836B55">
        <w:trPr>
          <w:trHeight w:val="40"/>
        </w:trPr>
        <w:tc>
          <w:tcPr>
            <w:tcW w:w="397" w:type="pct"/>
            <w:tcBorders>
              <w:top w:val="nil"/>
              <w:left w:val="nil"/>
              <w:bottom w:val="nil"/>
              <w:right w:val="nil"/>
            </w:tcBorders>
          </w:tcPr>
          <w:p w:rsidR="0048417A" w:rsidRPr="00196462" w:rsidRDefault="0048417A" w:rsidP="00836B55">
            <w:pPr>
              <w:pStyle w:val="TableText"/>
              <w:spacing w:before="0" w:after="0"/>
              <w:rPr>
                <w:color w:val="000000"/>
                <w:sz w:val="16"/>
                <w:szCs w:val="16"/>
              </w:rPr>
            </w:pPr>
            <w:r w:rsidRPr="00196462">
              <w:rPr>
                <w:color w:val="000000"/>
                <w:sz w:val="16"/>
                <w:szCs w:val="16"/>
              </w:rPr>
              <w:t>Prednisone</w:t>
            </w:r>
          </w:p>
          <w:p w:rsidR="0048417A" w:rsidRPr="00196462" w:rsidRDefault="0048417A" w:rsidP="00836B55">
            <w:pPr>
              <w:pStyle w:val="TableText"/>
              <w:spacing w:before="0" w:after="0"/>
              <w:rPr>
                <w:color w:val="000000"/>
                <w:sz w:val="16"/>
                <w:szCs w:val="16"/>
              </w:rPr>
            </w:pPr>
            <w:r w:rsidRPr="00196462">
              <w:rPr>
                <w:color w:val="000000"/>
                <w:sz w:val="16"/>
                <w:szCs w:val="16"/>
              </w:rPr>
              <w:t>25 mg</w:t>
            </w:r>
          </w:p>
          <w:p w:rsidR="0048417A" w:rsidRPr="00196462" w:rsidRDefault="0048417A" w:rsidP="00836B55">
            <w:pPr>
              <w:pStyle w:val="TableText"/>
              <w:spacing w:before="0" w:after="0"/>
              <w:rPr>
                <w:i/>
                <w:color w:val="000000"/>
                <w:sz w:val="16"/>
                <w:szCs w:val="16"/>
              </w:rPr>
            </w:pPr>
          </w:p>
        </w:tc>
        <w:tc>
          <w:tcPr>
            <w:tcW w:w="30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1936X</w:t>
            </w:r>
          </w:p>
        </w:tc>
        <w:tc>
          <w:tcPr>
            <w:tcW w:w="35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$11.41</w:t>
            </w:r>
          </w:p>
        </w:tc>
        <w:tc>
          <w:tcPr>
            <w:tcW w:w="30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30</w:t>
            </w:r>
          </w:p>
        </w:tc>
        <w:tc>
          <w:tcPr>
            <w:tcW w:w="325"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$16.40</w:t>
            </w:r>
          </w:p>
        </w:tc>
        <w:tc>
          <w:tcPr>
            <w:tcW w:w="351"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42</w:t>
            </w:r>
          </w:p>
        </w:tc>
        <w:tc>
          <w:tcPr>
            <w:tcW w:w="29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6 weeks</w:t>
            </w:r>
          </w:p>
        </w:tc>
        <w:tc>
          <w:tcPr>
            <w:tcW w:w="57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$22.82</w:t>
            </w:r>
            <w:r w:rsidRPr="00196462">
              <w:rPr>
                <w:sz w:val="16"/>
                <w:szCs w:val="16"/>
                <w:vertAlign w:val="superscript"/>
              </w:rPr>
              <w:t>1</w:t>
            </w:r>
          </w:p>
        </w:tc>
        <w:tc>
          <w:tcPr>
            <w:tcW w:w="378"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50%</w:t>
            </w:r>
          </w:p>
        </w:tc>
        <w:tc>
          <w:tcPr>
            <w:tcW w:w="444"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$11.41</w:t>
            </w:r>
            <w:r w:rsidRPr="00196462">
              <w:rPr>
                <w:rFonts w:ascii="Arial Narrow" w:hAnsi="Arial Narrow" w:cs="Arial"/>
                <w:sz w:val="16"/>
                <w:szCs w:val="16"/>
                <w:vertAlign w:val="superscript"/>
              </w:rPr>
              <w:t>2</w:t>
            </w:r>
          </w:p>
        </w:tc>
        <w:tc>
          <w:tcPr>
            <w:tcW w:w="480"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$0</w:t>
            </w:r>
            <w:r w:rsidRPr="00196462">
              <w:rPr>
                <w:rFonts w:ascii="Arial Narrow" w:hAnsi="Arial Narrow" w:cs="Arial"/>
                <w:sz w:val="16"/>
                <w:szCs w:val="16"/>
                <w:vertAlign w:val="superscript"/>
              </w:rPr>
              <w:t>3</w:t>
            </w:r>
          </w:p>
        </w:tc>
        <w:tc>
          <w:tcPr>
            <w:tcW w:w="425"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$16.40</w:t>
            </w:r>
            <w:r w:rsidRPr="00196462">
              <w:rPr>
                <w:rFonts w:ascii="Arial Narrow" w:hAnsi="Arial Narrow" w:cs="Arial"/>
                <w:sz w:val="16"/>
                <w:szCs w:val="16"/>
                <w:vertAlign w:val="superscript"/>
              </w:rPr>
              <w:t>3</w:t>
            </w:r>
          </w:p>
        </w:tc>
        <w:tc>
          <w:tcPr>
            <w:tcW w:w="390"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PBS</w:t>
            </w:r>
          </w:p>
        </w:tc>
      </w:tr>
      <w:tr w:rsidR="0048417A" w:rsidRPr="00196462" w:rsidTr="00836B55">
        <w:trPr>
          <w:trHeight w:val="40"/>
        </w:trPr>
        <w:tc>
          <w:tcPr>
            <w:tcW w:w="1047" w:type="pct"/>
            <w:gridSpan w:val="3"/>
            <w:tcBorders>
              <w:top w:val="nil"/>
              <w:left w:val="nil"/>
              <w:right w:val="nil"/>
            </w:tcBorders>
          </w:tcPr>
          <w:p w:rsidR="0048417A" w:rsidRPr="00196462" w:rsidRDefault="0048417A" w:rsidP="00836B55">
            <w:pPr>
              <w:pStyle w:val="TableText"/>
              <w:spacing w:before="0" w:after="0"/>
              <w:rPr>
                <w:sz w:val="16"/>
                <w:szCs w:val="16"/>
              </w:rPr>
            </w:pPr>
          </w:p>
        </w:tc>
        <w:tc>
          <w:tcPr>
            <w:tcW w:w="300" w:type="pct"/>
            <w:tcBorders>
              <w:top w:val="nil"/>
              <w:left w:val="nil"/>
              <w:right w:val="nil"/>
            </w:tcBorders>
          </w:tcPr>
          <w:p w:rsidR="0048417A" w:rsidRPr="00196462" w:rsidRDefault="0048417A" w:rsidP="00836B55">
            <w:pPr>
              <w:pStyle w:val="TableText"/>
              <w:spacing w:before="0" w:after="0"/>
              <w:rPr>
                <w:sz w:val="16"/>
                <w:szCs w:val="16"/>
              </w:rPr>
            </w:pPr>
          </w:p>
        </w:tc>
        <w:tc>
          <w:tcPr>
            <w:tcW w:w="325" w:type="pct"/>
            <w:tcBorders>
              <w:top w:val="nil"/>
              <w:left w:val="nil"/>
              <w:right w:val="nil"/>
            </w:tcBorders>
          </w:tcPr>
          <w:p w:rsidR="0048417A" w:rsidRPr="00196462" w:rsidRDefault="0048417A" w:rsidP="00836B55">
            <w:pPr>
              <w:pStyle w:val="TableText"/>
              <w:spacing w:before="0" w:after="0"/>
              <w:rPr>
                <w:sz w:val="16"/>
                <w:szCs w:val="16"/>
              </w:rPr>
            </w:pPr>
          </w:p>
        </w:tc>
        <w:tc>
          <w:tcPr>
            <w:tcW w:w="351" w:type="pct"/>
            <w:tcBorders>
              <w:top w:val="nil"/>
              <w:left w:val="nil"/>
              <w:right w:val="nil"/>
            </w:tcBorders>
          </w:tcPr>
          <w:p w:rsidR="0048417A" w:rsidRPr="00196462" w:rsidRDefault="0048417A" w:rsidP="00836B55">
            <w:pPr>
              <w:pStyle w:val="TableText"/>
              <w:spacing w:before="0" w:after="0"/>
              <w:rPr>
                <w:sz w:val="16"/>
                <w:szCs w:val="16"/>
              </w:rPr>
            </w:pPr>
          </w:p>
        </w:tc>
        <w:tc>
          <w:tcPr>
            <w:tcW w:w="290" w:type="pct"/>
            <w:tcBorders>
              <w:top w:val="nil"/>
              <w:left w:val="nil"/>
              <w:right w:val="nil"/>
            </w:tcBorders>
          </w:tcPr>
          <w:p w:rsidR="0048417A" w:rsidRPr="00196462" w:rsidRDefault="0048417A" w:rsidP="00836B55">
            <w:pPr>
              <w:pStyle w:val="TableText"/>
              <w:spacing w:before="0" w:after="0"/>
              <w:rPr>
                <w:sz w:val="16"/>
                <w:szCs w:val="16"/>
              </w:rPr>
            </w:pPr>
          </w:p>
        </w:tc>
        <w:tc>
          <w:tcPr>
            <w:tcW w:w="570" w:type="pct"/>
            <w:tcBorders>
              <w:top w:val="nil"/>
              <w:left w:val="nil"/>
              <w:right w:val="nil"/>
            </w:tcBorders>
          </w:tcPr>
          <w:p w:rsidR="0048417A" w:rsidRPr="00196462" w:rsidRDefault="0048417A" w:rsidP="00836B55">
            <w:pPr>
              <w:pStyle w:val="TableText"/>
              <w:spacing w:before="0" w:after="0"/>
              <w:rPr>
                <w:sz w:val="16"/>
                <w:szCs w:val="16"/>
              </w:rPr>
            </w:pPr>
          </w:p>
        </w:tc>
        <w:tc>
          <w:tcPr>
            <w:tcW w:w="378" w:type="pct"/>
            <w:tcBorders>
              <w:top w:val="nil"/>
              <w:left w:val="nil"/>
              <w:right w:val="nil"/>
            </w:tcBorders>
          </w:tcPr>
          <w:p w:rsidR="0048417A" w:rsidRPr="00196462" w:rsidRDefault="0048417A" w:rsidP="00836B55">
            <w:pPr>
              <w:pStyle w:val="TableText"/>
              <w:spacing w:before="0" w:after="0"/>
              <w:rPr>
                <w:sz w:val="16"/>
                <w:szCs w:val="16"/>
              </w:rPr>
            </w:pPr>
          </w:p>
        </w:tc>
        <w:tc>
          <w:tcPr>
            <w:tcW w:w="444" w:type="pct"/>
            <w:tcBorders>
              <w:top w:val="nil"/>
              <w:left w:val="nil"/>
              <w:right w:val="nil"/>
            </w:tcBorders>
          </w:tcPr>
          <w:p w:rsidR="0048417A" w:rsidRPr="00196462" w:rsidRDefault="0048417A" w:rsidP="00836B55">
            <w:pPr>
              <w:keepNext/>
              <w:spacing w:after="0"/>
              <w:ind w:left="84"/>
              <w:rPr>
                <w:rFonts w:ascii="Arial Narrow" w:hAnsi="Arial Narrow" w:cs="Arial"/>
                <w:sz w:val="16"/>
                <w:szCs w:val="16"/>
              </w:rPr>
            </w:pPr>
          </w:p>
        </w:tc>
        <w:tc>
          <w:tcPr>
            <w:tcW w:w="480" w:type="pct"/>
            <w:tcBorders>
              <w:top w:val="nil"/>
              <w:left w:val="nil"/>
              <w:right w:val="nil"/>
            </w:tcBorders>
          </w:tcPr>
          <w:p w:rsidR="0048417A" w:rsidRPr="00196462" w:rsidRDefault="0048417A" w:rsidP="00836B55">
            <w:pPr>
              <w:keepNext/>
              <w:spacing w:after="0"/>
              <w:ind w:left="84"/>
              <w:rPr>
                <w:rFonts w:ascii="Arial Narrow" w:hAnsi="Arial Narrow" w:cs="Arial"/>
                <w:sz w:val="16"/>
                <w:szCs w:val="16"/>
              </w:rPr>
            </w:pPr>
          </w:p>
        </w:tc>
        <w:tc>
          <w:tcPr>
            <w:tcW w:w="425" w:type="pct"/>
            <w:tcBorders>
              <w:top w:val="nil"/>
              <w:left w:val="nil"/>
              <w:right w:val="nil"/>
            </w:tcBorders>
          </w:tcPr>
          <w:p w:rsidR="0048417A" w:rsidRPr="00196462" w:rsidRDefault="0048417A" w:rsidP="00836B55">
            <w:pPr>
              <w:keepNext/>
              <w:spacing w:after="0"/>
              <w:ind w:left="84"/>
              <w:rPr>
                <w:rFonts w:ascii="Arial Narrow" w:hAnsi="Arial Narrow" w:cs="Arial"/>
                <w:sz w:val="16"/>
                <w:szCs w:val="16"/>
              </w:rPr>
            </w:pPr>
          </w:p>
        </w:tc>
        <w:tc>
          <w:tcPr>
            <w:tcW w:w="390" w:type="pct"/>
            <w:tcBorders>
              <w:top w:val="nil"/>
              <w:left w:val="nil"/>
              <w:right w:val="nil"/>
            </w:tcBorders>
          </w:tcPr>
          <w:p w:rsidR="0048417A" w:rsidRPr="00196462" w:rsidRDefault="0048417A" w:rsidP="00836B55">
            <w:pPr>
              <w:keepNext/>
              <w:spacing w:after="0"/>
              <w:ind w:left="84"/>
              <w:rPr>
                <w:rFonts w:ascii="Arial Narrow" w:hAnsi="Arial Narrow" w:cs="Arial"/>
                <w:sz w:val="16"/>
                <w:szCs w:val="16"/>
              </w:rPr>
            </w:pPr>
          </w:p>
        </w:tc>
      </w:tr>
      <w:tr w:rsidR="0048417A" w:rsidRPr="00196462" w:rsidTr="00836B55">
        <w:trPr>
          <w:trHeight w:val="40"/>
        </w:trPr>
        <w:tc>
          <w:tcPr>
            <w:tcW w:w="1671" w:type="pct"/>
            <w:gridSpan w:val="5"/>
            <w:tcBorders>
              <w:left w:val="nil"/>
              <w:bottom w:val="nil"/>
              <w:right w:val="nil"/>
            </w:tcBorders>
            <w:shd w:val="pct15" w:color="auto" w:fill="auto"/>
          </w:tcPr>
          <w:p w:rsidR="0048417A" w:rsidRPr="00196462" w:rsidRDefault="0048417A" w:rsidP="00836B55">
            <w:pPr>
              <w:pStyle w:val="TableText"/>
              <w:spacing w:before="0" w:after="0"/>
              <w:rPr>
                <w:sz w:val="16"/>
                <w:szCs w:val="16"/>
              </w:rPr>
            </w:pPr>
            <w:r w:rsidRPr="00196462">
              <w:rPr>
                <w:b/>
                <w:color w:val="000000"/>
                <w:sz w:val="16"/>
                <w:szCs w:val="16"/>
              </w:rPr>
              <w:t>Subtotal – Estimated average cost of Prednisone</w:t>
            </w:r>
          </w:p>
        </w:tc>
        <w:tc>
          <w:tcPr>
            <w:tcW w:w="351" w:type="pct"/>
            <w:tcBorders>
              <w:left w:val="nil"/>
              <w:bottom w:val="nil"/>
              <w:right w:val="nil"/>
            </w:tcBorders>
            <w:shd w:val="pct15" w:color="auto" w:fill="auto"/>
          </w:tcPr>
          <w:p w:rsidR="0048417A" w:rsidRPr="00196462" w:rsidRDefault="0048417A" w:rsidP="00836B55">
            <w:pPr>
              <w:pStyle w:val="TableText"/>
              <w:spacing w:before="0" w:after="0"/>
              <w:rPr>
                <w:sz w:val="16"/>
                <w:szCs w:val="16"/>
              </w:rPr>
            </w:pPr>
          </w:p>
        </w:tc>
        <w:tc>
          <w:tcPr>
            <w:tcW w:w="290" w:type="pct"/>
            <w:tcBorders>
              <w:left w:val="nil"/>
              <w:bottom w:val="nil"/>
              <w:right w:val="nil"/>
            </w:tcBorders>
            <w:shd w:val="pct15" w:color="auto" w:fill="auto"/>
          </w:tcPr>
          <w:p w:rsidR="0048417A" w:rsidRPr="00196462" w:rsidRDefault="0048417A" w:rsidP="00836B55">
            <w:pPr>
              <w:pStyle w:val="TableText"/>
              <w:spacing w:before="0" w:after="0"/>
              <w:rPr>
                <w:sz w:val="16"/>
                <w:szCs w:val="16"/>
              </w:rPr>
            </w:pPr>
          </w:p>
        </w:tc>
        <w:tc>
          <w:tcPr>
            <w:tcW w:w="570" w:type="pct"/>
            <w:tcBorders>
              <w:left w:val="nil"/>
              <w:bottom w:val="nil"/>
              <w:right w:val="nil"/>
            </w:tcBorders>
            <w:shd w:val="pct15" w:color="auto" w:fill="auto"/>
          </w:tcPr>
          <w:p w:rsidR="0048417A" w:rsidRPr="00196462" w:rsidRDefault="0048417A" w:rsidP="00836B55">
            <w:pPr>
              <w:pStyle w:val="TableText"/>
              <w:spacing w:before="0" w:after="0"/>
              <w:rPr>
                <w:sz w:val="16"/>
                <w:szCs w:val="16"/>
              </w:rPr>
            </w:pPr>
            <w:r w:rsidRPr="00196462">
              <w:rPr>
                <w:sz w:val="16"/>
                <w:szCs w:val="16"/>
              </w:rPr>
              <w:t>$22.82</w:t>
            </w:r>
            <w:r w:rsidRPr="00196462">
              <w:rPr>
                <w:sz w:val="16"/>
                <w:szCs w:val="16"/>
                <w:vertAlign w:val="superscript"/>
              </w:rPr>
              <w:t>1</w:t>
            </w:r>
          </w:p>
        </w:tc>
        <w:tc>
          <w:tcPr>
            <w:tcW w:w="378" w:type="pct"/>
            <w:tcBorders>
              <w:left w:val="nil"/>
              <w:bottom w:val="nil"/>
              <w:right w:val="nil"/>
            </w:tcBorders>
            <w:shd w:val="pct15" w:color="auto" w:fill="auto"/>
          </w:tcPr>
          <w:p w:rsidR="0048417A" w:rsidRPr="00196462" w:rsidRDefault="0048417A" w:rsidP="00836B55">
            <w:pPr>
              <w:pStyle w:val="TableText"/>
              <w:spacing w:before="0" w:after="0"/>
              <w:rPr>
                <w:sz w:val="16"/>
                <w:szCs w:val="16"/>
              </w:rPr>
            </w:pPr>
            <w:r w:rsidRPr="00196462">
              <w:rPr>
                <w:sz w:val="16"/>
                <w:szCs w:val="16"/>
              </w:rPr>
              <w:t>100%</w:t>
            </w:r>
          </w:p>
        </w:tc>
        <w:tc>
          <w:tcPr>
            <w:tcW w:w="444" w:type="pct"/>
            <w:tcBorders>
              <w:left w:val="nil"/>
              <w:bottom w:val="nil"/>
              <w:right w:val="nil"/>
            </w:tcBorders>
            <w:shd w:val="pct15" w:color="auto" w:fill="auto"/>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$22.82</w:t>
            </w:r>
            <w:r w:rsidRPr="00196462">
              <w:rPr>
                <w:rFonts w:ascii="Arial Narrow" w:hAnsi="Arial Narrow" w:cs="Arial"/>
                <w:sz w:val="16"/>
                <w:szCs w:val="16"/>
                <w:vertAlign w:val="superscript"/>
              </w:rPr>
              <w:t>2</w:t>
            </w:r>
          </w:p>
        </w:tc>
        <w:tc>
          <w:tcPr>
            <w:tcW w:w="480" w:type="pct"/>
            <w:tcBorders>
              <w:left w:val="nil"/>
              <w:bottom w:val="nil"/>
              <w:right w:val="nil"/>
            </w:tcBorders>
            <w:shd w:val="pct15" w:color="auto" w:fill="auto"/>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$5.81</w:t>
            </w:r>
            <w:r w:rsidRPr="00196462">
              <w:rPr>
                <w:rFonts w:ascii="Arial Narrow" w:hAnsi="Arial Narrow" w:cs="Arial"/>
                <w:sz w:val="16"/>
                <w:szCs w:val="16"/>
                <w:vertAlign w:val="superscript"/>
              </w:rPr>
              <w:t>3</w:t>
            </w:r>
          </w:p>
        </w:tc>
        <w:tc>
          <w:tcPr>
            <w:tcW w:w="425" w:type="pct"/>
            <w:tcBorders>
              <w:left w:val="nil"/>
              <w:bottom w:val="nil"/>
              <w:right w:val="nil"/>
            </w:tcBorders>
            <w:shd w:val="pct15" w:color="auto" w:fill="auto"/>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$22.00</w:t>
            </w:r>
            <w:r w:rsidRPr="00196462">
              <w:rPr>
                <w:rFonts w:ascii="Arial Narrow" w:hAnsi="Arial Narrow" w:cs="Arial"/>
                <w:sz w:val="16"/>
                <w:szCs w:val="16"/>
                <w:vertAlign w:val="superscript"/>
              </w:rPr>
              <w:t>3</w:t>
            </w:r>
          </w:p>
        </w:tc>
        <w:tc>
          <w:tcPr>
            <w:tcW w:w="390" w:type="pct"/>
            <w:tcBorders>
              <w:left w:val="nil"/>
              <w:bottom w:val="nil"/>
              <w:right w:val="nil"/>
            </w:tcBorders>
            <w:shd w:val="pct15" w:color="auto" w:fill="auto"/>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PBS</w:t>
            </w:r>
          </w:p>
        </w:tc>
      </w:tr>
      <w:tr w:rsidR="0048417A" w:rsidRPr="00196462" w:rsidTr="00836B55">
        <w:trPr>
          <w:trHeight w:val="40"/>
        </w:trPr>
        <w:tc>
          <w:tcPr>
            <w:tcW w:w="397"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Cost component</w:t>
            </w:r>
          </w:p>
        </w:tc>
        <w:tc>
          <w:tcPr>
            <w:tcW w:w="30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MBS item #</w:t>
            </w:r>
          </w:p>
        </w:tc>
        <w:tc>
          <w:tcPr>
            <w:tcW w:w="35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MBS fee/ DRG cost</w:t>
            </w:r>
          </w:p>
        </w:tc>
        <w:tc>
          <w:tcPr>
            <w:tcW w:w="30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ALOS*</w:t>
            </w:r>
          </w:p>
        </w:tc>
        <w:tc>
          <w:tcPr>
            <w:tcW w:w="325"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Cost to MBS</w:t>
            </w:r>
          </w:p>
        </w:tc>
        <w:tc>
          <w:tcPr>
            <w:tcW w:w="351"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 xml:space="preserve">Patient </w:t>
            </w:r>
            <w:proofErr w:type="spellStart"/>
            <w:r w:rsidRPr="00196462">
              <w:rPr>
                <w:sz w:val="16"/>
                <w:szCs w:val="16"/>
              </w:rPr>
              <w:t>copayment</w:t>
            </w:r>
            <w:proofErr w:type="spellEnd"/>
          </w:p>
        </w:tc>
        <w:tc>
          <w:tcPr>
            <w:tcW w:w="29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Duration</w:t>
            </w:r>
          </w:p>
        </w:tc>
        <w:tc>
          <w:tcPr>
            <w:tcW w:w="57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Cost per patient</w:t>
            </w:r>
          </w:p>
        </w:tc>
        <w:tc>
          <w:tcPr>
            <w:tcW w:w="378"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 of patients</w:t>
            </w:r>
          </w:p>
        </w:tc>
        <w:tc>
          <w:tcPr>
            <w:tcW w:w="444"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rFonts w:cs="Arial"/>
                <w:sz w:val="16"/>
                <w:szCs w:val="16"/>
              </w:rPr>
            </w:pPr>
            <w:r w:rsidRPr="00196462">
              <w:rPr>
                <w:sz w:val="16"/>
                <w:szCs w:val="16"/>
              </w:rPr>
              <w:t>Weighted cost per patient</w:t>
            </w:r>
          </w:p>
        </w:tc>
        <w:tc>
          <w:tcPr>
            <w:tcW w:w="48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Weighted cost to Government</w:t>
            </w:r>
          </w:p>
        </w:tc>
        <w:tc>
          <w:tcPr>
            <w:tcW w:w="425"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r w:rsidRPr="00196462">
              <w:rPr>
                <w:sz w:val="16"/>
                <w:szCs w:val="16"/>
              </w:rPr>
              <w:t xml:space="preserve">Weighted patient </w:t>
            </w:r>
            <w:proofErr w:type="spellStart"/>
            <w:r w:rsidRPr="00196462">
              <w:rPr>
                <w:sz w:val="16"/>
                <w:szCs w:val="16"/>
              </w:rPr>
              <w:t>copayment</w:t>
            </w:r>
            <w:proofErr w:type="spellEnd"/>
          </w:p>
        </w:tc>
        <w:tc>
          <w:tcPr>
            <w:tcW w:w="390" w:type="pct"/>
            <w:tcBorders>
              <w:top w:val="single" w:sz="4" w:space="0" w:color="000000"/>
              <w:left w:val="nil"/>
              <w:bottom w:val="single" w:sz="4" w:space="0" w:color="000000"/>
              <w:right w:val="nil"/>
            </w:tcBorders>
            <w:shd w:val="clear" w:color="auto" w:fill="D9D9D9"/>
          </w:tcPr>
          <w:p w:rsidR="0048417A" w:rsidRPr="00196462" w:rsidRDefault="0048417A" w:rsidP="00836B55">
            <w:pPr>
              <w:pStyle w:val="TableHeading"/>
              <w:spacing w:before="0" w:after="0"/>
              <w:rPr>
                <w:sz w:val="16"/>
                <w:szCs w:val="16"/>
              </w:rPr>
            </w:pPr>
          </w:p>
        </w:tc>
      </w:tr>
      <w:tr w:rsidR="0048417A" w:rsidRPr="00196462" w:rsidTr="00836B55">
        <w:trPr>
          <w:trHeight w:val="40"/>
        </w:trPr>
        <w:tc>
          <w:tcPr>
            <w:tcW w:w="397"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 xml:space="preserve">Double balloon </w:t>
            </w:r>
            <w:proofErr w:type="spellStart"/>
            <w:r w:rsidRPr="00196462">
              <w:rPr>
                <w:sz w:val="16"/>
                <w:szCs w:val="16"/>
              </w:rPr>
              <w:t>enteroscopy</w:t>
            </w:r>
            <w:proofErr w:type="spellEnd"/>
            <w:r w:rsidRPr="00196462">
              <w:rPr>
                <w:sz w:val="16"/>
                <w:szCs w:val="16"/>
              </w:rPr>
              <w:t xml:space="preserve"> (DBE)</w:t>
            </w:r>
          </w:p>
          <w:p w:rsidR="0048417A" w:rsidRPr="00196462" w:rsidRDefault="0048417A" w:rsidP="00836B55">
            <w:pPr>
              <w:pStyle w:val="TableText"/>
              <w:spacing w:before="0" w:after="0"/>
              <w:rPr>
                <w:sz w:val="16"/>
                <w:szCs w:val="16"/>
              </w:rPr>
            </w:pPr>
          </w:p>
        </w:tc>
        <w:tc>
          <w:tcPr>
            <w:tcW w:w="300"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r w:rsidRPr="00196462">
              <w:rPr>
                <w:color w:val="000000"/>
                <w:sz w:val="16"/>
                <w:szCs w:val="16"/>
              </w:rPr>
              <w:t>30682</w:t>
            </w:r>
          </w:p>
        </w:tc>
        <w:tc>
          <w:tcPr>
            <w:tcW w:w="350"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vertAlign w:val="superscript"/>
              </w:rPr>
            </w:pPr>
            <w:r w:rsidRPr="00196462">
              <w:rPr>
                <w:sz w:val="16"/>
                <w:szCs w:val="16"/>
              </w:rPr>
              <w:t>$1,125.70</w:t>
            </w:r>
          </w:p>
        </w:tc>
        <w:tc>
          <w:tcPr>
            <w:tcW w:w="300"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w:t>
            </w:r>
          </w:p>
        </w:tc>
        <w:tc>
          <w:tcPr>
            <w:tcW w:w="325"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vertAlign w:val="superscript"/>
              </w:rPr>
            </w:pPr>
            <w:r w:rsidRPr="00196462">
              <w:rPr>
                <w:sz w:val="16"/>
                <w:szCs w:val="16"/>
              </w:rPr>
              <w:t>$844.30</w:t>
            </w:r>
            <w:r w:rsidRPr="00196462">
              <w:rPr>
                <w:sz w:val="16"/>
                <w:szCs w:val="16"/>
                <w:vertAlign w:val="superscript"/>
              </w:rPr>
              <w:t>4</w:t>
            </w:r>
          </w:p>
        </w:tc>
        <w:tc>
          <w:tcPr>
            <w:tcW w:w="351"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vertAlign w:val="superscript"/>
              </w:rPr>
            </w:pPr>
            <w:r w:rsidRPr="00196462">
              <w:rPr>
                <w:sz w:val="16"/>
                <w:szCs w:val="16"/>
              </w:rPr>
              <w:t>$540.03</w:t>
            </w:r>
            <w:r w:rsidRPr="00196462">
              <w:rPr>
                <w:sz w:val="16"/>
                <w:szCs w:val="16"/>
                <w:vertAlign w:val="superscript"/>
              </w:rPr>
              <w:t>5</w:t>
            </w:r>
          </w:p>
        </w:tc>
        <w:tc>
          <w:tcPr>
            <w:tcW w:w="290"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w:t>
            </w:r>
          </w:p>
        </w:tc>
        <w:tc>
          <w:tcPr>
            <w:tcW w:w="570"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$1,384.33</w:t>
            </w:r>
          </w:p>
        </w:tc>
        <w:tc>
          <w:tcPr>
            <w:tcW w:w="378" w:type="pct"/>
            <w:tcBorders>
              <w:top w:val="single" w:sz="4" w:space="0" w:color="000000"/>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50</w:t>
            </w:r>
          </w:p>
        </w:tc>
        <w:tc>
          <w:tcPr>
            <w:tcW w:w="444"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$692.17</w:t>
            </w:r>
          </w:p>
        </w:tc>
        <w:tc>
          <w:tcPr>
            <w:tcW w:w="480"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$422.15</w:t>
            </w:r>
          </w:p>
        </w:tc>
        <w:tc>
          <w:tcPr>
            <w:tcW w:w="425"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vertAlign w:val="superscript"/>
              </w:rPr>
            </w:pPr>
            <w:r w:rsidRPr="00196462">
              <w:rPr>
                <w:rFonts w:ascii="Arial Narrow" w:hAnsi="Arial Narrow" w:cs="Arial"/>
                <w:sz w:val="16"/>
                <w:szCs w:val="16"/>
              </w:rPr>
              <w:t>$270.02</w:t>
            </w:r>
          </w:p>
          <w:p w:rsidR="0048417A" w:rsidRPr="00196462" w:rsidRDefault="0048417A" w:rsidP="00836B55">
            <w:pPr>
              <w:keepNext/>
              <w:spacing w:after="0"/>
              <w:ind w:left="0"/>
              <w:rPr>
                <w:rFonts w:ascii="Arial Narrow" w:hAnsi="Arial Narrow" w:cs="Arial"/>
                <w:sz w:val="16"/>
                <w:szCs w:val="16"/>
              </w:rPr>
            </w:pPr>
          </w:p>
        </w:tc>
        <w:tc>
          <w:tcPr>
            <w:tcW w:w="390" w:type="pct"/>
            <w:tcBorders>
              <w:top w:val="single" w:sz="4" w:space="0" w:color="000000"/>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 xml:space="preserve">MBS / </w:t>
            </w:r>
            <w:proofErr w:type="spellStart"/>
            <w:r w:rsidRPr="00196462">
              <w:rPr>
                <w:rFonts w:ascii="Arial Narrow" w:hAnsi="Arial Narrow" w:cs="Arial"/>
                <w:sz w:val="16"/>
                <w:szCs w:val="16"/>
              </w:rPr>
              <w:t>DoHA</w:t>
            </w:r>
            <w:proofErr w:type="spellEnd"/>
          </w:p>
        </w:tc>
      </w:tr>
      <w:tr w:rsidR="0048417A" w:rsidRPr="00196462" w:rsidTr="00836B55">
        <w:trPr>
          <w:trHeight w:val="40"/>
        </w:trPr>
        <w:tc>
          <w:tcPr>
            <w:tcW w:w="397"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Day hospital facilities - DBE</w:t>
            </w:r>
          </w:p>
        </w:tc>
        <w:tc>
          <w:tcPr>
            <w:tcW w:w="300" w:type="pct"/>
            <w:tcBorders>
              <w:top w:val="nil"/>
              <w:left w:val="nil"/>
              <w:bottom w:val="nil"/>
              <w:right w:val="nil"/>
            </w:tcBorders>
          </w:tcPr>
          <w:p w:rsidR="0048417A" w:rsidRPr="00196462" w:rsidRDefault="0048417A" w:rsidP="00836B55">
            <w:pPr>
              <w:pStyle w:val="TableText"/>
              <w:spacing w:before="0" w:after="0"/>
              <w:rPr>
                <w:color w:val="000000"/>
                <w:sz w:val="16"/>
                <w:szCs w:val="16"/>
              </w:rPr>
            </w:pPr>
            <w:r w:rsidRPr="00196462">
              <w:rPr>
                <w:color w:val="000000"/>
                <w:sz w:val="16"/>
                <w:szCs w:val="16"/>
              </w:rPr>
              <w:t>DRG G44C</w:t>
            </w:r>
          </w:p>
        </w:tc>
        <w:tc>
          <w:tcPr>
            <w:tcW w:w="35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$713.00</w:t>
            </w:r>
          </w:p>
        </w:tc>
        <w:tc>
          <w:tcPr>
            <w:tcW w:w="30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1</w:t>
            </w:r>
          </w:p>
        </w:tc>
        <w:tc>
          <w:tcPr>
            <w:tcW w:w="325" w:type="pct"/>
            <w:tcBorders>
              <w:top w:val="nil"/>
              <w:left w:val="nil"/>
              <w:bottom w:val="nil"/>
              <w:right w:val="nil"/>
            </w:tcBorders>
          </w:tcPr>
          <w:p w:rsidR="0048417A" w:rsidRPr="00196462" w:rsidRDefault="0048417A" w:rsidP="00836B55">
            <w:pPr>
              <w:pStyle w:val="TableText"/>
              <w:spacing w:before="0" w:after="0"/>
              <w:rPr>
                <w:color w:val="000000"/>
                <w:sz w:val="16"/>
                <w:szCs w:val="16"/>
              </w:rPr>
            </w:pPr>
          </w:p>
        </w:tc>
        <w:tc>
          <w:tcPr>
            <w:tcW w:w="351" w:type="pct"/>
            <w:tcBorders>
              <w:top w:val="nil"/>
              <w:left w:val="nil"/>
              <w:bottom w:val="nil"/>
              <w:right w:val="nil"/>
            </w:tcBorders>
          </w:tcPr>
          <w:p w:rsidR="0048417A" w:rsidRPr="00196462" w:rsidRDefault="0048417A" w:rsidP="00836B55">
            <w:pPr>
              <w:pStyle w:val="TableText"/>
              <w:spacing w:before="0" w:after="0"/>
              <w:rPr>
                <w:color w:val="000000"/>
                <w:sz w:val="16"/>
                <w:szCs w:val="16"/>
              </w:rPr>
            </w:pPr>
          </w:p>
        </w:tc>
        <w:tc>
          <w:tcPr>
            <w:tcW w:w="290" w:type="pct"/>
            <w:tcBorders>
              <w:top w:val="nil"/>
              <w:left w:val="nil"/>
              <w:bottom w:val="nil"/>
              <w:right w:val="nil"/>
            </w:tcBorders>
          </w:tcPr>
          <w:p w:rsidR="0048417A" w:rsidRPr="00196462" w:rsidRDefault="0048417A" w:rsidP="00836B55">
            <w:pPr>
              <w:pStyle w:val="TableText"/>
              <w:spacing w:before="0" w:after="0"/>
              <w:rPr>
                <w:color w:val="000000"/>
                <w:sz w:val="16"/>
                <w:szCs w:val="16"/>
              </w:rPr>
            </w:pPr>
            <w:r w:rsidRPr="00196462">
              <w:rPr>
                <w:color w:val="000000"/>
                <w:sz w:val="16"/>
                <w:szCs w:val="16"/>
              </w:rPr>
              <w:t>1 day</w:t>
            </w:r>
          </w:p>
        </w:tc>
        <w:tc>
          <w:tcPr>
            <w:tcW w:w="570" w:type="pct"/>
            <w:tcBorders>
              <w:top w:val="nil"/>
              <w:left w:val="nil"/>
              <w:bottom w:val="nil"/>
              <w:right w:val="nil"/>
            </w:tcBorders>
          </w:tcPr>
          <w:p w:rsidR="0048417A" w:rsidRPr="00196462" w:rsidRDefault="0048417A" w:rsidP="00836B55">
            <w:pPr>
              <w:pStyle w:val="TableText"/>
              <w:spacing w:before="0" w:after="0"/>
              <w:rPr>
                <w:color w:val="000000"/>
                <w:sz w:val="16"/>
                <w:szCs w:val="16"/>
              </w:rPr>
            </w:pPr>
            <w:r w:rsidRPr="00196462">
              <w:rPr>
                <w:color w:val="000000"/>
                <w:sz w:val="16"/>
                <w:szCs w:val="16"/>
              </w:rPr>
              <w:t>$713.00</w:t>
            </w:r>
          </w:p>
        </w:tc>
        <w:tc>
          <w:tcPr>
            <w:tcW w:w="378"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50</w:t>
            </w:r>
          </w:p>
        </w:tc>
        <w:tc>
          <w:tcPr>
            <w:tcW w:w="444"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$356.50</w:t>
            </w:r>
          </w:p>
        </w:tc>
        <w:tc>
          <w:tcPr>
            <w:tcW w:w="480" w:type="pct"/>
            <w:tcBorders>
              <w:top w:val="nil"/>
              <w:left w:val="nil"/>
              <w:bottom w:val="nil"/>
              <w:right w:val="nil"/>
            </w:tcBorders>
          </w:tcPr>
          <w:p w:rsidR="0048417A" w:rsidRPr="00196462" w:rsidRDefault="0048417A" w:rsidP="00836B55">
            <w:pPr>
              <w:keepNext/>
              <w:spacing w:after="0"/>
              <w:ind w:left="84"/>
              <w:rPr>
                <w:rFonts w:ascii="Arial Narrow" w:hAnsi="Arial Narrow" w:cs="ArialNarrow"/>
                <w:sz w:val="16"/>
                <w:szCs w:val="16"/>
                <w:lang w:eastAsia="en-US"/>
              </w:rPr>
            </w:pPr>
            <w:r w:rsidRPr="00196462">
              <w:rPr>
                <w:rFonts w:ascii="Arial Narrow" w:hAnsi="Arial Narrow" w:cs="ArialNarrow"/>
                <w:sz w:val="16"/>
                <w:szCs w:val="16"/>
                <w:lang w:eastAsia="en-US"/>
              </w:rPr>
              <w:t>$356.50</w:t>
            </w:r>
          </w:p>
        </w:tc>
        <w:tc>
          <w:tcPr>
            <w:tcW w:w="425" w:type="pct"/>
            <w:tcBorders>
              <w:top w:val="nil"/>
              <w:left w:val="nil"/>
              <w:bottom w:val="nil"/>
              <w:right w:val="nil"/>
            </w:tcBorders>
          </w:tcPr>
          <w:p w:rsidR="0048417A" w:rsidRPr="00196462" w:rsidRDefault="0048417A" w:rsidP="00836B55">
            <w:pPr>
              <w:keepNext/>
              <w:spacing w:after="0"/>
              <w:ind w:left="84"/>
              <w:rPr>
                <w:rFonts w:ascii="Arial Narrow" w:hAnsi="Arial Narrow" w:cs="ArialNarrow"/>
                <w:sz w:val="16"/>
                <w:szCs w:val="16"/>
                <w:lang w:eastAsia="en-US"/>
              </w:rPr>
            </w:pPr>
            <w:r w:rsidRPr="00196462">
              <w:rPr>
                <w:rFonts w:ascii="Arial Narrow" w:hAnsi="Arial Narrow" w:cs="ArialNarrow"/>
                <w:sz w:val="16"/>
                <w:szCs w:val="16"/>
                <w:lang w:eastAsia="en-US"/>
              </w:rPr>
              <w:t>$0</w:t>
            </w:r>
          </w:p>
        </w:tc>
        <w:tc>
          <w:tcPr>
            <w:tcW w:w="390" w:type="pct"/>
            <w:tcBorders>
              <w:top w:val="nil"/>
              <w:left w:val="nil"/>
              <w:bottom w:val="nil"/>
              <w:right w:val="nil"/>
            </w:tcBorders>
          </w:tcPr>
          <w:p w:rsidR="0048417A" w:rsidRPr="00196462" w:rsidRDefault="0048417A" w:rsidP="00836B55">
            <w:pPr>
              <w:keepNext/>
              <w:spacing w:after="0"/>
              <w:ind w:left="84"/>
              <w:rPr>
                <w:rFonts w:ascii="Arial Narrow" w:hAnsi="Arial Narrow" w:cs="ArialNarrow"/>
                <w:sz w:val="16"/>
                <w:szCs w:val="16"/>
                <w:lang w:eastAsia="en-US"/>
              </w:rPr>
            </w:pPr>
            <w:r w:rsidRPr="00196462">
              <w:rPr>
                <w:rFonts w:ascii="Arial Narrow" w:hAnsi="Arial Narrow" w:cs="ArialNarrow"/>
                <w:sz w:val="16"/>
                <w:szCs w:val="16"/>
                <w:lang w:eastAsia="en-US"/>
              </w:rPr>
              <w:t>National hospital cost data collection</w:t>
            </w:r>
          </w:p>
          <w:p w:rsidR="0048417A" w:rsidRPr="00196462" w:rsidRDefault="0048417A" w:rsidP="00836B55">
            <w:pPr>
              <w:keepNext/>
              <w:spacing w:after="0"/>
              <w:ind w:left="84"/>
              <w:rPr>
                <w:rFonts w:ascii="Arial Narrow" w:hAnsi="Arial Narrow" w:cs="Arial"/>
                <w:sz w:val="16"/>
                <w:szCs w:val="16"/>
              </w:rPr>
            </w:pPr>
          </w:p>
        </w:tc>
      </w:tr>
      <w:tr w:rsidR="0048417A" w:rsidRPr="00196462" w:rsidTr="00836B55">
        <w:trPr>
          <w:trHeight w:val="40"/>
        </w:trPr>
        <w:tc>
          <w:tcPr>
            <w:tcW w:w="397"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Surgery (bowel resection)</w:t>
            </w:r>
          </w:p>
        </w:tc>
        <w:tc>
          <w:tcPr>
            <w:tcW w:w="30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color w:val="000000"/>
                <w:sz w:val="16"/>
                <w:szCs w:val="16"/>
              </w:rPr>
              <w:t>DRG G05B</w:t>
            </w:r>
          </w:p>
        </w:tc>
        <w:tc>
          <w:tcPr>
            <w:tcW w:w="35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$4,730.00</w:t>
            </w:r>
          </w:p>
        </w:tc>
        <w:tc>
          <w:tcPr>
            <w:tcW w:w="300"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4.71</w:t>
            </w:r>
          </w:p>
        </w:tc>
        <w:tc>
          <w:tcPr>
            <w:tcW w:w="325" w:type="pct"/>
            <w:tcBorders>
              <w:top w:val="nil"/>
              <w:left w:val="nil"/>
              <w:bottom w:val="nil"/>
              <w:right w:val="nil"/>
            </w:tcBorders>
          </w:tcPr>
          <w:p w:rsidR="0048417A" w:rsidRPr="00196462" w:rsidRDefault="0048417A" w:rsidP="00836B55">
            <w:pPr>
              <w:pStyle w:val="TableText"/>
              <w:spacing w:before="0" w:after="0"/>
              <w:rPr>
                <w:color w:val="000000"/>
                <w:sz w:val="16"/>
                <w:szCs w:val="16"/>
              </w:rPr>
            </w:pPr>
          </w:p>
        </w:tc>
        <w:tc>
          <w:tcPr>
            <w:tcW w:w="351" w:type="pct"/>
            <w:tcBorders>
              <w:top w:val="nil"/>
              <w:left w:val="nil"/>
              <w:bottom w:val="nil"/>
              <w:right w:val="nil"/>
            </w:tcBorders>
          </w:tcPr>
          <w:p w:rsidR="0048417A" w:rsidRPr="00196462" w:rsidRDefault="0048417A" w:rsidP="00836B55">
            <w:pPr>
              <w:pStyle w:val="TableText"/>
              <w:spacing w:before="0" w:after="0"/>
              <w:rPr>
                <w:color w:val="000000"/>
                <w:sz w:val="16"/>
                <w:szCs w:val="16"/>
              </w:rPr>
            </w:pPr>
          </w:p>
        </w:tc>
        <w:tc>
          <w:tcPr>
            <w:tcW w:w="290" w:type="pct"/>
            <w:tcBorders>
              <w:top w:val="nil"/>
              <w:left w:val="nil"/>
              <w:bottom w:val="nil"/>
              <w:right w:val="nil"/>
            </w:tcBorders>
          </w:tcPr>
          <w:p w:rsidR="0048417A" w:rsidRPr="00196462" w:rsidRDefault="0048417A" w:rsidP="00836B55">
            <w:pPr>
              <w:pStyle w:val="TableText"/>
              <w:spacing w:before="0" w:after="0"/>
              <w:rPr>
                <w:color w:val="000000"/>
                <w:sz w:val="16"/>
                <w:szCs w:val="16"/>
              </w:rPr>
            </w:pPr>
            <w:r w:rsidRPr="00196462">
              <w:rPr>
                <w:color w:val="000000"/>
                <w:sz w:val="16"/>
                <w:szCs w:val="16"/>
              </w:rPr>
              <w:t>4.71 days</w:t>
            </w:r>
          </w:p>
        </w:tc>
        <w:tc>
          <w:tcPr>
            <w:tcW w:w="570" w:type="pct"/>
            <w:tcBorders>
              <w:top w:val="nil"/>
              <w:left w:val="nil"/>
              <w:bottom w:val="nil"/>
              <w:right w:val="nil"/>
            </w:tcBorders>
          </w:tcPr>
          <w:p w:rsidR="0048417A" w:rsidRPr="00196462" w:rsidRDefault="0048417A" w:rsidP="00836B55">
            <w:pPr>
              <w:pStyle w:val="TableText"/>
              <w:spacing w:before="0" w:after="0"/>
              <w:rPr>
                <w:color w:val="000000"/>
                <w:sz w:val="16"/>
                <w:szCs w:val="16"/>
              </w:rPr>
            </w:pPr>
            <w:r w:rsidRPr="00196462">
              <w:rPr>
                <w:color w:val="000000"/>
                <w:sz w:val="16"/>
                <w:szCs w:val="16"/>
              </w:rPr>
              <w:t>$4,730.00</w:t>
            </w:r>
          </w:p>
        </w:tc>
        <w:tc>
          <w:tcPr>
            <w:tcW w:w="378" w:type="pct"/>
            <w:tcBorders>
              <w:top w:val="nil"/>
              <w:left w:val="nil"/>
              <w:bottom w:val="nil"/>
              <w:right w:val="nil"/>
            </w:tcBorders>
          </w:tcPr>
          <w:p w:rsidR="0048417A" w:rsidRPr="00196462" w:rsidRDefault="0048417A" w:rsidP="00836B55">
            <w:pPr>
              <w:pStyle w:val="TableText"/>
              <w:spacing w:before="0" w:after="0"/>
              <w:rPr>
                <w:sz w:val="16"/>
                <w:szCs w:val="16"/>
              </w:rPr>
            </w:pPr>
            <w:r w:rsidRPr="00196462">
              <w:rPr>
                <w:sz w:val="16"/>
                <w:szCs w:val="16"/>
              </w:rPr>
              <w:t>50</w:t>
            </w:r>
          </w:p>
        </w:tc>
        <w:tc>
          <w:tcPr>
            <w:tcW w:w="444"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$2,365.00</w:t>
            </w:r>
          </w:p>
        </w:tc>
        <w:tc>
          <w:tcPr>
            <w:tcW w:w="480" w:type="pct"/>
            <w:tcBorders>
              <w:top w:val="nil"/>
              <w:left w:val="nil"/>
              <w:bottom w:val="nil"/>
              <w:right w:val="nil"/>
            </w:tcBorders>
          </w:tcPr>
          <w:p w:rsidR="0048417A" w:rsidRPr="00196462" w:rsidRDefault="0048417A" w:rsidP="00836B55">
            <w:pPr>
              <w:keepNext/>
              <w:spacing w:after="0"/>
              <w:ind w:left="84"/>
              <w:rPr>
                <w:rFonts w:ascii="Arial Narrow" w:hAnsi="Arial Narrow"/>
                <w:sz w:val="16"/>
                <w:szCs w:val="16"/>
              </w:rPr>
            </w:pPr>
            <w:r w:rsidRPr="00196462">
              <w:rPr>
                <w:rFonts w:ascii="Arial Narrow" w:hAnsi="Arial Narrow"/>
                <w:sz w:val="16"/>
                <w:szCs w:val="16"/>
              </w:rPr>
              <w:t>$2,365.00</w:t>
            </w:r>
          </w:p>
        </w:tc>
        <w:tc>
          <w:tcPr>
            <w:tcW w:w="425" w:type="pct"/>
            <w:tcBorders>
              <w:top w:val="nil"/>
              <w:left w:val="nil"/>
              <w:bottom w:val="nil"/>
              <w:right w:val="nil"/>
            </w:tcBorders>
          </w:tcPr>
          <w:p w:rsidR="0048417A" w:rsidRPr="00196462" w:rsidRDefault="0048417A" w:rsidP="00836B55">
            <w:pPr>
              <w:keepNext/>
              <w:spacing w:after="0"/>
              <w:ind w:left="84"/>
              <w:rPr>
                <w:rFonts w:ascii="Arial Narrow" w:hAnsi="Arial Narrow"/>
                <w:sz w:val="16"/>
                <w:szCs w:val="16"/>
              </w:rPr>
            </w:pPr>
            <w:r w:rsidRPr="00196462">
              <w:rPr>
                <w:rFonts w:ascii="Arial Narrow" w:hAnsi="Arial Narrow"/>
                <w:sz w:val="16"/>
                <w:szCs w:val="16"/>
              </w:rPr>
              <w:t>$0</w:t>
            </w:r>
          </w:p>
        </w:tc>
        <w:tc>
          <w:tcPr>
            <w:tcW w:w="390" w:type="pct"/>
            <w:tcBorders>
              <w:top w:val="nil"/>
              <w:left w:val="nil"/>
              <w:bottom w:val="nil"/>
              <w:right w:val="nil"/>
            </w:tcBorders>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sz w:val="16"/>
                <w:szCs w:val="16"/>
              </w:rPr>
              <w:t>National hospital cost data collection</w:t>
            </w:r>
          </w:p>
        </w:tc>
      </w:tr>
      <w:tr w:rsidR="0048417A" w:rsidRPr="00196462" w:rsidTr="00836B55">
        <w:trPr>
          <w:trHeight w:val="40"/>
        </w:trPr>
        <w:tc>
          <w:tcPr>
            <w:tcW w:w="2022" w:type="pct"/>
            <w:gridSpan w:val="6"/>
            <w:tcBorders>
              <w:top w:val="single" w:sz="4" w:space="0" w:color="000000"/>
              <w:left w:val="nil"/>
              <w:right w:val="nil"/>
            </w:tcBorders>
            <w:shd w:val="clear" w:color="auto" w:fill="D9D9D9"/>
          </w:tcPr>
          <w:p w:rsidR="0048417A" w:rsidRPr="00196462" w:rsidRDefault="0048417A" w:rsidP="00836B55">
            <w:pPr>
              <w:pStyle w:val="TableText"/>
              <w:spacing w:before="0" w:after="0"/>
              <w:rPr>
                <w:b/>
                <w:color w:val="000000"/>
                <w:sz w:val="16"/>
                <w:szCs w:val="16"/>
              </w:rPr>
            </w:pPr>
            <w:r w:rsidRPr="00196462">
              <w:rPr>
                <w:b/>
                <w:sz w:val="16"/>
                <w:szCs w:val="16"/>
              </w:rPr>
              <w:t xml:space="preserve">Subtotal – Estimated average cost of medical procedures and facilities </w:t>
            </w:r>
          </w:p>
        </w:tc>
        <w:tc>
          <w:tcPr>
            <w:tcW w:w="290" w:type="pct"/>
            <w:tcBorders>
              <w:top w:val="single" w:sz="4" w:space="0" w:color="000000"/>
              <w:left w:val="nil"/>
              <w:right w:val="nil"/>
            </w:tcBorders>
            <w:shd w:val="clear" w:color="auto" w:fill="D9D9D9"/>
          </w:tcPr>
          <w:p w:rsidR="0048417A" w:rsidRPr="00196462" w:rsidRDefault="0048417A" w:rsidP="00836B55">
            <w:pPr>
              <w:pStyle w:val="TableText"/>
              <w:spacing w:before="0" w:after="0"/>
              <w:rPr>
                <w:color w:val="000000"/>
                <w:sz w:val="16"/>
                <w:szCs w:val="16"/>
              </w:rPr>
            </w:pPr>
          </w:p>
        </w:tc>
        <w:tc>
          <w:tcPr>
            <w:tcW w:w="570" w:type="pct"/>
            <w:tcBorders>
              <w:top w:val="single" w:sz="4" w:space="0" w:color="000000"/>
              <w:left w:val="nil"/>
              <w:right w:val="nil"/>
            </w:tcBorders>
            <w:shd w:val="clear" w:color="auto" w:fill="D9D9D9"/>
          </w:tcPr>
          <w:p w:rsidR="0048417A" w:rsidRPr="00196462" w:rsidRDefault="0048417A" w:rsidP="00836B55">
            <w:pPr>
              <w:pStyle w:val="TableText"/>
              <w:spacing w:before="0" w:after="0"/>
              <w:rPr>
                <w:color w:val="000000"/>
                <w:sz w:val="16"/>
                <w:szCs w:val="16"/>
              </w:rPr>
            </w:pPr>
          </w:p>
        </w:tc>
        <w:tc>
          <w:tcPr>
            <w:tcW w:w="378" w:type="pct"/>
            <w:tcBorders>
              <w:top w:val="single" w:sz="4" w:space="0" w:color="000000"/>
              <w:left w:val="nil"/>
              <w:right w:val="nil"/>
            </w:tcBorders>
            <w:shd w:val="clear" w:color="auto" w:fill="D9D9D9"/>
          </w:tcPr>
          <w:p w:rsidR="0048417A" w:rsidRPr="00196462" w:rsidRDefault="0048417A" w:rsidP="00836B55">
            <w:pPr>
              <w:pStyle w:val="TableText"/>
              <w:spacing w:before="0" w:after="0"/>
              <w:rPr>
                <w:sz w:val="16"/>
                <w:szCs w:val="16"/>
              </w:rPr>
            </w:pPr>
          </w:p>
        </w:tc>
        <w:tc>
          <w:tcPr>
            <w:tcW w:w="444"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$3,413.67</w:t>
            </w:r>
          </w:p>
        </w:tc>
        <w:tc>
          <w:tcPr>
            <w:tcW w:w="480"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$3,143.65</w:t>
            </w:r>
          </w:p>
        </w:tc>
        <w:tc>
          <w:tcPr>
            <w:tcW w:w="425"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$270.02</w:t>
            </w:r>
          </w:p>
        </w:tc>
        <w:tc>
          <w:tcPr>
            <w:tcW w:w="390"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p>
        </w:tc>
      </w:tr>
      <w:tr w:rsidR="0048417A" w:rsidRPr="00196462" w:rsidTr="00836B55">
        <w:trPr>
          <w:trHeight w:val="40"/>
        </w:trPr>
        <w:tc>
          <w:tcPr>
            <w:tcW w:w="1671" w:type="pct"/>
            <w:gridSpan w:val="5"/>
            <w:tcBorders>
              <w:top w:val="single" w:sz="4" w:space="0" w:color="000000"/>
              <w:left w:val="nil"/>
              <w:right w:val="nil"/>
            </w:tcBorders>
            <w:shd w:val="clear" w:color="auto" w:fill="D9D9D9"/>
          </w:tcPr>
          <w:p w:rsidR="0048417A" w:rsidRPr="00196462" w:rsidRDefault="0048417A" w:rsidP="00836B55">
            <w:pPr>
              <w:pStyle w:val="TableText"/>
              <w:spacing w:before="0" w:after="0"/>
              <w:rPr>
                <w:b/>
                <w:color w:val="000000"/>
                <w:sz w:val="16"/>
                <w:szCs w:val="16"/>
              </w:rPr>
            </w:pPr>
            <w:r w:rsidRPr="00196462">
              <w:rPr>
                <w:b/>
                <w:sz w:val="16"/>
                <w:szCs w:val="16"/>
              </w:rPr>
              <w:t>Total –  Estimated average cost of capsule retention</w:t>
            </w:r>
          </w:p>
        </w:tc>
        <w:tc>
          <w:tcPr>
            <w:tcW w:w="351" w:type="pct"/>
            <w:tcBorders>
              <w:top w:val="single" w:sz="4" w:space="0" w:color="000000"/>
              <w:left w:val="nil"/>
              <w:right w:val="nil"/>
            </w:tcBorders>
            <w:shd w:val="clear" w:color="auto" w:fill="D9D9D9"/>
          </w:tcPr>
          <w:p w:rsidR="0048417A" w:rsidRPr="00196462" w:rsidRDefault="0048417A" w:rsidP="00836B55">
            <w:pPr>
              <w:pStyle w:val="TableText"/>
              <w:spacing w:before="0" w:after="0"/>
              <w:rPr>
                <w:color w:val="000000"/>
                <w:sz w:val="16"/>
                <w:szCs w:val="16"/>
              </w:rPr>
            </w:pPr>
          </w:p>
        </w:tc>
        <w:tc>
          <w:tcPr>
            <w:tcW w:w="290" w:type="pct"/>
            <w:tcBorders>
              <w:top w:val="single" w:sz="4" w:space="0" w:color="000000"/>
              <w:left w:val="nil"/>
              <w:right w:val="nil"/>
            </w:tcBorders>
            <w:shd w:val="clear" w:color="auto" w:fill="D9D9D9"/>
          </w:tcPr>
          <w:p w:rsidR="0048417A" w:rsidRPr="00196462" w:rsidRDefault="0048417A" w:rsidP="00836B55">
            <w:pPr>
              <w:pStyle w:val="TableText"/>
              <w:spacing w:before="0" w:after="0"/>
              <w:rPr>
                <w:color w:val="000000"/>
                <w:sz w:val="16"/>
                <w:szCs w:val="16"/>
              </w:rPr>
            </w:pPr>
          </w:p>
        </w:tc>
        <w:tc>
          <w:tcPr>
            <w:tcW w:w="570" w:type="pct"/>
            <w:tcBorders>
              <w:top w:val="single" w:sz="4" w:space="0" w:color="000000"/>
              <w:left w:val="nil"/>
              <w:right w:val="nil"/>
            </w:tcBorders>
            <w:shd w:val="clear" w:color="auto" w:fill="D9D9D9"/>
          </w:tcPr>
          <w:p w:rsidR="0048417A" w:rsidRPr="00196462" w:rsidRDefault="0048417A" w:rsidP="00836B55">
            <w:pPr>
              <w:pStyle w:val="TableText"/>
              <w:spacing w:before="0" w:after="0"/>
              <w:rPr>
                <w:color w:val="000000"/>
                <w:sz w:val="16"/>
                <w:szCs w:val="16"/>
              </w:rPr>
            </w:pPr>
          </w:p>
        </w:tc>
        <w:tc>
          <w:tcPr>
            <w:tcW w:w="378" w:type="pct"/>
            <w:tcBorders>
              <w:top w:val="single" w:sz="4" w:space="0" w:color="000000"/>
              <w:left w:val="nil"/>
              <w:right w:val="nil"/>
            </w:tcBorders>
            <w:shd w:val="clear" w:color="auto" w:fill="D9D9D9"/>
          </w:tcPr>
          <w:p w:rsidR="0048417A" w:rsidRPr="00196462" w:rsidRDefault="0048417A" w:rsidP="00836B55">
            <w:pPr>
              <w:pStyle w:val="TableText"/>
              <w:spacing w:before="0" w:after="0"/>
              <w:rPr>
                <w:sz w:val="16"/>
                <w:szCs w:val="16"/>
              </w:rPr>
            </w:pPr>
          </w:p>
        </w:tc>
        <w:tc>
          <w:tcPr>
            <w:tcW w:w="444"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$3,436.49</w:t>
            </w:r>
          </w:p>
        </w:tc>
        <w:tc>
          <w:tcPr>
            <w:tcW w:w="480"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$3149.46</w:t>
            </w:r>
          </w:p>
        </w:tc>
        <w:tc>
          <w:tcPr>
            <w:tcW w:w="425"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r w:rsidRPr="00196462">
              <w:rPr>
                <w:rFonts w:ascii="Arial Narrow" w:hAnsi="Arial Narrow" w:cs="Arial"/>
                <w:sz w:val="16"/>
                <w:szCs w:val="16"/>
              </w:rPr>
              <w:t>$292.02</w:t>
            </w:r>
          </w:p>
        </w:tc>
        <w:tc>
          <w:tcPr>
            <w:tcW w:w="390" w:type="pct"/>
            <w:tcBorders>
              <w:top w:val="single" w:sz="4" w:space="0" w:color="000000"/>
              <w:left w:val="nil"/>
              <w:right w:val="nil"/>
            </w:tcBorders>
            <w:shd w:val="clear" w:color="auto" w:fill="D9D9D9"/>
          </w:tcPr>
          <w:p w:rsidR="0048417A" w:rsidRPr="00196462" w:rsidRDefault="0048417A" w:rsidP="00836B55">
            <w:pPr>
              <w:keepNext/>
              <w:spacing w:after="0"/>
              <w:ind w:left="84"/>
              <w:rPr>
                <w:rFonts w:ascii="Arial Narrow" w:hAnsi="Arial Narrow" w:cs="Arial"/>
                <w:sz w:val="16"/>
                <w:szCs w:val="16"/>
              </w:rPr>
            </w:pPr>
          </w:p>
        </w:tc>
      </w:tr>
    </w:tbl>
    <w:p w:rsidR="0048417A" w:rsidRPr="00196462" w:rsidRDefault="0048417A" w:rsidP="00836B55">
      <w:pPr>
        <w:pStyle w:val="TableNotes"/>
        <w:ind w:left="0"/>
        <w:rPr>
          <w:sz w:val="18"/>
          <w:szCs w:val="18"/>
        </w:rPr>
      </w:pPr>
      <w:r w:rsidRPr="00196462">
        <w:rPr>
          <w:sz w:val="18"/>
          <w:szCs w:val="18"/>
          <w:vertAlign w:val="superscript"/>
        </w:rPr>
        <w:t xml:space="preserve">1 </w:t>
      </w:r>
      <w:r w:rsidRPr="00196462">
        <w:rPr>
          <w:sz w:val="18"/>
          <w:szCs w:val="18"/>
        </w:rPr>
        <w:t>The quantity dispensed is a multiple of the pack size; hence 2 packs of 30 tablets ($11.41) are needed to supply the required number of tablets (42).</w:t>
      </w:r>
    </w:p>
    <w:p w:rsidR="0048417A" w:rsidRPr="00196462" w:rsidRDefault="0048417A" w:rsidP="00836B55">
      <w:pPr>
        <w:pStyle w:val="TableNotes"/>
        <w:ind w:left="0"/>
        <w:rPr>
          <w:sz w:val="18"/>
          <w:szCs w:val="18"/>
        </w:rPr>
      </w:pPr>
      <w:r w:rsidRPr="00196462">
        <w:rPr>
          <w:sz w:val="18"/>
          <w:szCs w:val="18"/>
          <w:vertAlign w:val="superscript"/>
        </w:rPr>
        <w:t>2</w:t>
      </w:r>
      <w:r w:rsidRPr="00196462">
        <w:rPr>
          <w:sz w:val="18"/>
          <w:szCs w:val="18"/>
        </w:rPr>
        <w:t xml:space="preserve"> Due to patient </w:t>
      </w:r>
      <w:proofErr w:type="spellStart"/>
      <w:r w:rsidRPr="00196462">
        <w:rPr>
          <w:sz w:val="18"/>
          <w:szCs w:val="18"/>
        </w:rPr>
        <w:t>copayments</w:t>
      </w:r>
      <w:proofErr w:type="spellEnd"/>
      <w:r w:rsidRPr="00196462">
        <w:rPr>
          <w:sz w:val="18"/>
          <w:szCs w:val="18"/>
        </w:rPr>
        <w:t xml:space="preserve"> and patient categories within the PBS, the weighted cost </w:t>
      </w:r>
      <w:r w:rsidRPr="00196462">
        <w:rPr>
          <w:i/>
          <w:sz w:val="18"/>
          <w:szCs w:val="18"/>
        </w:rPr>
        <w:t>per</w:t>
      </w:r>
      <w:r w:rsidRPr="00196462">
        <w:rPr>
          <w:sz w:val="18"/>
          <w:szCs w:val="18"/>
        </w:rPr>
        <w:t xml:space="preserve"> patient does not equal the weighted average cost to government plus the weighted average cost to patient.</w:t>
      </w:r>
    </w:p>
    <w:p w:rsidR="0048417A" w:rsidRPr="00196462" w:rsidRDefault="0048417A" w:rsidP="00836B55">
      <w:pPr>
        <w:pStyle w:val="TableNotes"/>
        <w:ind w:left="0"/>
        <w:rPr>
          <w:color w:val="000000"/>
          <w:sz w:val="18"/>
          <w:szCs w:val="18"/>
        </w:rPr>
      </w:pPr>
      <w:r w:rsidRPr="00196462">
        <w:rPr>
          <w:sz w:val="18"/>
          <w:szCs w:val="18"/>
          <w:vertAlign w:val="superscript"/>
        </w:rPr>
        <w:t xml:space="preserve">3 </w:t>
      </w:r>
      <w:r w:rsidRPr="00196462">
        <w:rPr>
          <w:sz w:val="18"/>
          <w:szCs w:val="18"/>
        </w:rPr>
        <w:t xml:space="preserve">The cost to </w:t>
      </w:r>
      <w:r w:rsidRPr="00196462">
        <w:rPr>
          <w:color w:val="000000"/>
          <w:sz w:val="18"/>
          <w:szCs w:val="18"/>
        </w:rPr>
        <w:t>government and patient is based on the distribution of patients across patient categories within the PBS and the associated maximum amount a pharmacist can charge a patient for a pack of 30 tablets of Prednisone 25 mg. It is assumed that in the patient population of this report, 50% of patients are general beneficiaries ($0 cost to government and $32.80 to patient (2 packs multiplied by the maximum price to patients of $16.40) and 50% are either general beneficiaries who have reached the safety net threshold or are concession card holders ($11.62 cost to government and $11.20 to patient (2 packs multiplied by the maximum price to patients of $5.60) in both cases).</w:t>
      </w:r>
    </w:p>
    <w:p w:rsidR="0048417A" w:rsidRPr="00196462" w:rsidRDefault="0048417A" w:rsidP="00836B55">
      <w:pPr>
        <w:pStyle w:val="TableNotes"/>
        <w:ind w:left="0"/>
        <w:rPr>
          <w:rFonts w:cs="Arial"/>
          <w:color w:val="000000"/>
          <w:sz w:val="18"/>
          <w:szCs w:val="18"/>
        </w:rPr>
      </w:pPr>
      <w:r w:rsidRPr="00196462">
        <w:rPr>
          <w:color w:val="000000"/>
          <w:sz w:val="18"/>
          <w:szCs w:val="18"/>
          <w:vertAlign w:val="superscript"/>
        </w:rPr>
        <w:t>4</w:t>
      </w:r>
      <w:r w:rsidRPr="00196462">
        <w:rPr>
          <w:color w:val="000000"/>
          <w:sz w:val="18"/>
          <w:szCs w:val="18"/>
        </w:rPr>
        <w:t xml:space="preserve"> </w:t>
      </w:r>
      <w:r w:rsidRPr="00196462">
        <w:rPr>
          <w:rFonts w:cs="Arial"/>
          <w:color w:val="000000"/>
          <w:sz w:val="18"/>
          <w:szCs w:val="18"/>
        </w:rPr>
        <w:t xml:space="preserve">MBS </w:t>
      </w:r>
      <w:proofErr w:type="gramStart"/>
      <w:r w:rsidRPr="00196462">
        <w:rPr>
          <w:rFonts w:cs="Arial"/>
          <w:color w:val="000000"/>
          <w:sz w:val="18"/>
          <w:szCs w:val="18"/>
        </w:rPr>
        <w:t>benefit,</w:t>
      </w:r>
      <w:proofErr w:type="gramEnd"/>
      <w:r w:rsidRPr="00196462">
        <w:rPr>
          <w:rFonts w:cs="Arial"/>
          <w:color w:val="000000"/>
          <w:sz w:val="18"/>
          <w:szCs w:val="18"/>
        </w:rPr>
        <w:t xml:space="preserve"> 75% of MBS fee.</w:t>
      </w:r>
    </w:p>
    <w:p w:rsidR="0048417A" w:rsidRPr="00196462" w:rsidRDefault="0048417A" w:rsidP="00836B55">
      <w:pPr>
        <w:pStyle w:val="TableNotes"/>
        <w:ind w:left="0"/>
        <w:rPr>
          <w:rFonts w:cs="Arial"/>
          <w:color w:val="000000"/>
          <w:sz w:val="18"/>
          <w:szCs w:val="18"/>
        </w:rPr>
      </w:pPr>
      <w:r w:rsidRPr="00196462">
        <w:rPr>
          <w:rFonts w:cs="Arial"/>
          <w:color w:val="000000"/>
          <w:sz w:val="18"/>
          <w:szCs w:val="18"/>
          <w:vertAlign w:val="superscript"/>
        </w:rPr>
        <w:t>5</w:t>
      </w:r>
      <w:r w:rsidRPr="00196462">
        <w:rPr>
          <w:rFonts w:cs="Arial"/>
          <w:color w:val="000000"/>
          <w:sz w:val="18"/>
          <w:szCs w:val="18"/>
        </w:rPr>
        <w:t xml:space="preserve"> Average patient </w:t>
      </w:r>
      <w:proofErr w:type="spellStart"/>
      <w:r w:rsidRPr="00196462">
        <w:rPr>
          <w:rFonts w:cs="Arial"/>
          <w:color w:val="000000"/>
          <w:sz w:val="18"/>
          <w:szCs w:val="18"/>
        </w:rPr>
        <w:t>copayment</w:t>
      </w:r>
      <w:proofErr w:type="spellEnd"/>
      <w:r w:rsidRPr="00196462">
        <w:rPr>
          <w:rFonts w:cs="Arial"/>
          <w:color w:val="000000"/>
          <w:sz w:val="18"/>
          <w:szCs w:val="18"/>
        </w:rPr>
        <w:t xml:space="preserve"> for inpatient procedure.</w:t>
      </w:r>
    </w:p>
    <w:p w:rsidR="0048417A" w:rsidRPr="00196462" w:rsidRDefault="0048417A" w:rsidP="00836B55">
      <w:pPr>
        <w:pStyle w:val="TableNotes"/>
        <w:ind w:left="0"/>
      </w:pPr>
      <w:r w:rsidRPr="00196462">
        <w:rPr>
          <w:rFonts w:cs="Arial"/>
          <w:color w:val="000000"/>
          <w:sz w:val="18"/>
          <w:szCs w:val="18"/>
        </w:rPr>
        <w:t>* ALOS = average length of stay (in days).</w:t>
      </w:r>
    </w:p>
    <w:p w:rsidR="0048417A" w:rsidRPr="002820A4" w:rsidRDefault="0048417A" w:rsidP="00836B55">
      <w:pPr>
        <w:sectPr w:rsidR="0048417A" w:rsidRPr="002820A4" w:rsidSect="00836B55">
          <w:pgSz w:w="16838" w:h="11906" w:orient="landscape"/>
          <w:pgMar w:top="1440" w:right="1440" w:bottom="1440" w:left="1440" w:header="720" w:footer="720" w:gutter="0"/>
          <w:paperSrc w:first="7" w:other="7"/>
          <w:cols w:space="720"/>
          <w:docGrid w:linePitch="326"/>
        </w:sectPr>
      </w:pPr>
    </w:p>
    <w:p w:rsidR="0048417A" w:rsidRPr="002820A4" w:rsidRDefault="0048417A" w:rsidP="00836B55"/>
    <w:p w:rsidR="0048417A" w:rsidRPr="00196462" w:rsidRDefault="0048417A" w:rsidP="00836B55">
      <w:r w:rsidRPr="00196462">
        <w:t xml:space="preserve">Capsule retention will incur costs for society. If a high estimate for the capsule retention rate of 15% is applied the average cost of a capsule endoscopy is $2,439. This is the cost of capsule endoscopy for the MBS ($1,890.75) plus the average patient </w:t>
      </w:r>
      <w:proofErr w:type="spellStart"/>
      <w:r w:rsidRPr="00196462">
        <w:t>copayment</w:t>
      </w:r>
      <w:proofErr w:type="spellEnd"/>
      <w:r w:rsidRPr="00196462">
        <w:t xml:space="preserve"> ($32.95) plus 15% of the average cost of capsule retention (0.15*[$3,149.46+$292.02]). However, it is important to note that surgery is not always performed merely to remove the capsule but rather patients may have the capsule removed during surgery that was otherwise indicated. When the cost of surgery is not ascribed to capsule retention, the average cost of a capsule endoscopy is $2,085 ($1,890.75 + $32.95 + 0.15*[$784.46+$292.02]) (see </w:t>
      </w:r>
      <w:r w:rsidR="00AE591B">
        <w:fldChar w:fldCharType="begin"/>
      </w:r>
      <w:r w:rsidR="00AE591B">
        <w:instrText xml:space="preserve"> REF _Ref288120452 \h  \* MERGEFORMAT </w:instrText>
      </w:r>
      <w:r w:rsidR="00AE591B">
        <w:fldChar w:fldCharType="separate"/>
      </w:r>
      <w:r w:rsidRPr="00196462">
        <w:t xml:space="preserve">Table </w:t>
      </w:r>
      <w:r>
        <w:rPr>
          <w:noProof/>
        </w:rPr>
        <w:t>27</w:t>
      </w:r>
      <w:r w:rsidR="00AE591B">
        <w:fldChar w:fldCharType="end"/>
      </w:r>
      <w:r w:rsidRPr="00196462">
        <w:t xml:space="preserve">). </w:t>
      </w:r>
    </w:p>
    <w:p w:rsidR="0048417A" w:rsidRPr="00196462" w:rsidRDefault="0048417A" w:rsidP="00836B55">
      <w:pPr>
        <w:pStyle w:val="TableName"/>
        <w:ind w:left="1485" w:hanging="765"/>
        <w:rPr>
          <w:rFonts w:ascii="Arial" w:hAnsi="Arial" w:cs="Arial"/>
        </w:rPr>
      </w:pPr>
      <w:bookmarkStart w:id="209" w:name="_Ref288120452"/>
      <w:bookmarkStart w:id="210" w:name="_Toc286751733"/>
      <w:bookmarkStart w:id="211" w:name="_Toc291859589"/>
      <w:r w:rsidRPr="00196462">
        <w:t xml:space="preserve">Table </w:t>
      </w:r>
      <w:r w:rsidR="00AE591B">
        <w:fldChar w:fldCharType="begin"/>
      </w:r>
      <w:r w:rsidR="00AE591B">
        <w:instrText xml:space="preserve"> SEQ Table \* ARABIC </w:instrText>
      </w:r>
      <w:r w:rsidR="00AE591B">
        <w:fldChar w:fldCharType="separate"/>
      </w:r>
      <w:r>
        <w:rPr>
          <w:noProof/>
        </w:rPr>
        <w:t>27</w:t>
      </w:r>
      <w:r w:rsidR="00AE591B">
        <w:rPr>
          <w:noProof/>
        </w:rPr>
        <w:fldChar w:fldCharType="end"/>
      </w:r>
      <w:bookmarkEnd w:id="209"/>
      <w:r w:rsidRPr="00196462">
        <w:tab/>
        <w:t>Estimated average cost of capsule endoscopy</w:t>
      </w:r>
      <w:bookmarkEnd w:id="210"/>
      <w:bookmarkEnd w:id="211"/>
    </w:p>
    <w:tbl>
      <w:tblPr>
        <w:tblW w:w="0" w:type="auto"/>
        <w:tblInd w:w="720" w:type="dxa"/>
        <w:tblBorders>
          <w:top w:val="single" w:sz="4" w:space="0" w:color="000000"/>
          <w:bottom w:val="single" w:sz="4" w:space="0" w:color="000000"/>
        </w:tblBorders>
        <w:tblLook w:val="00A0" w:firstRow="1" w:lastRow="0" w:firstColumn="1" w:lastColumn="0" w:noHBand="0" w:noVBand="0"/>
      </w:tblPr>
      <w:tblGrid>
        <w:gridCol w:w="2883"/>
        <w:gridCol w:w="1325"/>
        <w:gridCol w:w="1417"/>
        <w:gridCol w:w="1418"/>
      </w:tblGrid>
      <w:tr w:rsidR="0048417A" w:rsidRPr="00196462" w:rsidTr="00836B55">
        <w:tc>
          <w:tcPr>
            <w:tcW w:w="0" w:type="auto"/>
            <w:tcBorders>
              <w:top w:val="single" w:sz="4" w:space="0" w:color="000000"/>
              <w:bottom w:val="single" w:sz="4" w:space="0" w:color="000000"/>
            </w:tcBorders>
            <w:shd w:val="clear" w:color="auto" w:fill="D9D9D9"/>
            <w:vAlign w:val="center"/>
          </w:tcPr>
          <w:p w:rsidR="0048417A" w:rsidRPr="00196462" w:rsidRDefault="0048417A" w:rsidP="00836B55">
            <w:pPr>
              <w:pStyle w:val="TableHeading"/>
            </w:pPr>
            <w:r w:rsidRPr="00196462">
              <w:t>Scenario</w:t>
            </w:r>
          </w:p>
        </w:tc>
        <w:tc>
          <w:tcPr>
            <w:tcW w:w="1325" w:type="dxa"/>
            <w:tcBorders>
              <w:top w:val="single" w:sz="4" w:space="0" w:color="000000"/>
              <w:bottom w:val="single" w:sz="4" w:space="0" w:color="000000"/>
            </w:tcBorders>
            <w:shd w:val="clear" w:color="auto" w:fill="D9D9D9"/>
            <w:vAlign w:val="center"/>
          </w:tcPr>
          <w:p w:rsidR="0048417A" w:rsidRPr="00196462" w:rsidRDefault="0048417A" w:rsidP="00836B55">
            <w:pPr>
              <w:pStyle w:val="TableHeading"/>
            </w:pPr>
            <w:r w:rsidRPr="00196462">
              <w:t>Cost to MBS</w:t>
            </w:r>
          </w:p>
        </w:tc>
        <w:tc>
          <w:tcPr>
            <w:tcW w:w="1417" w:type="dxa"/>
            <w:tcBorders>
              <w:top w:val="single" w:sz="4" w:space="0" w:color="000000"/>
              <w:bottom w:val="single" w:sz="4" w:space="0" w:color="000000"/>
            </w:tcBorders>
            <w:shd w:val="clear" w:color="auto" w:fill="D9D9D9"/>
          </w:tcPr>
          <w:p w:rsidR="0048417A" w:rsidRPr="00196462" w:rsidRDefault="0048417A" w:rsidP="00836B55">
            <w:pPr>
              <w:pStyle w:val="TableHeading"/>
            </w:pPr>
            <w:r w:rsidRPr="00196462">
              <w:t xml:space="preserve">Patient </w:t>
            </w:r>
            <w:proofErr w:type="spellStart"/>
            <w:r w:rsidRPr="00196462">
              <w:t>copayments</w:t>
            </w:r>
            <w:proofErr w:type="spellEnd"/>
          </w:p>
        </w:tc>
        <w:tc>
          <w:tcPr>
            <w:tcW w:w="1418" w:type="dxa"/>
            <w:tcBorders>
              <w:top w:val="single" w:sz="4" w:space="0" w:color="000000"/>
              <w:bottom w:val="single" w:sz="4" w:space="0" w:color="000000"/>
            </w:tcBorders>
            <w:shd w:val="clear" w:color="auto" w:fill="D9D9D9"/>
          </w:tcPr>
          <w:p w:rsidR="0048417A" w:rsidRPr="00196462" w:rsidRDefault="0048417A" w:rsidP="00836B55">
            <w:pPr>
              <w:pStyle w:val="TableHeading"/>
            </w:pPr>
            <w:r w:rsidRPr="00196462">
              <w:t>Total cost to society</w:t>
            </w:r>
          </w:p>
        </w:tc>
      </w:tr>
      <w:tr w:rsidR="0048417A" w:rsidRPr="00196462" w:rsidTr="00836B55">
        <w:tc>
          <w:tcPr>
            <w:tcW w:w="0" w:type="auto"/>
            <w:tcBorders>
              <w:top w:val="single" w:sz="4" w:space="0" w:color="000000"/>
            </w:tcBorders>
            <w:vAlign w:val="center"/>
          </w:tcPr>
          <w:p w:rsidR="0048417A" w:rsidRPr="00196462" w:rsidRDefault="0048417A" w:rsidP="00836B55">
            <w:pPr>
              <w:pStyle w:val="TableText"/>
            </w:pPr>
            <w:r w:rsidRPr="00196462">
              <w:t>No retention</w:t>
            </w:r>
          </w:p>
        </w:tc>
        <w:tc>
          <w:tcPr>
            <w:tcW w:w="1325" w:type="dxa"/>
            <w:tcBorders>
              <w:top w:val="single" w:sz="4" w:space="0" w:color="000000"/>
            </w:tcBorders>
            <w:vAlign w:val="center"/>
          </w:tcPr>
          <w:p w:rsidR="0048417A" w:rsidRPr="00196462" w:rsidRDefault="0048417A" w:rsidP="00836B55">
            <w:pPr>
              <w:pStyle w:val="TableText"/>
            </w:pPr>
            <w:r w:rsidRPr="00196462">
              <w:t>$1,890.75</w:t>
            </w:r>
          </w:p>
        </w:tc>
        <w:tc>
          <w:tcPr>
            <w:tcW w:w="1417" w:type="dxa"/>
            <w:tcBorders>
              <w:top w:val="single" w:sz="4" w:space="0" w:color="000000"/>
            </w:tcBorders>
          </w:tcPr>
          <w:p w:rsidR="0048417A" w:rsidRPr="00196462" w:rsidRDefault="0048417A" w:rsidP="00836B55">
            <w:pPr>
              <w:pStyle w:val="TableText"/>
            </w:pPr>
            <w:r w:rsidRPr="00196462">
              <w:t>$32.95</w:t>
            </w:r>
          </w:p>
        </w:tc>
        <w:tc>
          <w:tcPr>
            <w:tcW w:w="1418" w:type="dxa"/>
            <w:tcBorders>
              <w:top w:val="single" w:sz="4" w:space="0" w:color="000000"/>
            </w:tcBorders>
          </w:tcPr>
          <w:p w:rsidR="0048417A" w:rsidRPr="00196462" w:rsidRDefault="0048417A" w:rsidP="00836B55">
            <w:pPr>
              <w:pStyle w:val="TableText"/>
            </w:pPr>
            <w:r w:rsidRPr="00196462">
              <w:t>$1,923.70</w:t>
            </w:r>
          </w:p>
        </w:tc>
      </w:tr>
      <w:tr w:rsidR="0048417A" w:rsidRPr="00196462" w:rsidTr="00836B55">
        <w:tc>
          <w:tcPr>
            <w:tcW w:w="0" w:type="auto"/>
            <w:vAlign w:val="center"/>
          </w:tcPr>
          <w:p w:rsidR="0048417A" w:rsidRPr="00196462" w:rsidRDefault="0048417A" w:rsidP="00836B55">
            <w:pPr>
              <w:pStyle w:val="TableText"/>
            </w:pPr>
            <w:r w:rsidRPr="00196462">
              <w:t>15% retention, costs of surgery excluded</w:t>
            </w:r>
          </w:p>
        </w:tc>
        <w:tc>
          <w:tcPr>
            <w:tcW w:w="1325" w:type="dxa"/>
            <w:vAlign w:val="center"/>
          </w:tcPr>
          <w:p w:rsidR="0048417A" w:rsidRPr="00196462" w:rsidRDefault="0048417A" w:rsidP="00836B55">
            <w:pPr>
              <w:pStyle w:val="TableText"/>
            </w:pPr>
            <w:r w:rsidRPr="00196462">
              <w:t>$2,008.42</w:t>
            </w:r>
          </w:p>
        </w:tc>
        <w:tc>
          <w:tcPr>
            <w:tcW w:w="1417" w:type="dxa"/>
          </w:tcPr>
          <w:p w:rsidR="0048417A" w:rsidRPr="00196462" w:rsidRDefault="0048417A" w:rsidP="00836B55">
            <w:pPr>
              <w:pStyle w:val="TableText"/>
            </w:pPr>
            <w:r w:rsidRPr="00196462">
              <w:t>$76.75</w:t>
            </w:r>
          </w:p>
        </w:tc>
        <w:tc>
          <w:tcPr>
            <w:tcW w:w="1418" w:type="dxa"/>
          </w:tcPr>
          <w:p w:rsidR="0048417A" w:rsidRPr="00196462" w:rsidRDefault="0048417A" w:rsidP="00836B55">
            <w:pPr>
              <w:pStyle w:val="TableText"/>
            </w:pPr>
            <w:r w:rsidRPr="00196462">
              <w:t>$2,085.17</w:t>
            </w:r>
          </w:p>
        </w:tc>
      </w:tr>
      <w:tr w:rsidR="0048417A" w:rsidRPr="004D57B3" w:rsidTr="00836B55">
        <w:tc>
          <w:tcPr>
            <w:tcW w:w="0" w:type="auto"/>
            <w:tcBorders>
              <w:bottom w:val="single" w:sz="4" w:space="0" w:color="000000"/>
            </w:tcBorders>
            <w:vAlign w:val="center"/>
          </w:tcPr>
          <w:p w:rsidR="0048417A" w:rsidRPr="00196462" w:rsidRDefault="0048417A" w:rsidP="00836B55">
            <w:pPr>
              <w:pStyle w:val="TableText"/>
            </w:pPr>
            <w:r w:rsidRPr="00196462">
              <w:t>15% retention, costs of surgery included</w:t>
            </w:r>
          </w:p>
        </w:tc>
        <w:tc>
          <w:tcPr>
            <w:tcW w:w="1325" w:type="dxa"/>
            <w:tcBorders>
              <w:bottom w:val="single" w:sz="4" w:space="0" w:color="000000"/>
            </w:tcBorders>
            <w:vAlign w:val="center"/>
          </w:tcPr>
          <w:p w:rsidR="0048417A" w:rsidRPr="00196462" w:rsidRDefault="0048417A" w:rsidP="00836B55">
            <w:pPr>
              <w:pStyle w:val="TableText"/>
            </w:pPr>
            <w:r w:rsidRPr="00196462">
              <w:t>$2,363.17</w:t>
            </w:r>
          </w:p>
        </w:tc>
        <w:tc>
          <w:tcPr>
            <w:tcW w:w="1417" w:type="dxa"/>
            <w:tcBorders>
              <w:bottom w:val="single" w:sz="4" w:space="0" w:color="000000"/>
            </w:tcBorders>
          </w:tcPr>
          <w:p w:rsidR="0048417A" w:rsidRPr="00196462" w:rsidRDefault="0048417A" w:rsidP="00836B55">
            <w:pPr>
              <w:pStyle w:val="TableText"/>
            </w:pPr>
            <w:r w:rsidRPr="00196462">
              <w:t>$76.75</w:t>
            </w:r>
          </w:p>
        </w:tc>
        <w:tc>
          <w:tcPr>
            <w:tcW w:w="1418" w:type="dxa"/>
            <w:tcBorders>
              <w:bottom w:val="single" w:sz="4" w:space="0" w:color="000000"/>
            </w:tcBorders>
          </w:tcPr>
          <w:p w:rsidR="0048417A" w:rsidRPr="00196462" w:rsidRDefault="0048417A" w:rsidP="00836B55">
            <w:pPr>
              <w:pStyle w:val="TableText"/>
            </w:pPr>
            <w:r w:rsidRPr="00196462">
              <w:t>$2,439.92</w:t>
            </w:r>
          </w:p>
        </w:tc>
      </w:tr>
    </w:tbl>
    <w:p w:rsidR="0048417A" w:rsidRDefault="0048417A" w:rsidP="00836B55">
      <w:pPr>
        <w:pStyle w:val="Heading4"/>
        <w:ind w:left="0" w:firstLine="720"/>
      </w:pPr>
    </w:p>
    <w:p w:rsidR="0048417A" w:rsidRPr="004D57B3" w:rsidRDefault="0048417A" w:rsidP="00836B55">
      <w:pPr>
        <w:pStyle w:val="Heading4"/>
        <w:ind w:left="0" w:firstLine="720"/>
      </w:pPr>
      <w:r w:rsidRPr="004D57B3">
        <w:t>The cost of MRI and MRE</w:t>
      </w:r>
    </w:p>
    <w:p w:rsidR="0048417A" w:rsidRPr="004D57B3" w:rsidRDefault="0048417A" w:rsidP="00836B55">
      <w:r w:rsidRPr="004D57B3">
        <w:t>MRI and MRE are currently not funded on the MBS for the purpose of diagnosing small bowel Crohn’s disease. Expert advice suggests that MRE is likely to cost more than MRI, due to the longer duration and special expertise required to perform the procedure, but no cost price is available for this economic analysis.</w:t>
      </w:r>
    </w:p>
    <w:p w:rsidR="0048417A" w:rsidRPr="00196462" w:rsidRDefault="0048417A" w:rsidP="00836B55">
      <w:pPr>
        <w:pStyle w:val="Heading4"/>
        <w:ind w:left="0" w:firstLine="720"/>
      </w:pPr>
      <w:r w:rsidRPr="004D57B3">
        <w:t xml:space="preserve">The </w:t>
      </w:r>
      <w:r w:rsidRPr="00196462">
        <w:t>cost of CT</w:t>
      </w:r>
    </w:p>
    <w:p w:rsidR="0048417A" w:rsidRPr="00196462" w:rsidRDefault="0048417A" w:rsidP="00836B55">
      <w:r w:rsidRPr="00196462">
        <w:t xml:space="preserve">The current MBS fee for CT with intravenous contrast medium is $480.05 (MBS item 56507). The </w:t>
      </w:r>
      <w:r w:rsidRPr="00196462">
        <w:rPr>
          <w:szCs w:val="24"/>
        </w:rPr>
        <w:t xml:space="preserve">listed 85% reimbursement fee </w:t>
      </w:r>
      <w:r w:rsidRPr="00196462">
        <w:t xml:space="preserve">is $408.85. This cost is used for both CT and CTE. </w:t>
      </w:r>
    </w:p>
    <w:p w:rsidR="0048417A" w:rsidRDefault="0048417A" w:rsidP="00836B55">
      <w:pPr>
        <w:rPr>
          <w:szCs w:val="24"/>
        </w:rPr>
      </w:pPr>
      <w:r w:rsidRPr="00196462">
        <w:rPr>
          <w:szCs w:val="24"/>
        </w:rPr>
        <w:t xml:space="preserve">The average </w:t>
      </w:r>
      <w:proofErr w:type="spellStart"/>
      <w:r w:rsidRPr="00196462">
        <w:rPr>
          <w:szCs w:val="24"/>
        </w:rPr>
        <w:t>copayment</w:t>
      </w:r>
      <w:proofErr w:type="spellEnd"/>
      <w:r w:rsidRPr="00196462">
        <w:rPr>
          <w:szCs w:val="24"/>
        </w:rPr>
        <w:t xml:space="preserve"> for CT performed in an outpatient setting is $25.32. </w:t>
      </w:r>
      <w:r w:rsidRPr="00196462">
        <w:t>Hence, the average cost of CT/CTE is $434.17 ($408.85 to the government and $25.32 to the patient).</w:t>
      </w:r>
    </w:p>
    <w:p w:rsidR="0048417A" w:rsidRPr="004D57B3" w:rsidRDefault="0048417A" w:rsidP="00836B55">
      <w:pPr>
        <w:pStyle w:val="Heading3"/>
      </w:pPr>
      <w:r w:rsidRPr="004D57B3">
        <w:t>Estimate of consequences (health outcomes)</w:t>
      </w:r>
    </w:p>
    <w:p w:rsidR="0048417A" w:rsidRPr="004D57B3" w:rsidRDefault="0048417A" w:rsidP="00836B55">
      <w:r>
        <w:t>C</w:t>
      </w:r>
      <w:r w:rsidRPr="004D57B3">
        <w:t>apsule endoscopy is considered to be a safe procedure and has a low risk of adverse events, such as nausea, vomiting and pain. It may, however, lead to capsule retention in up to 15% of cases, approximately half of which may be removed during surgery. Most subjects who retain the capsule do not experience any symptoms as a result of the retention. Unlike CT, capsule endoscopy involves no exposure to ionising radiation, and provides a potential clinical pathway that minimises the repetition of ionising radiation exposure, as prior small bowel radiology is still required.</w:t>
      </w:r>
      <w:r w:rsidRPr="004D57B3" w:rsidDel="00B35215">
        <w:t xml:space="preserve"> </w:t>
      </w:r>
    </w:p>
    <w:p w:rsidR="0048417A" w:rsidRPr="004D57B3" w:rsidRDefault="0048417A" w:rsidP="00836B55">
      <w:r w:rsidRPr="004D57B3">
        <w:t xml:space="preserve">The main potential consequence of adding capsule endoscopy to the conventional diagnostic pathway is an increase in timely diagnoses of Crohn’s disease. This may lead to changes in patient management, and may ultimately result in improved patient outcomes. These potential benefits were endorsed by the Advisory Panel (see page </w:t>
      </w:r>
      <w:r w:rsidRPr="004D57B3">
        <w:fldChar w:fldCharType="begin"/>
      </w:r>
      <w:r w:rsidRPr="004D57B3">
        <w:instrText xml:space="preserve"> PAGEREF _Ref285462422 \h </w:instrText>
      </w:r>
      <w:r w:rsidRPr="004D57B3">
        <w:fldChar w:fldCharType="separate"/>
      </w:r>
      <w:r>
        <w:rPr>
          <w:noProof/>
        </w:rPr>
        <w:t>63</w:t>
      </w:r>
      <w:r w:rsidRPr="004D57B3">
        <w:fldChar w:fldCharType="end"/>
      </w:r>
      <w:r w:rsidRPr="004D57B3">
        <w:t xml:space="preserve">). Based on evidence from this report, capsule endoscopy is likely to have at least comparable accuracy to MR. The comparative accuracy of capsule endoscopy and CT could not be </w:t>
      </w:r>
      <w:r w:rsidRPr="004D57B3">
        <w:lastRenderedPageBreak/>
        <w:t>assessed. In addition, studies documenting changes in patient management due to capsule endoscopy were not identified. The impact of capsule endoscopy findings on patient management is therefore unknown and the resultant impact on health outcomes is uncertain.</w:t>
      </w:r>
    </w:p>
    <w:p w:rsidR="0048417A" w:rsidRPr="00196462" w:rsidRDefault="0048417A" w:rsidP="00836B55">
      <w:pPr>
        <w:pStyle w:val="Heading3"/>
      </w:pPr>
      <w:r w:rsidRPr="004D57B3">
        <w:t xml:space="preserve">Summary of </w:t>
      </w:r>
      <w:r>
        <w:t xml:space="preserve">the </w:t>
      </w:r>
      <w:r w:rsidRPr="004D57B3">
        <w:t xml:space="preserve">costs and consequences of capsule endoscopy </w:t>
      </w:r>
      <w:r w:rsidRPr="00196462">
        <w:t>versus MR and CT</w:t>
      </w:r>
    </w:p>
    <w:p w:rsidR="0048417A" w:rsidRPr="00196462" w:rsidRDefault="0048417A" w:rsidP="00836B55">
      <w:r w:rsidRPr="00196462">
        <w:rPr>
          <w:szCs w:val="24"/>
        </w:rPr>
        <w:t>In summary, the average cost of capsule endoscopy to society ranges between $</w:t>
      </w:r>
      <w:r w:rsidRPr="00196462">
        <w:t xml:space="preserve">1,924 per test ($1890.74 to the government and $32.95 to the patient) </w:t>
      </w:r>
      <w:r w:rsidRPr="00196462">
        <w:rPr>
          <w:szCs w:val="24"/>
        </w:rPr>
        <w:t xml:space="preserve">when the costs of capsule retention are not taken into account to </w:t>
      </w:r>
      <w:r w:rsidRPr="00196462">
        <w:t xml:space="preserve">$2,085 per test ($2,008.42 to the government and $76.75 to the patient) </w:t>
      </w:r>
      <w:r w:rsidRPr="00196462">
        <w:rPr>
          <w:szCs w:val="24"/>
        </w:rPr>
        <w:t xml:space="preserve">when a 15% capsule retention rate is assumed but the costs of surgery to remove the retained capsule are not attributed to capsule endoscopy. </w:t>
      </w:r>
      <w:r w:rsidRPr="00196462">
        <w:t xml:space="preserve">The average cost of CT/CTE is $434 per test ($408.85 to the government and $25.32 to the patient). MRI/MRE as a diagnostic test for Crohn’s disease is currently not funded through the MBS. </w:t>
      </w:r>
    </w:p>
    <w:p w:rsidR="0048417A" w:rsidRPr="00196462" w:rsidRDefault="0048417A" w:rsidP="00836B55">
      <w:r w:rsidRPr="00196462">
        <w:t>The consequences of introducing capsule endoscopy for patient management, compared to a repeat CT/CTE or MR/MRI, are unknown and the resultant impact on health outcomes is uncertain.</w:t>
      </w:r>
    </w:p>
    <w:p w:rsidR="0048417A" w:rsidRPr="00196462" w:rsidRDefault="0048417A" w:rsidP="00836B55">
      <w:pPr>
        <w:pStyle w:val="Heading2"/>
      </w:pPr>
      <w:bookmarkStart w:id="212" w:name="_Toc283389465"/>
      <w:bookmarkStart w:id="213" w:name="_Toc286751685"/>
      <w:bookmarkStart w:id="214" w:name="_Toc296517894"/>
      <w:r w:rsidRPr="00196462">
        <w:t>Estimation of the financial implications of the introduction of capsule endoscopy</w:t>
      </w:r>
      <w:bookmarkEnd w:id="212"/>
      <w:bookmarkEnd w:id="213"/>
      <w:bookmarkEnd w:id="214"/>
    </w:p>
    <w:p w:rsidR="0048417A" w:rsidRDefault="0048417A" w:rsidP="00836B55">
      <w:r w:rsidRPr="00196462">
        <w:t xml:space="preserve">The estimated utilisation of capsule endoscopy for the diagnosis of small bowel Crohn’s disease unconfirmed on prior tests lies between 664 and 1,431 per year (see page </w:t>
      </w:r>
      <w:r w:rsidRPr="00196462">
        <w:fldChar w:fldCharType="begin"/>
      </w:r>
      <w:r w:rsidRPr="00196462">
        <w:instrText xml:space="preserve"> PAGEREF _Ref282073877 \h </w:instrText>
      </w:r>
      <w:r w:rsidRPr="00196462">
        <w:fldChar w:fldCharType="separate"/>
      </w:r>
      <w:r>
        <w:rPr>
          <w:noProof/>
        </w:rPr>
        <w:t>23</w:t>
      </w:r>
      <w:r w:rsidRPr="00196462">
        <w:fldChar w:fldCharType="end"/>
      </w:r>
      <w:r w:rsidRPr="00196462">
        <w:t xml:space="preserve"> for detailed calculations). The estimated utilisation refers to the number of patients per year, not the number of tests. In this analysis, it is assumed that each patient will undergo one capsule endoscopy per year in an outpatient setting and no capsules are retained. The zero retention assumption was adopted on the basis that the most applicable studies had a capsule retention rate of 0-1% </w:t>
      </w:r>
      <w:r w:rsidRPr="00196462">
        <w:rPr>
          <w:noProof/>
        </w:rPr>
        <w:t>(Selby et al 2008; Tukey et al 2009)</w:t>
      </w:r>
      <w:r w:rsidRPr="00196462">
        <w:t>. While the range of retention rates from the assessment was 0-15% (</w:t>
      </w:r>
      <w:r w:rsidR="00AE591B">
        <w:fldChar w:fldCharType="begin"/>
      </w:r>
      <w:r w:rsidR="00AE591B">
        <w:instrText xml:space="preserve"> REF _Ref278294060 \h  \* MERGEFORMAT </w:instrText>
      </w:r>
      <w:r w:rsidR="00AE591B">
        <w:fldChar w:fldCharType="separate"/>
      </w:r>
      <w:r w:rsidRPr="004D57B3">
        <w:t xml:space="preserve">Table </w:t>
      </w:r>
      <w:r>
        <w:rPr>
          <w:noProof/>
        </w:rPr>
        <w:t>21</w:t>
      </w:r>
      <w:r w:rsidR="00AE591B">
        <w:fldChar w:fldCharType="end"/>
      </w:r>
      <w:r w:rsidRPr="00196462">
        <w:t>), expert opinion suggested that the capsule rate was likely to be closer to 0-1%.</w:t>
      </w:r>
      <w:r w:rsidRPr="00196462">
        <w:rPr>
          <w:rFonts w:ascii="Arial" w:hAnsi="Arial" w:cs="Arial"/>
          <w:sz w:val="20"/>
        </w:rPr>
        <w:t xml:space="preserve"> </w:t>
      </w:r>
      <w:r w:rsidRPr="00196462">
        <w:t>The potential cost of capsule endoscopy to society was estimated based on</w:t>
      </w:r>
      <w:r w:rsidRPr="004D57B3">
        <w:t xml:space="preserve"> th</w:t>
      </w:r>
      <w:r>
        <w:t>e</w:t>
      </w:r>
      <w:r w:rsidRPr="004D57B3">
        <w:t xml:space="preserve"> potential utilisation of capsule endoscopy.</w:t>
      </w:r>
    </w:p>
    <w:p w:rsidR="0048417A" w:rsidRPr="00196462" w:rsidRDefault="0048417A" w:rsidP="00836B55">
      <w:r w:rsidRPr="004D57B3">
        <w:t xml:space="preserve">If publicly funded, capsule endoscopy will replace repeat CT/CTE or MRI/MRE tests currently performed in the patient population to diagnose Crohn’s disease. Therefore, some of the costs of capsule endoscopy will be offset by a reduction in reimbursement costs for repeat CT/CTEs. For MRI/MRE an estimate of the financial implications cannot be provided, since MRI/MRE is currently not publicly </w:t>
      </w:r>
      <w:r w:rsidRPr="00196462">
        <w:t xml:space="preserve">funded through the MBS for the diagnosis of Crohn’s disease. </w:t>
      </w:r>
    </w:p>
    <w:p w:rsidR="0048417A" w:rsidRPr="00196462" w:rsidRDefault="0048417A" w:rsidP="00836B55">
      <w:pPr>
        <w:pStyle w:val="Heading3"/>
      </w:pPr>
      <w:r w:rsidRPr="00196462">
        <w:t>Implication for the extended safety net</w:t>
      </w:r>
    </w:p>
    <w:p w:rsidR="0048417A" w:rsidRPr="00196462" w:rsidRDefault="0048417A" w:rsidP="00836B55">
      <w:pPr>
        <w:rPr>
          <w:szCs w:val="24"/>
        </w:rPr>
      </w:pPr>
      <w:r>
        <w:rPr>
          <w:szCs w:val="24"/>
        </w:rPr>
        <w:t>C</w:t>
      </w:r>
      <w:r w:rsidRPr="00196462">
        <w:rPr>
          <w:szCs w:val="24"/>
        </w:rPr>
        <w:t xml:space="preserve">apsule endoscopy is undertaken in the outpatient setting and therefore the </w:t>
      </w:r>
      <w:proofErr w:type="spellStart"/>
      <w:r w:rsidRPr="00196462">
        <w:rPr>
          <w:szCs w:val="24"/>
        </w:rPr>
        <w:t>copayment</w:t>
      </w:r>
      <w:proofErr w:type="spellEnd"/>
      <w:r w:rsidRPr="00196462">
        <w:rPr>
          <w:szCs w:val="24"/>
        </w:rPr>
        <w:t xml:space="preserve"> will contribute to the Extended Medicare Safety Net (EMSN). Out-of-pocket contributions for capsule endoscopy are only slightly higher than for CTs performed in outpatient setting ($32.95 versus $25.32). Hence, the introduction of capsule endoscopy, replacing CT/CTE, is unlikely to have a significant impact upon the EMSN.</w:t>
      </w:r>
    </w:p>
    <w:p w:rsidR="0048417A" w:rsidRPr="00196462" w:rsidRDefault="0048417A" w:rsidP="00836B55">
      <w:pPr>
        <w:pStyle w:val="Heading3"/>
      </w:pPr>
      <w:r w:rsidRPr="00196462">
        <w:lastRenderedPageBreak/>
        <w:t>Financial implications</w:t>
      </w:r>
    </w:p>
    <w:p w:rsidR="0048417A" w:rsidRPr="00196462" w:rsidRDefault="0048417A" w:rsidP="00836B55">
      <w:r w:rsidRPr="00196462">
        <w:t xml:space="preserve">The estimated costs of capsule endoscopy and CT/CTE for diagnosing small bowel Crohn’s disease are presented in </w:t>
      </w:r>
      <w:r w:rsidR="00AE591B">
        <w:fldChar w:fldCharType="begin"/>
      </w:r>
      <w:r w:rsidR="00AE591B">
        <w:instrText xml:space="preserve"> REF _Ref283374033 \h  \* MERGEFORMAT </w:instrText>
      </w:r>
      <w:r w:rsidR="00AE591B">
        <w:fldChar w:fldCharType="separate"/>
      </w:r>
      <w:r w:rsidRPr="00196462">
        <w:t xml:space="preserve">Table </w:t>
      </w:r>
      <w:r>
        <w:rPr>
          <w:noProof/>
        </w:rPr>
        <w:t>28</w:t>
      </w:r>
      <w:r w:rsidR="00AE591B">
        <w:fldChar w:fldCharType="end"/>
      </w:r>
      <w:r w:rsidRPr="00196462">
        <w:t xml:space="preserve">. This estimation used the MBS benefits for capsule endoscopy and CT/CTE, which are $1,890.75 and $408.85 respectively, and average patient </w:t>
      </w:r>
      <w:proofErr w:type="spellStart"/>
      <w:r w:rsidRPr="00196462">
        <w:t>copayments</w:t>
      </w:r>
      <w:proofErr w:type="spellEnd"/>
      <w:r w:rsidRPr="00196462">
        <w:t xml:space="preserve">, which are $32.95 and $25.32 respectively. </w:t>
      </w:r>
    </w:p>
    <w:p w:rsidR="0048417A" w:rsidRDefault="0048417A" w:rsidP="00836B55">
      <w:pPr>
        <w:pStyle w:val="TableName"/>
        <w:ind w:left="1485" w:hanging="765"/>
      </w:pPr>
      <w:bookmarkStart w:id="215" w:name="_Ref283374033"/>
      <w:bookmarkStart w:id="216" w:name="_Toc283389515"/>
      <w:bookmarkStart w:id="217" w:name="_Toc286751736"/>
      <w:bookmarkStart w:id="218" w:name="_Toc291859590"/>
      <w:r w:rsidRPr="00196462">
        <w:t xml:space="preserve">Table </w:t>
      </w:r>
      <w:r w:rsidR="00AE591B">
        <w:fldChar w:fldCharType="begin"/>
      </w:r>
      <w:r w:rsidR="00AE591B">
        <w:instrText xml:space="preserve"> SEQ Table \* ARABIC </w:instrText>
      </w:r>
      <w:r w:rsidR="00AE591B">
        <w:fldChar w:fldCharType="separate"/>
      </w:r>
      <w:r>
        <w:rPr>
          <w:noProof/>
        </w:rPr>
        <w:t>28</w:t>
      </w:r>
      <w:r w:rsidR="00AE591B">
        <w:rPr>
          <w:noProof/>
        </w:rPr>
        <w:fldChar w:fldCharType="end"/>
      </w:r>
      <w:bookmarkEnd w:id="215"/>
      <w:r w:rsidRPr="00196462">
        <w:tab/>
        <w:t>Estimated total annual cost of CE and CT as a second line test for diagnosing small bowel Crohn’s disease</w:t>
      </w:r>
      <w:bookmarkEnd w:id="216"/>
      <w:bookmarkEnd w:id="217"/>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0"/>
        <w:gridCol w:w="2270"/>
        <w:gridCol w:w="2432"/>
      </w:tblGrid>
      <w:tr w:rsidR="0048417A" w:rsidTr="00836B55">
        <w:tc>
          <w:tcPr>
            <w:tcW w:w="2456" w:type="pct"/>
            <w:tcBorders>
              <w:left w:val="nil"/>
              <w:right w:val="nil"/>
            </w:tcBorders>
          </w:tcPr>
          <w:p w:rsidR="0048417A" w:rsidRPr="00A25173" w:rsidRDefault="0048417A" w:rsidP="00836B55">
            <w:pPr>
              <w:pStyle w:val="TableName"/>
              <w:ind w:left="0" w:firstLine="0"/>
              <w:jc w:val="both"/>
              <w:rPr>
                <w:rFonts w:cs="Arial"/>
              </w:rPr>
            </w:pPr>
          </w:p>
        </w:tc>
        <w:tc>
          <w:tcPr>
            <w:tcW w:w="1228" w:type="pct"/>
            <w:tcBorders>
              <w:left w:val="nil"/>
              <w:right w:val="nil"/>
            </w:tcBorders>
          </w:tcPr>
          <w:p w:rsidR="0048417A" w:rsidRPr="00A25173" w:rsidRDefault="0048417A" w:rsidP="00836B55">
            <w:pPr>
              <w:pStyle w:val="TableName"/>
              <w:ind w:left="0" w:firstLine="0"/>
              <w:rPr>
                <w:rFonts w:cs="Arial"/>
              </w:rPr>
            </w:pPr>
            <w:r w:rsidRPr="00A25173">
              <w:rPr>
                <w:rFonts w:cs="Arial"/>
              </w:rPr>
              <w:t>CE</w:t>
            </w:r>
          </w:p>
        </w:tc>
        <w:tc>
          <w:tcPr>
            <w:tcW w:w="1316" w:type="pct"/>
            <w:tcBorders>
              <w:left w:val="nil"/>
              <w:right w:val="nil"/>
            </w:tcBorders>
          </w:tcPr>
          <w:p w:rsidR="0048417A" w:rsidRPr="00A25173" w:rsidRDefault="0048417A" w:rsidP="00836B55">
            <w:pPr>
              <w:pStyle w:val="TableName"/>
              <w:ind w:left="0" w:firstLine="0"/>
              <w:rPr>
                <w:rFonts w:cs="Arial"/>
              </w:rPr>
            </w:pPr>
            <w:r w:rsidRPr="00A25173">
              <w:rPr>
                <w:rFonts w:cs="Arial"/>
              </w:rPr>
              <w:t>CT</w:t>
            </w:r>
          </w:p>
        </w:tc>
      </w:tr>
      <w:tr w:rsidR="0048417A" w:rsidTr="00836B55">
        <w:tc>
          <w:tcPr>
            <w:tcW w:w="2456" w:type="pct"/>
            <w:tcBorders>
              <w:left w:val="nil"/>
              <w:bottom w:val="nil"/>
              <w:right w:val="nil"/>
            </w:tcBorders>
          </w:tcPr>
          <w:p w:rsidR="0048417A" w:rsidRPr="00FD6936" w:rsidRDefault="0048417A" w:rsidP="00836B55">
            <w:pPr>
              <w:pStyle w:val="TableName"/>
              <w:spacing w:before="0" w:after="0"/>
              <w:ind w:left="0" w:firstLine="0"/>
              <w:jc w:val="both"/>
              <w:rPr>
                <w:rFonts w:cs="Arial"/>
                <w:b w:val="0"/>
                <w:sz w:val="18"/>
                <w:szCs w:val="18"/>
                <w:u w:val="single"/>
              </w:rPr>
            </w:pPr>
            <w:r w:rsidRPr="00FD6936">
              <w:rPr>
                <w:rFonts w:cs="Arial"/>
                <w:b w:val="0"/>
                <w:sz w:val="18"/>
                <w:szCs w:val="18"/>
                <w:u w:val="single"/>
              </w:rPr>
              <w:t>Minimum utilisation (n=664)</w:t>
            </w:r>
          </w:p>
        </w:tc>
        <w:tc>
          <w:tcPr>
            <w:tcW w:w="1228" w:type="pct"/>
            <w:tcBorders>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c>
          <w:tcPr>
            <w:tcW w:w="1316" w:type="pct"/>
            <w:tcBorders>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sz w:val="18"/>
                <w:szCs w:val="18"/>
              </w:rPr>
            </w:pPr>
            <w:r w:rsidRPr="00FD6936">
              <w:rPr>
                <w:rFonts w:cs="Arial"/>
                <w:b w:val="0"/>
                <w:sz w:val="18"/>
                <w:szCs w:val="18"/>
              </w:rPr>
              <w:t>Total MBS benefits</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$1,255,458</w:t>
            </w: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$271,476</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sz w:val="18"/>
                <w:szCs w:val="18"/>
                <w:vertAlign w:val="superscript"/>
              </w:rPr>
            </w:pPr>
            <w:r w:rsidRPr="00FD6936">
              <w:rPr>
                <w:rFonts w:cs="Arial"/>
                <w:b w:val="0"/>
                <w:sz w:val="18"/>
                <w:szCs w:val="18"/>
              </w:rPr>
              <w:t>Total patient out-of-pocket</w:t>
            </w:r>
            <w:r w:rsidRPr="00FD6936">
              <w:rPr>
                <w:rFonts w:cs="Arial"/>
                <w:b w:val="0"/>
                <w:sz w:val="18"/>
                <w:szCs w:val="18"/>
                <w:vertAlign w:val="superscript"/>
              </w:rPr>
              <w:t>1</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$21,879</w:t>
            </w: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$16,812</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sz w:val="18"/>
                <w:szCs w:val="18"/>
              </w:rPr>
            </w:pPr>
            <w:r w:rsidRPr="00FD6936">
              <w:rPr>
                <w:rFonts w:cs="Arial"/>
                <w:b w:val="0"/>
                <w:sz w:val="18"/>
                <w:szCs w:val="18"/>
              </w:rPr>
              <w:t>Total cost</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$1,277,337</w:t>
            </w: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$288,288</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i/>
                <w:sz w:val="18"/>
                <w:szCs w:val="18"/>
              </w:rPr>
            </w:pP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i/>
                <w:sz w:val="18"/>
                <w:szCs w:val="18"/>
              </w:rPr>
            </w:pPr>
            <w:r w:rsidRPr="00FD6936">
              <w:rPr>
                <w:rFonts w:cs="Arial"/>
                <w:b w:val="0"/>
                <w:i/>
                <w:sz w:val="18"/>
                <w:szCs w:val="18"/>
              </w:rPr>
              <w:t>Incremental cost (CE vs CT)</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i/>
                <w:sz w:val="18"/>
                <w:szCs w:val="18"/>
              </w:rPr>
            </w:pP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i/>
                <w:sz w:val="18"/>
                <w:szCs w:val="18"/>
              </w:rPr>
            </w:pPr>
            <w:r w:rsidRPr="00FD6936">
              <w:rPr>
                <w:rFonts w:cs="Arial"/>
                <w:b w:val="0"/>
                <w:i/>
                <w:sz w:val="18"/>
                <w:szCs w:val="18"/>
              </w:rPr>
              <w:t>$989,049</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i/>
                <w:sz w:val="18"/>
                <w:szCs w:val="18"/>
              </w:rPr>
            </w:pPr>
            <w:r w:rsidRPr="00FD6936">
              <w:rPr>
                <w:rFonts w:cs="Arial"/>
                <w:b w:val="0"/>
                <w:i/>
                <w:sz w:val="18"/>
                <w:szCs w:val="18"/>
              </w:rPr>
              <w:t>Incremental cost MBS (CE vs CT)</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i/>
                <w:sz w:val="18"/>
                <w:szCs w:val="18"/>
              </w:rPr>
            </w:pP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i/>
                <w:sz w:val="18"/>
                <w:szCs w:val="18"/>
              </w:rPr>
            </w:pPr>
            <w:r w:rsidRPr="00FD6936">
              <w:rPr>
                <w:rFonts w:cs="Arial"/>
                <w:b w:val="0"/>
                <w:i/>
                <w:sz w:val="18"/>
                <w:szCs w:val="18"/>
              </w:rPr>
              <w:t>$983,982</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sz w:val="18"/>
                <w:szCs w:val="18"/>
              </w:rPr>
            </w:pP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sz w:val="18"/>
                <w:szCs w:val="18"/>
                <w:u w:val="single"/>
              </w:rPr>
            </w:pPr>
            <w:r w:rsidRPr="00FD6936">
              <w:rPr>
                <w:rFonts w:cs="Arial"/>
                <w:b w:val="0"/>
                <w:sz w:val="18"/>
                <w:szCs w:val="18"/>
                <w:u w:val="single"/>
              </w:rPr>
              <w:t>Maximum utilisation (n=1431)</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sz w:val="18"/>
                <w:szCs w:val="18"/>
              </w:rPr>
            </w:pPr>
            <w:r w:rsidRPr="00FD6936">
              <w:rPr>
                <w:rFonts w:cs="Arial"/>
                <w:b w:val="0"/>
                <w:sz w:val="18"/>
                <w:szCs w:val="18"/>
              </w:rPr>
              <w:t>Total MBS benefits</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sz w:val="18"/>
                <w:szCs w:val="18"/>
              </w:rPr>
            </w:pPr>
            <w:r w:rsidRPr="00FD6936">
              <w:rPr>
                <w:rFonts w:cs="Arial"/>
                <w:b w:val="0"/>
                <w:sz w:val="18"/>
                <w:szCs w:val="18"/>
              </w:rPr>
              <w:t>$2,705,663</w:t>
            </w: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sz w:val="18"/>
                <w:szCs w:val="18"/>
              </w:rPr>
            </w:pPr>
            <w:r w:rsidRPr="00FD6936">
              <w:rPr>
                <w:rFonts w:cs="Arial"/>
                <w:b w:val="0"/>
                <w:sz w:val="18"/>
                <w:szCs w:val="18"/>
              </w:rPr>
              <w:t>$585,064</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sz w:val="18"/>
                <w:szCs w:val="18"/>
                <w:vertAlign w:val="superscript"/>
              </w:rPr>
            </w:pPr>
            <w:r w:rsidRPr="00FD6936">
              <w:rPr>
                <w:rFonts w:cs="Arial"/>
                <w:b w:val="0"/>
                <w:sz w:val="18"/>
                <w:szCs w:val="18"/>
              </w:rPr>
              <w:t>Total patient out-of-pocket</w:t>
            </w:r>
            <w:r w:rsidRPr="00FD6936">
              <w:rPr>
                <w:rFonts w:cs="Arial"/>
                <w:b w:val="0"/>
                <w:sz w:val="18"/>
                <w:szCs w:val="18"/>
                <w:vertAlign w:val="superscript"/>
              </w:rPr>
              <w:t>1</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sz w:val="18"/>
                <w:szCs w:val="18"/>
              </w:rPr>
            </w:pPr>
            <w:r w:rsidRPr="00FD6936">
              <w:rPr>
                <w:rFonts w:cs="Arial"/>
                <w:b w:val="0"/>
                <w:sz w:val="18"/>
                <w:szCs w:val="18"/>
              </w:rPr>
              <w:t>$47,151</w:t>
            </w: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sz w:val="18"/>
                <w:szCs w:val="18"/>
              </w:rPr>
            </w:pPr>
            <w:r w:rsidRPr="00FD6936">
              <w:rPr>
                <w:rFonts w:cs="Arial"/>
                <w:b w:val="0"/>
                <w:sz w:val="18"/>
                <w:szCs w:val="18"/>
              </w:rPr>
              <w:t>$36,233</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b w:val="0"/>
                <w:sz w:val="18"/>
                <w:szCs w:val="18"/>
              </w:rPr>
            </w:pPr>
            <w:r w:rsidRPr="00FD6936">
              <w:rPr>
                <w:rFonts w:cs="Arial"/>
                <w:b w:val="0"/>
                <w:sz w:val="18"/>
                <w:szCs w:val="18"/>
              </w:rPr>
              <w:t>Total cost</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$2,752,814</w:t>
            </w: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sz w:val="18"/>
                <w:szCs w:val="18"/>
              </w:rPr>
            </w:pPr>
            <w:r w:rsidRPr="00FD6936">
              <w:rPr>
                <w:rFonts w:cs="Arial"/>
                <w:b w:val="0"/>
                <w:sz w:val="18"/>
                <w:szCs w:val="18"/>
              </w:rPr>
              <w:t>$621,297</w:t>
            </w: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sz w:val="18"/>
                <w:szCs w:val="18"/>
              </w:rPr>
            </w:pP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sz w:val="18"/>
                <w:szCs w:val="18"/>
              </w:rPr>
            </w:pP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sz w:val="18"/>
                <w:szCs w:val="18"/>
              </w:rPr>
            </w:pPr>
          </w:p>
        </w:tc>
      </w:tr>
      <w:tr w:rsidR="0048417A" w:rsidTr="00836B55">
        <w:tc>
          <w:tcPr>
            <w:tcW w:w="2456" w:type="pct"/>
            <w:tcBorders>
              <w:top w:val="nil"/>
              <w:left w:val="nil"/>
              <w:bottom w:val="nil"/>
              <w:right w:val="nil"/>
            </w:tcBorders>
          </w:tcPr>
          <w:p w:rsidR="0048417A" w:rsidRPr="00FD6936" w:rsidRDefault="0048417A" w:rsidP="00836B55">
            <w:pPr>
              <w:pStyle w:val="TableName"/>
              <w:spacing w:before="0" w:after="0"/>
              <w:ind w:left="0" w:firstLine="0"/>
              <w:jc w:val="both"/>
              <w:rPr>
                <w:rFonts w:cs="Arial"/>
                <w:i/>
                <w:sz w:val="18"/>
                <w:szCs w:val="18"/>
              </w:rPr>
            </w:pPr>
            <w:r w:rsidRPr="00FD6936">
              <w:rPr>
                <w:rFonts w:cs="Arial"/>
                <w:b w:val="0"/>
                <w:i/>
                <w:sz w:val="18"/>
                <w:szCs w:val="18"/>
              </w:rPr>
              <w:t>Incremental cost (CE vs CT)</w:t>
            </w:r>
          </w:p>
        </w:tc>
        <w:tc>
          <w:tcPr>
            <w:tcW w:w="1228" w:type="pct"/>
            <w:tcBorders>
              <w:top w:val="nil"/>
              <w:left w:val="nil"/>
              <w:bottom w:val="nil"/>
              <w:right w:val="nil"/>
            </w:tcBorders>
          </w:tcPr>
          <w:p w:rsidR="0048417A" w:rsidRPr="00FD6936" w:rsidRDefault="0048417A" w:rsidP="00836B55">
            <w:pPr>
              <w:pStyle w:val="TableName"/>
              <w:spacing w:before="0" w:after="0"/>
              <w:ind w:left="0" w:firstLine="0"/>
              <w:rPr>
                <w:rFonts w:cs="Arial"/>
                <w:i/>
                <w:sz w:val="18"/>
                <w:szCs w:val="18"/>
              </w:rPr>
            </w:pPr>
          </w:p>
        </w:tc>
        <w:tc>
          <w:tcPr>
            <w:tcW w:w="1316" w:type="pct"/>
            <w:tcBorders>
              <w:top w:val="nil"/>
              <w:left w:val="nil"/>
              <w:bottom w:val="nil"/>
              <w:right w:val="nil"/>
            </w:tcBorders>
          </w:tcPr>
          <w:p w:rsidR="0048417A" w:rsidRPr="00FD6936" w:rsidRDefault="0048417A" w:rsidP="00836B55">
            <w:pPr>
              <w:pStyle w:val="TableName"/>
              <w:spacing w:before="0" w:after="0"/>
              <w:ind w:left="0" w:firstLine="0"/>
              <w:rPr>
                <w:rFonts w:cs="Arial"/>
                <w:b w:val="0"/>
                <w:i/>
                <w:sz w:val="18"/>
                <w:szCs w:val="18"/>
              </w:rPr>
            </w:pPr>
            <w:r w:rsidRPr="00FD6936">
              <w:rPr>
                <w:rFonts w:cs="Arial"/>
                <w:b w:val="0"/>
                <w:i/>
                <w:sz w:val="18"/>
                <w:szCs w:val="18"/>
              </w:rPr>
              <w:t>$2,131,517</w:t>
            </w:r>
          </w:p>
        </w:tc>
      </w:tr>
      <w:tr w:rsidR="0048417A" w:rsidTr="00836B55">
        <w:tc>
          <w:tcPr>
            <w:tcW w:w="2456" w:type="pct"/>
            <w:tcBorders>
              <w:top w:val="nil"/>
              <w:left w:val="nil"/>
              <w:right w:val="nil"/>
            </w:tcBorders>
          </w:tcPr>
          <w:p w:rsidR="0048417A" w:rsidRPr="00FD6936" w:rsidRDefault="0048417A" w:rsidP="00836B55">
            <w:pPr>
              <w:pStyle w:val="TableName"/>
              <w:spacing w:before="0" w:after="0"/>
              <w:ind w:left="0" w:firstLine="0"/>
              <w:jc w:val="both"/>
              <w:rPr>
                <w:rFonts w:cs="Arial"/>
                <w:b w:val="0"/>
                <w:i/>
                <w:sz w:val="18"/>
                <w:szCs w:val="18"/>
              </w:rPr>
            </w:pPr>
            <w:r w:rsidRPr="00FD6936">
              <w:rPr>
                <w:rFonts w:cs="Arial"/>
                <w:b w:val="0"/>
                <w:i/>
                <w:sz w:val="18"/>
                <w:szCs w:val="18"/>
              </w:rPr>
              <w:t>Incremental cost MBS (CE vs CT)</w:t>
            </w:r>
          </w:p>
        </w:tc>
        <w:tc>
          <w:tcPr>
            <w:tcW w:w="1228" w:type="pct"/>
            <w:tcBorders>
              <w:top w:val="nil"/>
              <w:left w:val="nil"/>
              <w:right w:val="nil"/>
            </w:tcBorders>
          </w:tcPr>
          <w:p w:rsidR="0048417A" w:rsidRPr="00FD6936" w:rsidRDefault="0048417A" w:rsidP="00836B55">
            <w:pPr>
              <w:pStyle w:val="TableName"/>
              <w:spacing w:before="0" w:after="0"/>
              <w:ind w:left="0" w:firstLine="0"/>
              <w:rPr>
                <w:rFonts w:cs="Arial"/>
                <w:i/>
                <w:sz w:val="18"/>
                <w:szCs w:val="18"/>
              </w:rPr>
            </w:pPr>
          </w:p>
        </w:tc>
        <w:tc>
          <w:tcPr>
            <w:tcW w:w="1316" w:type="pct"/>
            <w:tcBorders>
              <w:top w:val="nil"/>
              <w:left w:val="nil"/>
              <w:right w:val="nil"/>
            </w:tcBorders>
          </w:tcPr>
          <w:p w:rsidR="0048417A" w:rsidRPr="00FD6936" w:rsidRDefault="0048417A" w:rsidP="00836B55">
            <w:pPr>
              <w:pStyle w:val="TableName"/>
              <w:spacing w:before="0" w:after="0"/>
              <w:ind w:left="0" w:firstLine="0"/>
              <w:rPr>
                <w:rFonts w:cs="Arial"/>
                <w:b w:val="0"/>
                <w:i/>
                <w:sz w:val="18"/>
                <w:szCs w:val="18"/>
              </w:rPr>
            </w:pPr>
            <w:r w:rsidRPr="00FD6936">
              <w:rPr>
                <w:rFonts w:cs="Arial"/>
                <w:b w:val="0"/>
                <w:i/>
                <w:sz w:val="18"/>
                <w:szCs w:val="18"/>
              </w:rPr>
              <w:t>$2,120,599</w:t>
            </w:r>
          </w:p>
        </w:tc>
      </w:tr>
    </w:tbl>
    <w:p w:rsidR="0048417A" w:rsidRPr="00DA215E" w:rsidRDefault="0048417A" w:rsidP="00836B55">
      <w:pPr>
        <w:pStyle w:val="TableName"/>
        <w:ind w:left="0" w:firstLine="0"/>
        <w:rPr>
          <w:b w:val="0"/>
          <w:sz w:val="18"/>
          <w:szCs w:val="18"/>
        </w:rPr>
      </w:pPr>
      <w:r>
        <w:rPr>
          <w:b w:val="0"/>
          <w:sz w:val="18"/>
          <w:szCs w:val="18"/>
          <w:vertAlign w:val="superscript"/>
        </w:rPr>
        <w:t>1</w:t>
      </w:r>
      <w:r>
        <w:rPr>
          <w:b w:val="0"/>
          <w:sz w:val="18"/>
          <w:szCs w:val="18"/>
        </w:rPr>
        <w:t xml:space="preserve"> Patient out-of-pocket cost are based on average patient </w:t>
      </w:r>
      <w:proofErr w:type="spellStart"/>
      <w:r>
        <w:rPr>
          <w:b w:val="0"/>
          <w:sz w:val="18"/>
          <w:szCs w:val="18"/>
        </w:rPr>
        <w:t>copayments</w:t>
      </w:r>
      <w:proofErr w:type="spellEnd"/>
      <w:r>
        <w:rPr>
          <w:b w:val="0"/>
          <w:sz w:val="18"/>
          <w:szCs w:val="18"/>
        </w:rPr>
        <w:t xml:space="preserve"> for CE and CT performed in an outpatient setting, which were provided by the Department of Health and Ageing</w:t>
      </w:r>
    </w:p>
    <w:p w:rsidR="0048417A" w:rsidRDefault="0048417A" w:rsidP="00836B55">
      <w:pPr>
        <w:pStyle w:val="TableName"/>
        <w:ind w:left="0" w:firstLine="0"/>
        <w:rPr>
          <w:b w:val="0"/>
          <w:sz w:val="18"/>
          <w:szCs w:val="18"/>
        </w:rPr>
      </w:pPr>
      <w:r w:rsidRPr="0070643D">
        <w:rPr>
          <w:b w:val="0"/>
          <w:sz w:val="18"/>
          <w:szCs w:val="18"/>
        </w:rPr>
        <w:t>CE</w:t>
      </w:r>
      <w:r>
        <w:rPr>
          <w:b w:val="0"/>
          <w:sz w:val="18"/>
          <w:szCs w:val="18"/>
        </w:rPr>
        <w:t xml:space="preserve"> </w:t>
      </w:r>
      <w:r w:rsidRPr="0070643D">
        <w:rPr>
          <w:b w:val="0"/>
          <w:sz w:val="18"/>
          <w:szCs w:val="18"/>
        </w:rPr>
        <w:t xml:space="preserve">= </w:t>
      </w:r>
      <w:r>
        <w:rPr>
          <w:b w:val="0"/>
          <w:sz w:val="18"/>
          <w:szCs w:val="18"/>
        </w:rPr>
        <w:t>capsule endoscopy, CT = Computed t</w:t>
      </w:r>
      <w:r w:rsidRPr="0070643D">
        <w:rPr>
          <w:b w:val="0"/>
          <w:sz w:val="18"/>
          <w:szCs w:val="18"/>
        </w:rPr>
        <w:t>omography</w:t>
      </w:r>
      <w:r>
        <w:rPr>
          <w:b w:val="0"/>
          <w:sz w:val="18"/>
          <w:szCs w:val="18"/>
        </w:rPr>
        <w:t xml:space="preserve"> (with or without </w:t>
      </w:r>
      <w:proofErr w:type="spellStart"/>
      <w:r>
        <w:rPr>
          <w:b w:val="0"/>
          <w:sz w:val="18"/>
          <w:szCs w:val="18"/>
        </w:rPr>
        <w:t>enterography</w:t>
      </w:r>
      <w:proofErr w:type="spellEnd"/>
      <w:r>
        <w:rPr>
          <w:b w:val="0"/>
          <w:sz w:val="18"/>
          <w:szCs w:val="18"/>
        </w:rPr>
        <w:t>)</w:t>
      </w:r>
    </w:p>
    <w:p w:rsidR="0048417A" w:rsidRPr="00196462" w:rsidRDefault="0048417A" w:rsidP="00836B55">
      <w:pPr>
        <w:pStyle w:val="Bullet"/>
        <w:numPr>
          <w:ilvl w:val="0"/>
          <w:numId w:val="0"/>
        </w:numPr>
        <w:ind w:left="1440" w:hanging="720"/>
      </w:pPr>
    </w:p>
    <w:p w:rsidR="0048417A" w:rsidRPr="004D57B3" w:rsidRDefault="0048417A" w:rsidP="00836B55">
      <w:r w:rsidRPr="00196462">
        <w:t>If repeat CT/CTEs are replaced by a capsule endoscopy, the financial implication for the MBS is estimated to be between $983,982 and $2,120,599 per year. The incremental cost to society (</w:t>
      </w:r>
      <w:proofErr w:type="spellStart"/>
      <w:r w:rsidRPr="00196462">
        <w:t>ie</w:t>
      </w:r>
      <w:proofErr w:type="spellEnd"/>
      <w:r w:rsidRPr="00196462">
        <w:t xml:space="preserve"> including patient </w:t>
      </w:r>
      <w:proofErr w:type="spellStart"/>
      <w:r w:rsidRPr="00196462">
        <w:t>copayments</w:t>
      </w:r>
      <w:proofErr w:type="spellEnd"/>
      <w:r w:rsidRPr="00196462">
        <w:t>) is estimated to be between $989,049 and $2,131,517 per year.</w:t>
      </w:r>
    </w:p>
    <w:p w:rsidR="0048417A" w:rsidRPr="00D95527" w:rsidRDefault="0048417A" w:rsidP="00836B55">
      <w:r>
        <w:t xml:space="preserve">The cost impact is sensitive to the rate of capsule retention and whether costs of surgery to remove a retained capsule are classified as a cost of capsule endoscopy. Additionally, the implementation of public funding for capsule endoscopy may lead to a change in the utilisation rate. It may lead to a modest increase in use; however, it could also lead to a modest decline in claims for MBS item 11820, </w:t>
      </w:r>
      <w:r w:rsidRPr="004D57B3">
        <w:rPr>
          <w:color w:val="000000"/>
        </w:rPr>
        <w:t>capsule endoscopy for OGIB.</w:t>
      </w:r>
      <w:r>
        <w:t xml:space="preserve"> The extent to which this will occur, and its implications for the MBS and patients, is unknown.</w:t>
      </w:r>
      <w:r w:rsidR="00B81800" w:rsidRPr="00D95527">
        <w:t xml:space="preserve"> </w:t>
      </w:r>
    </w:p>
    <w:p w:rsidR="0048417A" w:rsidRPr="004D57B3" w:rsidRDefault="0048417A" w:rsidP="00836B55">
      <w:pPr>
        <w:pStyle w:val="Heading1"/>
      </w:pPr>
      <w:bookmarkStart w:id="219" w:name="_Toc296517895"/>
      <w:r w:rsidRPr="004D57B3">
        <w:lastRenderedPageBreak/>
        <w:t>Discussion</w:t>
      </w:r>
      <w:bookmarkEnd w:id="219"/>
      <w:r w:rsidRPr="004D57B3">
        <w:t xml:space="preserve"> </w:t>
      </w:r>
    </w:p>
    <w:p w:rsidR="0048417A" w:rsidRPr="004D57B3" w:rsidRDefault="0048417A" w:rsidP="00836B55">
      <w:pPr>
        <w:pStyle w:val="Heading2"/>
      </w:pPr>
      <w:bookmarkStart w:id="220" w:name="_Ref278459427"/>
      <w:bookmarkStart w:id="221" w:name="_Ref278459430"/>
      <w:bookmarkStart w:id="222" w:name="_Toc296517896"/>
      <w:r w:rsidRPr="004D57B3">
        <w:t>Is it safe?</w:t>
      </w:r>
      <w:bookmarkEnd w:id="220"/>
      <w:bookmarkEnd w:id="221"/>
      <w:bookmarkEnd w:id="222"/>
      <w:r w:rsidRPr="004D57B3">
        <w:t xml:space="preserve"> </w:t>
      </w:r>
    </w:p>
    <w:p w:rsidR="0048417A" w:rsidRPr="004D57B3" w:rsidRDefault="0048417A" w:rsidP="00836B55">
      <w:r>
        <w:t>C</w:t>
      </w:r>
      <w:r w:rsidRPr="004D57B3">
        <w:t xml:space="preserve">apsule endoscopy is considered to be a relatively safe procedure with a low risk of adverse events such as nausea, vomiting and pain. Adverse events in patients with suspected small bowel Crohn’s disease are likely to be similar, and occur at similar rates, as those reported for other indications </w:t>
      </w:r>
      <w:r>
        <w:rPr>
          <w:noProof/>
        </w:rPr>
        <w:t>(MSAC 2003; MSAC 2007)</w:t>
      </w:r>
      <w:r w:rsidRPr="004D57B3">
        <w:t>.</w:t>
      </w:r>
    </w:p>
    <w:p w:rsidR="0048417A" w:rsidRPr="004D57B3" w:rsidRDefault="0048417A" w:rsidP="00836B55">
      <w:r w:rsidRPr="004D57B3">
        <w:t xml:space="preserve">Capsule endoscopy for the diagnosis of small bowel Crohn’s disease has a potentially higher rate of capsule retention compared with other indications due to Crohn’s disease causing bowel strictures. In </w:t>
      </w:r>
      <w:r>
        <w:t>13</w:t>
      </w:r>
      <w:r w:rsidRPr="004D57B3">
        <w:t xml:space="preserve"> included studies, the rate of capsule retention ranged from 0% to 15% and in studies where the rates of capsule retention and surgical removal were reported, 7 of 12 subjects with retained capsules later had surgery at which the capsule was removed. Some of these surgeries are likely to have been otherwise avoidable. It appears that capsule retention can be partially mitigated, but not eliminated, with prior screening for strictures on small bowel radiology but that excluding patients on the basis of known intestinal obstruction (or a history of obstruction) is insufficient.</w:t>
      </w:r>
    </w:p>
    <w:p w:rsidR="0048417A" w:rsidRPr="004D57B3" w:rsidRDefault="0048417A" w:rsidP="00836B55">
      <w:r w:rsidRPr="004D57B3">
        <w:t xml:space="preserve">Compared to capsule endoscopy, the performance of CT is associated with radiation exposure, which has small risks, such as a small increased lifetime risk of cancer. This is especially relevant in younger people. Although patients are required to undergo small bowel radiology prior to capsule endoscopy and hence, unless MR is used, will not avoid ionising radiation exposure, repeated exposure would be expected to increase risk. MR does not involve exposure to ionising radiation </w:t>
      </w:r>
      <w:r w:rsidRPr="004D57B3">
        <w:rPr>
          <w:noProof/>
        </w:rPr>
        <w:t>(Markova et al 2010)</w:t>
      </w:r>
      <w:r w:rsidRPr="004D57B3">
        <w:t xml:space="preserve"> and has a lower risk of nephrotoxicity (kidney damage) from contrast agents. </w:t>
      </w:r>
    </w:p>
    <w:p w:rsidR="0048417A" w:rsidRPr="004D57B3" w:rsidRDefault="0048417A" w:rsidP="00836B55">
      <w:pPr>
        <w:pStyle w:val="Heading2"/>
      </w:pPr>
      <w:bookmarkStart w:id="223" w:name="_Toc296517897"/>
      <w:r w:rsidRPr="004D57B3">
        <w:t>Is it effective?</w:t>
      </w:r>
      <w:bookmarkEnd w:id="223"/>
      <w:r w:rsidRPr="004D57B3">
        <w:t xml:space="preserve"> </w:t>
      </w:r>
    </w:p>
    <w:p w:rsidR="0048417A" w:rsidRPr="004D57B3" w:rsidRDefault="0048417A" w:rsidP="00836B55">
      <w:r w:rsidRPr="004D57B3">
        <w:t xml:space="preserve">The body of evidence included in this assessment was appraised according to the NHMRC guidelines </w:t>
      </w:r>
      <w:r w:rsidRPr="004D57B3">
        <w:rPr>
          <w:noProof/>
        </w:rPr>
        <w:t>(NHMRC 2008; 2009)</w:t>
      </w:r>
      <w:r w:rsidRPr="004D57B3">
        <w:t>, which are summarised under ‘</w:t>
      </w:r>
      <w:r w:rsidR="00AE591B">
        <w:fldChar w:fldCharType="begin"/>
      </w:r>
      <w:r w:rsidR="00AE591B">
        <w:instrText xml:space="preserve"> REF _Ref282006923 \h  \* MERGEFORMAT </w:instrText>
      </w:r>
      <w:r w:rsidR="00AE591B">
        <w:fldChar w:fldCharType="separate"/>
      </w:r>
      <w:r w:rsidRPr="004D57B3">
        <w:rPr>
          <w:lang w:val="en-US"/>
        </w:rPr>
        <w:t>Assessment of the body of evidence</w:t>
      </w:r>
      <w:r w:rsidR="00AE591B">
        <w:fldChar w:fldCharType="end"/>
      </w:r>
      <w:r w:rsidRPr="004D57B3">
        <w:t xml:space="preserve">’ on page </w:t>
      </w:r>
      <w:r w:rsidRPr="004D57B3">
        <w:fldChar w:fldCharType="begin"/>
      </w:r>
      <w:r w:rsidRPr="004D57B3">
        <w:instrText xml:space="preserve"> PAGEREF _Ref282006950 \h </w:instrText>
      </w:r>
      <w:r w:rsidRPr="004D57B3">
        <w:fldChar w:fldCharType="separate"/>
      </w:r>
      <w:r>
        <w:rPr>
          <w:noProof/>
        </w:rPr>
        <w:t>44</w:t>
      </w:r>
      <w:r w:rsidRPr="004D57B3">
        <w:fldChar w:fldCharType="end"/>
      </w:r>
      <w:r w:rsidRPr="004D57B3">
        <w:t xml:space="preserve">. </w:t>
      </w:r>
    </w:p>
    <w:p w:rsidR="0048417A" w:rsidRPr="004D57B3" w:rsidRDefault="0048417A" w:rsidP="00836B55">
      <w:r w:rsidRPr="004D57B3">
        <w:t xml:space="preserve">This </w:t>
      </w:r>
      <w:r>
        <w:t xml:space="preserve">assessment </w:t>
      </w:r>
      <w:r w:rsidRPr="004D57B3">
        <w:t>did not identify any studies comparing the health outcomes of patient populations with suspected small bowel Crohn’s disease assessed with and without capsule endoscopy. Evidence for accuracy, change in management and the expected benefit of changes in treatment on health outcomes was appraised using a linked evidence approach.</w:t>
      </w:r>
    </w:p>
    <w:p w:rsidR="0048417A" w:rsidRDefault="0048417A" w:rsidP="00836B55">
      <w:r w:rsidRPr="004D57B3">
        <w:t xml:space="preserve">A summary of the body of evidence for the accuracy of capsule endoscopy is presented in </w:t>
      </w:r>
      <w:r w:rsidR="00AE591B">
        <w:fldChar w:fldCharType="begin"/>
      </w:r>
      <w:r w:rsidR="00AE591B">
        <w:instrText xml:space="preserve"> REF _Ref282006883 \h  \* MERGEFORMAT </w:instrText>
      </w:r>
      <w:r w:rsidR="00AE591B">
        <w:fldChar w:fldCharType="separate"/>
      </w:r>
      <w:r w:rsidRPr="004D57B3">
        <w:t xml:space="preserve">Table </w:t>
      </w:r>
      <w:r>
        <w:rPr>
          <w:noProof/>
        </w:rPr>
        <w:t>29</w:t>
      </w:r>
      <w:r w:rsidR="00AE591B">
        <w:fldChar w:fldCharType="end"/>
      </w:r>
      <w:r w:rsidRPr="004D57B3">
        <w:t>.</w:t>
      </w:r>
    </w:p>
    <w:p w:rsidR="0048417A" w:rsidRPr="004D57B3" w:rsidRDefault="0048417A" w:rsidP="00836B55">
      <w:r w:rsidRPr="004D57B3">
        <w:t>The evidence base was considered poor on the basis of the level of evidence and the risk of bias in the included studies. Five level III-2 accuracy studies were identified. Three were rated of fair quality but had a moderate to high risk of measurement and/or selection bias due to lack of explicit patient selection criteria and test thresholds. The use of long</w:t>
      </w:r>
      <w:r>
        <w:t>-</w:t>
      </w:r>
      <w:r w:rsidRPr="004D57B3">
        <w:t>term follow</w:t>
      </w:r>
      <w:r>
        <w:t>-</w:t>
      </w:r>
      <w:r w:rsidRPr="004D57B3">
        <w:t xml:space="preserve">up as a reference standard without blinding from the results of capsule endoscopy in all five level III-2 studies placed these studies at moderate risk of bias in the measurement of outcomes. </w:t>
      </w:r>
    </w:p>
    <w:p w:rsidR="0048417A" w:rsidRPr="004D57B3" w:rsidRDefault="0048417A" w:rsidP="00836B55">
      <w:pPr>
        <w:pStyle w:val="TableName"/>
        <w:ind w:left="1485" w:hanging="765"/>
      </w:pPr>
      <w:bookmarkStart w:id="224" w:name="_Ref282006883"/>
      <w:bookmarkStart w:id="225" w:name="_Ref280187560"/>
      <w:bookmarkStart w:id="226" w:name="_Toc291859591"/>
      <w:bookmarkStart w:id="227" w:name="_Ref173810382"/>
      <w:r w:rsidRPr="004D57B3">
        <w:lastRenderedPageBreak/>
        <w:t xml:space="preserve">Table </w:t>
      </w:r>
      <w:r w:rsidR="00AE591B">
        <w:fldChar w:fldCharType="begin"/>
      </w:r>
      <w:r w:rsidR="00AE591B">
        <w:instrText xml:space="preserve"> SEQ Table \* ARABIC </w:instrText>
      </w:r>
      <w:r w:rsidR="00AE591B">
        <w:fldChar w:fldCharType="separate"/>
      </w:r>
      <w:r>
        <w:rPr>
          <w:noProof/>
        </w:rPr>
        <w:t>29</w:t>
      </w:r>
      <w:r w:rsidR="00AE591B">
        <w:rPr>
          <w:noProof/>
        </w:rPr>
        <w:fldChar w:fldCharType="end"/>
      </w:r>
      <w:bookmarkEnd w:id="224"/>
      <w:r w:rsidRPr="004D57B3">
        <w:tab/>
        <w:t>Body of evidence assessment matrix</w:t>
      </w:r>
      <w:bookmarkEnd w:id="225"/>
      <w:r w:rsidRPr="004D57B3">
        <w:t>: linked evidence for CE for small bowel Crohn’s disease</w:t>
      </w:r>
      <w:bookmarkEnd w:id="226"/>
    </w:p>
    <w:p w:rsidR="004269B3" w:rsidRDefault="004269B3" w:rsidP="00836B55">
      <w:r>
        <w:rPr>
          <w:noProof/>
        </w:rPr>
        <w:drawing>
          <wp:inline distT="0" distB="0" distL="0" distR="0">
            <wp:extent cx="5727700" cy="3838575"/>
            <wp:effectExtent l="0" t="0" r="6350" b="9525"/>
            <wp:docPr id="4" name="Picture 4" descr="Table 29 Body of evidence assessment matrix: linked evidence for CE for small bowel Crohn’s disease" title="Table 29 Body of evidence assessment matrix: linked evidence for CE for small bowel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700" cy="3838575"/>
                    </a:xfrm>
                    <a:prstGeom prst="rect">
                      <a:avLst/>
                    </a:prstGeom>
                    <a:noFill/>
                    <a:ln>
                      <a:noFill/>
                    </a:ln>
                  </pic:spPr>
                </pic:pic>
              </a:graphicData>
            </a:graphic>
          </wp:inline>
        </w:drawing>
      </w:r>
    </w:p>
    <w:p w:rsidR="0048417A" w:rsidRPr="004D57B3" w:rsidRDefault="0048417A" w:rsidP="00836B55">
      <w:r w:rsidRPr="004D57B3">
        <w:t xml:space="preserve">There were some inconsistencies in the results of these studies, some of which could be explained. </w:t>
      </w:r>
      <w:r>
        <w:t>C</w:t>
      </w:r>
      <w:r w:rsidRPr="004D57B3">
        <w:t xml:space="preserve">apsule endoscopy was found to have similar diagnostic accuracy to MRE in one study </w:t>
      </w:r>
      <w:r>
        <w:rPr>
          <w:noProof/>
        </w:rPr>
        <w:t>(Casciani et al 2011)</w:t>
      </w:r>
      <w:r w:rsidRPr="004D57B3">
        <w:t xml:space="preserve"> and improved accuracy relative to MRI in another </w:t>
      </w:r>
      <w:r w:rsidRPr="004D57B3">
        <w:rPr>
          <w:noProof/>
        </w:rPr>
        <w:t>(Albert et al 2005)</w:t>
      </w:r>
      <w:r w:rsidRPr="004D57B3">
        <w:t xml:space="preserve">. This may be partially explained by the use of MR with </w:t>
      </w:r>
      <w:proofErr w:type="spellStart"/>
      <w:r w:rsidRPr="004D57B3">
        <w:t>enterography</w:t>
      </w:r>
      <w:proofErr w:type="spellEnd"/>
      <w:r w:rsidRPr="004D57B3">
        <w:t xml:space="preserve"> in </w:t>
      </w:r>
      <w:proofErr w:type="spellStart"/>
      <w:r w:rsidRPr="004D57B3">
        <w:t>Casciani</w:t>
      </w:r>
      <w:proofErr w:type="spellEnd"/>
      <w:r w:rsidRPr="004D57B3">
        <w:t xml:space="preserve"> et al </w:t>
      </w:r>
      <w:r>
        <w:rPr>
          <w:noProof/>
        </w:rPr>
        <w:t>(2011)</w:t>
      </w:r>
      <w:r w:rsidRPr="004D57B3">
        <w:t xml:space="preserve">. However, variations in the prior tests and patient populations may have affected the results, and the extent to which this occurred could not always be resolved on the basis of reported study characteristics. For instance, </w:t>
      </w:r>
      <w:proofErr w:type="spellStart"/>
      <w:r w:rsidRPr="004D57B3">
        <w:t>Casciani</w:t>
      </w:r>
      <w:proofErr w:type="spellEnd"/>
      <w:r w:rsidRPr="004D57B3">
        <w:t xml:space="preserve"> et al </w:t>
      </w:r>
      <w:r>
        <w:rPr>
          <w:noProof/>
        </w:rPr>
        <w:t>(2011)</w:t>
      </w:r>
      <w:r w:rsidRPr="004D57B3">
        <w:t xml:space="preserve"> note</w:t>
      </w:r>
      <w:r>
        <w:t>d</w:t>
      </w:r>
      <w:r w:rsidRPr="004D57B3">
        <w:t xml:space="preserve"> that the accuracy of MRE found in their study </w:t>
      </w:r>
      <w:r>
        <w:t>wa</w:t>
      </w:r>
      <w:r w:rsidRPr="004D57B3">
        <w:t>s higher than ha</w:t>
      </w:r>
      <w:r>
        <w:t>d</w:t>
      </w:r>
      <w:r w:rsidRPr="004D57B3">
        <w:t xml:space="preserve"> been previously reported; their study enrolled a predominantly paediatric population; and the proportion of patients that tested negative or equivocal on prior tests in this study was not reported.</w:t>
      </w:r>
    </w:p>
    <w:p w:rsidR="0048417A" w:rsidRPr="004D57B3" w:rsidRDefault="0048417A" w:rsidP="00836B55">
      <w:r w:rsidRPr="004D57B3">
        <w:t>The negative LRs found in the studies also differed and the reason for this is unknown. Of the four studies that reported the negative LR for the threshold of at least ≥2 ulcers or Crohn’s specific lesions, two studies report</w:t>
      </w:r>
      <w:r>
        <w:t>ed</w:t>
      </w:r>
      <w:r w:rsidRPr="004D57B3">
        <w:t xml:space="preserve"> negative LRs which are considered convincing evidence for excluding disease (0.08 and 0.09) and two report</w:t>
      </w:r>
      <w:r>
        <w:t>ed</w:t>
      </w:r>
      <w:r w:rsidRPr="004D57B3">
        <w:t xml:space="preserve"> a negative LR which is considered to provide little evidence for excluding disease (0.26 and 0.58). In three studies where the negative LR was reported for the less stringent threshold of any small bowel ulcers, it provided convincing evidence for excluding disease in two studies (0, 0.08, </w:t>
      </w:r>
      <w:proofErr w:type="gramStart"/>
      <w:r w:rsidRPr="004D57B3">
        <w:t>0.08</w:t>
      </w:r>
      <w:proofErr w:type="gramEnd"/>
      <w:r w:rsidRPr="004D57B3">
        <w:t xml:space="preserve">) and borderline strong evidence in another (0.21). Overall, most studies had negative LRs &lt;0.10, the threshold for providing convincing evidence to exclude disease; however, two studies had negative LRs which were &gt;0.20, including the largest study which had a negative LR &gt;0.20 at both thresholds </w:t>
      </w:r>
      <w:r w:rsidRPr="004D57B3">
        <w:rPr>
          <w:noProof/>
        </w:rPr>
        <w:t>(Tukey et al 2009)</w:t>
      </w:r>
      <w:r w:rsidRPr="004D57B3">
        <w:t>. Overa</w:t>
      </w:r>
      <w:r>
        <w:t xml:space="preserve">ll, in studies which employed </w:t>
      </w:r>
      <w:r w:rsidRPr="004D57B3">
        <w:t>more than one threshold of capsule endoscopy positivity, the lower threshold tended to yield lower negative LRs (</w:t>
      </w:r>
      <w:proofErr w:type="spellStart"/>
      <w:r>
        <w:t>ie</w:t>
      </w:r>
      <w:proofErr w:type="spellEnd"/>
      <w:r w:rsidRPr="004D57B3">
        <w:t xml:space="preserve"> were more predictive of absence of Crohn’s disease when capsule endoscopy was negative) than studies using higher thresholds.</w:t>
      </w:r>
    </w:p>
    <w:p w:rsidR="0048417A" w:rsidRPr="004D57B3" w:rsidRDefault="0048417A" w:rsidP="00836B55">
      <w:r w:rsidRPr="004D57B3">
        <w:lastRenderedPageBreak/>
        <w:t xml:space="preserve">The populations studied in the body of evidence differ to the target population with respect to the use of prior tests and the selection criteria for patients with suspected small bowel Crohn’s disease. In all five studies, patients had fewer prior tests and/or were a less highly selected group compared to the population addressed in this assessment. Two of the five included accuracy studies enrolled patients with clinically suspected Crohn’s disease without explicitly requiring particular symptoms or biochemical evidence of inflammation </w:t>
      </w:r>
      <w:r w:rsidRPr="004D57B3">
        <w:rPr>
          <w:noProof/>
        </w:rPr>
        <w:t>(Figueiredo et al 2010; Tukey et al 2009)</w:t>
      </w:r>
      <w:r w:rsidRPr="004D57B3">
        <w:t>. In most studies, not all enrolled subjects were required to undergo small bowel radiology (or underwent different types of radiology)</w:t>
      </w:r>
      <w:r>
        <w:t>,</w:t>
      </w:r>
      <w:r w:rsidRPr="004D57B3">
        <w:t xml:space="preserve"> and one study did not require prior colonoscopy with </w:t>
      </w:r>
      <w:proofErr w:type="spellStart"/>
      <w:r w:rsidRPr="004D57B3">
        <w:t>ileoscopy</w:t>
      </w:r>
      <w:proofErr w:type="spellEnd"/>
      <w:r w:rsidRPr="004D57B3">
        <w:t xml:space="preserve"> </w:t>
      </w:r>
      <w:r w:rsidRPr="004D57B3">
        <w:rPr>
          <w:noProof/>
        </w:rPr>
        <w:t>(Girelli et al 2007)</w:t>
      </w:r>
      <w:r w:rsidRPr="004D57B3">
        <w:t xml:space="preserve">. Fewer prior tests may mean that the accuracy of capsule endoscopy found in this body of evidence may be higher than that which would occur in practice for the population considered in this assessment. Studies reporting more complete prior radiology or colonoscopy with </w:t>
      </w:r>
      <w:proofErr w:type="spellStart"/>
      <w:r w:rsidRPr="004D57B3">
        <w:t>ileoscopy</w:t>
      </w:r>
      <w:proofErr w:type="spellEnd"/>
      <w:r w:rsidRPr="004D57B3">
        <w:t xml:space="preserve"> which was negative or non-diagnostic for Crohn’s disease tended to show higher negative LRs (</w:t>
      </w:r>
      <w:proofErr w:type="spellStart"/>
      <w:r>
        <w:t>ie</w:t>
      </w:r>
      <w:proofErr w:type="spellEnd"/>
      <w:r w:rsidRPr="004D57B3">
        <w:t xml:space="preserve"> were less predictive of </w:t>
      </w:r>
      <w:r>
        <w:t>the</w:t>
      </w:r>
      <w:r w:rsidRPr="004D57B3">
        <w:t xml:space="preserve"> absence of Crohn’s disease when capsule endoscopy was negative) than studies with less rigorous (or less well reported) prior testing.</w:t>
      </w:r>
    </w:p>
    <w:p w:rsidR="0048417A" w:rsidRPr="004D57B3" w:rsidRDefault="0048417A" w:rsidP="00836B55">
      <w:r w:rsidRPr="004D57B3">
        <w:rPr>
          <w:szCs w:val="18"/>
        </w:rPr>
        <w:t xml:space="preserve">The body of evidence was considered applicable to </w:t>
      </w:r>
      <w:r>
        <w:rPr>
          <w:szCs w:val="18"/>
        </w:rPr>
        <w:t xml:space="preserve">the </w:t>
      </w:r>
      <w:r w:rsidRPr="004D57B3">
        <w:rPr>
          <w:szCs w:val="18"/>
        </w:rPr>
        <w:t xml:space="preserve">Australian healthcare context with the caveat that the many of the studies were conducted in healthcare systems in which a different mix of prior tests are reimbursed. </w:t>
      </w:r>
    </w:p>
    <w:p w:rsidR="0048417A" w:rsidRPr="004D57B3" w:rsidRDefault="0048417A" w:rsidP="00836B55">
      <w:r w:rsidRPr="004D57B3">
        <w:t>In the absence of studies quantifying change in management due to capsule endoscopy in Crohn’s disease patients, a linked evidence case for improved patient outcomes due to capsule endoscopy cannot be made. Hence, the potential clinical effect of capsule endoscopy on patient outcomes is unknown.</w:t>
      </w:r>
    </w:p>
    <w:p w:rsidR="0048417A" w:rsidRPr="004D57B3" w:rsidRDefault="0048417A" w:rsidP="00836B55">
      <w:pPr>
        <w:pStyle w:val="Heading2"/>
      </w:pPr>
      <w:bookmarkStart w:id="228" w:name="_Toc296517898"/>
      <w:bookmarkEnd w:id="227"/>
      <w:r w:rsidRPr="004D57B3">
        <w:t>What are the economic considerations?</w:t>
      </w:r>
      <w:bookmarkEnd w:id="228"/>
    </w:p>
    <w:p w:rsidR="0048417A" w:rsidRPr="00196462" w:rsidRDefault="0048417A" w:rsidP="00836B55">
      <w:r w:rsidRPr="004D57B3">
        <w:t xml:space="preserve">Due to the lack of comparative effectiveness data a cost-effectiveness analysis was not performed. The financial implications of public funding of capsule endoscopy were estimated as the </w:t>
      </w:r>
      <w:r w:rsidRPr="00196462">
        <w:t>potential incremental costs to the MBS and patients compared with the costs of using repeat CT/CTE. The analysis should be interpreted cautiously given the limited epidemiological data.</w:t>
      </w:r>
    </w:p>
    <w:p w:rsidR="0048417A" w:rsidRPr="00196462" w:rsidRDefault="0048417A" w:rsidP="00836B55">
      <w:r w:rsidRPr="00196462">
        <w:t xml:space="preserve">Assuming an estimated range of 664 to 1,431 capsule endoscopies per year, the incremental cost of testing was estimated to be between $989,049 and $2,131,517 per year for society, when capsule endoscopy replaces repeat CT/CTE. This estimate is based on the assumption that the total cost of capsule endoscopy will be borne by the Australian Government and patients. </w:t>
      </w:r>
    </w:p>
    <w:p w:rsidR="0048417A" w:rsidRPr="004D57B3" w:rsidRDefault="0048417A" w:rsidP="00836B55">
      <w:r w:rsidRPr="00196462">
        <w:t>The cost impact to society is sensitive to the rate of capsule retention and whether costs of surgery to remove a retained capsule are classified</w:t>
      </w:r>
      <w:r w:rsidRPr="004D57B3">
        <w:t xml:space="preserve"> as costs of capsule endoscopy. Additionally, the implementation of public funding for capsule endoscopy may lead to a change in utilisation rate. Public funding may lead to a modest increase in use</w:t>
      </w:r>
      <w:r>
        <w:t>;</w:t>
      </w:r>
      <w:r w:rsidRPr="004D57B3">
        <w:t xml:space="preserve"> however, it could also lead to</w:t>
      </w:r>
      <w:r w:rsidRPr="004D57B3">
        <w:rPr>
          <w:color w:val="000000"/>
        </w:rPr>
        <w:t xml:space="preserve"> a modest decline in claims for MBS </w:t>
      </w:r>
      <w:r>
        <w:rPr>
          <w:color w:val="000000"/>
        </w:rPr>
        <w:t xml:space="preserve">item </w:t>
      </w:r>
      <w:r w:rsidRPr="004D57B3">
        <w:rPr>
          <w:color w:val="000000"/>
        </w:rPr>
        <w:t>11820, capsule endoscopy for OGIB</w:t>
      </w:r>
      <w:r w:rsidRPr="004D57B3">
        <w:rPr>
          <w:color w:val="1F497D"/>
        </w:rPr>
        <w:t>.</w:t>
      </w:r>
    </w:p>
    <w:p w:rsidR="0048417A" w:rsidRPr="004D57B3" w:rsidRDefault="0048417A" w:rsidP="00836B55">
      <w:pPr>
        <w:pStyle w:val="Heading1"/>
      </w:pPr>
      <w:bookmarkStart w:id="229" w:name="_Toc296517899"/>
      <w:r w:rsidRPr="004D57B3">
        <w:lastRenderedPageBreak/>
        <w:t>Conclusions</w:t>
      </w:r>
      <w:bookmarkEnd w:id="229"/>
      <w:r w:rsidRPr="004D57B3">
        <w:t xml:space="preserve"> </w:t>
      </w:r>
    </w:p>
    <w:p w:rsidR="0048417A" w:rsidRPr="004D57B3" w:rsidRDefault="0048417A" w:rsidP="00836B55">
      <w:r w:rsidRPr="004D57B3">
        <w:t>The use of capsule endoscopy for the diagnosis of small bowel Crohn’s disease is considered:</w:t>
      </w:r>
    </w:p>
    <w:p w:rsidR="0048417A" w:rsidRPr="004D57B3" w:rsidRDefault="0048417A" w:rsidP="00836B55">
      <w:pPr>
        <w:pStyle w:val="Bullet"/>
        <w:tabs>
          <w:tab w:val="clear" w:pos="1440"/>
          <w:tab w:val="num" w:pos="1854"/>
        </w:tabs>
        <w:ind w:left="1854"/>
      </w:pPr>
      <w:r w:rsidRPr="004D57B3">
        <w:t>safe</w:t>
      </w:r>
    </w:p>
    <w:p w:rsidR="0048417A" w:rsidRPr="004D57B3" w:rsidRDefault="0048417A" w:rsidP="00836B55">
      <w:pPr>
        <w:pStyle w:val="Bullet"/>
        <w:tabs>
          <w:tab w:val="clear" w:pos="1440"/>
          <w:tab w:val="num" w:pos="1854"/>
        </w:tabs>
        <w:ind w:left="1854"/>
      </w:pPr>
      <w:r w:rsidRPr="004D57B3">
        <w:t>to lead to capsule retention in up to 15% of cases; this risk can be partially, but not completely, mitigated by screening for strictures on small bowel radiology</w:t>
      </w:r>
    </w:p>
    <w:p w:rsidR="0048417A" w:rsidRPr="004D57B3" w:rsidRDefault="0048417A" w:rsidP="00836B55">
      <w:pPr>
        <w:pStyle w:val="Bullet"/>
        <w:tabs>
          <w:tab w:val="clear" w:pos="1440"/>
          <w:tab w:val="num" w:pos="1854"/>
        </w:tabs>
        <w:ind w:left="1854"/>
      </w:pPr>
      <w:r w:rsidRPr="004D57B3">
        <w:t xml:space="preserve">less likely to be predictive of the absence of Crohn’s disease, when the capsule endoscopy is negative, in patient populations with negative or equivocal prior endoscopic and radiological tests </w:t>
      </w:r>
    </w:p>
    <w:p w:rsidR="0048417A" w:rsidRPr="004D57B3" w:rsidRDefault="0048417A" w:rsidP="00836B55">
      <w:pPr>
        <w:pStyle w:val="Bullet"/>
        <w:tabs>
          <w:tab w:val="clear" w:pos="1440"/>
          <w:tab w:val="num" w:pos="1854"/>
        </w:tabs>
        <w:ind w:left="1854"/>
      </w:pPr>
      <w:r w:rsidRPr="004D57B3">
        <w:t xml:space="preserve">more likely to be predictive of the absence of Crohn’s disease, when the capsule endoscopy result is negative, when a lower threshold is used to define a positive test </w:t>
      </w:r>
    </w:p>
    <w:p w:rsidR="0048417A" w:rsidRPr="004D57B3" w:rsidRDefault="0048417A" w:rsidP="00836B55">
      <w:pPr>
        <w:pStyle w:val="Bullet"/>
        <w:tabs>
          <w:tab w:val="clear" w:pos="1440"/>
          <w:tab w:val="num" w:pos="1854"/>
        </w:tabs>
        <w:ind w:left="1854"/>
      </w:pPr>
      <w:r w:rsidRPr="004D57B3">
        <w:t>not to be highly predictive of the absence of Crohn’s disease in the largest and most applicable study</w:t>
      </w:r>
    </w:p>
    <w:p w:rsidR="0048417A" w:rsidRPr="004D57B3" w:rsidRDefault="0048417A" w:rsidP="00836B55">
      <w:pPr>
        <w:pStyle w:val="Bullet"/>
        <w:tabs>
          <w:tab w:val="clear" w:pos="1440"/>
          <w:tab w:val="num" w:pos="1854"/>
        </w:tabs>
        <w:ind w:left="1854"/>
      </w:pPr>
      <w:r w:rsidRPr="004D57B3">
        <w:t>likely to have at least comparable accuracy to MR</w:t>
      </w:r>
    </w:p>
    <w:p w:rsidR="0048417A" w:rsidRPr="004D57B3" w:rsidRDefault="0048417A" w:rsidP="00836B55">
      <w:pPr>
        <w:pStyle w:val="Bullet"/>
        <w:tabs>
          <w:tab w:val="clear" w:pos="1440"/>
          <w:tab w:val="num" w:pos="1854"/>
        </w:tabs>
        <w:ind w:left="1854"/>
      </w:pPr>
      <w:proofErr w:type="gramStart"/>
      <w:r w:rsidRPr="004D57B3">
        <w:t>to</w:t>
      </w:r>
      <w:proofErr w:type="gramEnd"/>
      <w:r w:rsidRPr="004D57B3">
        <w:t xml:space="preserve"> lead to a cost increase to the </w:t>
      </w:r>
      <w:r w:rsidRPr="00196462">
        <w:t>Australian Government and patients between $989,049 and $2,131,517 per year if public</w:t>
      </w:r>
      <w:r w:rsidRPr="004D57B3">
        <w:t xml:space="preserve"> funding is approved.</w:t>
      </w:r>
    </w:p>
    <w:p w:rsidR="0048417A" w:rsidRPr="004D57B3" w:rsidRDefault="0048417A" w:rsidP="00836B55">
      <w:r w:rsidRPr="004D57B3">
        <w:t>There were no included studies that provided evidence on the comparative accuracy of capsule endoscopy and CT. The impact of capsule endoscopy findings on patient management is unknown and the resultant impact on health outcomes is uncertain.</w:t>
      </w:r>
    </w:p>
    <w:p w:rsidR="0048417A" w:rsidRPr="004D57B3" w:rsidRDefault="0048417A" w:rsidP="00836B55"/>
    <w:p w:rsidR="0048417A" w:rsidRPr="004D57B3" w:rsidRDefault="0048417A" w:rsidP="00836B55"/>
    <w:p w:rsidR="0048417A" w:rsidRPr="004D57B3" w:rsidRDefault="0048417A" w:rsidP="00836B55">
      <w:pPr>
        <w:pStyle w:val="Heading1"/>
        <w:rPr>
          <w:bCs/>
        </w:rPr>
      </w:pPr>
      <w:bookmarkStart w:id="230" w:name="_Ref279997392"/>
      <w:bookmarkStart w:id="231" w:name="_Toc214339195"/>
      <w:bookmarkStart w:id="232" w:name="_Ref279485159"/>
      <w:bookmarkStart w:id="233" w:name="_Ref279485162"/>
      <w:bookmarkStart w:id="234" w:name="_Ref279485165"/>
      <w:bookmarkStart w:id="235" w:name="_Ref279485168"/>
      <w:bookmarkStart w:id="236" w:name="_Ref279485171"/>
      <w:bookmarkStart w:id="237" w:name="_Ref279485173"/>
      <w:bookmarkStart w:id="238" w:name="_Ref279485513"/>
      <w:bookmarkStart w:id="239" w:name="_Toc296517900"/>
      <w:r w:rsidRPr="004D57B3">
        <w:rPr>
          <w:bCs/>
        </w:rPr>
        <w:lastRenderedPageBreak/>
        <w:t xml:space="preserve">Appendix </w:t>
      </w:r>
      <w:r w:rsidRPr="004D57B3">
        <w:rPr>
          <w:bCs/>
        </w:rPr>
        <w:fldChar w:fldCharType="begin"/>
      </w:r>
      <w:r w:rsidRPr="004D57B3">
        <w:rPr>
          <w:bCs/>
        </w:rPr>
        <w:instrText xml:space="preserve"> SEQ Appendix \* ALPHABETIC </w:instrText>
      </w:r>
      <w:r w:rsidRPr="004D57B3">
        <w:rPr>
          <w:bCs/>
        </w:rPr>
        <w:fldChar w:fldCharType="separate"/>
      </w:r>
      <w:r>
        <w:rPr>
          <w:bCs/>
          <w:noProof/>
        </w:rPr>
        <w:t>A</w:t>
      </w:r>
      <w:r w:rsidRPr="004D57B3">
        <w:rPr>
          <w:bCs/>
        </w:rPr>
        <w:fldChar w:fldCharType="end"/>
      </w:r>
      <w:bookmarkEnd w:id="230"/>
      <w:r w:rsidRPr="004D57B3">
        <w:rPr>
          <w:bCs/>
        </w:rPr>
        <w:tab/>
        <w:t>MSAC terms of reference and membership</w:t>
      </w:r>
      <w:bookmarkEnd w:id="231"/>
      <w:bookmarkEnd w:id="232"/>
      <w:bookmarkEnd w:id="233"/>
      <w:bookmarkEnd w:id="234"/>
      <w:bookmarkEnd w:id="235"/>
      <w:bookmarkEnd w:id="236"/>
      <w:bookmarkEnd w:id="237"/>
      <w:bookmarkEnd w:id="238"/>
      <w:bookmarkEnd w:id="239"/>
    </w:p>
    <w:p w:rsidR="0048417A" w:rsidRPr="00105218" w:rsidRDefault="0048417A" w:rsidP="00836B55">
      <w:pPr>
        <w:ind w:left="0"/>
        <w:rPr>
          <w:szCs w:val="24"/>
          <w:lang w:val="en-US" w:eastAsia="en-US"/>
        </w:rPr>
      </w:pPr>
      <w:r>
        <w:rPr>
          <w:szCs w:val="24"/>
          <w:lang w:val="en-US" w:eastAsia="en-US"/>
        </w:rPr>
        <w:t>MSAC</w:t>
      </w:r>
      <w:r w:rsidRPr="00105218">
        <w:rPr>
          <w:szCs w:val="24"/>
          <w:lang w:val="en-US" w:eastAsia="en-US"/>
        </w:rPr>
        <w:t xml:space="preserve"> is an independent scientific committee comprising individuals with expertise in clinical medicine, health economics and consumer matters.</w:t>
      </w:r>
      <w:r>
        <w:rPr>
          <w:szCs w:val="24"/>
          <w:lang w:val="en-US" w:eastAsia="en-US"/>
        </w:rPr>
        <w:t xml:space="preserve"> </w:t>
      </w:r>
      <w:r w:rsidRPr="00105218">
        <w:rPr>
          <w:szCs w:val="24"/>
          <w:lang w:val="en-US" w:eastAsia="en-US"/>
        </w:rPr>
        <w:t xml:space="preserve"> It advises the Minister for Health and Ageing on whether a new medical service should be publicly funded based on an assessment of its comparative safety, effectiveness, cost</w:t>
      </w:r>
      <w:r>
        <w:rPr>
          <w:szCs w:val="24"/>
          <w:lang w:val="en-US" w:eastAsia="en-US"/>
        </w:rPr>
        <w:noBreakHyphen/>
      </w:r>
      <w:r w:rsidRPr="00105218">
        <w:rPr>
          <w:szCs w:val="24"/>
          <w:lang w:val="en-US" w:eastAsia="en-US"/>
        </w:rPr>
        <w:t>effectiveness and total cost, using the best available evidence.</w:t>
      </w:r>
      <w:r>
        <w:rPr>
          <w:szCs w:val="24"/>
          <w:lang w:val="en-US" w:eastAsia="en-US"/>
        </w:rPr>
        <w:t xml:space="preserve"> </w:t>
      </w:r>
      <w:r w:rsidRPr="00105218">
        <w:rPr>
          <w:szCs w:val="24"/>
          <w:lang w:val="en-US" w:eastAsia="en-US"/>
        </w:rPr>
        <w:t xml:space="preserve"> In providing this advice, MSAC may also take other relevant factors into account. </w:t>
      </w:r>
      <w:r>
        <w:rPr>
          <w:szCs w:val="24"/>
          <w:lang w:val="en-US" w:eastAsia="en-US"/>
        </w:rPr>
        <w:t xml:space="preserve"> </w:t>
      </w:r>
      <w:r w:rsidRPr="00105218">
        <w:rPr>
          <w:szCs w:val="24"/>
          <w:lang w:val="en-US" w:eastAsia="en-US"/>
        </w:rPr>
        <w:t xml:space="preserve">This process ensures that Australians have access to medical services that have been shown to be safe and clinically effective, as well as representing value for money for the Australian healthcare system. </w:t>
      </w:r>
    </w:p>
    <w:p w:rsidR="0048417A" w:rsidRPr="00105218" w:rsidRDefault="0048417A" w:rsidP="00836B55">
      <w:pPr>
        <w:ind w:left="0"/>
        <w:rPr>
          <w:szCs w:val="24"/>
          <w:lang w:val="en-US" w:eastAsia="en-US"/>
        </w:rPr>
      </w:pPr>
      <w:r w:rsidRPr="00105218">
        <w:rPr>
          <w:szCs w:val="24"/>
          <w:lang w:val="en-US" w:eastAsia="en-US"/>
        </w:rPr>
        <w:t xml:space="preserve">MSAC is to: </w:t>
      </w:r>
    </w:p>
    <w:p w:rsidR="0048417A" w:rsidRPr="00105218" w:rsidRDefault="0048417A" w:rsidP="00836B55">
      <w:pPr>
        <w:numPr>
          <w:ilvl w:val="0"/>
          <w:numId w:val="5"/>
        </w:numPr>
        <w:rPr>
          <w:szCs w:val="24"/>
          <w:lang w:val="en-US" w:eastAsia="en-US"/>
        </w:rPr>
      </w:pPr>
      <w:r w:rsidRPr="00105218">
        <w:rPr>
          <w:szCs w:val="24"/>
          <w:lang w:val="en-US" w:eastAsia="en-US"/>
        </w:rPr>
        <w:t xml:space="preserve">Advise the Minister for Health and Ageing on medical services </w:t>
      </w:r>
      <w:r w:rsidRPr="007244CF">
        <w:rPr>
          <w:szCs w:val="24"/>
          <w:lang w:val="en-US" w:eastAsia="en-US"/>
        </w:rPr>
        <w:t>including those tha</w:t>
      </w:r>
      <w:r w:rsidRPr="00105218">
        <w:rPr>
          <w:szCs w:val="24"/>
          <w:lang w:val="en-US" w:eastAsia="en-US"/>
        </w:rPr>
        <w:t xml:space="preserve">t involve new or emerging technologies and procedures, in relation to: </w:t>
      </w:r>
    </w:p>
    <w:p w:rsidR="0048417A" w:rsidRPr="00105218" w:rsidRDefault="0048417A" w:rsidP="00836B55">
      <w:pPr>
        <w:numPr>
          <w:ilvl w:val="1"/>
          <w:numId w:val="5"/>
        </w:numPr>
        <w:tabs>
          <w:tab w:val="clear" w:pos="1440"/>
          <w:tab w:val="left" w:pos="720"/>
        </w:tabs>
        <w:ind w:left="720"/>
        <w:rPr>
          <w:szCs w:val="24"/>
          <w:lang w:val="en-US" w:eastAsia="en-US"/>
        </w:rPr>
      </w:pPr>
      <w:r w:rsidRPr="00105218">
        <w:rPr>
          <w:szCs w:val="24"/>
          <w:lang w:val="en-US" w:eastAsia="en-US"/>
        </w:rPr>
        <w:t>the strength of evidence in relation to the comparative safety, effectiveness, cost</w:t>
      </w:r>
      <w:r>
        <w:rPr>
          <w:szCs w:val="24"/>
          <w:lang w:val="en-US" w:eastAsia="en-US"/>
        </w:rPr>
        <w:noBreakHyphen/>
      </w:r>
      <w:r w:rsidRPr="00105218">
        <w:rPr>
          <w:szCs w:val="24"/>
          <w:lang w:val="en-US" w:eastAsia="en-US"/>
        </w:rPr>
        <w:t xml:space="preserve">effectiveness and total cost of the medical service; </w:t>
      </w:r>
    </w:p>
    <w:p w:rsidR="0048417A" w:rsidRPr="00105218" w:rsidRDefault="0048417A" w:rsidP="00836B55">
      <w:pPr>
        <w:numPr>
          <w:ilvl w:val="1"/>
          <w:numId w:val="5"/>
        </w:numPr>
        <w:tabs>
          <w:tab w:val="clear" w:pos="1440"/>
          <w:tab w:val="left" w:pos="720"/>
        </w:tabs>
        <w:ind w:left="720"/>
        <w:rPr>
          <w:szCs w:val="24"/>
          <w:lang w:val="en-US" w:eastAsia="en-US"/>
        </w:rPr>
      </w:pPr>
      <w:r w:rsidRPr="00105218">
        <w:rPr>
          <w:szCs w:val="24"/>
          <w:lang w:val="en-US" w:eastAsia="en-US"/>
        </w:rPr>
        <w:t xml:space="preserve">whether public funding should be supported for the medical service and, if so, the circumstances under which public funding should be supported; </w:t>
      </w:r>
    </w:p>
    <w:p w:rsidR="0048417A" w:rsidRPr="00105218" w:rsidRDefault="0048417A" w:rsidP="00836B55">
      <w:pPr>
        <w:numPr>
          <w:ilvl w:val="1"/>
          <w:numId w:val="5"/>
        </w:numPr>
        <w:tabs>
          <w:tab w:val="clear" w:pos="1440"/>
          <w:tab w:val="left" w:pos="720"/>
        </w:tabs>
        <w:ind w:left="720"/>
        <w:rPr>
          <w:szCs w:val="24"/>
          <w:lang w:val="en-US" w:eastAsia="en-US"/>
        </w:rPr>
      </w:pPr>
      <w:r w:rsidRPr="00105218">
        <w:rPr>
          <w:szCs w:val="24"/>
          <w:lang w:val="en-US" w:eastAsia="en-US"/>
        </w:rPr>
        <w:t xml:space="preserve">the proposed Medicare Benefits Schedule (MBS) item descriptor and fee for the service where funding through the MBS is supported; </w:t>
      </w:r>
    </w:p>
    <w:p w:rsidR="0048417A" w:rsidRPr="00105218" w:rsidRDefault="0048417A" w:rsidP="00836B55">
      <w:pPr>
        <w:numPr>
          <w:ilvl w:val="1"/>
          <w:numId w:val="5"/>
        </w:numPr>
        <w:tabs>
          <w:tab w:val="clear" w:pos="1440"/>
          <w:tab w:val="left" w:pos="720"/>
        </w:tabs>
        <w:ind w:left="720"/>
        <w:rPr>
          <w:szCs w:val="24"/>
          <w:lang w:val="en-US" w:eastAsia="en-US"/>
        </w:rPr>
      </w:pPr>
      <w:r w:rsidRPr="00105218">
        <w:rPr>
          <w:szCs w:val="24"/>
          <w:lang w:val="en-US" w:eastAsia="en-US"/>
        </w:rPr>
        <w:t>the circumstances, where there is uncertainty in relation to the clinical or cost</w:t>
      </w:r>
      <w:r>
        <w:rPr>
          <w:szCs w:val="24"/>
          <w:lang w:val="en-US" w:eastAsia="en-US"/>
        </w:rPr>
        <w:noBreakHyphen/>
      </w:r>
      <w:r w:rsidRPr="00105218">
        <w:rPr>
          <w:szCs w:val="24"/>
          <w:lang w:val="en-US" w:eastAsia="en-US"/>
        </w:rPr>
        <w:t xml:space="preserve">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 </w:t>
      </w:r>
      <w:r>
        <w:rPr>
          <w:szCs w:val="24"/>
          <w:lang w:val="en-US" w:eastAsia="en-US"/>
        </w:rPr>
        <w:t>and</w:t>
      </w:r>
    </w:p>
    <w:p w:rsidR="0048417A" w:rsidRPr="00105218" w:rsidRDefault="0048417A" w:rsidP="00836B55">
      <w:pPr>
        <w:numPr>
          <w:ilvl w:val="1"/>
          <w:numId w:val="5"/>
        </w:numPr>
        <w:tabs>
          <w:tab w:val="clear" w:pos="1440"/>
          <w:tab w:val="left" w:pos="720"/>
        </w:tabs>
        <w:ind w:left="720"/>
        <w:rPr>
          <w:szCs w:val="24"/>
          <w:lang w:val="en-US" w:eastAsia="en-US"/>
        </w:rPr>
      </w:pPr>
      <w:proofErr w:type="gramStart"/>
      <w:r w:rsidRPr="00105218">
        <w:rPr>
          <w:szCs w:val="24"/>
          <w:lang w:val="en-US" w:eastAsia="en-US"/>
        </w:rPr>
        <w:t>other</w:t>
      </w:r>
      <w:proofErr w:type="gramEnd"/>
      <w:r w:rsidRPr="00105218">
        <w:rPr>
          <w:szCs w:val="24"/>
          <w:lang w:val="en-US" w:eastAsia="en-US"/>
        </w:rPr>
        <w:t xml:space="preserve"> matters related to the public funding of health services referred by the Minister.</w:t>
      </w:r>
    </w:p>
    <w:p w:rsidR="0048417A" w:rsidRPr="00105218" w:rsidRDefault="0048417A" w:rsidP="00836B55">
      <w:pPr>
        <w:numPr>
          <w:ilvl w:val="0"/>
          <w:numId w:val="5"/>
        </w:numPr>
        <w:rPr>
          <w:szCs w:val="24"/>
          <w:lang w:val="en-US" w:eastAsia="en-US"/>
        </w:rPr>
      </w:pPr>
      <w:proofErr w:type="gramStart"/>
      <w:r w:rsidRPr="00105218">
        <w:rPr>
          <w:szCs w:val="24"/>
          <w:lang w:val="en-US" w:eastAsia="en-US"/>
        </w:rPr>
        <w:t>Advise</w:t>
      </w:r>
      <w:proofErr w:type="gramEnd"/>
      <w:r>
        <w:rPr>
          <w:szCs w:val="24"/>
          <w:lang w:val="en-US" w:eastAsia="en-US"/>
        </w:rPr>
        <w:t xml:space="preserve"> the Australian Health Minister</w:t>
      </w:r>
      <w:r w:rsidRPr="00105218">
        <w:rPr>
          <w:szCs w:val="24"/>
          <w:lang w:val="en-US" w:eastAsia="en-US"/>
        </w:rPr>
        <w:t>s</w:t>
      </w:r>
      <w:r>
        <w:rPr>
          <w:szCs w:val="24"/>
          <w:lang w:val="en-US" w:eastAsia="en-US"/>
        </w:rPr>
        <w:t>’</w:t>
      </w:r>
      <w:r w:rsidRPr="00105218">
        <w:rPr>
          <w:szCs w:val="24"/>
          <w:lang w:val="en-US" w:eastAsia="en-US"/>
        </w:rPr>
        <w:t xml:space="preserve"> Advisory Council (AHMAC) on health technology assessments referred under AHMAC arrangements. </w:t>
      </w:r>
    </w:p>
    <w:p w:rsidR="0048417A" w:rsidRDefault="0048417A" w:rsidP="00836B55">
      <w:pPr>
        <w:ind w:left="0"/>
        <w:rPr>
          <w:szCs w:val="24"/>
          <w:lang w:val="en-US" w:eastAsia="en-US"/>
        </w:rPr>
      </w:pPr>
      <w:r w:rsidRPr="00105218">
        <w:rPr>
          <w:szCs w:val="24"/>
          <w:lang w:val="en-US" w:eastAsia="en-US"/>
        </w:rPr>
        <w:t xml:space="preserve">MSAC may also establish sub-committees to assist MSAC to effectively undertake its role. MSAC may delegate some of its functions to </w:t>
      </w:r>
      <w:r>
        <w:rPr>
          <w:szCs w:val="24"/>
          <w:lang w:val="en-US" w:eastAsia="en-US"/>
        </w:rPr>
        <w:t xml:space="preserve">its </w:t>
      </w:r>
      <w:r w:rsidRPr="00EE2D15">
        <w:rPr>
          <w:szCs w:val="24"/>
          <w:lang w:val="en-US" w:eastAsia="en-US"/>
        </w:rPr>
        <w:t>Executive sub-committee.</w:t>
      </w:r>
    </w:p>
    <w:p w:rsidR="0048417A" w:rsidRPr="004C6B15" w:rsidRDefault="0048417A" w:rsidP="00836B55">
      <w:pPr>
        <w:ind w:left="0"/>
      </w:pPr>
      <w:r w:rsidRPr="004D57B3">
        <w:br w:type="page"/>
      </w:r>
      <w:r w:rsidRPr="004C6B15">
        <w:lastRenderedPageBreak/>
        <w:t xml:space="preserve">The membership of MSAC </w:t>
      </w:r>
      <w:r>
        <w:t xml:space="preserve">at the </w:t>
      </w:r>
      <w:r w:rsidRPr="002820A4">
        <w:t>July 2011 meeting</w:t>
      </w:r>
      <w:r>
        <w:t xml:space="preserve"> </w:t>
      </w:r>
      <w:r w:rsidRPr="004C6B15">
        <w:t>comprise</w:t>
      </w:r>
      <w:r>
        <w:t>d</w:t>
      </w:r>
      <w:r w:rsidRPr="004C6B15">
        <w:t xml:space="preserve"> a mix of clinical expertise covering pathology, nuclear medicine, surgery, specialist medicine and general practice, plus clinical epidemiology and clinical trials, health economics, consumers</w:t>
      </w:r>
      <w:r>
        <w:t xml:space="preserve">, </w:t>
      </w:r>
      <w:r w:rsidRPr="004C6B15">
        <w:t>health administration and planning:</w:t>
      </w:r>
    </w:p>
    <w:tbl>
      <w:tblPr>
        <w:tblW w:w="8208" w:type="dxa"/>
        <w:tblInd w:w="720" w:type="dxa"/>
        <w:tblLayout w:type="fixed"/>
        <w:tblLook w:val="0000" w:firstRow="0" w:lastRow="0" w:firstColumn="0" w:lastColumn="0" w:noHBand="0" w:noVBand="0"/>
      </w:tblPr>
      <w:tblGrid>
        <w:gridCol w:w="3641"/>
        <w:gridCol w:w="352"/>
        <w:gridCol w:w="4063"/>
        <w:gridCol w:w="152"/>
      </w:tblGrid>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b/>
                <w:szCs w:val="24"/>
              </w:rPr>
              <w:t>Member</w:t>
            </w:r>
          </w:p>
        </w:tc>
        <w:tc>
          <w:tcPr>
            <w:tcW w:w="4063" w:type="dxa"/>
          </w:tcPr>
          <w:p w:rsidR="0048417A" w:rsidRPr="004D57B3" w:rsidRDefault="0048417A" w:rsidP="00836B55">
            <w:pPr>
              <w:spacing w:after="120"/>
              <w:ind w:left="-75" w:hanging="33"/>
              <w:rPr>
                <w:b/>
                <w:szCs w:val="24"/>
              </w:rPr>
            </w:pPr>
            <w:r w:rsidRPr="004D57B3">
              <w:rPr>
                <w:b/>
                <w:szCs w:val="24"/>
              </w:rPr>
              <w:t xml:space="preserve">Expertise or </w:t>
            </w:r>
            <w:r>
              <w:rPr>
                <w:b/>
                <w:szCs w:val="24"/>
              </w:rPr>
              <w:t>a</w:t>
            </w:r>
            <w:r w:rsidRPr="004D57B3">
              <w:rPr>
                <w:b/>
                <w:szCs w:val="24"/>
              </w:rPr>
              <w:t>ffiliation</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Professor Robyn Ward (Chair)</w:t>
            </w:r>
          </w:p>
        </w:tc>
        <w:tc>
          <w:tcPr>
            <w:tcW w:w="4063" w:type="dxa"/>
          </w:tcPr>
          <w:p w:rsidR="0048417A" w:rsidRPr="004D57B3" w:rsidRDefault="0048417A" w:rsidP="00836B55">
            <w:pPr>
              <w:spacing w:after="120"/>
              <w:ind w:left="-108"/>
              <w:rPr>
                <w:szCs w:val="24"/>
              </w:rPr>
            </w:pPr>
            <w:r w:rsidRPr="004D57B3">
              <w:rPr>
                <w:szCs w:val="24"/>
              </w:rPr>
              <w:t xml:space="preserve">Medical </w:t>
            </w:r>
            <w:r>
              <w:rPr>
                <w:szCs w:val="24"/>
              </w:rPr>
              <w:t>o</w:t>
            </w:r>
            <w:r w:rsidRPr="004D57B3">
              <w:rPr>
                <w:szCs w:val="24"/>
              </w:rPr>
              <w:t>ncology</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Pr>
                <w:szCs w:val="24"/>
              </w:rPr>
              <w:t>Dr</w:t>
            </w:r>
            <w:r w:rsidRPr="004D57B3">
              <w:rPr>
                <w:szCs w:val="24"/>
              </w:rPr>
              <w:t xml:space="preserve"> Frederick </w:t>
            </w:r>
            <w:proofErr w:type="spellStart"/>
            <w:r w:rsidRPr="004D57B3">
              <w:rPr>
                <w:szCs w:val="24"/>
              </w:rPr>
              <w:t>Khafagi</w:t>
            </w:r>
            <w:proofErr w:type="spellEnd"/>
            <w:r w:rsidRPr="004D57B3">
              <w:rPr>
                <w:szCs w:val="24"/>
              </w:rPr>
              <w:t xml:space="preserve"> (Deputy Chair)</w:t>
            </w:r>
          </w:p>
        </w:tc>
        <w:tc>
          <w:tcPr>
            <w:tcW w:w="4063" w:type="dxa"/>
          </w:tcPr>
          <w:p w:rsidR="0048417A" w:rsidRPr="004D57B3" w:rsidRDefault="0048417A" w:rsidP="00836B55">
            <w:pPr>
              <w:spacing w:after="120"/>
              <w:ind w:left="-108"/>
              <w:rPr>
                <w:szCs w:val="24"/>
              </w:rPr>
            </w:pPr>
            <w:r w:rsidRPr="004D57B3">
              <w:rPr>
                <w:szCs w:val="24"/>
              </w:rPr>
              <w:t xml:space="preserve">Nuclear </w:t>
            </w:r>
            <w:r>
              <w:rPr>
                <w:szCs w:val="24"/>
              </w:rPr>
              <w:t>m</w:t>
            </w:r>
            <w:r w:rsidRPr="004D57B3">
              <w:rPr>
                <w:szCs w:val="24"/>
              </w:rPr>
              <w:t>edicine</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Professor Jim Butler (Chair, Evaluation Sub-committee)</w:t>
            </w:r>
          </w:p>
        </w:tc>
        <w:tc>
          <w:tcPr>
            <w:tcW w:w="4063" w:type="dxa"/>
          </w:tcPr>
          <w:p w:rsidR="0048417A" w:rsidRPr="004D57B3" w:rsidRDefault="0048417A" w:rsidP="00836B55">
            <w:pPr>
              <w:spacing w:after="120"/>
              <w:ind w:left="-108"/>
              <w:rPr>
                <w:szCs w:val="24"/>
              </w:rPr>
            </w:pPr>
            <w:r w:rsidRPr="004D57B3">
              <w:rPr>
                <w:szCs w:val="24"/>
              </w:rPr>
              <w:t xml:space="preserve">Health </w:t>
            </w:r>
            <w:r>
              <w:rPr>
                <w:szCs w:val="24"/>
              </w:rPr>
              <w:t>e</w:t>
            </w:r>
            <w:r w:rsidRPr="004D57B3">
              <w:rPr>
                <w:szCs w:val="24"/>
              </w:rPr>
              <w:t>conomics</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Associate Professor John Atherton</w:t>
            </w:r>
          </w:p>
        </w:tc>
        <w:tc>
          <w:tcPr>
            <w:tcW w:w="4063" w:type="dxa"/>
          </w:tcPr>
          <w:p w:rsidR="0048417A" w:rsidRPr="004D57B3" w:rsidRDefault="0048417A" w:rsidP="00836B55">
            <w:pPr>
              <w:spacing w:after="120"/>
              <w:ind w:left="-108"/>
              <w:rPr>
                <w:szCs w:val="24"/>
              </w:rPr>
            </w:pPr>
            <w:r w:rsidRPr="004D57B3">
              <w:rPr>
                <w:szCs w:val="24"/>
              </w:rPr>
              <w:t>Cardiology</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 xml:space="preserve">Associate Professor Michael </w:t>
            </w:r>
            <w:proofErr w:type="spellStart"/>
            <w:r w:rsidRPr="004D57B3">
              <w:rPr>
                <w:szCs w:val="24"/>
              </w:rPr>
              <w:t>Bilous</w:t>
            </w:r>
            <w:proofErr w:type="spellEnd"/>
          </w:p>
        </w:tc>
        <w:tc>
          <w:tcPr>
            <w:tcW w:w="4063" w:type="dxa"/>
          </w:tcPr>
          <w:p w:rsidR="0048417A" w:rsidRPr="004D57B3" w:rsidRDefault="0048417A" w:rsidP="00836B55">
            <w:pPr>
              <w:spacing w:after="120"/>
              <w:ind w:left="-108"/>
              <w:rPr>
                <w:szCs w:val="24"/>
              </w:rPr>
            </w:pPr>
            <w:r w:rsidRPr="004D57B3">
              <w:rPr>
                <w:szCs w:val="24"/>
              </w:rPr>
              <w:t xml:space="preserve">Anatomical </w:t>
            </w:r>
            <w:r>
              <w:rPr>
                <w:szCs w:val="24"/>
              </w:rPr>
              <w:t>p</w:t>
            </w:r>
            <w:r w:rsidRPr="004D57B3">
              <w:rPr>
                <w:szCs w:val="24"/>
              </w:rPr>
              <w:t>athology</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Pr>
                <w:szCs w:val="24"/>
              </w:rPr>
              <w:t xml:space="preserve">Professor Chris </w:t>
            </w:r>
            <w:proofErr w:type="spellStart"/>
            <w:r>
              <w:rPr>
                <w:szCs w:val="24"/>
              </w:rPr>
              <w:t>Baggoley</w:t>
            </w:r>
            <w:proofErr w:type="spellEnd"/>
          </w:p>
        </w:tc>
        <w:tc>
          <w:tcPr>
            <w:tcW w:w="4063" w:type="dxa"/>
          </w:tcPr>
          <w:p w:rsidR="0048417A" w:rsidRPr="004D57B3" w:rsidRDefault="0048417A" w:rsidP="00836B55">
            <w:pPr>
              <w:spacing w:after="120"/>
              <w:ind w:left="-108"/>
              <w:rPr>
                <w:szCs w:val="24"/>
              </w:rPr>
            </w:pPr>
            <w:r>
              <w:rPr>
                <w:szCs w:val="24"/>
              </w:rPr>
              <w:t xml:space="preserve">Interim </w:t>
            </w:r>
            <w:r w:rsidRPr="004D57B3">
              <w:rPr>
                <w:szCs w:val="24"/>
              </w:rPr>
              <w:t>C</w:t>
            </w:r>
            <w:r>
              <w:rPr>
                <w:szCs w:val="24"/>
              </w:rPr>
              <w:t>ommonwealth C</w:t>
            </w:r>
            <w:r w:rsidRPr="004D57B3">
              <w:rPr>
                <w:szCs w:val="24"/>
              </w:rPr>
              <w:t>hief Medical Officer (</w:t>
            </w:r>
            <w:r w:rsidRPr="004D57B3">
              <w:rPr>
                <w:i/>
                <w:szCs w:val="24"/>
              </w:rPr>
              <w:t>ex officio member</w:t>
            </w:r>
            <w:r w:rsidRPr="004D57B3">
              <w:rPr>
                <w:szCs w:val="24"/>
              </w:rPr>
              <w:t>)</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Associate Professor Kirsty Douglas</w:t>
            </w:r>
          </w:p>
        </w:tc>
        <w:tc>
          <w:tcPr>
            <w:tcW w:w="4063" w:type="dxa"/>
          </w:tcPr>
          <w:p w:rsidR="0048417A" w:rsidRPr="004D57B3" w:rsidRDefault="0048417A" w:rsidP="00836B55">
            <w:pPr>
              <w:spacing w:after="120"/>
              <w:ind w:left="-108"/>
              <w:rPr>
                <w:szCs w:val="24"/>
              </w:rPr>
            </w:pPr>
            <w:r w:rsidRPr="004D57B3">
              <w:rPr>
                <w:szCs w:val="24"/>
              </w:rPr>
              <w:t xml:space="preserve">General </w:t>
            </w:r>
            <w:r>
              <w:rPr>
                <w:szCs w:val="24"/>
              </w:rPr>
              <w:t>p</w:t>
            </w:r>
            <w:r w:rsidRPr="004D57B3">
              <w:rPr>
                <w:szCs w:val="24"/>
              </w:rPr>
              <w:t>ractice/</w:t>
            </w:r>
            <w:r>
              <w:rPr>
                <w:szCs w:val="24"/>
              </w:rPr>
              <w:t>r</w:t>
            </w:r>
            <w:r w:rsidRPr="004D57B3">
              <w:rPr>
                <w:szCs w:val="24"/>
              </w:rPr>
              <w:t>esearch</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 xml:space="preserve">Professor </w:t>
            </w:r>
            <w:proofErr w:type="spellStart"/>
            <w:r w:rsidRPr="004D57B3">
              <w:rPr>
                <w:szCs w:val="24"/>
              </w:rPr>
              <w:t>Kwun</w:t>
            </w:r>
            <w:proofErr w:type="spellEnd"/>
            <w:r w:rsidRPr="004D57B3">
              <w:rPr>
                <w:szCs w:val="24"/>
              </w:rPr>
              <w:t xml:space="preserve"> Fong</w:t>
            </w:r>
          </w:p>
        </w:tc>
        <w:tc>
          <w:tcPr>
            <w:tcW w:w="4063" w:type="dxa"/>
          </w:tcPr>
          <w:p w:rsidR="0048417A" w:rsidRPr="004D57B3" w:rsidRDefault="0048417A" w:rsidP="00836B55">
            <w:pPr>
              <w:spacing w:after="120"/>
              <w:ind w:left="-108"/>
              <w:rPr>
                <w:szCs w:val="24"/>
              </w:rPr>
            </w:pPr>
            <w:r w:rsidRPr="004D57B3">
              <w:rPr>
                <w:szCs w:val="24"/>
              </w:rPr>
              <w:t xml:space="preserve">Thoracic </w:t>
            </w:r>
            <w:r>
              <w:rPr>
                <w:szCs w:val="24"/>
              </w:rPr>
              <w:t>m</w:t>
            </w:r>
            <w:r w:rsidRPr="004D57B3">
              <w:rPr>
                <w:szCs w:val="24"/>
              </w:rPr>
              <w:t>edicine</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Pr>
                <w:szCs w:val="24"/>
              </w:rPr>
              <w:t xml:space="preserve">Professor Paul </w:t>
            </w:r>
            <w:proofErr w:type="spellStart"/>
            <w:r>
              <w:rPr>
                <w:szCs w:val="24"/>
              </w:rPr>
              <w:t>Glasziou</w:t>
            </w:r>
            <w:proofErr w:type="spellEnd"/>
          </w:p>
        </w:tc>
        <w:tc>
          <w:tcPr>
            <w:tcW w:w="4063" w:type="dxa"/>
          </w:tcPr>
          <w:p w:rsidR="0048417A" w:rsidRPr="004D57B3" w:rsidRDefault="0048417A" w:rsidP="00836B55">
            <w:pPr>
              <w:spacing w:after="120"/>
              <w:ind w:left="-108"/>
              <w:rPr>
                <w:szCs w:val="24"/>
              </w:rPr>
            </w:pPr>
            <w:r>
              <w:rPr>
                <w:szCs w:val="24"/>
              </w:rPr>
              <w:t>Evidence-based healthcare</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Pr>
                <w:szCs w:val="24"/>
              </w:rPr>
              <w:t xml:space="preserve">Dr Scott </w:t>
            </w:r>
            <w:proofErr w:type="spellStart"/>
            <w:r>
              <w:rPr>
                <w:szCs w:val="24"/>
              </w:rPr>
              <w:t>Jansson</w:t>
            </w:r>
            <w:proofErr w:type="spellEnd"/>
          </w:p>
        </w:tc>
        <w:tc>
          <w:tcPr>
            <w:tcW w:w="4063" w:type="dxa"/>
          </w:tcPr>
          <w:p w:rsidR="0048417A" w:rsidRPr="004D57B3" w:rsidRDefault="0048417A" w:rsidP="00836B55">
            <w:pPr>
              <w:spacing w:after="120"/>
              <w:ind w:left="-108"/>
              <w:rPr>
                <w:szCs w:val="24"/>
              </w:rPr>
            </w:pPr>
            <w:r>
              <w:rPr>
                <w:szCs w:val="24"/>
              </w:rPr>
              <w:t>Pathology</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 xml:space="preserve">Professor </w:t>
            </w:r>
            <w:r>
              <w:rPr>
                <w:szCs w:val="24"/>
              </w:rPr>
              <w:t>David Little</w:t>
            </w:r>
          </w:p>
        </w:tc>
        <w:tc>
          <w:tcPr>
            <w:tcW w:w="4063" w:type="dxa"/>
          </w:tcPr>
          <w:p w:rsidR="0048417A" w:rsidRPr="004D57B3" w:rsidRDefault="0048417A" w:rsidP="00836B55">
            <w:pPr>
              <w:spacing w:after="120"/>
              <w:ind w:left="-108"/>
              <w:rPr>
                <w:szCs w:val="24"/>
              </w:rPr>
            </w:pPr>
            <w:r>
              <w:rPr>
                <w:szCs w:val="24"/>
              </w:rPr>
              <w:t>Orthopaedics</w:t>
            </w:r>
          </w:p>
        </w:tc>
      </w:tr>
      <w:tr w:rsidR="0048417A" w:rsidRPr="004D57B3" w:rsidTr="00836B55">
        <w:trPr>
          <w:gridAfter w:val="1"/>
          <w:wAfter w:w="152" w:type="dxa"/>
          <w:cantSplit/>
        </w:trPr>
        <w:tc>
          <w:tcPr>
            <w:tcW w:w="3993" w:type="dxa"/>
            <w:gridSpan w:val="2"/>
          </w:tcPr>
          <w:p w:rsidR="0048417A" w:rsidRPr="004D57B3" w:rsidRDefault="0048417A" w:rsidP="00836B55">
            <w:pPr>
              <w:pStyle w:val="Header"/>
              <w:keepNext/>
              <w:tabs>
                <w:tab w:val="clear" w:pos="4153"/>
                <w:tab w:val="clear" w:pos="8306"/>
              </w:tabs>
              <w:spacing w:after="120"/>
              <w:ind w:left="-108"/>
              <w:rPr>
                <w:szCs w:val="24"/>
              </w:rPr>
            </w:pPr>
            <w:r>
              <w:rPr>
                <w:szCs w:val="24"/>
              </w:rPr>
              <w:t>Mr Russell McGowan</w:t>
            </w:r>
          </w:p>
        </w:tc>
        <w:tc>
          <w:tcPr>
            <w:tcW w:w="4063" w:type="dxa"/>
          </w:tcPr>
          <w:p w:rsidR="0048417A" w:rsidRPr="004D57B3" w:rsidRDefault="0048417A" w:rsidP="00836B55">
            <w:pPr>
              <w:spacing w:after="120"/>
              <w:ind w:left="-108"/>
              <w:rPr>
                <w:szCs w:val="24"/>
              </w:rPr>
            </w:pPr>
            <w:r>
              <w:rPr>
                <w:szCs w:val="24"/>
              </w:rPr>
              <w:t>Consumer health representative</w:t>
            </w:r>
          </w:p>
        </w:tc>
      </w:tr>
      <w:tr w:rsidR="0048417A" w:rsidRPr="004D57B3" w:rsidTr="00836B55">
        <w:trPr>
          <w:gridAfter w:val="1"/>
          <w:wAfter w:w="152" w:type="dxa"/>
          <w:cantSplit/>
        </w:trPr>
        <w:tc>
          <w:tcPr>
            <w:tcW w:w="3993" w:type="dxa"/>
            <w:gridSpan w:val="2"/>
          </w:tcPr>
          <w:p w:rsidR="0048417A" w:rsidRPr="004D57B3" w:rsidRDefault="0048417A" w:rsidP="00836B55">
            <w:pPr>
              <w:pStyle w:val="Header"/>
              <w:keepNext/>
              <w:tabs>
                <w:tab w:val="clear" w:pos="4153"/>
                <w:tab w:val="clear" w:pos="8306"/>
              </w:tabs>
              <w:spacing w:after="120"/>
              <w:ind w:left="-108"/>
              <w:rPr>
                <w:szCs w:val="24"/>
              </w:rPr>
            </w:pPr>
            <w:r>
              <w:rPr>
                <w:szCs w:val="24"/>
              </w:rPr>
              <w:t xml:space="preserve">Professor David </w:t>
            </w:r>
            <w:proofErr w:type="spellStart"/>
            <w:r>
              <w:rPr>
                <w:szCs w:val="24"/>
              </w:rPr>
              <w:t>Roder</w:t>
            </w:r>
            <w:proofErr w:type="spellEnd"/>
          </w:p>
        </w:tc>
        <w:tc>
          <w:tcPr>
            <w:tcW w:w="4063" w:type="dxa"/>
          </w:tcPr>
          <w:p w:rsidR="0048417A" w:rsidRPr="004D57B3" w:rsidRDefault="0048417A" w:rsidP="00836B55">
            <w:pPr>
              <w:spacing w:after="120"/>
              <w:ind w:left="-108"/>
              <w:rPr>
                <w:szCs w:val="24"/>
              </w:rPr>
            </w:pPr>
            <w:r>
              <w:rPr>
                <w:szCs w:val="24"/>
              </w:rPr>
              <w:t>Health medicine / epidemiology</w:t>
            </w:r>
          </w:p>
        </w:tc>
      </w:tr>
      <w:tr w:rsidR="0048417A" w:rsidRPr="004D57B3" w:rsidTr="00836B55">
        <w:trPr>
          <w:gridAfter w:val="1"/>
          <w:wAfter w:w="152" w:type="dxa"/>
          <w:cantSplit/>
        </w:trPr>
        <w:tc>
          <w:tcPr>
            <w:tcW w:w="3993" w:type="dxa"/>
            <w:gridSpan w:val="2"/>
          </w:tcPr>
          <w:p w:rsidR="0048417A" w:rsidRPr="004D57B3" w:rsidRDefault="0048417A" w:rsidP="00836B55">
            <w:pPr>
              <w:pStyle w:val="Header"/>
              <w:keepNext/>
              <w:tabs>
                <w:tab w:val="clear" w:pos="4153"/>
                <w:tab w:val="clear" w:pos="8306"/>
              </w:tabs>
              <w:spacing w:after="120"/>
              <w:ind w:left="-108"/>
              <w:rPr>
                <w:szCs w:val="24"/>
              </w:rPr>
            </w:pPr>
            <w:r>
              <w:rPr>
                <w:szCs w:val="24"/>
              </w:rPr>
              <w:t xml:space="preserve">Associate Professor Bev </w:t>
            </w:r>
            <w:proofErr w:type="spellStart"/>
            <w:r>
              <w:rPr>
                <w:szCs w:val="24"/>
              </w:rPr>
              <w:t>Rowbotham</w:t>
            </w:r>
            <w:proofErr w:type="spellEnd"/>
          </w:p>
        </w:tc>
        <w:tc>
          <w:tcPr>
            <w:tcW w:w="4063" w:type="dxa"/>
          </w:tcPr>
          <w:p w:rsidR="0048417A" w:rsidRPr="004D57B3" w:rsidRDefault="0048417A" w:rsidP="00836B55">
            <w:pPr>
              <w:spacing w:after="120"/>
              <w:ind w:left="-108"/>
              <w:rPr>
                <w:szCs w:val="24"/>
              </w:rPr>
            </w:pPr>
            <w:r>
              <w:rPr>
                <w:szCs w:val="24"/>
              </w:rPr>
              <w:t>Haematology</w:t>
            </w:r>
          </w:p>
        </w:tc>
      </w:tr>
      <w:tr w:rsidR="0048417A" w:rsidRPr="004D57B3" w:rsidTr="00836B55">
        <w:trPr>
          <w:gridAfter w:val="1"/>
          <w:wAfter w:w="152" w:type="dxa"/>
          <w:cantSplit/>
        </w:trPr>
        <w:tc>
          <w:tcPr>
            <w:tcW w:w="3993" w:type="dxa"/>
            <w:gridSpan w:val="2"/>
          </w:tcPr>
          <w:p w:rsidR="0048417A" w:rsidRPr="004D57B3" w:rsidRDefault="0048417A" w:rsidP="00836B55">
            <w:pPr>
              <w:pStyle w:val="Header"/>
              <w:keepNext/>
              <w:tabs>
                <w:tab w:val="clear" w:pos="4153"/>
                <w:tab w:val="clear" w:pos="8306"/>
              </w:tabs>
              <w:spacing w:after="120"/>
              <w:ind w:left="-108"/>
              <w:rPr>
                <w:szCs w:val="24"/>
              </w:rPr>
            </w:pPr>
            <w:r w:rsidRPr="004D57B3">
              <w:rPr>
                <w:szCs w:val="24"/>
              </w:rPr>
              <w:t xml:space="preserve">Dr Graeme </w:t>
            </w:r>
            <w:proofErr w:type="spellStart"/>
            <w:r w:rsidRPr="004D57B3">
              <w:rPr>
                <w:szCs w:val="24"/>
              </w:rPr>
              <w:t>Suthers</w:t>
            </w:r>
            <w:proofErr w:type="spellEnd"/>
          </w:p>
        </w:tc>
        <w:tc>
          <w:tcPr>
            <w:tcW w:w="4063" w:type="dxa"/>
          </w:tcPr>
          <w:p w:rsidR="0048417A" w:rsidRPr="004D57B3" w:rsidRDefault="0048417A" w:rsidP="00836B55">
            <w:pPr>
              <w:spacing w:after="120"/>
              <w:ind w:left="-108"/>
              <w:rPr>
                <w:szCs w:val="24"/>
              </w:rPr>
            </w:pPr>
            <w:r w:rsidRPr="004D57B3">
              <w:rPr>
                <w:szCs w:val="24"/>
              </w:rPr>
              <w:t>Genetics/</w:t>
            </w:r>
            <w:r>
              <w:rPr>
                <w:szCs w:val="24"/>
              </w:rPr>
              <w:t>p</w:t>
            </w:r>
            <w:r w:rsidRPr="004D57B3">
              <w:rPr>
                <w:szCs w:val="24"/>
              </w:rPr>
              <w:t>athology</w:t>
            </w:r>
          </w:p>
        </w:tc>
      </w:tr>
      <w:tr w:rsidR="0048417A" w:rsidRPr="004D57B3" w:rsidTr="00836B55">
        <w:trPr>
          <w:gridAfter w:val="1"/>
          <w:wAfter w:w="152" w:type="dxa"/>
          <w:cantSplit/>
          <w:trHeight w:val="377"/>
        </w:trPr>
        <w:tc>
          <w:tcPr>
            <w:tcW w:w="3993" w:type="dxa"/>
            <w:gridSpan w:val="2"/>
          </w:tcPr>
          <w:p w:rsidR="0048417A" w:rsidRPr="004D57B3" w:rsidRDefault="0048417A" w:rsidP="00836B55">
            <w:pPr>
              <w:spacing w:after="120"/>
              <w:ind w:left="-108"/>
              <w:rPr>
                <w:szCs w:val="24"/>
              </w:rPr>
            </w:pPr>
            <w:r w:rsidRPr="004D57B3">
              <w:rPr>
                <w:szCs w:val="24"/>
              </w:rPr>
              <w:t>Professor Ken Thomson</w:t>
            </w:r>
          </w:p>
        </w:tc>
        <w:tc>
          <w:tcPr>
            <w:tcW w:w="4063" w:type="dxa"/>
          </w:tcPr>
          <w:p w:rsidR="0048417A" w:rsidRPr="004D57B3" w:rsidRDefault="0048417A" w:rsidP="00836B55">
            <w:pPr>
              <w:spacing w:after="120"/>
              <w:ind w:left="-108"/>
              <w:rPr>
                <w:szCs w:val="24"/>
              </w:rPr>
            </w:pPr>
            <w:r w:rsidRPr="004D57B3">
              <w:rPr>
                <w:szCs w:val="24"/>
              </w:rPr>
              <w:t>Radiology</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 xml:space="preserve">Dr Christine </w:t>
            </w:r>
            <w:proofErr w:type="spellStart"/>
            <w:r w:rsidRPr="004D57B3">
              <w:rPr>
                <w:szCs w:val="24"/>
              </w:rPr>
              <w:t>Tippett</w:t>
            </w:r>
            <w:proofErr w:type="spellEnd"/>
          </w:p>
        </w:tc>
        <w:tc>
          <w:tcPr>
            <w:tcW w:w="4063" w:type="dxa"/>
          </w:tcPr>
          <w:p w:rsidR="0048417A" w:rsidRPr="004D57B3" w:rsidRDefault="0048417A" w:rsidP="00836B55">
            <w:pPr>
              <w:spacing w:after="120"/>
              <w:ind w:left="-108"/>
              <w:rPr>
                <w:szCs w:val="24"/>
              </w:rPr>
            </w:pPr>
            <w:r w:rsidRPr="004D57B3">
              <w:rPr>
                <w:szCs w:val="24"/>
              </w:rPr>
              <w:t>Obstetrics/</w:t>
            </w:r>
            <w:r>
              <w:rPr>
                <w:szCs w:val="24"/>
              </w:rPr>
              <w:t>g</w:t>
            </w:r>
            <w:r w:rsidRPr="004D57B3">
              <w:rPr>
                <w:szCs w:val="24"/>
              </w:rPr>
              <w:t>ynaecology</w:t>
            </w:r>
          </w:p>
        </w:tc>
      </w:tr>
      <w:tr w:rsidR="0048417A" w:rsidRPr="004D57B3" w:rsidTr="00836B55">
        <w:trPr>
          <w:gridAfter w:val="1"/>
          <w:wAfter w:w="152" w:type="dxa"/>
          <w:cantSplit/>
        </w:trPr>
        <w:tc>
          <w:tcPr>
            <w:tcW w:w="3993" w:type="dxa"/>
            <w:gridSpan w:val="2"/>
          </w:tcPr>
          <w:p w:rsidR="0048417A" w:rsidRPr="004D57B3" w:rsidRDefault="0048417A" w:rsidP="00836B55">
            <w:pPr>
              <w:spacing w:after="120"/>
              <w:ind w:left="-108"/>
              <w:rPr>
                <w:szCs w:val="24"/>
              </w:rPr>
            </w:pPr>
            <w:r w:rsidRPr="004D57B3">
              <w:rPr>
                <w:szCs w:val="24"/>
              </w:rPr>
              <w:t xml:space="preserve">Associate Professor David </w:t>
            </w:r>
            <w:proofErr w:type="spellStart"/>
            <w:r w:rsidRPr="004D57B3">
              <w:rPr>
                <w:szCs w:val="24"/>
              </w:rPr>
              <w:t>Winlaw</w:t>
            </w:r>
            <w:proofErr w:type="spellEnd"/>
          </w:p>
        </w:tc>
        <w:tc>
          <w:tcPr>
            <w:tcW w:w="4063" w:type="dxa"/>
          </w:tcPr>
          <w:p w:rsidR="0048417A" w:rsidRPr="004D57B3" w:rsidRDefault="0048417A" w:rsidP="00836B55">
            <w:pPr>
              <w:spacing w:after="120"/>
              <w:ind w:left="-108"/>
              <w:rPr>
                <w:szCs w:val="24"/>
              </w:rPr>
            </w:pPr>
            <w:r w:rsidRPr="004D57B3">
              <w:rPr>
                <w:szCs w:val="24"/>
              </w:rPr>
              <w:t xml:space="preserve">Paediatric </w:t>
            </w:r>
            <w:r>
              <w:rPr>
                <w:szCs w:val="24"/>
              </w:rPr>
              <w:t>c</w:t>
            </w:r>
            <w:r w:rsidRPr="004D57B3">
              <w:rPr>
                <w:szCs w:val="24"/>
              </w:rPr>
              <w:t xml:space="preserve">ardiothoracic </w:t>
            </w:r>
            <w:r>
              <w:rPr>
                <w:szCs w:val="24"/>
              </w:rPr>
              <w:t>s</w:t>
            </w:r>
            <w:r w:rsidRPr="004D57B3">
              <w:rPr>
                <w:szCs w:val="24"/>
              </w:rPr>
              <w:t>urgery</w:t>
            </w:r>
          </w:p>
        </w:tc>
      </w:tr>
      <w:tr w:rsidR="0048417A" w:rsidRPr="004D57B3" w:rsidTr="00836B55">
        <w:trPr>
          <w:gridAfter w:val="1"/>
          <w:wAfter w:w="152" w:type="dxa"/>
          <w:cantSplit/>
        </w:trPr>
        <w:tc>
          <w:tcPr>
            <w:tcW w:w="3993" w:type="dxa"/>
            <w:gridSpan w:val="2"/>
          </w:tcPr>
          <w:p w:rsidR="0048417A" w:rsidRPr="004D57B3" w:rsidRDefault="0048417A" w:rsidP="006D6577">
            <w:pPr>
              <w:spacing w:after="120"/>
              <w:ind w:left="-108"/>
              <w:rPr>
                <w:szCs w:val="24"/>
              </w:rPr>
            </w:pPr>
            <w:r w:rsidRPr="004D57B3">
              <w:rPr>
                <w:szCs w:val="24"/>
              </w:rPr>
              <w:t>Dr Caroline Wright</w:t>
            </w:r>
          </w:p>
        </w:tc>
        <w:tc>
          <w:tcPr>
            <w:tcW w:w="4063" w:type="dxa"/>
          </w:tcPr>
          <w:p w:rsidR="0048417A" w:rsidRPr="004D57B3" w:rsidRDefault="0048417A" w:rsidP="006D6577">
            <w:pPr>
              <w:spacing w:after="120"/>
              <w:ind w:left="-108"/>
              <w:rPr>
                <w:szCs w:val="24"/>
              </w:rPr>
            </w:pPr>
            <w:r w:rsidRPr="004D57B3">
              <w:rPr>
                <w:szCs w:val="24"/>
              </w:rPr>
              <w:t xml:space="preserve">Colorectal </w:t>
            </w:r>
            <w:r>
              <w:rPr>
                <w:szCs w:val="24"/>
              </w:rPr>
              <w:t>c</w:t>
            </w:r>
            <w:r w:rsidRPr="004D57B3">
              <w:rPr>
                <w:szCs w:val="24"/>
              </w:rPr>
              <w:t>ancer</w:t>
            </w:r>
            <w:r>
              <w:rPr>
                <w:szCs w:val="24"/>
              </w:rPr>
              <w:t xml:space="preserve"> / surgery</w:t>
            </w:r>
          </w:p>
        </w:tc>
      </w:tr>
      <w:tr w:rsidR="0048417A" w:rsidRPr="004D57B3" w:rsidTr="00836B55">
        <w:trPr>
          <w:gridAfter w:val="1"/>
          <w:wAfter w:w="152" w:type="dxa"/>
          <w:cantSplit/>
        </w:trPr>
        <w:tc>
          <w:tcPr>
            <w:tcW w:w="3993" w:type="dxa"/>
            <w:gridSpan w:val="2"/>
          </w:tcPr>
          <w:p w:rsidR="0048417A" w:rsidRPr="004D57B3" w:rsidRDefault="0048417A" w:rsidP="00574491">
            <w:pPr>
              <w:spacing w:after="120"/>
              <w:ind w:left="-108"/>
              <w:rPr>
                <w:szCs w:val="24"/>
              </w:rPr>
            </w:pPr>
            <w:r>
              <w:rPr>
                <w:szCs w:val="24"/>
              </w:rPr>
              <w:t>Vacant</w:t>
            </w:r>
          </w:p>
        </w:tc>
        <w:tc>
          <w:tcPr>
            <w:tcW w:w="4063" w:type="dxa"/>
          </w:tcPr>
          <w:p w:rsidR="0048417A" w:rsidRPr="004D57B3" w:rsidRDefault="0048417A" w:rsidP="00574491">
            <w:pPr>
              <w:spacing w:after="120"/>
              <w:ind w:left="-108"/>
              <w:rPr>
                <w:szCs w:val="24"/>
              </w:rPr>
            </w:pPr>
            <w:r w:rsidRPr="004D57B3">
              <w:rPr>
                <w:szCs w:val="24"/>
              </w:rPr>
              <w:t xml:space="preserve">AHMAC </w:t>
            </w:r>
            <w:r>
              <w:rPr>
                <w:szCs w:val="24"/>
              </w:rPr>
              <w:t>r</w:t>
            </w:r>
            <w:r w:rsidRPr="004D57B3">
              <w:rPr>
                <w:szCs w:val="24"/>
              </w:rPr>
              <w:t>epresentative (</w:t>
            </w:r>
            <w:r w:rsidRPr="004D57B3">
              <w:rPr>
                <w:i/>
                <w:szCs w:val="24"/>
              </w:rPr>
              <w:t>ex officio member</w:t>
            </w:r>
            <w:r w:rsidRPr="004D57B3">
              <w:rPr>
                <w:szCs w:val="24"/>
              </w:rPr>
              <w:t>)</w:t>
            </w:r>
          </w:p>
        </w:tc>
      </w:tr>
      <w:tr w:rsidR="0048417A" w:rsidRPr="004D57B3" w:rsidTr="00836B55">
        <w:trPr>
          <w:cantSplit/>
        </w:trPr>
        <w:tc>
          <w:tcPr>
            <w:tcW w:w="3641" w:type="dxa"/>
          </w:tcPr>
          <w:p w:rsidR="0048417A" w:rsidRPr="004D57B3" w:rsidRDefault="0048417A" w:rsidP="00836B55">
            <w:pPr>
              <w:autoSpaceDE w:val="0"/>
              <w:autoSpaceDN w:val="0"/>
              <w:adjustRightInd w:val="0"/>
              <w:spacing w:after="120"/>
              <w:ind w:left="11" w:hanging="11"/>
              <w:rPr>
                <w:b/>
                <w:szCs w:val="22"/>
              </w:rPr>
            </w:pPr>
          </w:p>
        </w:tc>
        <w:tc>
          <w:tcPr>
            <w:tcW w:w="4567" w:type="dxa"/>
            <w:gridSpan w:val="3"/>
          </w:tcPr>
          <w:p w:rsidR="0048417A" w:rsidRPr="004D57B3" w:rsidRDefault="0048417A" w:rsidP="00836B55">
            <w:pPr>
              <w:autoSpaceDE w:val="0"/>
              <w:autoSpaceDN w:val="0"/>
              <w:adjustRightInd w:val="0"/>
              <w:spacing w:after="120"/>
              <w:ind w:left="11" w:hanging="11"/>
              <w:rPr>
                <w:b/>
                <w:szCs w:val="22"/>
              </w:rPr>
            </w:pPr>
          </w:p>
        </w:tc>
      </w:tr>
      <w:tr w:rsidR="0048417A" w:rsidRPr="004D57B3" w:rsidTr="00836B55">
        <w:trPr>
          <w:cantSplit/>
        </w:trPr>
        <w:tc>
          <w:tcPr>
            <w:tcW w:w="3641" w:type="dxa"/>
          </w:tcPr>
          <w:p w:rsidR="0048417A" w:rsidRPr="004D57B3" w:rsidRDefault="0048417A" w:rsidP="00836B55">
            <w:pPr>
              <w:autoSpaceDE w:val="0"/>
              <w:autoSpaceDN w:val="0"/>
              <w:adjustRightInd w:val="0"/>
              <w:spacing w:after="0"/>
              <w:ind w:left="34" w:hanging="34"/>
              <w:rPr>
                <w:szCs w:val="22"/>
              </w:rPr>
            </w:pPr>
          </w:p>
        </w:tc>
        <w:tc>
          <w:tcPr>
            <w:tcW w:w="4567" w:type="dxa"/>
            <w:gridSpan w:val="3"/>
          </w:tcPr>
          <w:p w:rsidR="0048417A" w:rsidRPr="004D57B3" w:rsidRDefault="0048417A" w:rsidP="00836B55">
            <w:pPr>
              <w:autoSpaceDE w:val="0"/>
              <w:autoSpaceDN w:val="0"/>
              <w:adjustRightInd w:val="0"/>
              <w:spacing w:after="0"/>
              <w:ind w:left="10" w:hanging="10"/>
              <w:rPr>
                <w:szCs w:val="22"/>
              </w:rPr>
            </w:pPr>
          </w:p>
        </w:tc>
      </w:tr>
      <w:tr w:rsidR="0048417A" w:rsidRPr="004D57B3" w:rsidTr="00836B55">
        <w:trPr>
          <w:cantSplit/>
        </w:trPr>
        <w:tc>
          <w:tcPr>
            <w:tcW w:w="3641" w:type="dxa"/>
          </w:tcPr>
          <w:p w:rsidR="0048417A" w:rsidRPr="004D57B3" w:rsidRDefault="0048417A" w:rsidP="00836B55">
            <w:pPr>
              <w:autoSpaceDE w:val="0"/>
              <w:autoSpaceDN w:val="0"/>
              <w:adjustRightInd w:val="0"/>
              <w:spacing w:after="0"/>
              <w:ind w:left="34" w:hanging="34"/>
              <w:rPr>
                <w:szCs w:val="22"/>
              </w:rPr>
            </w:pPr>
          </w:p>
        </w:tc>
        <w:tc>
          <w:tcPr>
            <w:tcW w:w="4567" w:type="dxa"/>
            <w:gridSpan w:val="3"/>
          </w:tcPr>
          <w:p w:rsidR="0048417A" w:rsidRPr="004D57B3" w:rsidRDefault="0048417A" w:rsidP="00836B55">
            <w:pPr>
              <w:autoSpaceDE w:val="0"/>
              <w:autoSpaceDN w:val="0"/>
              <w:adjustRightInd w:val="0"/>
              <w:spacing w:after="0"/>
              <w:ind w:left="10" w:hanging="10"/>
              <w:rPr>
                <w:szCs w:val="22"/>
              </w:rPr>
            </w:pPr>
          </w:p>
        </w:tc>
      </w:tr>
      <w:tr w:rsidR="0048417A" w:rsidRPr="004D57B3" w:rsidTr="00836B55">
        <w:trPr>
          <w:cantSplit/>
        </w:trPr>
        <w:tc>
          <w:tcPr>
            <w:tcW w:w="3641" w:type="dxa"/>
          </w:tcPr>
          <w:p w:rsidR="0048417A" w:rsidRPr="004D57B3" w:rsidRDefault="0048417A" w:rsidP="00836B55">
            <w:pPr>
              <w:autoSpaceDE w:val="0"/>
              <w:autoSpaceDN w:val="0"/>
              <w:adjustRightInd w:val="0"/>
              <w:spacing w:after="0"/>
              <w:ind w:left="34" w:hanging="34"/>
              <w:rPr>
                <w:szCs w:val="22"/>
              </w:rPr>
            </w:pPr>
          </w:p>
        </w:tc>
        <w:tc>
          <w:tcPr>
            <w:tcW w:w="4567" w:type="dxa"/>
            <w:gridSpan w:val="3"/>
          </w:tcPr>
          <w:p w:rsidR="0048417A" w:rsidRPr="004D57B3" w:rsidRDefault="0048417A" w:rsidP="00836B55">
            <w:pPr>
              <w:autoSpaceDE w:val="0"/>
              <w:autoSpaceDN w:val="0"/>
              <w:adjustRightInd w:val="0"/>
              <w:spacing w:after="0"/>
              <w:ind w:left="10" w:hanging="10"/>
              <w:rPr>
                <w:szCs w:val="22"/>
              </w:rPr>
            </w:pPr>
          </w:p>
        </w:tc>
      </w:tr>
    </w:tbl>
    <w:p w:rsidR="0048417A" w:rsidRPr="004D57B3" w:rsidRDefault="0048417A" w:rsidP="00836B55">
      <w:pPr>
        <w:pStyle w:val="Heading1"/>
        <w:rPr>
          <w:bCs/>
        </w:rPr>
      </w:pPr>
      <w:bookmarkStart w:id="240" w:name="_Ref206484417"/>
      <w:bookmarkStart w:id="241" w:name="_Ref279066281"/>
      <w:bookmarkStart w:id="242" w:name="_Toc296517901"/>
      <w:r w:rsidRPr="004D57B3">
        <w:rPr>
          <w:bCs/>
        </w:rPr>
        <w:lastRenderedPageBreak/>
        <w:t xml:space="preserve">Appendix </w:t>
      </w:r>
      <w:r w:rsidRPr="004D57B3">
        <w:rPr>
          <w:bCs/>
        </w:rPr>
        <w:fldChar w:fldCharType="begin"/>
      </w:r>
      <w:r w:rsidRPr="004D57B3">
        <w:rPr>
          <w:bCs/>
        </w:rPr>
        <w:instrText xml:space="preserve"> SEQ Appendix \* ALPHABETIC </w:instrText>
      </w:r>
      <w:r w:rsidRPr="004D57B3">
        <w:rPr>
          <w:bCs/>
        </w:rPr>
        <w:fldChar w:fldCharType="separate"/>
      </w:r>
      <w:r>
        <w:rPr>
          <w:bCs/>
          <w:noProof/>
        </w:rPr>
        <w:t>B</w:t>
      </w:r>
      <w:r w:rsidRPr="004D57B3">
        <w:rPr>
          <w:bCs/>
        </w:rPr>
        <w:fldChar w:fldCharType="end"/>
      </w:r>
      <w:bookmarkEnd w:id="240"/>
      <w:r w:rsidRPr="004D57B3">
        <w:rPr>
          <w:bCs/>
        </w:rPr>
        <w:tab/>
      </w:r>
      <w:r w:rsidRPr="004D57B3">
        <w:rPr>
          <w:bCs/>
        </w:rPr>
        <w:tab/>
        <w:t xml:space="preserve">Advisory Panel and </w:t>
      </w:r>
      <w:bookmarkEnd w:id="241"/>
      <w:r>
        <w:rPr>
          <w:bCs/>
        </w:rPr>
        <w:t>E</w:t>
      </w:r>
      <w:r w:rsidRPr="004D57B3">
        <w:rPr>
          <w:bCs/>
        </w:rPr>
        <w:t>valuators</w:t>
      </w:r>
      <w:bookmarkEnd w:id="242"/>
    </w:p>
    <w:p w:rsidR="0048417A" w:rsidRPr="004D57B3" w:rsidRDefault="0048417A" w:rsidP="00836B55">
      <w:pPr>
        <w:pStyle w:val="Heading2"/>
      </w:pPr>
      <w:bookmarkStart w:id="243" w:name="_Toc296517902"/>
      <w:r w:rsidRPr="004D57B3">
        <w:t>Advisory Panel – Capsule endoscopy for suspected small bowel Crohn’s disease No. 1146</w:t>
      </w:r>
      <w:bookmarkEnd w:id="243"/>
    </w:p>
    <w:tbl>
      <w:tblPr>
        <w:tblW w:w="0" w:type="auto"/>
        <w:tblInd w:w="675" w:type="dxa"/>
        <w:tblLayout w:type="fixed"/>
        <w:tblLook w:val="0000" w:firstRow="0" w:lastRow="0" w:firstColumn="0" w:lastColumn="0" w:noHBand="0" w:noVBand="0"/>
      </w:tblPr>
      <w:tblGrid>
        <w:gridCol w:w="3420"/>
        <w:gridCol w:w="5130"/>
      </w:tblGrid>
      <w:tr w:rsidR="0048417A" w:rsidRPr="004D57B3" w:rsidTr="00836B55">
        <w:trPr>
          <w:cantSplit/>
          <w:trHeight w:val="325"/>
        </w:trPr>
        <w:tc>
          <w:tcPr>
            <w:tcW w:w="3420" w:type="dxa"/>
            <w:tcBorders>
              <w:top w:val="single" w:sz="4" w:space="0" w:color="auto"/>
            </w:tcBorders>
          </w:tcPr>
          <w:p w:rsidR="0048417A" w:rsidRPr="004D57B3" w:rsidRDefault="0048417A" w:rsidP="00836B55">
            <w:pPr>
              <w:autoSpaceDE w:val="0"/>
              <w:autoSpaceDN w:val="0"/>
              <w:adjustRightInd w:val="0"/>
              <w:spacing w:after="120"/>
              <w:ind w:left="11" w:hanging="11"/>
              <w:rPr>
                <w:b/>
                <w:szCs w:val="22"/>
              </w:rPr>
            </w:pPr>
            <w:bookmarkStart w:id="244" w:name="OLE_LINK1"/>
            <w:bookmarkStart w:id="245" w:name="OLE_LINK2"/>
            <w:r w:rsidRPr="004D57B3">
              <w:rPr>
                <w:b/>
                <w:sz w:val="22"/>
                <w:szCs w:val="22"/>
              </w:rPr>
              <w:t>Member</w:t>
            </w:r>
          </w:p>
        </w:tc>
        <w:tc>
          <w:tcPr>
            <w:tcW w:w="5130" w:type="dxa"/>
            <w:tcBorders>
              <w:top w:val="single" w:sz="4" w:space="0" w:color="auto"/>
            </w:tcBorders>
          </w:tcPr>
          <w:p w:rsidR="0048417A" w:rsidRPr="004D57B3" w:rsidRDefault="0048417A" w:rsidP="00836B55">
            <w:pPr>
              <w:autoSpaceDE w:val="0"/>
              <w:autoSpaceDN w:val="0"/>
              <w:adjustRightInd w:val="0"/>
              <w:spacing w:after="120"/>
              <w:ind w:left="11" w:hanging="11"/>
              <w:rPr>
                <w:b/>
                <w:szCs w:val="22"/>
              </w:rPr>
            </w:pPr>
            <w:r w:rsidRPr="004D57B3">
              <w:rPr>
                <w:b/>
                <w:sz w:val="22"/>
                <w:szCs w:val="22"/>
              </w:rPr>
              <w:t xml:space="preserve">Nomination / </w:t>
            </w:r>
            <w:r>
              <w:rPr>
                <w:b/>
                <w:sz w:val="22"/>
                <w:szCs w:val="22"/>
              </w:rPr>
              <w:t>e</w:t>
            </w:r>
            <w:r w:rsidRPr="004D57B3">
              <w:rPr>
                <w:b/>
                <w:sz w:val="22"/>
                <w:szCs w:val="22"/>
              </w:rPr>
              <w:t xml:space="preserve">xpertise or </w:t>
            </w:r>
            <w:r>
              <w:rPr>
                <w:b/>
                <w:sz w:val="22"/>
                <w:szCs w:val="22"/>
              </w:rPr>
              <w:t>a</w:t>
            </w:r>
            <w:r w:rsidRPr="004D57B3">
              <w:rPr>
                <w:b/>
                <w:sz w:val="22"/>
                <w:szCs w:val="22"/>
              </w:rPr>
              <w:t>ffiliation</w:t>
            </w:r>
          </w:p>
        </w:tc>
      </w:tr>
      <w:tr w:rsidR="0048417A" w:rsidRPr="004D57B3" w:rsidTr="00836B55">
        <w:trPr>
          <w:cantSplit/>
          <w:trHeight w:val="517"/>
        </w:trPr>
        <w:tc>
          <w:tcPr>
            <w:tcW w:w="3420" w:type="dxa"/>
            <w:tcBorders>
              <w:top w:val="single" w:sz="4" w:space="0" w:color="auto"/>
            </w:tcBorders>
          </w:tcPr>
          <w:p w:rsidR="0048417A" w:rsidRPr="004D57B3" w:rsidRDefault="0048417A" w:rsidP="00836B55">
            <w:pPr>
              <w:spacing w:after="0"/>
              <w:ind w:left="0"/>
              <w:rPr>
                <w:szCs w:val="22"/>
              </w:rPr>
            </w:pPr>
            <w:r w:rsidRPr="004D57B3">
              <w:rPr>
                <w:sz w:val="22"/>
                <w:szCs w:val="22"/>
              </w:rPr>
              <w:t xml:space="preserve">Dr </w:t>
            </w:r>
            <w:proofErr w:type="spellStart"/>
            <w:r w:rsidRPr="004D57B3">
              <w:rPr>
                <w:sz w:val="22"/>
                <w:szCs w:val="22"/>
              </w:rPr>
              <w:t>Kwun</w:t>
            </w:r>
            <w:proofErr w:type="spellEnd"/>
            <w:r w:rsidRPr="004D57B3">
              <w:rPr>
                <w:sz w:val="22"/>
                <w:szCs w:val="22"/>
              </w:rPr>
              <w:t xml:space="preserve"> Fong </w:t>
            </w:r>
          </w:p>
          <w:p w:rsidR="0048417A" w:rsidRPr="004D57B3" w:rsidRDefault="0048417A" w:rsidP="00836B55">
            <w:pPr>
              <w:spacing w:after="0"/>
              <w:ind w:left="0"/>
              <w:rPr>
                <w:szCs w:val="22"/>
              </w:rPr>
            </w:pPr>
            <w:r w:rsidRPr="004D57B3">
              <w:rPr>
                <w:sz w:val="22"/>
                <w:szCs w:val="22"/>
              </w:rPr>
              <w:t>(Chair)</w:t>
            </w:r>
          </w:p>
        </w:tc>
        <w:tc>
          <w:tcPr>
            <w:tcW w:w="5130" w:type="dxa"/>
            <w:tcBorders>
              <w:top w:val="single" w:sz="4" w:space="0" w:color="auto"/>
            </w:tcBorders>
          </w:tcPr>
          <w:p w:rsidR="0048417A" w:rsidRPr="004D57B3" w:rsidRDefault="0048417A" w:rsidP="00836B55">
            <w:pPr>
              <w:autoSpaceDE w:val="0"/>
              <w:autoSpaceDN w:val="0"/>
              <w:adjustRightInd w:val="0"/>
              <w:spacing w:after="0"/>
              <w:ind w:left="34" w:hanging="34"/>
              <w:rPr>
                <w:szCs w:val="22"/>
              </w:rPr>
            </w:pPr>
            <w:r w:rsidRPr="004D57B3">
              <w:rPr>
                <w:sz w:val="22"/>
                <w:szCs w:val="22"/>
              </w:rPr>
              <w:t xml:space="preserve">Member of MSAC </w:t>
            </w:r>
          </w:p>
          <w:p w:rsidR="0048417A" w:rsidRPr="004D57B3" w:rsidRDefault="0048417A" w:rsidP="00836B55">
            <w:pPr>
              <w:autoSpaceDE w:val="0"/>
              <w:autoSpaceDN w:val="0"/>
              <w:adjustRightInd w:val="0"/>
              <w:spacing w:after="0"/>
              <w:ind w:left="34" w:hanging="34"/>
              <w:rPr>
                <w:szCs w:val="22"/>
              </w:rPr>
            </w:pPr>
            <w:r w:rsidRPr="004D57B3">
              <w:rPr>
                <w:sz w:val="22"/>
                <w:szCs w:val="22"/>
              </w:rPr>
              <w:t>Thoracic medicine</w:t>
            </w:r>
          </w:p>
        </w:tc>
      </w:tr>
      <w:bookmarkEnd w:id="244"/>
      <w:bookmarkEnd w:id="245"/>
      <w:tr w:rsidR="0048417A" w:rsidRPr="004D57B3" w:rsidTr="00836B55">
        <w:trPr>
          <w:cantSplit/>
          <w:trHeight w:val="80"/>
        </w:trPr>
        <w:tc>
          <w:tcPr>
            <w:tcW w:w="3420" w:type="dxa"/>
          </w:tcPr>
          <w:p w:rsidR="0048417A" w:rsidRPr="004D57B3" w:rsidRDefault="0048417A" w:rsidP="00836B55">
            <w:pPr>
              <w:autoSpaceDE w:val="0"/>
              <w:autoSpaceDN w:val="0"/>
              <w:adjustRightInd w:val="0"/>
              <w:spacing w:after="0"/>
              <w:ind w:left="34" w:hanging="34"/>
              <w:rPr>
                <w:szCs w:val="22"/>
              </w:rPr>
            </w:pPr>
          </w:p>
        </w:tc>
        <w:tc>
          <w:tcPr>
            <w:tcW w:w="5130" w:type="dxa"/>
          </w:tcPr>
          <w:p w:rsidR="0048417A" w:rsidRPr="004D57B3" w:rsidRDefault="0048417A" w:rsidP="00836B55">
            <w:pPr>
              <w:autoSpaceDE w:val="0"/>
              <w:autoSpaceDN w:val="0"/>
              <w:adjustRightInd w:val="0"/>
              <w:spacing w:after="0"/>
              <w:ind w:left="34" w:hanging="34"/>
              <w:rPr>
                <w:szCs w:val="22"/>
              </w:rPr>
            </w:pPr>
          </w:p>
        </w:tc>
      </w:tr>
      <w:tr w:rsidR="0048417A" w:rsidRPr="004D57B3" w:rsidTr="00836B55">
        <w:trPr>
          <w:cantSplit/>
          <w:trHeight w:val="4055"/>
        </w:trPr>
        <w:tc>
          <w:tcPr>
            <w:tcW w:w="3420" w:type="dxa"/>
          </w:tcPr>
          <w:p w:rsidR="0048417A" w:rsidRPr="004D57B3" w:rsidRDefault="0048417A" w:rsidP="00836B55">
            <w:pPr>
              <w:spacing w:after="0"/>
              <w:ind w:left="0"/>
              <w:rPr>
                <w:szCs w:val="22"/>
              </w:rPr>
            </w:pPr>
            <w:r w:rsidRPr="004D57B3">
              <w:rPr>
                <w:sz w:val="22"/>
                <w:szCs w:val="22"/>
              </w:rPr>
              <w:t xml:space="preserve">Associate Professor David </w:t>
            </w:r>
            <w:proofErr w:type="spellStart"/>
            <w:r w:rsidRPr="004D57B3">
              <w:rPr>
                <w:sz w:val="22"/>
                <w:szCs w:val="22"/>
              </w:rPr>
              <w:t>Winlaw</w:t>
            </w:r>
            <w:proofErr w:type="spellEnd"/>
            <w:r w:rsidRPr="004D57B3">
              <w:rPr>
                <w:sz w:val="22"/>
                <w:szCs w:val="22"/>
              </w:rPr>
              <w:t xml:space="preserve"> (Deputy Chair)</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r w:rsidRPr="004D57B3">
              <w:rPr>
                <w:sz w:val="22"/>
                <w:szCs w:val="22"/>
              </w:rPr>
              <w:t>Associate Professor Paul Desmond</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spacing w:after="0"/>
              <w:ind w:left="0"/>
              <w:rPr>
                <w:szCs w:val="22"/>
              </w:rPr>
            </w:pPr>
            <w:r w:rsidRPr="004D57B3">
              <w:rPr>
                <w:sz w:val="22"/>
                <w:szCs w:val="22"/>
              </w:rPr>
              <w:t>Dr Justin Evans</w:t>
            </w:r>
          </w:p>
          <w:p w:rsidR="0048417A" w:rsidRPr="004D57B3" w:rsidRDefault="0048417A" w:rsidP="00836B55">
            <w:pPr>
              <w:spacing w:after="0"/>
              <w:ind w:left="0"/>
              <w:rPr>
                <w:szCs w:val="22"/>
              </w:rPr>
            </w:pPr>
          </w:p>
          <w:p w:rsidR="0048417A" w:rsidRPr="004D57B3" w:rsidRDefault="0048417A" w:rsidP="00836B55">
            <w:pPr>
              <w:spacing w:after="0"/>
              <w:ind w:left="0"/>
              <w:rPr>
                <w:szCs w:val="22"/>
              </w:rPr>
            </w:pPr>
            <w:r w:rsidRPr="004D57B3">
              <w:rPr>
                <w:sz w:val="22"/>
                <w:szCs w:val="22"/>
              </w:rPr>
              <w:t>Associate Professor Graham Radford-Smith</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r w:rsidRPr="004D57B3">
              <w:rPr>
                <w:sz w:val="22"/>
                <w:szCs w:val="22"/>
              </w:rPr>
              <w:t>Ms Anita Reilly</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p>
          <w:p w:rsidR="0048417A" w:rsidRPr="004D57B3" w:rsidRDefault="0048417A" w:rsidP="00B81800">
            <w:pPr>
              <w:autoSpaceDE w:val="0"/>
              <w:autoSpaceDN w:val="0"/>
              <w:adjustRightInd w:val="0"/>
              <w:spacing w:after="0"/>
              <w:ind w:left="34" w:hanging="34"/>
              <w:rPr>
                <w:szCs w:val="22"/>
              </w:rPr>
            </w:pPr>
            <w:r w:rsidRPr="004D57B3">
              <w:rPr>
                <w:sz w:val="22"/>
                <w:szCs w:val="22"/>
              </w:rPr>
              <w:t>Associate Professor Warwick Selby</w:t>
            </w:r>
          </w:p>
        </w:tc>
        <w:tc>
          <w:tcPr>
            <w:tcW w:w="5130" w:type="dxa"/>
          </w:tcPr>
          <w:p w:rsidR="0048417A" w:rsidRPr="004D57B3" w:rsidRDefault="0048417A" w:rsidP="00836B55">
            <w:pPr>
              <w:spacing w:after="0"/>
              <w:ind w:left="0"/>
              <w:rPr>
                <w:szCs w:val="22"/>
              </w:rPr>
            </w:pPr>
            <w:r w:rsidRPr="004D57B3">
              <w:rPr>
                <w:sz w:val="22"/>
                <w:szCs w:val="22"/>
              </w:rPr>
              <w:t>Member of MSAC</w:t>
            </w:r>
          </w:p>
          <w:p w:rsidR="0048417A" w:rsidRPr="004D57B3" w:rsidRDefault="0048417A" w:rsidP="00836B55">
            <w:pPr>
              <w:spacing w:after="0"/>
              <w:ind w:left="0"/>
              <w:rPr>
                <w:szCs w:val="22"/>
              </w:rPr>
            </w:pPr>
            <w:r w:rsidRPr="004D57B3">
              <w:rPr>
                <w:sz w:val="22"/>
                <w:szCs w:val="22"/>
              </w:rPr>
              <w:t>Paediatric cardiothoracic surgery</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r w:rsidRPr="004D57B3">
              <w:rPr>
                <w:sz w:val="22"/>
                <w:szCs w:val="22"/>
              </w:rPr>
              <w:t>Gastroenterology</w:t>
            </w:r>
          </w:p>
          <w:p w:rsidR="0048417A" w:rsidRPr="004D57B3" w:rsidRDefault="0048417A" w:rsidP="00836B55">
            <w:pPr>
              <w:spacing w:after="0"/>
              <w:ind w:left="0"/>
              <w:rPr>
                <w:szCs w:val="22"/>
              </w:rPr>
            </w:pPr>
          </w:p>
          <w:p w:rsidR="0048417A" w:rsidRPr="004D57B3" w:rsidRDefault="0048417A" w:rsidP="00836B55">
            <w:pPr>
              <w:spacing w:after="0"/>
              <w:ind w:left="0"/>
              <w:rPr>
                <w:szCs w:val="22"/>
              </w:rPr>
            </w:pPr>
            <w:r w:rsidRPr="004D57B3">
              <w:rPr>
                <w:sz w:val="22"/>
                <w:szCs w:val="22"/>
              </w:rPr>
              <w:t>Colorectal surgery</w:t>
            </w:r>
          </w:p>
          <w:p w:rsidR="0048417A" w:rsidRPr="004D57B3" w:rsidRDefault="0048417A" w:rsidP="00836B55">
            <w:pPr>
              <w:spacing w:after="0"/>
              <w:ind w:left="0"/>
              <w:rPr>
                <w:szCs w:val="22"/>
              </w:rPr>
            </w:pPr>
          </w:p>
          <w:p w:rsidR="0048417A" w:rsidRPr="004D57B3" w:rsidRDefault="0048417A" w:rsidP="00836B55">
            <w:pPr>
              <w:spacing w:after="0"/>
              <w:ind w:left="0"/>
              <w:rPr>
                <w:szCs w:val="22"/>
              </w:rPr>
            </w:pPr>
            <w:r w:rsidRPr="004D57B3">
              <w:rPr>
                <w:sz w:val="22"/>
                <w:szCs w:val="22"/>
              </w:rPr>
              <w:t>Gastroenterology</w:t>
            </w:r>
          </w:p>
          <w:p w:rsidR="0048417A" w:rsidRPr="004D57B3" w:rsidRDefault="0048417A" w:rsidP="00836B55">
            <w:pPr>
              <w:spacing w:after="0"/>
              <w:ind w:left="0"/>
              <w:rPr>
                <w:szCs w:val="22"/>
              </w:rPr>
            </w:pPr>
          </w:p>
          <w:p w:rsidR="0048417A" w:rsidRPr="004D57B3" w:rsidRDefault="0048417A" w:rsidP="00836B55">
            <w:pPr>
              <w:spacing w:after="0"/>
              <w:ind w:left="0"/>
              <w:rPr>
                <w:szCs w:val="22"/>
              </w:rPr>
            </w:pPr>
          </w:p>
          <w:p w:rsidR="0048417A" w:rsidRPr="004D57B3" w:rsidRDefault="0048417A" w:rsidP="00836B55">
            <w:pPr>
              <w:spacing w:after="0"/>
              <w:ind w:left="0"/>
              <w:rPr>
                <w:szCs w:val="22"/>
              </w:rPr>
            </w:pPr>
            <w:r w:rsidRPr="004D57B3">
              <w:rPr>
                <w:sz w:val="22"/>
                <w:szCs w:val="22"/>
              </w:rPr>
              <w:t xml:space="preserve">Consumer health representative </w:t>
            </w:r>
          </w:p>
          <w:p w:rsidR="0048417A" w:rsidRPr="004D57B3" w:rsidRDefault="0048417A" w:rsidP="00836B55">
            <w:pPr>
              <w:spacing w:after="0"/>
              <w:ind w:left="0"/>
              <w:rPr>
                <w:szCs w:val="22"/>
              </w:rPr>
            </w:pPr>
            <w:r w:rsidRPr="004D57B3">
              <w:rPr>
                <w:sz w:val="22"/>
                <w:szCs w:val="22"/>
              </w:rPr>
              <w:t>Crohn’s and Colitis Australia</w:t>
            </w:r>
          </w:p>
          <w:p w:rsidR="0048417A" w:rsidRPr="004D57B3" w:rsidRDefault="0048417A" w:rsidP="00836B55">
            <w:pPr>
              <w:spacing w:after="0"/>
              <w:ind w:left="0"/>
              <w:rPr>
                <w:szCs w:val="22"/>
              </w:rPr>
            </w:pPr>
          </w:p>
          <w:p w:rsidR="0048417A" w:rsidRPr="004D57B3" w:rsidRDefault="0048417A" w:rsidP="00836B55">
            <w:pPr>
              <w:spacing w:after="0"/>
              <w:ind w:left="0"/>
              <w:rPr>
                <w:szCs w:val="22"/>
              </w:rPr>
            </w:pPr>
            <w:r w:rsidRPr="004D57B3">
              <w:rPr>
                <w:sz w:val="22"/>
                <w:szCs w:val="22"/>
              </w:rPr>
              <w:t>The Gastroenterological Society of Australia (GESA) nominee</w:t>
            </w:r>
          </w:p>
          <w:p w:rsidR="0048417A" w:rsidRPr="004D57B3" w:rsidRDefault="0048417A" w:rsidP="00836B55">
            <w:pPr>
              <w:spacing w:after="0"/>
              <w:ind w:left="0"/>
              <w:rPr>
                <w:szCs w:val="22"/>
              </w:rPr>
            </w:pPr>
            <w:r w:rsidRPr="004D57B3">
              <w:rPr>
                <w:sz w:val="22"/>
                <w:szCs w:val="22"/>
              </w:rPr>
              <w:t>Gastroenterology</w:t>
            </w:r>
          </w:p>
          <w:p w:rsidR="0048417A" w:rsidRPr="004D57B3" w:rsidRDefault="0048417A" w:rsidP="00836B55">
            <w:pPr>
              <w:spacing w:after="0"/>
              <w:ind w:left="0"/>
              <w:rPr>
                <w:szCs w:val="22"/>
              </w:rPr>
            </w:pPr>
          </w:p>
        </w:tc>
      </w:tr>
    </w:tbl>
    <w:p w:rsidR="0048417A" w:rsidRPr="004D57B3" w:rsidRDefault="0048417A" w:rsidP="00836B55">
      <w:pPr>
        <w:pStyle w:val="Heading2"/>
      </w:pPr>
      <w:bookmarkStart w:id="246" w:name="_Toc296517903"/>
      <w:r w:rsidRPr="004D57B3">
        <w:t>Evaluation Sub-committee input</w:t>
      </w:r>
      <w:bookmarkEnd w:id="246"/>
    </w:p>
    <w:p w:rsidR="0048417A" w:rsidRDefault="0048417A" w:rsidP="00FB04C0">
      <w:pPr>
        <w:tabs>
          <w:tab w:val="left" w:pos="4144"/>
        </w:tabs>
        <w:spacing w:after="0"/>
        <w:ind w:left="4136" w:hanging="3285"/>
        <w:rPr>
          <w:sz w:val="22"/>
          <w:szCs w:val="22"/>
        </w:rPr>
      </w:pPr>
      <w:r w:rsidRPr="004D57B3">
        <w:rPr>
          <w:sz w:val="22"/>
          <w:szCs w:val="22"/>
        </w:rPr>
        <w:t xml:space="preserve">Professor Helen </w:t>
      </w:r>
      <w:proofErr w:type="spellStart"/>
      <w:r w:rsidRPr="004D57B3">
        <w:rPr>
          <w:sz w:val="22"/>
          <w:szCs w:val="22"/>
        </w:rPr>
        <w:t>Lapsley</w:t>
      </w:r>
      <w:proofErr w:type="spellEnd"/>
      <w:r w:rsidRPr="004D57B3">
        <w:rPr>
          <w:sz w:val="22"/>
          <w:szCs w:val="22"/>
        </w:rPr>
        <w:tab/>
      </w:r>
      <w:r w:rsidRPr="004D57B3">
        <w:rPr>
          <w:sz w:val="22"/>
          <w:szCs w:val="22"/>
        </w:rPr>
        <w:tab/>
        <w:t xml:space="preserve">Member of MSAC </w:t>
      </w:r>
      <w:r>
        <w:rPr>
          <w:sz w:val="22"/>
          <w:szCs w:val="22"/>
        </w:rPr>
        <w:t>Evaluation</w:t>
      </w:r>
      <w:r w:rsidRPr="004D57B3">
        <w:rPr>
          <w:sz w:val="22"/>
          <w:szCs w:val="22"/>
        </w:rPr>
        <w:t xml:space="preserve"> Sub-Committee </w:t>
      </w:r>
    </w:p>
    <w:p w:rsidR="0048417A" w:rsidRDefault="0048417A" w:rsidP="00836B55">
      <w:pPr>
        <w:tabs>
          <w:tab w:val="left" w:pos="4144"/>
        </w:tabs>
        <w:ind w:left="4136" w:hanging="3285"/>
        <w:rPr>
          <w:sz w:val="22"/>
          <w:szCs w:val="22"/>
        </w:rPr>
      </w:pPr>
      <w:r>
        <w:rPr>
          <w:sz w:val="22"/>
          <w:szCs w:val="22"/>
        </w:rPr>
        <w:t>(</w:t>
      </w:r>
      <w:proofErr w:type="gramStart"/>
      <w:r>
        <w:rPr>
          <w:sz w:val="22"/>
          <w:szCs w:val="22"/>
        </w:rPr>
        <w:t>until</w:t>
      </w:r>
      <w:proofErr w:type="gramEnd"/>
      <w:r>
        <w:rPr>
          <w:sz w:val="22"/>
          <w:szCs w:val="22"/>
        </w:rPr>
        <w:t xml:space="preserve"> February 20110)</w:t>
      </w:r>
      <w:r>
        <w:rPr>
          <w:sz w:val="22"/>
          <w:szCs w:val="22"/>
        </w:rPr>
        <w:tab/>
      </w:r>
      <w:r w:rsidRPr="004D57B3">
        <w:rPr>
          <w:sz w:val="22"/>
          <w:szCs w:val="22"/>
        </w:rPr>
        <w:t>Health economics</w:t>
      </w:r>
    </w:p>
    <w:p w:rsidR="0048417A" w:rsidRDefault="0048417A" w:rsidP="005A4FB7">
      <w:pPr>
        <w:tabs>
          <w:tab w:val="left" w:pos="4144"/>
        </w:tabs>
        <w:spacing w:after="0"/>
        <w:ind w:left="4136" w:hanging="3285"/>
        <w:rPr>
          <w:sz w:val="22"/>
          <w:szCs w:val="22"/>
        </w:rPr>
      </w:pPr>
      <w:r>
        <w:rPr>
          <w:sz w:val="22"/>
          <w:szCs w:val="22"/>
        </w:rPr>
        <w:t xml:space="preserve">Professor Justin </w:t>
      </w:r>
      <w:proofErr w:type="spellStart"/>
      <w:r>
        <w:rPr>
          <w:sz w:val="22"/>
          <w:szCs w:val="22"/>
        </w:rPr>
        <w:t>Bielby</w:t>
      </w:r>
      <w:proofErr w:type="spellEnd"/>
      <w:r>
        <w:rPr>
          <w:sz w:val="22"/>
          <w:szCs w:val="22"/>
        </w:rPr>
        <w:tab/>
      </w:r>
      <w:r w:rsidRPr="004D57B3">
        <w:rPr>
          <w:sz w:val="22"/>
          <w:szCs w:val="22"/>
        </w:rPr>
        <w:t xml:space="preserve">Member of MSAC </w:t>
      </w:r>
      <w:r>
        <w:rPr>
          <w:sz w:val="22"/>
          <w:szCs w:val="22"/>
        </w:rPr>
        <w:t>Evaluation</w:t>
      </w:r>
      <w:r w:rsidRPr="004D57B3">
        <w:rPr>
          <w:sz w:val="22"/>
          <w:szCs w:val="22"/>
        </w:rPr>
        <w:t xml:space="preserve"> Sub-Committee</w:t>
      </w:r>
    </w:p>
    <w:p w:rsidR="0048417A" w:rsidRPr="004D57B3" w:rsidRDefault="0048417A" w:rsidP="00836B55">
      <w:pPr>
        <w:tabs>
          <w:tab w:val="left" w:pos="4144"/>
        </w:tabs>
        <w:ind w:left="4136" w:hanging="3285"/>
        <w:rPr>
          <w:sz w:val="22"/>
          <w:szCs w:val="22"/>
        </w:rPr>
      </w:pPr>
      <w:r>
        <w:rPr>
          <w:sz w:val="22"/>
          <w:szCs w:val="22"/>
        </w:rPr>
        <w:t>(</w:t>
      </w:r>
      <w:proofErr w:type="gramStart"/>
      <w:r>
        <w:rPr>
          <w:sz w:val="22"/>
          <w:szCs w:val="22"/>
        </w:rPr>
        <w:t>from</w:t>
      </w:r>
      <w:proofErr w:type="gramEnd"/>
      <w:r>
        <w:rPr>
          <w:sz w:val="22"/>
          <w:szCs w:val="22"/>
        </w:rPr>
        <w:t xml:space="preserve"> March 2011)</w:t>
      </w:r>
      <w:r>
        <w:rPr>
          <w:sz w:val="22"/>
          <w:szCs w:val="22"/>
        </w:rPr>
        <w:tab/>
        <w:t>Health Science and General Practice</w:t>
      </w:r>
    </w:p>
    <w:p w:rsidR="0048417A" w:rsidRPr="004D57B3" w:rsidRDefault="0048417A" w:rsidP="00836B55">
      <w:pPr>
        <w:pStyle w:val="Heading2"/>
      </w:pPr>
      <w:bookmarkStart w:id="247" w:name="_Toc296517904"/>
      <w:r w:rsidRPr="004D57B3">
        <w:t>Evaluators</w:t>
      </w:r>
      <w:bookmarkEnd w:id="247"/>
    </w:p>
    <w:tbl>
      <w:tblPr>
        <w:tblW w:w="0" w:type="auto"/>
        <w:tblInd w:w="816" w:type="dxa"/>
        <w:tblLayout w:type="fixed"/>
        <w:tblLook w:val="0000" w:firstRow="0" w:lastRow="0" w:firstColumn="0" w:lastColumn="0" w:noHBand="0" w:noVBand="0"/>
      </w:tblPr>
      <w:tblGrid>
        <w:gridCol w:w="3261"/>
        <w:gridCol w:w="5103"/>
      </w:tblGrid>
      <w:tr w:rsidR="0048417A" w:rsidRPr="004D57B3">
        <w:trPr>
          <w:cantSplit/>
        </w:trPr>
        <w:tc>
          <w:tcPr>
            <w:tcW w:w="3261" w:type="dxa"/>
            <w:tcBorders>
              <w:top w:val="single" w:sz="4" w:space="0" w:color="auto"/>
            </w:tcBorders>
          </w:tcPr>
          <w:p w:rsidR="0048417A" w:rsidRPr="004D57B3" w:rsidRDefault="0048417A" w:rsidP="00836B55">
            <w:pPr>
              <w:autoSpaceDE w:val="0"/>
              <w:autoSpaceDN w:val="0"/>
              <w:adjustRightInd w:val="0"/>
              <w:spacing w:after="120"/>
              <w:ind w:left="11" w:hanging="11"/>
              <w:rPr>
                <w:b/>
                <w:szCs w:val="22"/>
              </w:rPr>
            </w:pPr>
            <w:r w:rsidRPr="004D57B3">
              <w:rPr>
                <w:b/>
                <w:sz w:val="22"/>
                <w:szCs w:val="22"/>
              </w:rPr>
              <w:t>Name</w:t>
            </w:r>
          </w:p>
        </w:tc>
        <w:tc>
          <w:tcPr>
            <w:tcW w:w="5103" w:type="dxa"/>
            <w:tcBorders>
              <w:top w:val="single" w:sz="4" w:space="0" w:color="auto"/>
            </w:tcBorders>
          </w:tcPr>
          <w:p w:rsidR="0048417A" w:rsidRPr="004D57B3" w:rsidRDefault="0048417A" w:rsidP="00836B55">
            <w:pPr>
              <w:autoSpaceDE w:val="0"/>
              <w:autoSpaceDN w:val="0"/>
              <w:adjustRightInd w:val="0"/>
              <w:spacing w:after="120"/>
              <w:ind w:left="11" w:hanging="11"/>
              <w:rPr>
                <w:b/>
                <w:szCs w:val="22"/>
              </w:rPr>
            </w:pPr>
            <w:r w:rsidRPr="004D57B3">
              <w:rPr>
                <w:b/>
                <w:sz w:val="22"/>
                <w:szCs w:val="22"/>
              </w:rPr>
              <w:t>Organisation</w:t>
            </w:r>
          </w:p>
        </w:tc>
      </w:tr>
      <w:tr w:rsidR="0048417A" w:rsidRPr="004D57B3">
        <w:trPr>
          <w:cantSplit/>
        </w:trPr>
        <w:tc>
          <w:tcPr>
            <w:tcW w:w="3261" w:type="dxa"/>
            <w:tcBorders>
              <w:top w:val="single" w:sz="4" w:space="0" w:color="auto"/>
              <w:bottom w:val="single" w:sz="4" w:space="0" w:color="auto"/>
            </w:tcBorders>
          </w:tcPr>
          <w:p w:rsidR="0048417A" w:rsidRPr="004D57B3" w:rsidRDefault="0048417A" w:rsidP="00836B55">
            <w:pPr>
              <w:autoSpaceDE w:val="0"/>
              <w:autoSpaceDN w:val="0"/>
              <w:adjustRightInd w:val="0"/>
              <w:spacing w:after="0"/>
              <w:ind w:left="34" w:hanging="34"/>
              <w:rPr>
                <w:szCs w:val="22"/>
              </w:rPr>
            </w:pPr>
            <w:r w:rsidRPr="004D57B3">
              <w:rPr>
                <w:sz w:val="22"/>
                <w:szCs w:val="22"/>
              </w:rPr>
              <w:t>Ms Heather Gilbert</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r w:rsidRPr="004D57B3">
              <w:rPr>
                <w:sz w:val="22"/>
                <w:szCs w:val="22"/>
              </w:rPr>
              <w:t xml:space="preserve">Dr </w:t>
            </w:r>
            <w:proofErr w:type="spellStart"/>
            <w:r w:rsidRPr="004D57B3">
              <w:rPr>
                <w:sz w:val="22"/>
                <w:szCs w:val="22"/>
              </w:rPr>
              <w:t>Merel</w:t>
            </w:r>
            <w:proofErr w:type="spellEnd"/>
            <w:r w:rsidRPr="004D57B3">
              <w:rPr>
                <w:sz w:val="22"/>
                <w:szCs w:val="22"/>
              </w:rPr>
              <w:t xml:space="preserve"> </w:t>
            </w:r>
            <w:proofErr w:type="spellStart"/>
            <w:r w:rsidRPr="004D57B3">
              <w:rPr>
                <w:sz w:val="22"/>
                <w:szCs w:val="22"/>
              </w:rPr>
              <w:t>Kimman</w:t>
            </w:r>
            <w:proofErr w:type="spellEnd"/>
            <w:r w:rsidRPr="004D57B3" w:rsidDel="00517CA3">
              <w:rPr>
                <w:sz w:val="22"/>
                <w:szCs w:val="22"/>
              </w:rPr>
              <w:t xml:space="preserve"> </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r w:rsidRPr="004D57B3">
              <w:rPr>
                <w:sz w:val="22"/>
                <w:szCs w:val="22"/>
              </w:rPr>
              <w:t>Dr Samara Lewis</w:t>
            </w:r>
          </w:p>
        </w:tc>
        <w:tc>
          <w:tcPr>
            <w:tcW w:w="5103" w:type="dxa"/>
            <w:tcBorders>
              <w:top w:val="single" w:sz="4" w:space="0" w:color="auto"/>
              <w:bottom w:val="single" w:sz="4" w:space="0" w:color="auto"/>
            </w:tcBorders>
          </w:tcPr>
          <w:p w:rsidR="0048417A" w:rsidRPr="004D57B3" w:rsidRDefault="0048417A" w:rsidP="00836B55">
            <w:pPr>
              <w:autoSpaceDE w:val="0"/>
              <w:autoSpaceDN w:val="0"/>
              <w:adjustRightInd w:val="0"/>
              <w:spacing w:after="0"/>
              <w:ind w:left="34" w:hanging="34"/>
              <w:rPr>
                <w:szCs w:val="22"/>
              </w:rPr>
            </w:pPr>
            <w:r w:rsidRPr="004D57B3">
              <w:rPr>
                <w:sz w:val="22"/>
                <w:szCs w:val="22"/>
              </w:rPr>
              <w:t>NHMRC Clinical Trials Centre</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r w:rsidRPr="004D57B3">
              <w:rPr>
                <w:sz w:val="22"/>
                <w:szCs w:val="22"/>
              </w:rPr>
              <w:t>NHMRC Clinical Trials Centre</w:t>
            </w:r>
          </w:p>
          <w:p w:rsidR="0048417A" w:rsidRPr="004D57B3" w:rsidRDefault="0048417A" w:rsidP="00836B55">
            <w:pPr>
              <w:autoSpaceDE w:val="0"/>
              <w:autoSpaceDN w:val="0"/>
              <w:adjustRightInd w:val="0"/>
              <w:spacing w:after="0"/>
              <w:ind w:left="34" w:hanging="34"/>
              <w:rPr>
                <w:szCs w:val="22"/>
              </w:rPr>
            </w:pPr>
          </w:p>
          <w:p w:rsidR="0048417A" w:rsidRPr="004D57B3" w:rsidRDefault="0048417A" w:rsidP="00836B55">
            <w:pPr>
              <w:autoSpaceDE w:val="0"/>
              <w:autoSpaceDN w:val="0"/>
              <w:adjustRightInd w:val="0"/>
              <w:spacing w:after="0"/>
              <w:ind w:left="34" w:hanging="34"/>
              <w:rPr>
                <w:szCs w:val="22"/>
              </w:rPr>
            </w:pPr>
            <w:r w:rsidRPr="004D57B3">
              <w:rPr>
                <w:sz w:val="22"/>
                <w:szCs w:val="22"/>
              </w:rPr>
              <w:t>NHMRC Clinical Trials Centre</w:t>
            </w:r>
          </w:p>
          <w:p w:rsidR="0048417A" w:rsidRPr="004D57B3" w:rsidRDefault="0048417A" w:rsidP="00836B55">
            <w:pPr>
              <w:autoSpaceDE w:val="0"/>
              <w:autoSpaceDN w:val="0"/>
              <w:adjustRightInd w:val="0"/>
              <w:spacing w:after="0"/>
              <w:ind w:left="34" w:hanging="34"/>
              <w:rPr>
                <w:szCs w:val="22"/>
              </w:rPr>
            </w:pPr>
          </w:p>
        </w:tc>
      </w:tr>
      <w:tr w:rsidR="0048417A" w:rsidRPr="004D57B3">
        <w:trPr>
          <w:cantSplit/>
        </w:trPr>
        <w:tc>
          <w:tcPr>
            <w:tcW w:w="3261" w:type="dxa"/>
            <w:tcBorders>
              <w:top w:val="single" w:sz="4" w:space="0" w:color="auto"/>
            </w:tcBorders>
          </w:tcPr>
          <w:p w:rsidR="0048417A" w:rsidRPr="004D57B3" w:rsidRDefault="0048417A" w:rsidP="00836B55">
            <w:pPr>
              <w:autoSpaceDE w:val="0"/>
              <w:autoSpaceDN w:val="0"/>
              <w:adjustRightInd w:val="0"/>
              <w:spacing w:after="0"/>
              <w:ind w:left="34" w:hanging="34"/>
              <w:rPr>
                <w:szCs w:val="22"/>
              </w:rPr>
            </w:pPr>
          </w:p>
        </w:tc>
        <w:tc>
          <w:tcPr>
            <w:tcW w:w="5103" w:type="dxa"/>
            <w:tcBorders>
              <w:top w:val="single" w:sz="4" w:space="0" w:color="auto"/>
            </w:tcBorders>
          </w:tcPr>
          <w:p w:rsidR="0048417A" w:rsidRPr="004D57B3" w:rsidRDefault="0048417A" w:rsidP="00836B55">
            <w:pPr>
              <w:autoSpaceDE w:val="0"/>
              <w:autoSpaceDN w:val="0"/>
              <w:adjustRightInd w:val="0"/>
              <w:spacing w:after="0"/>
              <w:ind w:left="34" w:hanging="34"/>
              <w:rPr>
                <w:szCs w:val="22"/>
              </w:rPr>
            </w:pPr>
          </w:p>
        </w:tc>
      </w:tr>
    </w:tbl>
    <w:p w:rsidR="0048417A" w:rsidRPr="004D57B3" w:rsidRDefault="0048417A" w:rsidP="00836B55">
      <w:pPr>
        <w:pStyle w:val="Heading1"/>
        <w:rPr>
          <w:bCs/>
        </w:rPr>
      </w:pPr>
      <w:bookmarkStart w:id="248" w:name="_Ref280083643"/>
      <w:bookmarkStart w:id="249" w:name="_Ref278285557"/>
      <w:bookmarkStart w:id="250" w:name="_Ref278285587"/>
      <w:bookmarkStart w:id="251" w:name="_Ref278285645"/>
      <w:bookmarkStart w:id="252" w:name="_Toc296517905"/>
      <w:r w:rsidRPr="004D57B3">
        <w:rPr>
          <w:bCs/>
        </w:rPr>
        <w:lastRenderedPageBreak/>
        <w:t xml:space="preserve">Appendix </w:t>
      </w:r>
      <w:r w:rsidRPr="004D57B3">
        <w:rPr>
          <w:bCs/>
        </w:rPr>
        <w:fldChar w:fldCharType="begin"/>
      </w:r>
      <w:r w:rsidRPr="004D57B3">
        <w:rPr>
          <w:bCs/>
        </w:rPr>
        <w:instrText xml:space="preserve"> SEQ Appendix \* ALPHABETIC </w:instrText>
      </w:r>
      <w:r w:rsidRPr="004D57B3">
        <w:rPr>
          <w:bCs/>
        </w:rPr>
        <w:fldChar w:fldCharType="separate"/>
      </w:r>
      <w:r>
        <w:rPr>
          <w:bCs/>
          <w:noProof/>
        </w:rPr>
        <w:t>C</w:t>
      </w:r>
      <w:r w:rsidRPr="004D57B3">
        <w:rPr>
          <w:bCs/>
        </w:rPr>
        <w:fldChar w:fldCharType="end"/>
      </w:r>
      <w:bookmarkEnd w:id="248"/>
      <w:r w:rsidRPr="004D57B3">
        <w:rPr>
          <w:bCs/>
        </w:rPr>
        <w:tab/>
        <w:t>Electronic databases</w:t>
      </w:r>
      <w:bookmarkEnd w:id="249"/>
      <w:bookmarkEnd w:id="250"/>
      <w:bookmarkEnd w:id="251"/>
      <w:bookmarkEnd w:id="252"/>
    </w:p>
    <w:p w:rsidR="0048417A" w:rsidRPr="004D57B3" w:rsidRDefault="0048417A" w:rsidP="00836B55">
      <w:pPr>
        <w:pStyle w:val="TableNamea"/>
        <w:ind w:left="765" w:hanging="765"/>
        <w:rPr>
          <w:vanish/>
          <w:color w:val="0000FF"/>
        </w:rPr>
      </w:pPr>
      <w:bookmarkStart w:id="253" w:name="_Toc291859592"/>
      <w:r w:rsidRPr="004D57B3">
        <w:t xml:space="preserve">Table </w:t>
      </w:r>
      <w:r w:rsidR="00AE591B">
        <w:fldChar w:fldCharType="begin"/>
      </w:r>
      <w:r w:rsidR="00AE591B">
        <w:instrText xml:space="preserve"> SEQ Table \* ARABIC </w:instrText>
      </w:r>
      <w:r w:rsidR="00AE591B">
        <w:fldChar w:fldCharType="separate"/>
      </w:r>
      <w:r>
        <w:rPr>
          <w:noProof/>
        </w:rPr>
        <w:t>30</w:t>
      </w:r>
      <w:r w:rsidR="00AE591B">
        <w:rPr>
          <w:noProof/>
        </w:rPr>
        <w:fldChar w:fldCharType="end"/>
      </w:r>
      <w:r w:rsidRPr="004D57B3">
        <w:tab/>
        <w:t>Websites of health technology assessment agencies</w:t>
      </w:r>
      <w:bookmarkEnd w:id="253"/>
    </w:p>
    <w:tbl>
      <w:tblPr>
        <w:tblW w:w="921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9"/>
        <w:gridCol w:w="4774"/>
      </w:tblGrid>
      <w:tr w:rsidR="0048417A" w:rsidRPr="004D57B3" w:rsidTr="00836B55">
        <w:trPr>
          <w:cantSplit/>
        </w:trPr>
        <w:tc>
          <w:tcPr>
            <w:tcW w:w="4439" w:type="dxa"/>
            <w:tcBorders>
              <w:right w:val="nil"/>
            </w:tcBorders>
          </w:tcPr>
          <w:p w:rsidR="0048417A" w:rsidRPr="004D57B3" w:rsidRDefault="0048417A" w:rsidP="00836B55">
            <w:pPr>
              <w:pStyle w:val="TableHeading"/>
            </w:pPr>
            <w:r w:rsidRPr="004D57B3">
              <w:t>1. International electronic databases</w:t>
            </w:r>
          </w:p>
        </w:tc>
        <w:tc>
          <w:tcPr>
            <w:tcW w:w="4774" w:type="dxa"/>
            <w:tcBorders>
              <w:left w:val="nil"/>
            </w:tcBorders>
          </w:tcPr>
          <w:p w:rsidR="0048417A" w:rsidRPr="004D57B3" w:rsidRDefault="0048417A" w:rsidP="00836B55">
            <w:pPr>
              <w:pStyle w:val="TableHeading"/>
            </w:pPr>
            <w:r w:rsidRPr="004D57B3">
              <w:t>Website</w:t>
            </w:r>
          </w:p>
        </w:tc>
      </w:tr>
      <w:tr w:rsidR="0048417A" w:rsidRPr="004D57B3" w:rsidTr="00836B55">
        <w:trPr>
          <w:cantSplit/>
        </w:trPr>
        <w:tc>
          <w:tcPr>
            <w:tcW w:w="4439" w:type="dxa"/>
            <w:tcBorders>
              <w:right w:val="nil"/>
            </w:tcBorders>
            <w:vAlign w:val="center"/>
          </w:tcPr>
          <w:p w:rsidR="0048417A" w:rsidRPr="004D57B3" w:rsidRDefault="0048417A" w:rsidP="00836B55">
            <w:pPr>
              <w:pStyle w:val="TableText"/>
            </w:pPr>
            <w:r w:rsidRPr="004D57B3">
              <w:t>NHS Centre for Reviews and Dissemination databases</w:t>
            </w:r>
          </w:p>
          <w:p w:rsidR="0048417A" w:rsidRPr="004D57B3" w:rsidRDefault="0048417A" w:rsidP="00836B55">
            <w:pPr>
              <w:pStyle w:val="TableText"/>
            </w:pPr>
            <w:r w:rsidRPr="004D57B3">
              <w:tab/>
              <w:t>Economic evaluation database (</w:t>
            </w:r>
            <w:r>
              <w:t xml:space="preserve">NHS </w:t>
            </w:r>
            <w:r w:rsidRPr="004D57B3">
              <w:t>EED)</w:t>
            </w:r>
          </w:p>
          <w:p w:rsidR="0048417A" w:rsidRPr="004D57B3" w:rsidRDefault="0048417A" w:rsidP="00836B55">
            <w:pPr>
              <w:pStyle w:val="TableText"/>
            </w:pPr>
            <w:r w:rsidRPr="004D57B3">
              <w:tab/>
              <w:t>Database of abstracts of reviews of effectiveness</w:t>
            </w:r>
          </w:p>
          <w:p w:rsidR="0048417A" w:rsidRPr="004D57B3" w:rsidRDefault="0048417A" w:rsidP="00836B55">
            <w:pPr>
              <w:pStyle w:val="TableText"/>
              <w:tabs>
                <w:tab w:val="left" w:pos="2827"/>
              </w:tabs>
              <w:ind w:left="567"/>
            </w:pPr>
            <w:r w:rsidRPr="004D57B3">
              <w:t>(DARE)</w:t>
            </w:r>
          </w:p>
          <w:p w:rsidR="0048417A" w:rsidRPr="004D57B3" w:rsidRDefault="0048417A" w:rsidP="00B81800">
            <w:pPr>
              <w:pStyle w:val="TableText"/>
              <w:ind w:left="720"/>
            </w:pPr>
            <w:r w:rsidRPr="004D57B3">
              <w:t>Heath Technology Assessment (HTA)</w:t>
            </w:r>
          </w:p>
        </w:tc>
        <w:tc>
          <w:tcPr>
            <w:tcW w:w="4774" w:type="dxa"/>
            <w:tcBorders>
              <w:left w:val="nil"/>
            </w:tcBorders>
          </w:tcPr>
          <w:p w:rsidR="0048417A" w:rsidRPr="004D57B3" w:rsidRDefault="00B81800" w:rsidP="00836B55">
            <w:pPr>
              <w:pStyle w:val="TableText"/>
              <w:rPr>
                <w:rFonts w:cs="Arial"/>
                <w:sz w:val="20"/>
              </w:rPr>
            </w:pPr>
            <w:hyperlink r:id="rId35" w:tooltip="This link goes to the NHS Centre for Reviews and Dissemination databases website" w:history="1">
              <w:r w:rsidR="0048417A" w:rsidRPr="004D57B3">
                <w:rPr>
                  <w:rStyle w:val="Hyperlink"/>
                  <w:rFonts w:cs="Arial"/>
                  <w:sz w:val="20"/>
                </w:rPr>
                <w:t>http://www.york.ac.uk/inst/crd/</w:t>
              </w:r>
            </w:hyperlink>
          </w:p>
          <w:p w:rsidR="0048417A" w:rsidRPr="004D57B3" w:rsidRDefault="0048417A" w:rsidP="00836B55"/>
        </w:tc>
      </w:tr>
      <w:tr w:rsidR="0048417A" w:rsidRPr="004D57B3" w:rsidTr="00836B55">
        <w:trPr>
          <w:cantSplit/>
        </w:trPr>
        <w:tc>
          <w:tcPr>
            <w:tcW w:w="4439" w:type="dxa"/>
            <w:tcBorders>
              <w:right w:val="nil"/>
            </w:tcBorders>
            <w:vAlign w:val="center"/>
          </w:tcPr>
          <w:p w:rsidR="0048417A" w:rsidRPr="004D57B3" w:rsidRDefault="0048417A" w:rsidP="00836B55">
            <w:pPr>
              <w:pStyle w:val="TableText"/>
            </w:pPr>
            <w:r w:rsidRPr="004D57B3">
              <w:t xml:space="preserve">Cochrane Database of Systematic Reviews and Cochrane Controlled Trials Register </w:t>
            </w:r>
          </w:p>
        </w:tc>
        <w:tc>
          <w:tcPr>
            <w:tcW w:w="4774" w:type="dxa"/>
            <w:tcBorders>
              <w:left w:val="nil"/>
            </w:tcBorders>
          </w:tcPr>
          <w:p w:rsidR="0048417A" w:rsidRPr="004D57B3" w:rsidRDefault="00B81800" w:rsidP="00836B55">
            <w:pPr>
              <w:pStyle w:val="TableText"/>
              <w:rPr>
                <w:rFonts w:cs="Arial"/>
                <w:sz w:val="20"/>
              </w:rPr>
            </w:pPr>
            <w:hyperlink r:id="rId36" w:tooltip="This link goes to the Cochrane Database of Systematic Reviews and Cochrane Controlled Trials Register website" w:history="1">
              <w:r w:rsidR="0048417A" w:rsidRPr="004D57B3">
                <w:rPr>
                  <w:rStyle w:val="Hyperlink"/>
                  <w:rFonts w:cs="Arial"/>
                  <w:sz w:val="20"/>
                </w:rPr>
                <w:t>http://www.cochrane.org</w:t>
              </w:r>
            </w:hyperlink>
          </w:p>
        </w:tc>
      </w:tr>
      <w:tr w:rsidR="0048417A" w:rsidRPr="004D57B3" w:rsidTr="00836B55">
        <w:trPr>
          <w:cantSplit/>
        </w:trPr>
        <w:tc>
          <w:tcPr>
            <w:tcW w:w="4439" w:type="dxa"/>
            <w:tcBorders>
              <w:right w:val="nil"/>
            </w:tcBorders>
            <w:vAlign w:val="center"/>
          </w:tcPr>
          <w:p w:rsidR="0048417A" w:rsidRPr="004D57B3" w:rsidRDefault="0048417A" w:rsidP="00836B55">
            <w:pPr>
              <w:pStyle w:val="TableText"/>
            </w:pPr>
            <w:r w:rsidRPr="004D57B3">
              <w:t>International Network of Agencies f</w:t>
            </w:r>
            <w:r>
              <w:t>or Health Technology Assessment (INAHTA)</w:t>
            </w:r>
          </w:p>
        </w:tc>
        <w:tc>
          <w:tcPr>
            <w:tcW w:w="4774" w:type="dxa"/>
            <w:tcBorders>
              <w:left w:val="nil"/>
            </w:tcBorders>
          </w:tcPr>
          <w:p w:rsidR="0048417A" w:rsidRPr="004D57B3" w:rsidRDefault="00B81800" w:rsidP="00836B55">
            <w:pPr>
              <w:pStyle w:val="TableText"/>
              <w:rPr>
                <w:rFonts w:cs="Arial"/>
                <w:sz w:val="20"/>
              </w:rPr>
            </w:pPr>
            <w:hyperlink r:id="rId37" w:tooltip="This link goes to the International Network of Agencies for Health Technology Assessment (INAHTA) website" w:history="1">
              <w:r w:rsidR="0048417A" w:rsidRPr="004D57B3">
                <w:rPr>
                  <w:rStyle w:val="Hyperlink"/>
                  <w:rFonts w:cs="Arial"/>
                  <w:sz w:val="20"/>
                </w:rPr>
                <w:t>http://www.inahta.org/</w:t>
              </w:r>
            </w:hyperlink>
          </w:p>
        </w:tc>
      </w:tr>
      <w:tr w:rsidR="0048417A" w:rsidRPr="004D57B3" w:rsidTr="00836B55">
        <w:trPr>
          <w:cantSplit/>
        </w:trPr>
        <w:tc>
          <w:tcPr>
            <w:tcW w:w="4439" w:type="dxa"/>
            <w:tcBorders>
              <w:right w:val="nil"/>
            </w:tcBorders>
          </w:tcPr>
          <w:p w:rsidR="0048417A" w:rsidRPr="004D57B3" w:rsidRDefault="0048417A" w:rsidP="00836B55">
            <w:pPr>
              <w:pStyle w:val="TableHeading"/>
            </w:pPr>
            <w:r w:rsidRPr="004D57B3">
              <w:t>2. Individual HTA Agencies</w:t>
            </w:r>
          </w:p>
        </w:tc>
        <w:tc>
          <w:tcPr>
            <w:tcW w:w="4774" w:type="dxa"/>
            <w:tcBorders>
              <w:left w:val="nil"/>
            </w:tcBorders>
          </w:tcPr>
          <w:p w:rsidR="0048417A" w:rsidRPr="004D57B3" w:rsidRDefault="0048417A" w:rsidP="00836B55">
            <w:pPr>
              <w:pStyle w:val="TableText"/>
              <w:rPr>
                <w:rFonts w:cs="Arial"/>
                <w:b/>
                <w:sz w:val="20"/>
              </w:rPr>
            </w:pPr>
          </w:p>
        </w:tc>
      </w:tr>
      <w:tr w:rsidR="0048417A" w:rsidRPr="004D57B3" w:rsidTr="00836B55">
        <w:trPr>
          <w:cantSplit/>
        </w:trPr>
        <w:tc>
          <w:tcPr>
            <w:tcW w:w="4439" w:type="dxa"/>
            <w:tcBorders>
              <w:bottom w:val="nil"/>
              <w:right w:val="nil"/>
            </w:tcBorders>
          </w:tcPr>
          <w:p w:rsidR="0048417A" w:rsidRPr="004D57B3" w:rsidRDefault="0048417A" w:rsidP="00836B55">
            <w:pPr>
              <w:pStyle w:val="TableHeading"/>
            </w:pPr>
            <w:r w:rsidRPr="004D57B3">
              <w:t>ARGENTINA</w:t>
            </w:r>
          </w:p>
        </w:tc>
        <w:tc>
          <w:tcPr>
            <w:tcW w:w="4774"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439" w:type="dxa"/>
            <w:tcBorders>
              <w:top w:val="nil"/>
              <w:right w:val="nil"/>
            </w:tcBorders>
          </w:tcPr>
          <w:p w:rsidR="0048417A" w:rsidRPr="004D57B3" w:rsidRDefault="0048417A" w:rsidP="00836B55">
            <w:pPr>
              <w:pStyle w:val="TableText"/>
            </w:pPr>
            <w:r w:rsidRPr="004D57B3">
              <w:t>Institute for Clinical Effectiveness and Health Policy</w:t>
            </w:r>
            <w:r>
              <w:t xml:space="preserve"> (IECS)</w:t>
            </w:r>
            <w:r w:rsidRPr="004D57B3">
              <w:t xml:space="preserve"> </w:t>
            </w:r>
          </w:p>
        </w:tc>
        <w:tc>
          <w:tcPr>
            <w:tcW w:w="4774" w:type="dxa"/>
            <w:tcBorders>
              <w:top w:val="nil"/>
              <w:left w:val="nil"/>
            </w:tcBorders>
          </w:tcPr>
          <w:p w:rsidR="0048417A" w:rsidRPr="004D57B3" w:rsidRDefault="00B81800" w:rsidP="00836B55">
            <w:pPr>
              <w:pStyle w:val="TableText"/>
              <w:rPr>
                <w:rFonts w:cs="Arial"/>
                <w:b/>
                <w:sz w:val="20"/>
              </w:rPr>
            </w:pPr>
            <w:hyperlink r:id="rId38" w:tooltip="This link goes to the Institute for Clinical Effectiveness and Health Policy website" w:history="1">
              <w:r w:rsidR="0048417A" w:rsidRPr="004D57B3">
                <w:rPr>
                  <w:rStyle w:val="Hyperlink"/>
                  <w:rFonts w:cs="Arial"/>
                  <w:sz w:val="20"/>
                </w:rPr>
                <w:t>http://www.iecs.org.ar/</w:t>
              </w:r>
            </w:hyperlink>
          </w:p>
        </w:tc>
      </w:tr>
      <w:tr w:rsidR="0048417A" w:rsidRPr="004D57B3" w:rsidTr="00836B55">
        <w:trPr>
          <w:cantSplit/>
        </w:trPr>
        <w:tc>
          <w:tcPr>
            <w:tcW w:w="4439" w:type="dxa"/>
            <w:tcBorders>
              <w:bottom w:val="nil"/>
              <w:right w:val="nil"/>
            </w:tcBorders>
          </w:tcPr>
          <w:p w:rsidR="0048417A" w:rsidRPr="004D57B3" w:rsidRDefault="0048417A" w:rsidP="00836B55">
            <w:pPr>
              <w:pStyle w:val="TableHeading"/>
            </w:pPr>
            <w:r w:rsidRPr="004D57B3">
              <w:t>AUSTRALIA</w:t>
            </w:r>
          </w:p>
        </w:tc>
        <w:tc>
          <w:tcPr>
            <w:tcW w:w="4774"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439" w:type="dxa"/>
            <w:tcBorders>
              <w:top w:val="nil"/>
              <w:bottom w:val="nil"/>
              <w:right w:val="nil"/>
            </w:tcBorders>
          </w:tcPr>
          <w:p w:rsidR="0048417A" w:rsidRPr="004D57B3" w:rsidRDefault="0048417A" w:rsidP="00B81800">
            <w:pPr>
              <w:pStyle w:val="TableText"/>
            </w:pPr>
            <w:r w:rsidRPr="004D57B3">
              <w:t xml:space="preserve">Australian Safety and Efficacy Register of New Interventional Procedures – Surgical (ASERNIP-S) </w:t>
            </w:r>
          </w:p>
        </w:tc>
        <w:tc>
          <w:tcPr>
            <w:tcW w:w="4774" w:type="dxa"/>
            <w:tcBorders>
              <w:top w:val="nil"/>
              <w:left w:val="nil"/>
              <w:bottom w:val="nil"/>
            </w:tcBorders>
          </w:tcPr>
          <w:p w:rsidR="0048417A" w:rsidRPr="002B103D" w:rsidRDefault="00B81800" w:rsidP="00836B55">
            <w:pPr>
              <w:pStyle w:val="TableText"/>
              <w:rPr>
                <w:sz w:val="20"/>
              </w:rPr>
            </w:pPr>
            <w:hyperlink r:id="rId39" w:tooltip="This link goes to the Australian Safety and Efficacy Register of New Interventional Procedures – Surgical website" w:history="1">
              <w:r w:rsidR="0048417A" w:rsidRPr="002B103D">
                <w:rPr>
                  <w:rStyle w:val="Hyperlink"/>
                  <w:sz w:val="20"/>
                </w:rPr>
                <w:t>http://www.surgeons.org/racs/research-and-audit/asernip-s</w:t>
              </w:r>
            </w:hyperlink>
          </w:p>
          <w:p w:rsidR="0048417A" w:rsidRPr="004D57B3" w:rsidRDefault="0048417A" w:rsidP="00836B55">
            <w:pPr>
              <w:pStyle w:val="TableText"/>
              <w:rPr>
                <w:rFonts w:cs="Arial"/>
                <w:sz w:val="20"/>
              </w:rPr>
            </w:pPr>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 xml:space="preserve">Centre for Clinical Effectiveness, Monash University  </w:t>
            </w:r>
          </w:p>
        </w:tc>
        <w:tc>
          <w:tcPr>
            <w:tcW w:w="4774" w:type="dxa"/>
            <w:tcBorders>
              <w:top w:val="nil"/>
              <w:left w:val="nil"/>
              <w:bottom w:val="nil"/>
            </w:tcBorders>
          </w:tcPr>
          <w:p w:rsidR="0048417A" w:rsidRPr="004D57B3" w:rsidRDefault="00B81800" w:rsidP="00836B55">
            <w:pPr>
              <w:pStyle w:val="TableText"/>
              <w:rPr>
                <w:rFonts w:cs="Arial"/>
                <w:sz w:val="20"/>
              </w:rPr>
            </w:pPr>
            <w:hyperlink r:id="rId40" w:tooltip="This link goes to the Centre for Clinical Effectiveness, Monash University website" w:history="1">
              <w:r w:rsidR="0048417A" w:rsidRPr="004D57B3">
                <w:rPr>
                  <w:rStyle w:val="Hyperlink"/>
                  <w:sz w:val="20"/>
                </w:rPr>
                <w:t>http://www.southernhealth.org.au/page/Health_Professionals/CCE/</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t>Centre for Health Economics,</w:t>
            </w:r>
            <w:r w:rsidRPr="004D57B3">
              <w:t xml:space="preserve"> Monash University </w:t>
            </w:r>
          </w:p>
        </w:tc>
        <w:tc>
          <w:tcPr>
            <w:tcW w:w="4774" w:type="dxa"/>
            <w:tcBorders>
              <w:top w:val="nil"/>
              <w:left w:val="nil"/>
              <w:bottom w:val="nil"/>
            </w:tcBorders>
          </w:tcPr>
          <w:p w:rsidR="0048417A" w:rsidRPr="004D57B3" w:rsidRDefault="00B81800" w:rsidP="00836B55">
            <w:pPr>
              <w:pStyle w:val="TableText"/>
              <w:rPr>
                <w:rFonts w:cs="Arial"/>
                <w:sz w:val="20"/>
              </w:rPr>
            </w:pPr>
            <w:hyperlink r:id="rId41" w:tooltip="This link goes to the Centre for Health Economics, Monash University website" w:history="1">
              <w:r w:rsidR="0048417A" w:rsidRPr="004D57B3">
                <w:rPr>
                  <w:rStyle w:val="Hyperlink"/>
                  <w:sz w:val="20"/>
                </w:rPr>
                <w:t>http://www.buseco.monash.edu.au/centres/che/</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 xml:space="preserve">Medical Services Advisory Committee (MSAC) </w:t>
            </w:r>
          </w:p>
        </w:tc>
        <w:tc>
          <w:tcPr>
            <w:tcW w:w="4774" w:type="dxa"/>
            <w:tcBorders>
              <w:top w:val="nil"/>
              <w:left w:val="nil"/>
              <w:bottom w:val="nil"/>
            </w:tcBorders>
          </w:tcPr>
          <w:p w:rsidR="0048417A" w:rsidRPr="004D57B3" w:rsidRDefault="00B81800" w:rsidP="00836B55">
            <w:pPr>
              <w:pStyle w:val="TableText"/>
              <w:rPr>
                <w:rFonts w:cs="Arial"/>
                <w:sz w:val="20"/>
              </w:rPr>
            </w:pPr>
            <w:hyperlink r:id="rId42" w:tooltip="This link goes to the Medical Services Advisory Committee website" w:history="1">
              <w:r w:rsidR="0048417A" w:rsidRPr="004D57B3">
                <w:rPr>
                  <w:rStyle w:val="Hyperlink"/>
                  <w:rFonts w:cs="Arial"/>
                  <w:sz w:val="20"/>
                </w:rPr>
                <w:t>http://www.msac.gov.au</w:t>
              </w:r>
            </w:hyperlink>
          </w:p>
        </w:tc>
      </w:tr>
      <w:tr w:rsidR="0048417A" w:rsidRPr="004D57B3" w:rsidTr="00836B55">
        <w:trPr>
          <w:cantSplit/>
        </w:trPr>
        <w:tc>
          <w:tcPr>
            <w:tcW w:w="4439" w:type="dxa"/>
            <w:tcBorders>
              <w:top w:val="nil"/>
              <w:right w:val="nil"/>
            </w:tcBorders>
          </w:tcPr>
          <w:p w:rsidR="0048417A" w:rsidRPr="004D57B3" w:rsidRDefault="0048417A" w:rsidP="00836B55">
            <w:pPr>
              <w:pStyle w:val="TableText"/>
            </w:pPr>
            <w:r w:rsidRPr="004D57B3">
              <w:t>Adelaide Health Technology Assessment</w:t>
            </w:r>
            <w:r>
              <w:t xml:space="preserve"> (AHTA)</w:t>
            </w:r>
            <w:r w:rsidRPr="004D57B3">
              <w:t xml:space="preserve"> </w:t>
            </w:r>
          </w:p>
        </w:tc>
        <w:tc>
          <w:tcPr>
            <w:tcW w:w="4774" w:type="dxa"/>
            <w:tcBorders>
              <w:top w:val="nil"/>
              <w:left w:val="nil"/>
            </w:tcBorders>
          </w:tcPr>
          <w:p w:rsidR="0048417A" w:rsidRPr="004D57B3" w:rsidRDefault="00B81800" w:rsidP="00836B55">
            <w:pPr>
              <w:pStyle w:val="TableText"/>
              <w:rPr>
                <w:rFonts w:cs="Arial"/>
                <w:sz w:val="20"/>
              </w:rPr>
            </w:pPr>
            <w:hyperlink r:id="rId43" w:tooltip="This link goes to the Adelaide Health Technology Assessment website" w:history="1">
              <w:r w:rsidR="0048417A" w:rsidRPr="004D57B3">
                <w:rPr>
                  <w:rStyle w:val="Hyperlink"/>
                  <w:rFonts w:cs="Arial"/>
                  <w:sz w:val="20"/>
                </w:rPr>
                <w:t>http://www.adelaide.edu.au/ahta/</w:t>
              </w:r>
            </w:hyperlink>
          </w:p>
        </w:tc>
      </w:tr>
      <w:tr w:rsidR="0048417A" w:rsidRPr="004D57B3" w:rsidTr="00836B55">
        <w:trPr>
          <w:cantSplit/>
        </w:trPr>
        <w:tc>
          <w:tcPr>
            <w:tcW w:w="4439" w:type="dxa"/>
            <w:tcBorders>
              <w:bottom w:val="nil"/>
              <w:right w:val="nil"/>
            </w:tcBorders>
          </w:tcPr>
          <w:p w:rsidR="0048417A" w:rsidRPr="004D57B3" w:rsidRDefault="0048417A" w:rsidP="00836B55">
            <w:pPr>
              <w:pStyle w:val="TableHeading"/>
            </w:pPr>
            <w:r w:rsidRPr="004D57B3">
              <w:t>AUSTRIA</w:t>
            </w:r>
          </w:p>
        </w:tc>
        <w:tc>
          <w:tcPr>
            <w:tcW w:w="4774"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Gesun</w:t>
            </w:r>
            <w:r>
              <w:t xml:space="preserve">dheit </w:t>
            </w:r>
            <w:proofErr w:type="spellStart"/>
            <w:r>
              <w:t>Österreich</w:t>
            </w:r>
            <w:proofErr w:type="spellEnd"/>
            <w:r>
              <w:t xml:space="preserve"> GmbH (</w:t>
            </w:r>
            <w:r w:rsidRPr="004D57B3">
              <w:t>GÖG</w:t>
            </w:r>
            <w:r>
              <w:t>)</w:t>
            </w:r>
          </w:p>
        </w:tc>
        <w:tc>
          <w:tcPr>
            <w:tcW w:w="4774" w:type="dxa"/>
            <w:tcBorders>
              <w:top w:val="nil"/>
              <w:left w:val="nil"/>
              <w:bottom w:val="nil"/>
            </w:tcBorders>
          </w:tcPr>
          <w:p w:rsidR="0048417A" w:rsidRPr="004D57B3" w:rsidRDefault="00B81800" w:rsidP="00836B55">
            <w:pPr>
              <w:pStyle w:val="TableText"/>
              <w:rPr>
                <w:rFonts w:cs="Arial"/>
                <w:sz w:val="20"/>
              </w:rPr>
            </w:pPr>
            <w:hyperlink r:id="rId44" w:tooltip="This link goes to the Gesundheit Österreich GmbH website" w:history="1">
              <w:r w:rsidR="0048417A" w:rsidRPr="004D57B3">
                <w:rPr>
                  <w:rStyle w:val="Hyperlink"/>
                  <w:rFonts w:cs="Arial"/>
                  <w:sz w:val="20"/>
                </w:rPr>
                <w:t>http://www.goeg.at/</w:t>
              </w:r>
            </w:hyperlink>
          </w:p>
        </w:tc>
      </w:tr>
      <w:tr w:rsidR="0048417A" w:rsidRPr="004D57B3" w:rsidTr="00836B55">
        <w:trPr>
          <w:cantSplit/>
        </w:trPr>
        <w:tc>
          <w:tcPr>
            <w:tcW w:w="4439" w:type="dxa"/>
            <w:tcBorders>
              <w:top w:val="nil"/>
              <w:right w:val="nil"/>
            </w:tcBorders>
          </w:tcPr>
          <w:p w:rsidR="0048417A" w:rsidRPr="004D57B3" w:rsidRDefault="0048417A" w:rsidP="00836B55">
            <w:pPr>
              <w:pStyle w:val="TableText"/>
            </w:pPr>
            <w:r w:rsidRPr="004D57B3">
              <w:t xml:space="preserve">Institute of Technology Assessment </w:t>
            </w:r>
            <w:r>
              <w:t xml:space="preserve"> </w:t>
            </w:r>
            <w:r w:rsidRPr="004D57B3">
              <w:t xml:space="preserve">/ HTA unit </w:t>
            </w:r>
          </w:p>
        </w:tc>
        <w:tc>
          <w:tcPr>
            <w:tcW w:w="4774" w:type="dxa"/>
            <w:tcBorders>
              <w:top w:val="nil"/>
              <w:left w:val="nil"/>
            </w:tcBorders>
          </w:tcPr>
          <w:p w:rsidR="0048417A" w:rsidRPr="004D57B3" w:rsidRDefault="00B81800" w:rsidP="00836B55">
            <w:pPr>
              <w:pStyle w:val="TableText"/>
              <w:rPr>
                <w:rFonts w:cs="Arial"/>
                <w:sz w:val="20"/>
              </w:rPr>
            </w:pPr>
            <w:hyperlink r:id="rId45" w:tooltip="This link goes to the Institute of Technology Assessment  / HTA unit website" w:history="1">
              <w:r w:rsidR="0048417A" w:rsidRPr="004D57B3">
                <w:rPr>
                  <w:rStyle w:val="Hyperlink"/>
                  <w:rFonts w:cs="Arial"/>
                  <w:sz w:val="20"/>
                </w:rPr>
                <w:t>http://www.oeaw.ac.at/ita/e1-3.htm</w:t>
              </w:r>
            </w:hyperlink>
          </w:p>
        </w:tc>
      </w:tr>
      <w:tr w:rsidR="0048417A" w:rsidRPr="004D57B3" w:rsidTr="00836B55">
        <w:trPr>
          <w:cantSplit/>
        </w:trPr>
        <w:tc>
          <w:tcPr>
            <w:tcW w:w="4439" w:type="dxa"/>
            <w:tcBorders>
              <w:bottom w:val="nil"/>
              <w:right w:val="nil"/>
            </w:tcBorders>
          </w:tcPr>
          <w:p w:rsidR="0048417A" w:rsidRPr="004D57B3" w:rsidRDefault="0048417A" w:rsidP="00836B55">
            <w:pPr>
              <w:pStyle w:val="TableHeading"/>
            </w:pPr>
            <w:r w:rsidRPr="004D57B3">
              <w:t>BELGIUM</w:t>
            </w:r>
          </w:p>
        </w:tc>
        <w:tc>
          <w:tcPr>
            <w:tcW w:w="4774"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439" w:type="dxa"/>
            <w:tcBorders>
              <w:top w:val="nil"/>
              <w:right w:val="nil"/>
            </w:tcBorders>
          </w:tcPr>
          <w:p w:rsidR="0048417A" w:rsidRPr="004D57B3" w:rsidRDefault="0048417A" w:rsidP="00836B55">
            <w:pPr>
              <w:pStyle w:val="TableText"/>
            </w:pPr>
            <w:r w:rsidRPr="004D57B3">
              <w:t>Belgian Health Care Knowledge Centre</w:t>
            </w:r>
            <w:r>
              <w:t xml:space="preserve"> (KCE)</w:t>
            </w:r>
            <w:r w:rsidRPr="004D57B3">
              <w:t xml:space="preserve"> </w:t>
            </w:r>
          </w:p>
        </w:tc>
        <w:tc>
          <w:tcPr>
            <w:tcW w:w="4774" w:type="dxa"/>
            <w:tcBorders>
              <w:top w:val="nil"/>
              <w:left w:val="nil"/>
            </w:tcBorders>
          </w:tcPr>
          <w:p w:rsidR="0048417A" w:rsidRPr="004D57B3" w:rsidRDefault="00B81800" w:rsidP="00836B55">
            <w:pPr>
              <w:pStyle w:val="TableText"/>
              <w:rPr>
                <w:rFonts w:cs="Arial"/>
                <w:sz w:val="20"/>
              </w:rPr>
            </w:pPr>
            <w:hyperlink r:id="rId46" w:tooltip="This link goes to the Belgian Health Care Knowledge Centre website" w:history="1">
              <w:r w:rsidR="0048417A" w:rsidRPr="004D57B3">
                <w:rPr>
                  <w:rStyle w:val="Hyperlink"/>
                  <w:rFonts w:cs="Arial"/>
                  <w:sz w:val="20"/>
                </w:rPr>
                <w:t>http://kce.fgov.be</w:t>
              </w:r>
            </w:hyperlink>
          </w:p>
        </w:tc>
      </w:tr>
      <w:tr w:rsidR="0048417A" w:rsidRPr="004D57B3" w:rsidTr="00836B55">
        <w:trPr>
          <w:cantSplit/>
        </w:trPr>
        <w:tc>
          <w:tcPr>
            <w:tcW w:w="4439" w:type="dxa"/>
            <w:tcBorders>
              <w:bottom w:val="nil"/>
              <w:right w:val="nil"/>
            </w:tcBorders>
          </w:tcPr>
          <w:p w:rsidR="0048417A" w:rsidRPr="004D57B3" w:rsidRDefault="0048417A" w:rsidP="00836B55">
            <w:pPr>
              <w:pStyle w:val="TableHeading"/>
            </w:pPr>
            <w:r w:rsidRPr="004D57B3">
              <w:t>BRAZIL</w:t>
            </w:r>
          </w:p>
        </w:tc>
        <w:tc>
          <w:tcPr>
            <w:tcW w:w="4774"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439" w:type="dxa"/>
            <w:tcBorders>
              <w:top w:val="nil"/>
              <w:right w:val="nil"/>
            </w:tcBorders>
          </w:tcPr>
          <w:p w:rsidR="0048417A" w:rsidRPr="004D57B3" w:rsidRDefault="0048417A" w:rsidP="00836B55">
            <w:pPr>
              <w:pStyle w:val="TableText"/>
            </w:pPr>
            <w:proofErr w:type="spellStart"/>
            <w:r w:rsidRPr="004D57B3">
              <w:t>Secretaria</w:t>
            </w:r>
            <w:proofErr w:type="spellEnd"/>
            <w:r w:rsidRPr="004D57B3">
              <w:t xml:space="preserve"> de </w:t>
            </w:r>
            <w:proofErr w:type="spellStart"/>
            <w:r w:rsidRPr="004D57B3">
              <w:t>Ciência</w:t>
            </w:r>
            <w:proofErr w:type="spellEnd"/>
            <w:r w:rsidRPr="004D57B3">
              <w:t xml:space="preserve">, </w:t>
            </w:r>
            <w:proofErr w:type="spellStart"/>
            <w:r w:rsidRPr="004D57B3">
              <w:t>Tecnologia</w:t>
            </w:r>
            <w:proofErr w:type="spellEnd"/>
            <w:r w:rsidRPr="004D57B3">
              <w:t xml:space="preserve"> e </w:t>
            </w:r>
            <w:proofErr w:type="spellStart"/>
            <w:r w:rsidRPr="004D57B3">
              <w:t>Insumos</w:t>
            </w:r>
            <w:proofErr w:type="spellEnd"/>
            <w:r w:rsidRPr="004D57B3">
              <w:t xml:space="preserve"> </w:t>
            </w:r>
            <w:proofErr w:type="spellStart"/>
            <w:r w:rsidRPr="004D57B3">
              <w:t>Estratégicos</w:t>
            </w:r>
            <w:proofErr w:type="spellEnd"/>
            <w:r w:rsidRPr="004D57B3">
              <w:t xml:space="preserve">, </w:t>
            </w:r>
            <w:proofErr w:type="spellStart"/>
            <w:r w:rsidRPr="004D57B3">
              <w:t>Departamento</w:t>
            </w:r>
            <w:proofErr w:type="spellEnd"/>
            <w:r w:rsidRPr="004D57B3">
              <w:t xml:space="preserve"> de </w:t>
            </w:r>
            <w:proofErr w:type="spellStart"/>
            <w:r w:rsidRPr="004D57B3">
              <w:t>Ciência</w:t>
            </w:r>
            <w:proofErr w:type="spellEnd"/>
            <w:r w:rsidRPr="004D57B3">
              <w:t xml:space="preserve"> e </w:t>
            </w:r>
            <w:proofErr w:type="spellStart"/>
            <w:r w:rsidRPr="004D57B3">
              <w:t>Technologia</w:t>
            </w:r>
            <w:proofErr w:type="spellEnd"/>
            <w:r>
              <w:t xml:space="preserve"> (</w:t>
            </w:r>
            <w:r w:rsidRPr="004D57B3">
              <w:t>DECIT-CGATS</w:t>
            </w:r>
            <w:r>
              <w:t>)</w:t>
            </w:r>
            <w:r w:rsidRPr="004D57B3">
              <w:t xml:space="preserve"> </w:t>
            </w:r>
          </w:p>
        </w:tc>
        <w:tc>
          <w:tcPr>
            <w:tcW w:w="4774" w:type="dxa"/>
            <w:tcBorders>
              <w:top w:val="nil"/>
              <w:left w:val="nil"/>
            </w:tcBorders>
          </w:tcPr>
          <w:p w:rsidR="0048417A" w:rsidRPr="004D57B3" w:rsidRDefault="00B81800" w:rsidP="00836B55">
            <w:pPr>
              <w:pStyle w:val="TableText"/>
              <w:rPr>
                <w:rFonts w:cs="Arial"/>
                <w:sz w:val="20"/>
              </w:rPr>
            </w:pPr>
            <w:hyperlink r:id="rId47" w:tooltip="This link goes to the Secretaria de Ciência, Tecnologia e Insumos Estratégicos, Departamento de Ciência e Technologia website" w:history="1">
              <w:r w:rsidR="0048417A" w:rsidRPr="004D57B3">
                <w:rPr>
                  <w:rStyle w:val="Hyperlink"/>
                  <w:rFonts w:cs="Arial"/>
                  <w:sz w:val="20"/>
                </w:rPr>
                <w:t>http://portal.saude.gov.br/portal/saude/area.cfm?id_area=1026</w:t>
              </w:r>
            </w:hyperlink>
          </w:p>
        </w:tc>
      </w:tr>
      <w:tr w:rsidR="0048417A" w:rsidRPr="004D57B3" w:rsidTr="00836B55">
        <w:trPr>
          <w:cantSplit/>
        </w:trPr>
        <w:tc>
          <w:tcPr>
            <w:tcW w:w="4439" w:type="dxa"/>
            <w:tcBorders>
              <w:bottom w:val="nil"/>
              <w:right w:val="nil"/>
            </w:tcBorders>
          </w:tcPr>
          <w:p w:rsidR="0048417A" w:rsidRPr="004D57B3" w:rsidRDefault="0048417A" w:rsidP="00836B55">
            <w:pPr>
              <w:pStyle w:val="TableHeading"/>
            </w:pPr>
            <w:r w:rsidRPr="004D57B3">
              <w:t>CANADA</w:t>
            </w:r>
          </w:p>
        </w:tc>
        <w:tc>
          <w:tcPr>
            <w:tcW w:w="4774" w:type="dxa"/>
            <w:tcBorders>
              <w:left w:val="nil"/>
              <w:bottom w:val="nil"/>
            </w:tcBorders>
          </w:tcPr>
          <w:p w:rsidR="0048417A" w:rsidRPr="004D57B3" w:rsidRDefault="0048417A" w:rsidP="00836B55">
            <w:pPr>
              <w:pStyle w:val="TableText"/>
            </w:pPr>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proofErr w:type="spellStart"/>
            <w:r w:rsidRPr="004D57B3">
              <w:t>Agence</w:t>
            </w:r>
            <w:proofErr w:type="spellEnd"/>
            <w:r w:rsidRPr="004D57B3">
              <w:t xml:space="preserve"> </w:t>
            </w:r>
            <w:proofErr w:type="spellStart"/>
            <w:r w:rsidRPr="004D57B3">
              <w:t>d’Evaluation</w:t>
            </w:r>
            <w:proofErr w:type="spellEnd"/>
            <w:r w:rsidRPr="004D57B3">
              <w:t xml:space="preserve"> des Technologies et des Modes </w:t>
            </w:r>
            <w:proofErr w:type="spellStart"/>
            <w:r w:rsidRPr="004D57B3">
              <w:t>d’Intervention</w:t>
            </w:r>
            <w:proofErr w:type="spellEnd"/>
            <w:r w:rsidRPr="004D57B3">
              <w:t xml:space="preserve"> </w:t>
            </w:r>
            <w:proofErr w:type="spellStart"/>
            <w:r w:rsidRPr="004D57B3">
              <w:t>en</w:t>
            </w:r>
            <w:proofErr w:type="spellEnd"/>
            <w:r w:rsidRPr="004D57B3">
              <w:t xml:space="preserve"> Santé (AETMIS) Québec  </w:t>
            </w:r>
          </w:p>
        </w:tc>
        <w:tc>
          <w:tcPr>
            <w:tcW w:w="4774" w:type="dxa"/>
            <w:tcBorders>
              <w:top w:val="nil"/>
              <w:left w:val="nil"/>
              <w:bottom w:val="nil"/>
            </w:tcBorders>
          </w:tcPr>
          <w:p w:rsidR="0048417A" w:rsidRPr="004D57B3" w:rsidRDefault="00B81800" w:rsidP="00836B55">
            <w:pPr>
              <w:pStyle w:val="TableText"/>
            </w:pPr>
            <w:hyperlink r:id="rId48" w:tooltip="This link goes to the Agence d’Evaluation des Technologies et des Modes d’Intervention en Santé (AETMIS) Québec website" w:history="1">
              <w:r w:rsidR="0048417A" w:rsidRPr="004D57B3">
                <w:rPr>
                  <w:rStyle w:val="Hyperlink"/>
                  <w:rFonts w:cs="Arial"/>
                  <w:sz w:val="20"/>
                  <w:lang w:val="de-DE"/>
                </w:rPr>
                <w:t>http://www.aetmis.gouv.qc.ca/site/home.phtml</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Institute of Health Economics, Alberta</w:t>
            </w:r>
          </w:p>
        </w:tc>
        <w:tc>
          <w:tcPr>
            <w:tcW w:w="4774" w:type="dxa"/>
            <w:tcBorders>
              <w:top w:val="nil"/>
              <w:left w:val="nil"/>
              <w:bottom w:val="nil"/>
            </w:tcBorders>
          </w:tcPr>
          <w:p w:rsidR="0048417A" w:rsidRPr="004D57B3" w:rsidRDefault="00B81800" w:rsidP="00836B55">
            <w:pPr>
              <w:pStyle w:val="TableText"/>
            </w:pPr>
            <w:hyperlink r:id="rId49" w:tooltip="This link goes to the Institute of Health Economics, Alberta website" w:history="1">
              <w:r w:rsidR="0048417A" w:rsidRPr="004D57B3">
                <w:rPr>
                  <w:rStyle w:val="Hyperlink"/>
                  <w:rFonts w:cs="Arial"/>
                  <w:sz w:val="20"/>
                </w:rPr>
                <w:t>http://www.ihe.ca/</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Canadian Agency for Drugs and Technologies in Health (CADTH)</w:t>
            </w:r>
          </w:p>
        </w:tc>
        <w:tc>
          <w:tcPr>
            <w:tcW w:w="4774" w:type="dxa"/>
            <w:tcBorders>
              <w:top w:val="nil"/>
              <w:left w:val="nil"/>
              <w:bottom w:val="nil"/>
            </w:tcBorders>
          </w:tcPr>
          <w:p w:rsidR="0048417A" w:rsidRPr="004D57B3" w:rsidRDefault="00B81800" w:rsidP="00836B55">
            <w:pPr>
              <w:pStyle w:val="TableText"/>
            </w:pPr>
            <w:hyperlink r:id="rId50" w:tooltip="This link goes to the Canadian Agency for Drugs and Technologies in Health website" w:history="1">
              <w:r w:rsidR="0048417A" w:rsidRPr="004D57B3">
                <w:rPr>
                  <w:rStyle w:val="Hyperlink"/>
                  <w:rFonts w:cs="Arial"/>
                  <w:sz w:val="20"/>
                </w:rPr>
                <w:t>http://www.cadth.ca/index.php/en/home</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Canadian Health Services Research Foundation (CHSRF</w:t>
            </w:r>
            <w:r>
              <w:t>)</w:t>
            </w:r>
            <w:r w:rsidRPr="004D57B3">
              <w:t xml:space="preserve"> </w:t>
            </w:r>
          </w:p>
        </w:tc>
        <w:tc>
          <w:tcPr>
            <w:tcW w:w="4774" w:type="dxa"/>
            <w:tcBorders>
              <w:top w:val="nil"/>
              <w:left w:val="nil"/>
              <w:bottom w:val="nil"/>
            </w:tcBorders>
          </w:tcPr>
          <w:p w:rsidR="0048417A" w:rsidRPr="004D57B3" w:rsidRDefault="00B81800" w:rsidP="00836B55">
            <w:pPr>
              <w:pStyle w:val="TableText"/>
            </w:pPr>
            <w:hyperlink r:id="rId51" w:tooltip="This link goes to the Canadian Health Services Research Foundation website" w:history="1">
              <w:r w:rsidR="0048417A" w:rsidRPr="004D57B3">
                <w:rPr>
                  <w:rStyle w:val="Hyperlink"/>
                  <w:rFonts w:cs="Arial"/>
                  <w:sz w:val="20"/>
                </w:rPr>
                <w:t>http://www.chsrf.ca/home_e.php</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Centre for Health Economics and Policy Analysis (CHEPA), McMaster University</w:t>
            </w:r>
          </w:p>
        </w:tc>
        <w:tc>
          <w:tcPr>
            <w:tcW w:w="4774" w:type="dxa"/>
            <w:tcBorders>
              <w:top w:val="nil"/>
              <w:left w:val="nil"/>
              <w:bottom w:val="nil"/>
            </w:tcBorders>
          </w:tcPr>
          <w:p w:rsidR="0048417A" w:rsidRPr="004D57B3" w:rsidRDefault="00B81800" w:rsidP="00836B55">
            <w:pPr>
              <w:pStyle w:val="TableText"/>
            </w:pPr>
            <w:hyperlink r:id="rId52" w:tooltip="This link goes to the Centre for Health Economics and Policy Analysis website" w:history="1">
              <w:r w:rsidR="0048417A" w:rsidRPr="004D57B3">
                <w:rPr>
                  <w:rStyle w:val="Hyperlink"/>
                  <w:rFonts w:cs="Arial"/>
                  <w:sz w:val="20"/>
                </w:rPr>
                <w:t>http://www.chepa.org</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 xml:space="preserve">Centre for Health Services and Policy Research (CHSPR), University of British Columbia  </w:t>
            </w:r>
          </w:p>
        </w:tc>
        <w:tc>
          <w:tcPr>
            <w:tcW w:w="4774" w:type="dxa"/>
            <w:tcBorders>
              <w:top w:val="nil"/>
              <w:left w:val="nil"/>
              <w:bottom w:val="nil"/>
            </w:tcBorders>
          </w:tcPr>
          <w:p w:rsidR="0048417A" w:rsidRPr="004D57B3" w:rsidRDefault="00B81800" w:rsidP="00836B55">
            <w:pPr>
              <w:pStyle w:val="TableText"/>
            </w:pPr>
            <w:hyperlink r:id="rId53" w:tooltip="This link goes to the Centre for Health Services and Policy Research website" w:history="1">
              <w:r w:rsidR="0048417A" w:rsidRPr="004D57B3">
                <w:rPr>
                  <w:rStyle w:val="Hyperlink"/>
                  <w:rFonts w:cs="Arial"/>
                  <w:sz w:val="20"/>
                </w:rPr>
                <w:t>http://www.chspr.ubc.ca</w:t>
              </w:r>
            </w:hyperlink>
          </w:p>
        </w:tc>
      </w:tr>
      <w:tr w:rsidR="0048417A" w:rsidRPr="004D57B3" w:rsidTr="00836B55">
        <w:trPr>
          <w:cantSplit/>
        </w:trPr>
        <w:tc>
          <w:tcPr>
            <w:tcW w:w="4439" w:type="dxa"/>
            <w:tcBorders>
              <w:top w:val="nil"/>
              <w:bottom w:val="nil"/>
              <w:right w:val="nil"/>
            </w:tcBorders>
          </w:tcPr>
          <w:p w:rsidR="0048417A" w:rsidRPr="004D57B3" w:rsidRDefault="0048417A" w:rsidP="00836B55">
            <w:pPr>
              <w:pStyle w:val="TableText"/>
            </w:pPr>
            <w:r w:rsidRPr="004D57B3">
              <w:t>Institute for Clinical Evaluative S</w:t>
            </w:r>
            <w:r>
              <w:t>ciences</w:t>
            </w:r>
            <w:r w:rsidRPr="004D57B3">
              <w:t xml:space="preserve"> (ICES)   </w:t>
            </w:r>
          </w:p>
        </w:tc>
        <w:tc>
          <w:tcPr>
            <w:tcW w:w="4774" w:type="dxa"/>
            <w:tcBorders>
              <w:top w:val="nil"/>
              <w:left w:val="nil"/>
              <w:bottom w:val="nil"/>
            </w:tcBorders>
          </w:tcPr>
          <w:p w:rsidR="0048417A" w:rsidRPr="004D57B3" w:rsidRDefault="00B81800" w:rsidP="00836B55">
            <w:pPr>
              <w:pStyle w:val="TableText"/>
            </w:pPr>
            <w:hyperlink r:id="rId54" w:tooltip="This link goes to the Institute for Clinical Evaluative Sciences website" w:history="1">
              <w:r w:rsidR="0048417A" w:rsidRPr="004D57B3">
                <w:rPr>
                  <w:rStyle w:val="Hyperlink"/>
                  <w:rFonts w:cs="Arial"/>
                  <w:sz w:val="20"/>
                </w:rPr>
                <w:t>http://www.ices.on.ca</w:t>
              </w:r>
            </w:hyperlink>
          </w:p>
        </w:tc>
      </w:tr>
      <w:tr w:rsidR="0048417A" w:rsidRPr="004D57B3" w:rsidTr="00836B55">
        <w:trPr>
          <w:cantSplit/>
        </w:trPr>
        <w:tc>
          <w:tcPr>
            <w:tcW w:w="4439" w:type="dxa"/>
            <w:tcBorders>
              <w:top w:val="nil"/>
              <w:right w:val="nil"/>
            </w:tcBorders>
          </w:tcPr>
          <w:p w:rsidR="0048417A" w:rsidRPr="004D57B3" w:rsidRDefault="0048417A" w:rsidP="00836B55">
            <w:pPr>
              <w:pStyle w:val="TableText"/>
            </w:pPr>
            <w:r w:rsidRPr="004D57B3">
              <w:t>Ontario Health Technology Advisory Committee</w:t>
            </w:r>
            <w:r>
              <w:t xml:space="preserve"> </w:t>
            </w:r>
            <w:r w:rsidRPr="004D57B3">
              <w:t>(OHTA</w:t>
            </w:r>
            <w:r>
              <w:t>C</w:t>
            </w:r>
            <w:r w:rsidRPr="004D57B3">
              <w:t>) and Medical Advisory Secretariat (MAS)</w:t>
            </w:r>
          </w:p>
        </w:tc>
        <w:tc>
          <w:tcPr>
            <w:tcW w:w="4774" w:type="dxa"/>
            <w:tcBorders>
              <w:top w:val="nil"/>
              <w:left w:val="nil"/>
            </w:tcBorders>
          </w:tcPr>
          <w:p w:rsidR="0048417A" w:rsidRPr="004D57B3" w:rsidRDefault="00B81800" w:rsidP="00836B55">
            <w:pPr>
              <w:pStyle w:val="TableText"/>
            </w:pPr>
            <w:hyperlink r:id="rId55" w:tooltip="This link goes to the Ontario Health Technology Advisory Committee (OHTAC) and Medical Advisory Secretariat (MAS) website" w:history="1">
              <w:r w:rsidR="0048417A" w:rsidRPr="004D57B3">
                <w:rPr>
                  <w:rStyle w:val="Hyperlink"/>
                  <w:bCs/>
                  <w:sz w:val="20"/>
                </w:rPr>
                <w:t>http://www.health.gov.on.ca/english/providers/program/mas/mas_mn.html</w:t>
              </w:r>
            </w:hyperlink>
          </w:p>
        </w:tc>
      </w:tr>
    </w:tbl>
    <w:p w:rsidR="0048417A" w:rsidRPr="004D57B3" w:rsidRDefault="0048417A" w:rsidP="00836B55">
      <w:pPr>
        <w:ind w:left="0"/>
        <w:rPr>
          <w:rFonts w:ascii="Arial Narrow" w:hAnsi="Arial Narrow" w:cs="Arial"/>
          <w:b/>
          <w:bCs/>
          <w:sz w:val="20"/>
        </w:rPr>
        <w:sectPr w:rsidR="0048417A" w:rsidRPr="004D57B3" w:rsidSect="00836B55">
          <w:pgSz w:w="11906" w:h="16838"/>
          <w:pgMar w:top="1440" w:right="1440" w:bottom="1440" w:left="1440" w:header="720" w:footer="720" w:gutter="0"/>
          <w:paperSrc w:first="7" w:other="7"/>
          <w:cols w:space="720"/>
          <w:docGrid w:linePitch="326"/>
        </w:sect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3"/>
        <w:gridCol w:w="4536"/>
      </w:tblGrid>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lastRenderedPageBreak/>
              <w:t>CHILE</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Department of Quality and Patient Safety of the Ministry Health of Chile (Non-English)</w:t>
            </w:r>
            <w:r>
              <w:t xml:space="preserve"> (</w:t>
            </w:r>
            <w:r w:rsidRPr="004D57B3">
              <w:t>ETESA</w:t>
            </w:r>
            <w:r>
              <w:t>)</w:t>
            </w:r>
          </w:p>
        </w:tc>
        <w:tc>
          <w:tcPr>
            <w:tcW w:w="4536" w:type="dxa"/>
            <w:tcBorders>
              <w:top w:val="nil"/>
              <w:left w:val="nil"/>
            </w:tcBorders>
          </w:tcPr>
          <w:p w:rsidR="0048417A" w:rsidRPr="004D57B3" w:rsidRDefault="00B81800" w:rsidP="00836B55">
            <w:pPr>
              <w:pStyle w:val="TableText"/>
            </w:pPr>
            <w:hyperlink r:id="rId56" w:tooltip="This link goes to the Department of Quality and Patient Safety of the Ministry Health of Chile (Non-English) website" w:history="1">
              <w:r w:rsidR="0048417A" w:rsidRPr="004D57B3">
                <w:rPr>
                  <w:rStyle w:val="Hyperlink"/>
                  <w:sz w:val="20"/>
                </w:rPr>
                <w:t>http://www.redsalud.gov.cl</w:t>
              </w:r>
            </w:hyperlink>
          </w:p>
          <w:p w:rsidR="0048417A" w:rsidRPr="004D57B3" w:rsidRDefault="0048417A" w:rsidP="00836B55">
            <w:pPr>
              <w:pStyle w:val="TableText"/>
              <w:rPr>
                <w:sz w:val="20"/>
              </w:rPr>
            </w:pPr>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DENMARK</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Danish Centre for Health Technology Assessment </w:t>
            </w:r>
            <w:r>
              <w:t xml:space="preserve"> (DACEHTA)</w:t>
            </w:r>
          </w:p>
        </w:tc>
        <w:tc>
          <w:tcPr>
            <w:tcW w:w="4536" w:type="dxa"/>
            <w:tcBorders>
              <w:top w:val="nil"/>
              <w:left w:val="nil"/>
              <w:bottom w:val="nil"/>
            </w:tcBorders>
          </w:tcPr>
          <w:p w:rsidR="0048417A" w:rsidRPr="004D57B3" w:rsidRDefault="00B81800" w:rsidP="00836B55">
            <w:pPr>
              <w:pStyle w:val="TableText"/>
              <w:rPr>
                <w:rFonts w:cs="Arial"/>
                <w:sz w:val="20"/>
              </w:rPr>
            </w:pPr>
            <w:hyperlink r:id="rId57" w:tooltip="This link goes to the Danish Centre for Health Technology Assessment website" w:history="1">
              <w:r w:rsidR="0048417A" w:rsidRPr="004D57B3">
                <w:rPr>
                  <w:rStyle w:val="Hyperlink"/>
                  <w:sz w:val="20"/>
                </w:rPr>
                <w:t>http://www.sst.dk/English/DACEHTA.aspx</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 xml:space="preserve">Danish Institute for Health Services Research (DSI) </w:t>
            </w:r>
          </w:p>
        </w:tc>
        <w:tc>
          <w:tcPr>
            <w:tcW w:w="4536" w:type="dxa"/>
            <w:tcBorders>
              <w:top w:val="nil"/>
              <w:left w:val="nil"/>
            </w:tcBorders>
          </w:tcPr>
          <w:p w:rsidR="0048417A" w:rsidRPr="00C11AB9" w:rsidRDefault="00B81800" w:rsidP="00836B55">
            <w:pPr>
              <w:pStyle w:val="TableText"/>
              <w:rPr>
                <w:rFonts w:cs="Arial"/>
                <w:sz w:val="20"/>
              </w:rPr>
            </w:pPr>
            <w:hyperlink r:id="rId58" w:tooltip="This link goes to the Danish Institute for Health Services Research website" w:history="1">
              <w:r w:rsidR="0048417A" w:rsidRPr="00C11AB9">
                <w:rPr>
                  <w:rStyle w:val="Hyperlink"/>
                  <w:sz w:val="20"/>
                </w:rPr>
                <w:t>http://dsi.dk/english/</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FINLAND</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t xml:space="preserve">Finnish Office for Health Technology Assessment </w:t>
            </w:r>
            <w:r w:rsidRPr="004D57B3">
              <w:t xml:space="preserve">FINOHTA   </w:t>
            </w:r>
          </w:p>
        </w:tc>
        <w:tc>
          <w:tcPr>
            <w:tcW w:w="4536" w:type="dxa"/>
            <w:tcBorders>
              <w:top w:val="nil"/>
              <w:left w:val="nil"/>
            </w:tcBorders>
          </w:tcPr>
          <w:p w:rsidR="0048417A" w:rsidRPr="004D57B3" w:rsidRDefault="00B81800" w:rsidP="00836B55">
            <w:pPr>
              <w:pStyle w:val="TableText"/>
              <w:rPr>
                <w:rFonts w:cs="Arial"/>
                <w:sz w:val="20"/>
                <w:lang w:val="es-AR"/>
              </w:rPr>
            </w:pPr>
            <w:hyperlink r:id="rId59" w:tooltip="This link goes to the Finnish Office for Health Technology Assessment website" w:history="1">
              <w:r w:rsidR="0048417A" w:rsidRPr="004D57B3">
                <w:rPr>
                  <w:rStyle w:val="Hyperlink"/>
                  <w:sz w:val="20"/>
                </w:rPr>
                <w:t>http://finohta.stakes.fi/EN/index.htm</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FRANCE</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Haute </w:t>
            </w:r>
            <w:proofErr w:type="spellStart"/>
            <w:r w:rsidRPr="004D57B3">
              <w:t>Autorité</w:t>
            </w:r>
            <w:proofErr w:type="spellEnd"/>
            <w:r w:rsidRPr="004D57B3">
              <w:t xml:space="preserve"> de </w:t>
            </w:r>
            <w:r>
              <w:t>S</w:t>
            </w:r>
            <w:r w:rsidRPr="004D57B3">
              <w:t xml:space="preserve">anté (HAS) </w:t>
            </w:r>
            <w:r>
              <w:t>–</w:t>
            </w:r>
            <w:r w:rsidRPr="004D57B3">
              <w:t xml:space="preserve"> or French National Authority for Health   </w:t>
            </w:r>
          </w:p>
        </w:tc>
        <w:tc>
          <w:tcPr>
            <w:tcW w:w="4536" w:type="dxa"/>
            <w:tcBorders>
              <w:top w:val="nil"/>
              <w:left w:val="nil"/>
              <w:bottom w:val="nil"/>
            </w:tcBorders>
          </w:tcPr>
          <w:p w:rsidR="0048417A" w:rsidRPr="004D57B3" w:rsidRDefault="00B81800" w:rsidP="00836B55">
            <w:pPr>
              <w:pStyle w:val="TableText"/>
              <w:rPr>
                <w:sz w:val="20"/>
              </w:rPr>
            </w:pPr>
            <w:hyperlink r:id="rId60" w:tooltip="This link goes to the Haute Autorité de Santé (HAS) – or French National Authority for Health website" w:history="1">
              <w:r w:rsidR="0048417A" w:rsidRPr="004D57B3">
                <w:rPr>
                  <w:rStyle w:val="Hyperlink"/>
                  <w:sz w:val="20"/>
                </w:rPr>
                <w:t>http://www.has-sante.fr</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pPr>
            <w:proofErr w:type="spellStart"/>
            <w:r w:rsidRPr="004D57B3">
              <w:t>Comité</w:t>
            </w:r>
            <w:proofErr w:type="spellEnd"/>
            <w:r w:rsidRPr="004D57B3">
              <w:t xml:space="preserve"> </w:t>
            </w:r>
            <w:proofErr w:type="spellStart"/>
            <w:r w:rsidRPr="004D57B3">
              <w:t>d´Evaluation</w:t>
            </w:r>
            <w:proofErr w:type="spellEnd"/>
            <w:r w:rsidRPr="004D57B3">
              <w:t xml:space="preserve"> et de Diffusion des Innovations </w:t>
            </w:r>
            <w:proofErr w:type="spellStart"/>
            <w:r w:rsidRPr="004D57B3">
              <w:t>Technologiques</w:t>
            </w:r>
            <w:proofErr w:type="spellEnd"/>
            <w:r>
              <w:t xml:space="preserve"> (</w:t>
            </w:r>
            <w:r w:rsidRPr="004D57B3">
              <w:t>CEDIT</w:t>
            </w:r>
            <w:r>
              <w:t>)</w:t>
            </w:r>
          </w:p>
        </w:tc>
        <w:tc>
          <w:tcPr>
            <w:tcW w:w="4536" w:type="dxa"/>
            <w:tcBorders>
              <w:top w:val="nil"/>
              <w:left w:val="nil"/>
            </w:tcBorders>
          </w:tcPr>
          <w:p w:rsidR="0048417A" w:rsidRPr="004D57B3" w:rsidRDefault="00B81800" w:rsidP="00836B55">
            <w:pPr>
              <w:pStyle w:val="TableText"/>
              <w:rPr>
                <w:sz w:val="20"/>
              </w:rPr>
            </w:pPr>
            <w:hyperlink r:id="rId61" w:tooltip="This link goes to the Comité d´Evaluation et de Diffusion des Innovations Technologiques website" w:history="1">
              <w:r w:rsidR="0048417A" w:rsidRPr="004D57B3">
                <w:rPr>
                  <w:rStyle w:val="Hyperlink"/>
                  <w:sz w:val="20"/>
                </w:rPr>
                <w:t>http://cedit.aphp.fr</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GERMANY</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German Institute </w:t>
            </w:r>
            <w:r>
              <w:t>of</w:t>
            </w:r>
            <w:r w:rsidRPr="004D57B3">
              <w:t xml:space="preserve"> Medical Documentation and Information (DIMDI) / HTA  </w:t>
            </w:r>
          </w:p>
        </w:tc>
        <w:tc>
          <w:tcPr>
            <w:tcW w:w="4536" w:type="dxa"/>
            <w:tcBorders>
              <w:top w:val="nil"/>
              <w:left w:val="nil"/>
              <w:bottom w:val="nil"/>
            </w:tcBorders>
          </w:tcPr>
          <w:p w:rsidR="0048417A" w:rsidRPr="004D57B3" w:rsidRDefault="00B81800" w:rsidP="00836B55">
            <w:pPr>
              <w:pStyle w:val="TableText"/>
              <w:rPr>
                <w:rFonts w:cs="Arial"/>
                <w:sz w:val="20"/>
              </w:rPr>
            </w:pPr>
            <w:hyperlink r:id="rId62" w:tooltip="This link goes to the German Institute of Medical Documentation and Information (DIMDI) / HTA website" w:history="1">
              <w:r w:rsidR="0048417A" w:rsidRPr="004D57B3">
                <w:rPr>
                  <w:rStyle w:val="Hyperlink"/>
                  <w:rFonts w:cs="Arial"/>
                  <w:sz w:val="20"/>
                </w:rPr>
                <w:t>http://www.dimdi.de/dynamic/en/hta/db/index.htm</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pPr>
            <w:proofErr w:type="spellStart"/>
            <w:r w:rsidRPr="004D57B3">
              <w:t>Institut</w:t>
            </w:r>
            <w:proofErr w:type="spellEnd"/>
            <w:r w:rsidRPr="004D57B3">
              <w:t xml:space="preserve"> </w:t>
            </w:r>
            <w:proofErr w:type="spellStart"/>
            <w:r w:rsidRPr="004D57B3">
              <w:t>für</w:t>
            </w:r>
            <w:proofErr w:type="spellEnd"/>
            <w:r w:rsidRPr="004D57B3">
              <w:t xml:space="preserve"> </w:t>
            </w:r>
            <w:proofErr w:type="spellStart"/>
            <w:r w:rsidRPr="004D57B3">
              <w:t>Qualität</w:t>
            </w:r>
            <w:proofErr w:type="spellEnd"/>
            <w:r w:rsidRPr="004D57B3">
              <w:t xml:space="preserve"> und </w:t>
            </w:r>
            <w:proofErr w:type="spellStart"/>
            <w:r w:rsidRPr="004D57B3">
              <w:t>Wirtschaftlichkeit</w:t>
            </w:r>
            <w:proofErr w:type="spellEnd"/>
            <w:r w:rsidRPr="004D57B3">
              <w:t xml:space="preserve"> </w:t>
            </w:r>
            <w:proofErr w:type="spellStart"/>
            <w:r w:rsidRPr="004D57B3">
              <w:t>im</w:t>
            </w:r>
            <w:proofErr w:type="spellEnd"/>
            <w:r w:rsidRPr="004D57B3">
              <w:t xml:space="preserve"> </w:t>
            </w:r>
            <w:proofErr w:type="spellStart"/>
            <w:r w:rsidRPr="004D57B3">
              <w:t>Gesundheitswesen</w:t>
            </w:r>
            <w:proofErr w:type="spellEnd"/>
            <w:r>
              <w:t xml:space="preserve"> (</w:t>
            </w:r>
            <w:proofErr w:type="spellStart"/>
            <w:r w:rsidRPr="004D57B3">
              <w:t>IQWiG</w:t>
            </w:r>
            <w:proofErr w:type="spellEnd"/>
            <w:r>
              <w:t>)</w:t>
            </w:r>
            <w:r w:rsidRPr="004D57B3">
              <w:t xml:space="preserve"> </w:t>
            </w:r>
          </w:p>
        </w:tc>
        <w:tc>
          <w:tcPr>
            <w:tcW w:w="4536" w:type="dxa"/>
            <w:tcBorders>
              <w:top w:val="nil"/>
              <w:left w:val="nil"/>
            </w:tcBorders>
          </w:tcPr>
          <w:p w:rsidR="0048417A" w:rsidRPr="004D57B3" w:rsidRDefault="00B81800" w:rsidP="00836B55">
            <w:pPr>
              <w:pStyle w:val="TableText"/>
              <w:rPr>
                <w:rFonts w:cs="Arial"/>
                <w:sz w:val="20"/>
              </w:rPr>
            </w:pPr>
            <w:hyperlink r:id="rId63" w:tooltip="This link goes to the Institut für Qualität und Wirtschaftlichkeit im Gesundheitswesen website" w:history="1">
              <w:r w:rsidR="0048417A" w:rsidRPr="004D57B3">
                <w:rPr>
                  <w:rStyle w:val="Hyperlink"/>
                  <w:rFonts w:cs="Arial"/>
                  <w:sz w:val="20"/>
                </w:rPr>
                <w:t>http://www.iqwig.de</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IRELAND</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Health Information and Quality Authority</w:t>
            </w:r>
            <w:r>
              <w:t xml:space="preserve"> (</w:t>
            </w:r>
            <w:r w:rsidRPr="004D57B3">
              <w:t>HIQA</w:t>
            </w:r>
            <w:r>
              <w:t>)</w:t>
            </w:r>
          </w:p>
        </w:tc>
        <w:tc>
          <w:tcPr>
            <w:tcW w:w="4536" w:type="dxa"/>
            <w:tcBorders>
              <w:top w:val="nil"/>
              <w:left w:val="nil"/>
            </w:tcBorders>
          </w:tcPr>
          <w:p w:rsidR="0048417A" w:rsidRPr="004D57B3" w:rsidRDefault="00B81800" w:rsidP="00836B55">
            <w:pPr>
              <w:pStyle w:val="TableText"/>
            </w:pPr>
            <w:hyperlink r:id="rId64" w:tooltip="This link goes to the Health Information and Quality Authority website" w:history="1">
              <w:r w:rsidR="0048417A" w:rsidRPr="004D57B3">
                <w:rPr>
                  <w:rStyle w:val="Hyperlink"/>
                  <w:rFonts w:cs="Arial"/>
                  <w:sz w:val="20"/>
                </w:rPr>
                <w:t>http://www.hiqa.ie/</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ISRAEL</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Israel</w:t>
            </w:r>
            <w:r>
              <w:t>i</w:t>
            </w:r>
            <w:r w:rsidRPr="004D57B3">
              <w:t xml:space="preserve"> </w:t>
            </w:r>
            <w:proofErr w:type="spellStart"/>
            <w:r w:rsidRPr="004D57B3">
              <w:t>Center</w:t>
            </w:r>
            <w:proofErr w:type="spellEnd"/>
            <w:r w:rsidRPr="004D57B3">
              <w:t xml:space="preserve"> for Technology Assessment in Health Care</w:t>
            </w:r>
            <w:r>
              <w:t xml:space="preserve"> (</w:t>
            </w:r>
            <w:r w:rsidRPr="004D57B3">
              <w:t>ICTAHC</w:t>
            </w:r>
            <w:r>
              <w:t>)</w:t>
            </w:r>
            <w:r w:rsidRPr="004D57B3">
              <w:t xml:space="preserve"> </w:t>
            </w:r>
          </w:p>
        </w:tc>
        <w:tc>
          <w:tcPr>
            <w:tcW w:w="4536" w:type="dxa"/>
            <w:tcBorders>
              <w:top w:val="nil"/>
              <w:left w:val="nil"/>
            </w:tcBorders>
          </w:tcPr>
          <w:p w:rsidR="0048417A" w:rsidRPr="004D57B3" w:rsidRDefault="00B81800" w:rsidP="00836B55">
            <w:pPr>
              <w:pStyle w:val="TableText"/>
            </w:pPr>
            <w:hyperlink r:id="rId65" w:tooltip="This link goes to the Israeli Center for Technology Assessment in Health Care website" w:history="1">
              <w:r w:rsidR="0048417A" w:rsidRPr="004D57B3">
                <w:rPr>
                  <w:rStyle w:val="Hyperlink"/>
                  <w:sz w:val="20"/>
                </w:rPr>
                <w:t>http://www.gertnerinst.org.il/e/health_policy_e/technology/</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ITALY</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rPr>
                <w:color w:val="0000FF"/>
                <w:u w:val="single"/>
              </w:rPr>
            </w:pPr>
            <w:r w:rsidRPr="004D57B3">
              <w:t xml:space="preserve">HTA Unit in A. </w:t>
            </w:r>
            <w:proofErr w:type="spellStart"/>
            <w:r w:rsidRPr="004D57B3">
              <w:t>Gemelli</w:t>
            </w:r>
            <w:proofErr w:type="spellEnd"/>
            <w:r w:rsidRPr="004D57B3">
              <w:t xml:space="preserve"> Teaching Hospital</w:t>
            </w:r>
            <w:r>
              <w:t xml:space="preserve"> (</w:t>
            </w:r>
            <w:r w:rsidRPr="004D57B3">
              <w:t>UVT</w:t>
            </w:r>
            <w:r>
              <w:t>)</w:t>
            </w:r>
            <w:r w:rsidRPr="004D57B3">
              <w:rPr>
                <w:b/>
              </w:rPr>
              <w:t xml:space="preserve"> </w:t>
            </w:r>
          </w:p>
        </w:tc>
        <w:tc>
          <w:tcPr>
            <w:tcW w:w="4536" w:type="dxa"/>
            <w:tcBorders>
              <w:top w:val="nil"/>
              <w:left w:val="nil"/>
              <w:bottom w:val="nil"/>
            </w:tcBorders>
          </w:tcPr>
          <w:p w:rsidR="0048417A" w:rsidRPr="00C52B92" w:rsidRDefault="00B81800" w:rsidP="00836B55">
            <w:pPr>
              <w:pStyle w:val="TableText"/>
              <w:rPr>
                <w:sz w:val="20"/>
              </w:rPr>
            </w:pPr>
            <w:hyperlink r:id="rId66" w:tooltip="This link goes to the HTA Unit in A. Gemelli Teaching Hospital website" w:history="1">
              <w:r w:rsidR="0048417A" w:rsidRPr="00BD07C3">
                <w:rPr>
                  <w:rStyle w:val="Hyperlink"/>
                  <w:sz w:val="20"/>
                </w:rPr>
                <w:t>http://www.policlinicogemelli.it/area/?s=206</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rPr>
                <w:b/>
              </w:rPr>
            </w:pPr>
            <w:r w:rsidRPr="004D57B3">
              <w:rPr>
                <w:color w:val="000000"/>
              </w:rPr>
              <w:t xml:space="preserve">The </w:t>
            </w:r>
            <w:r>
              <w:rPr>
                <w:color w:val="000000"/>
              </w:rPr>
              <w:t>A</w:t>
            </w:r>
            <w:r w:rsidRPr="004D57B3">
              <w:rPr>
                <w:color w:val="000000"/>
              </w:rPr>
              <w:t xml:space="preserve">gency for Regional Healthcare </w:t>
            </w:r>
            <w:r w:rsidRPr="004D57B3">
              <w:t xml:space="preserve"> </w:t>
            </w:r>
          </w:p>
        </w:tc>
        <w:tc>
          <w:tcPr>
            <w:tcW w:w="4536" w:type="dxa"/>
            <w:tcBorders>
              <w:top w:val="nil"/>
              <w:left w:val="nil"/>
            </w:tcBorders>
          </w:tcPr>
          <w:p w:rsidR="0048417A" w:rsidRPr="00C52B92" w:rsidRDefault="00B81800" w:rsidP="00836B55">
            <w:pPr>
              <w:pStyle w:val="TableText"/>
              <w:rPr>
                <w:color w:val="000000"/>
                <w:sz w:val="20"/>
              </w:rPr>
            </w:pPr>
            <w:hyperlink r:id="rId67" w:tooltip="This link goes to the The Agency for Regional Healthcare website" w:history="1">
              <w:r w:rsidR="0048417A" w:rsidRPr="00C52B92">
                <w:rPr>
                  <w:rStyle w:val="Hyperlink"/>
                  <w:rFonts w:cs="Arial"/>
                  <w:sz w:val="20"/>
                </w:rPr>
                <w:t>http://www.agenas.it/</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KOREA</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right w:val="nil"/>
            </w:tcBorders>
          </w:tcPr>
          <w:p w:rsidR="0048417A" w:rsidRPr="004D57B3" w:rsidRDefault="0048417A" w:rsidP="00836B55">
            <w:pPr>
              <w:pStyle w:val="TableText"/>
              <w:rPr>
                <w:b/>
              </w:rPr>
            </w:pPr>
            <w:r w:rsidRPr="004D57B3">
              <w:t>Committee for New Health Technology Assessment</w:t>
            </w:r>
            <w:r>
              <w:t xml:space="preserve"> (CNHTA)</w:t>
            </w:r>
            <w:r w:rsidRPr="004D57B3">
              <w:t xml:space="preserve"> </w:t>
            </w:r>
          </w:p>
        </w:tc>
        <w:tc>
          <w:tcPr>
            <w:tcW w:w="4536" w:type="dxa"/>
            <w:tcBorders>
              <w:top w:val="nil"/>
              <w:left w:val="nil"/>
            </w:tcBorders>
          </w:tcPr>
          <w:p w:rsidR="0048417A" w:rsidRPr="004D57B3" w:rsidRDefault="0048417A" w:rsidP="00836B55">
            <w:pPr>
              <w:pStyle w:val="TableText"/>
            </w:pPr>
            <w:r w:rsidRPr="004D57B3">
              <w:t>No website</w:t>
            </w:r>
          </w:p>
        </w:tc>
      </w:tr>
      <w:tr w:rsidR="0048417A" w:rsidRPr="004D57B3" w:rsidTr="00836B55">
        <w:trPr>
          <w:cantSplit/>
          <w:trHeight w:val="904"/>
        </w:trPr>
        <w:tc>
          <w:tcPr>
            <w:tcW w:w="4373" w:type="dxa"/>
            <w:tcBorders>
              <w:top w:val="nil"/>
              <w:right w:val="nil"/>
            </w:tcBorders>
          </w:tcPr>
          <w:p w:rsidR="0048417A" w:rsidRPr="004D57B3" w:rsidRDefault="0048417A" w:rsidP="00836B55">
            <w:pPr>
              <w:pStyle w:val="TableHeading"/>
            </w:pPr>
            <w:r w:rsidRPr="004D57B3">
              <w:t>LITHUANIA</w:t>
            </w:r>
          </w:p>
          <w:p w:rsidR="0048417A" w:rsidRPr="004D57B3" w:rsidRDefault="0048417A" w:rsidP="00836B55">
            <w:pPr>
              <w:pStyle w:val="TableText"/>
            </w:pPr>
            <w:r w:rsidRPr="004D57B3">
              <w:t>State Health Care Accreditation Agency under the Ministry of Health of the Republic of Lithuania</w:t>
            </w:r>
            <w:r>
              <w:t xml:space="preserve"> (</w:t>
            </w:r>
            <w:r w:rsidRPr="004D57B3">
              <w:t>VASPVT</w:t>
            </w:r>
            <w:r>
              <w:t>)</w:t>
            </w:r>
          </w:p>
        </w:tc>
        <w:tc>
          <w:tcPr>
            <w:tcW w:w="4536" w:type="dxa"/>
            <w:tcBorders>
              <w:top w:val="nil"/>
              <w:left w:val="nil"/>
            </w:tcBorders>
          </w:tcPr>
          <w:p w:rsidR="0048417A" w:rsidRPr="004D57B3" w:rsidRDefault="0048417A" w:rsidP="00836B55">
            <w:pPr>
              <w:ind w:left="0"/>
              <w:rPr>
                <w:rFonts w:ascii="Arial Narrow" w:hAnsi="Arial Narrow" w:cs="Arial"/>
                <w:color w:val="000000"/>
                <w:sz w:val="20"/>
              </w:rPr>
            </w:pPr>
          </w:p>
          <w:p w:rsidR="0048417A" w:rsidRPr="004D57B3" w:rsidRDefault="00B81800" w:rsidP="00836B55">
            <w:pPr>
              <w:pStyle w:val="TableText"/>
              <w:rPr>
                <w:rFonts w:cs="Arial"/>
                <w:color w:val="000000"/>
                <w:sz w:val="20"/>
              </w:rPr>
            </w:pPr>
            <w:hyperlink r:id="rId68" w:tooltip="This link goes to the State Health Care Accreditation Agency under the Ministry of Health of the Republic of Lithuania website" w:history="1">
              <w:r w:rsidR="0048417A" w:rsidRPr="004D57B3">
                <w:rPr>
                  <w:rStyle w:val="Hyperlink"/>
                  <w:sz w:val="20"/>
                </w:rPr>
                <w:t>http://www.vaspvt.gov.lt/</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MALAYSIA</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Health Technology Assessment Section, Ministry of Health Malaysia</w:t>
            </w:r>
            <w:r>
              <w:t xml:space="preserve"> (</w:t>
            </w:r>
            <w:proofErr w:type="spellStart"/>
            <w:r w:rsidRPr="004D57B3">
              <w:t>MaHTAS</w:t>
            </w:r>
            <w:proofErr w:type="spellEnd"/>
            <w:r>
              <w:t>)</w:t>
            </w:r>
            <w:r w:rsidRPr="004D57B3">
              <w:t xml:space="preserve">   </w:t>
            </w:r>
          </w:p>
        </w:tc>
        <w:tc>
          <w:tcPr>
            <w:tcW w:w="4536" w:type="dxa"/>
            <w:tcBorders>
              <w:top w:val="nil"/>
              <w:left w:val="nil"/>
            </w:tcBorders>
          </w:tcPr>
          <w:p w:rsidR="0048417A" w:rsidRPr="004D57B3" w:rsidRDefault="00B81800" w:rsidP="00836B55">
            <w:pPr>
              <w:pStyle w:val="TableText"/>
              <w:rPr>
                <w:rFonts w:cs="Arial"/>
                <w:sz w:val="20"/>
              </w:rPr>
            </w:pPr>
            <w:hyperlink r:id="rId69" w:tooltip="This link goes to the Health Technology Assessment Section, Ministry of Health Malaysia website" w:history="1">
              <w:r w:rsidR="0048417A" w:rsidRPr="004D57B3">
                <w:rPr>
                  <w:rStyle w:val="Hyperlink"/>
                  <w:sz w:val="20"/>
                </w:rPr>
                <w:t>http://www.moh.gov.my/health_assesments</w:t>
              </w:r>
            </w:hyperlink>
            <w:r w:rsidR="0048417A" w:rsidRPr="004D57B3">
              <w:t xml:space="preserve"> [sic]</w:t>
            </w:r>
          </w:p>
        </w:tc>
      </w:tr>
      <w:tr w:rsidR="0048417A" w:rsidRPr="004D57B3" w:rsidTr="00836B55">
        <w:trPr>
          <w:cantSplit/>
        </w:trPr>
        <w:tc>
          <w:tcPr>
            <w:tcW w:w="4373" w:type="dxa"/>
            <w:tcBorders>
              <w:top w:val="nil"/>
              <w:right w:val="nil"/>
            </w:tcBorders>
          </w:tcPr>
          <w:p w:rsidR="0048417A" w:rsidRPr="004D57B3" w:rsidRDefault="0048417A" w:rsidP="00836B55">
            <w:pPr>
              <w:pStyle w:val="TableHeading"/>
            </w:pPr>
            <w:r w:rsidRPr="004D57B3">
              <w:rPr>
                <w:rFonts w:cs="Arial"/>
                <w:sz w:val="20"/>
              </w:rPr>
              <w:t>M</w:t>
            </w:r>
            <w:r w:rsidRPr="004D57B3">
              <w:t>EXICO</w:t>
            </w:r>
          </w:p>
          <w:p w:rsidR="0048417A" w:rsidRPr="004D57B3" w:rsidRDefault="0048417A" w:rsidP="00836B55">
            <w:pPr>
              <w:pStyle w:val="TableText"/>
            </w:pPr>
            <w:r w:rsidRPr="004D57B3">
              <w:rPr>
                <w:lang w:val="pt-BR"/>
              </w:rPr>
              <w:t>Centro Nacional de Excelencia Tecnológica en Salud</w:t>
            </w:r>
            <w:r>
              <w:rPr>
                <w:lang w:val="pt-BR"/>
              </w:rPr>
              <w:t xml:space="preserve"> (CENETEC)</w:t>
            </w:r>
          </w:p>
        </w:tc>
        <w:tc>
          <w:tcPr>
            <w:tcW w:w="4536" w:type="dxa"/>
            <w:tcBorders>
              <w:top w:val="nil"/>
              <w:left w:val="nil"/>
            </w:tcBorders>
          </w:tcPr>
          <w:p w:rsidR="0048417A" w:rsidRPr="004D57B3" w:rsidRDefault="0048417A" w:rsidP="00836B55">
            <w:pPr>
              <w:pStyle w:val="TableText"/>
            </w:pPr>
          </w:p>
          <w:p w:rsidR="0048417A" w:rsidRPr="004D57B3" w:rsidRDefault="00B81800" w:rsidP="00836B55">
            <w:pPr>
              <w:pStyle w:val="TableText"/>
              <w:rPr>
                <w:sz w:val="20"/>
              </w:rPr>
            </w:pPr>
            <w:hyperlink r:id="rId70" w:tooltip="This link goes to the Centro Nacional de Excelencia Tecnológica en Salud website" w:history="1">
              <w:r w:rsidR="0048417A" w:rsidRPr="004D57B3">
                <w:rPr>
                  <w:rStyle w:val="Hyperlink"/>
                  <w:rFonts w:cs="Arial"/>
                  <w:sz w:val="20"/>
                </w:rPr>
                <w:t>http://www.cenetec.gob.mx</w:t>
              </w:r>
            </w:hyperlink>
          </w:p>
        </w:tc>
      </w:tr>
      <w:tr w:rsidR="0048417A" w:rsidRPr="004D57B3" w:rsidTr="00836B55">
        <w:trPr>
          <w:cantSplit/>
          <w:trHeight w:val="385"/>
        </w:trPr>
        <w:tc>
          <w:tcPr>
            <w:tcW w:w="4373" w:type="dxa"/>
            <w:tcBorders>
              <w:bottom w:val="nil"/>
              <w:right w:val="nil"/>
            </w:tcBorders>
            <w:vAlign w:val="bottom"/>
          </w:tcPr>
          <w:p w:rsidR="0048417A" w:rsidRPr="004D57B3" w:rsidRDefault="0048417A" w:rsidP="00836B55">
            <w:pPr>
              <w:pStyle w:val="TableHeading"/>
              <w:spacing w:before="0"/>
            </w:pPr>
            <w:r w:rsidRPr="004D57B3">
              <w:t>NETHERLANDS</w:t>
            </w:r>
          </w:p>
        </w:tc>
        <w:tc>
          <w:tcPr>
            <w:tcW w:w="4536" w:type="dxa"/>
            <w:tcBorders>
              <w:left w:val="nil"/>
              <w:bottom w:val="nil"/>
            </w:tcBorders>
          </w:tcPr>
          <w:p w:rsidR="0048417A" w:rsidRPr="004D57B3" w:rsidRDefault="0048417A" w:rsidP="00836B55">
            <w:pPr>
              <w:ind w:left="0"/>
              <w:rPr>
                <w:rFonts w:ascii="Arial Narrow" w:hAnsi="Arial Narrow" w:cs="Arial"/>
                <w:b/>
                <w:sz w:val="20"/>
              </w:rPr>
            </w:pPr>
          </w:p>
        </w:tc>
      </w:tr>
      <w:tr w:rsidR="0048417A" w:rsidRPr="004D57B3" w:rsidTr="00836B55">
        <w:trPr>
          <w:cantSplit/>
        </w:trPr>
        <w:tc>
          <w:tcPr>
            <w:tcW w:w="4373" w:type="dxa"/>
            <w:tcBorders>
              <w:top w:val="nil"/>
              <w:right w:val="nil"/>
            </w:tcBorders>
          </w:tcPr>
          <w:p w:rsidR="0048417A" w:rsidRDefault="0048417A" w:rsidP="00836B55">
            <w:pPr>
              <w:pStyle w:val="TableText"/>
            </w:pPr>
            <w:r w:rsidRPr="004D57B3">
              <w:t xml:space="preserve">Health Council of the Netherlands </w:t>
            </w:r>
            <w:r>
              <w:t>(</w:t>
            </w:r>
            <w:proofErr w:type="spellStart"/>
            <w:r w:rsidRPr="004D57B3">
              <w:t>Gezondheidsraad</w:t>
            </w:r>
            <w:proofErr w:type="spellEnd"/>
            <w:r>
              <w:t>)</w:t>
            </w:r>
            <w:r w:rsidRPr="004D57B3">
              <w:t xml:space="preserve"> </w:t>
            </w:r>
          </w:p>
          <w:p w:rsidR="0048417A" w:rsidRDefault="0048417A" w:rsidP="00836B55">
            <w:pPr>
              <w:pStyle w:val="TableText"/>
            </w:pPr>
            <w:r w:rsidRPr="004D57B3">
              <w:t xml:space="preserve">The </w:t>
            </w:r>
            <w:r>
              <w:t>Netherlands Organisation for Health Research and Development</w:t>
            </w:r>
            <w:r w:rsidRPr="004D57B3">
              <w:t xml:space="preserve"> </w:t>
            </w:r>
            <w:r>
              <w:t xml:space="preserve"> (</w:t>
            </w:r>
            <w:proofErr w:type="spellStart"/>
            <w:r w:rsidRPr="004D57B3">
              <w:t>ZonMw</w:t>
            </w:r>
            <w:proofErr w:type="spellEnd"/>
            <w:r>
              <w:t>)</w:t>
            </w:r>
          </w:p>
          <w:p w:rsidR="0048417A" w:rsidRPr="004D57B3" w:rsidRDefault="0048417A" w:rsidP="00836B55">
            <w:pPr>
              <w:pStyle w:val="TableText"/>
            </w:pPr>
            <w:r w:rsidRPr="004D57B3">
              <w:t xml:space="preserve">College </w:t>
            </w:r>
            <w:proofErr w:type="spellStart"/>
            <w:r w:rsidRPr="004D57B3">
              <w:t>voor</w:t>
            </w:r>
            <w:proofErr w:type="spellEnd"/>
            <w:r w:rsidRPr="004D57B3">
              <w:t xml:space="preserve"> </w:t>
            </w:r>
            <w:proofErr w:type="spellStart"/>
            <w:r w:rsidRPr="004D57B3">
              <w:t>Zorgverzekeringen</w:t>
            </w:r>
            <w:proofErr w:type="spellEnd"/>
            <w:r>
              <w:t xml:space="preserve"> (</w:t>
            </w:r>
            <w:r w:rsidRPr="004D57B3">
              <w:t>CVZ</w:t>
            </w:r>
            <w:r>
              <w:t>)</w:t>
            </w:r>
            <w:r w:rsidRPr="004D57B3">
              <w:t xml:space="preserve"> </w:t>
            </w:r>
          </w:p>
        </w:tc>
        <w:tc>
          <w:tcPr>
            <w:tcW w:w="4536" w:type="dxa"/>
            <w:tcBorders>
              <w:top w:val="nil"/>
              <w:left w:val="nil"/>
            </w:tcBorders>
          </w:tcPr>
          <w:p w:rsidR="0048417A" w:rsidRDefault="00B81800" w:rsidP="00836B55">
            <w:pPr>
              <w:pStyle w:val="TableText"/>
              <w:spacing w:after="0"/>
              <w:rPr>
                <w:rFonts w:cs="Arial"/>
                <w:sz w:val="20"/>
              </w:rPr>
            </w:pPr>
            <w:hyperlink r:id="rId71" w:tooltip="This link goes to the Health Council of the Netherlands website" w:history="1">
              <w:r w:rsidR="0048417A" w:rsidRPr="004D57B3">
                <w:rPr>
                  <w:rStyle w:val="Hyperlink"/>
                  <w:sz w:val="20"/>
                </w:rPr>
                <w:t>http://www.gezondheidsraad.nl/en</w:t>
              </w:r>
            </w:hyperlink>
          </w:p>
          <w:p w:rsidR="00B81800" w:rsidRDefault="00B81800" w:rsidP="00836B55">
            <w:pPr>
              <w:pStyle w:val="TableText"/>
              <w:spacing w:after="0"/>
            </w:pPr>
          </w:p>
          <w:p w:rsidR="0048417A" w:rsidRDefault="00B81800" w:rsidP="00836B55">
            <w:pPr>
              <w:pStyle w:val="TableText"/>
              <w:spacing w:after="0"/>
            </w:pPr>
            <w:hyperlink r:id="rId72" w:tooltip="This link goes to the The Netherlands Organisation for Health Research and Development website" w:history="1">
              <w:r w:rsidR="0048417A" w:rsidRPr="004D57B3">
                <w:rPr>
                  <w:rStyle w:val="Hyperlink"/>
                  <w:rFonts w:cs="Arial"/>
                  <w:sz w:val="20"/>
                </w:rPr>
                <w:t>http://www.zonmw.nl</w:t>
              </w:r>
            </w:hyperlink>
          </w:p>
          <w:p w:rsidR="0048417A" w:rsidRPr="004D57B3" w:rsidRDefault="00B81800" w:rsidP="00836B55">
            <w:pPr>
              <w:pStyle w:val="TableText"/>
              <w:spacing w:after="0"/>
              <w:rPr>
                <w:rFonts w:cs="Arial"/>
                <w:sz w:val="20"/>
              </w:rPr>
            </w:pPr>
            <w:hyperlink r:id="rId73" w:tooltip="This link goes to the College voor Zorgverzekeringen website" w:history="1">
              <w:r w:rsidR="0048417A" w:rsidRPr="004D57B3">
                <w:rPr>
                  <w:rStyle w:val="Hyperlink"/>
                  <w:rFonts w:cs="Arial"/>
                  <w:sz w:val="20"/>
                </w:rPr>
                <w:t>http://www.cvz.nl</w:t>
              </w:r>
            </w:hyperlink>
          </w:p>
        </w:tc>
      </w:tr>
      <w:tr w:rsidR="0048417A" w:rsidRPr="004D57B3" w:rsidTr="00836B55">
        <w:trPr>
          <w:cantSplit/>
          <w:trHeight w:val="309"/>
        </w:trPr>
        <w:tc>
          <w:tcPr>
            <w:tcW w:w="4373" w:type="dxa"/>
            <w:tcBorders>
              <w:bottom w:val="nil"/>
              <w:right w:val="nil"/>
            </w:tcBorders>
          </w:tcPr>
          <w:p w:rsidR="0048417A" w:rsidRPr="004D57B3" w:rsidRDefault="0048417A" w:rsidP="00836B55">
            <w:pPr>
              <w:pStyle w:val="TableHeading"/>
            </w:pPr>
            <w:r w:rsidRPr="004D57B3">
              <w:t>NEW ZEALAND</w:t>
            </w:r>
          </w:p>
        </w:tc>
        <w:tc>
          <w:tcPr>
            <w:tcW w:w="4536" w:type="dxa"/>
            <w:tcBorders>
              <w:left w:val="nil"/>
              <w:bottom w:val="nil"/>
            </w:tcBorders>
          </w:tcPr>
          <w:p w:rsidR="0048417A" w:rsidRPr="004D57B3" w:rsidRDefault="0048417A" w:rsidP="00836B55">
            <w:pPr>
              <w:pStyle w:val="TableText"/>
              <w:rPr>
                <w:rFonts w:cs="Arial"/>
                <w:b/>
                <w:sz w:val="20"/>
              </w:rPr>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New Zealand Health Technology Assessment (NZHTA) </w:t>
            </w:r>
          </w:p>
        </w:tc>
        <w:tc>
          <w:tcPr>
            <w:tcW w:w="4536" w:type="dxa"/>
            <w:tcBorders>
              <w:top w:val="nil"/>
              <w:left w:val="nil"/>
              <w:bottom w:val="nil"/>
            </w:tcBorders>
          </w:tcPr>
          <w:p w:rsidR="0048417A" w:rsidRPr="004D57B3" w:rsidRDefault="00B81800" w:rsidP="00836B55">
            <w:pPr>
              <w:pStyle w:val="TableText"/>
              <w:rPr>
                <w:rFonts w:cs="Arial"/>
                <w:sz w:val="20"/>
              </w:rPr>
            </w:pPr>
            <w:hyperlink r:id="rId74" w:tooltip="This link goes to the New Zealand Health Technology Assessment website" w:history="1">
              <w:r w:rsidR="0048417A" w:rsidRPr="004D57B3">
                <w:rPr>
                  <w:rStyle w:val="Hyperlink"/>
                  <w:rFonts w:cs="Arial"/>
                  <w:sz w:val="20"/>
                </w:rPr>
                <w:t>http://nzhta.chmeds.ac.nz/</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Health Services Assessment Collaboration</w:t>
            </w:r>
            <w:r>
              <w:t xml:space="preserve"> (HSAC)</w:t>
            </w:r>
            <w:r w:rsidRPr="004D57B3">
              <w:t xml:space="preserve"> </w:t>
            </w:r>
          </w:p>
        </w:tc>
        <w:tc>
          <w:tcPr>
            <w:tcW w:w="4536" w:type="dxa"/>
            <w:tcBorders>
              <w:top w:val="nil"/>
              <w:left w:val="nil"/>
            </w:tcBorders>
          </w:tcPr>
          <w:p w:rsidR="0048417A" w:rsidRPr="004D57B3" w:rsidRDefault="00B81800" w:rsidP="00836B55">
            <w:pPr>
              <w:pStyle w:val="TableText"/>
              <w:rPr>
                <w:rFonts w:cs="Arial"/>
                <w:sz w:val="20"/>
              </w:rPr>
            </w:pPr>
            <w:hyperlink r:id="rId75" w:tooltip="This link goes to the Health Services Assessment Collaboration website" w:history="1">
              <w:r w:rsidR="0048417A" w:rsidRPr="004D57B3">
                <w:rPr>
                  <w:rStyle w:val="Hyperlink"/>
                  <w:rFonts w:cs="Arial"/>
                  <w:sz w:val="20"/>
                </w:rPr>
                <w:t>http://www.healthsac.net</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NORWAY</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Norwegian Knowledge Centre for the Health Services</w:t>
            </w:r>
            <w:r>
              <w:t xml:space="preserve"> (NOKC)</w:t>
            </w:r>
            <w:r w:rsidRPr="004D57B3">
              <w:t xml:space="preserve"> </w:t>
            </w:r>
          </w:p>
        </w:tc>
        <w:tc>
          <w:tcPr>
            <w:tcW w:w="4536" w:type="dxa"/>
            <w:tcBorders>
              <w:top w:val="nil"/>
              <w:left w:val="nil"/>
            </w:tcBorders>
          </w:tcPr>
          <w:p w:rsidR="0048417A" w:rsidRPr="00C52B92" w:rsidRDefault="00B81800" w:rsidP="00836B55">
            <w:pPr>
              <w:pStyle w:val="TableText"/>
              <w:rPr>
                <w:sz w:val="20"/>
              </w:rPr>
            </w:pPr>
            <w:hyperlink r:id="rId76" w:tooltip="This link goes to the Norwegian Knowledge Centre for the Health Services website" w:history="1">
              <w:r w:rsidR="0048417A" w:rsidRPr="003024A0">
                <w:rPr>
                  <w:rStyle w:val="Hyperlink"/>
                  <w:sz w:val="20"/>
                </w:rPr>
                <w:t>http://www.kunnskapssenteret.no/home</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lastRenderedPageBreak/>
              <w:t>POLAND</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right w:val="nil"/>
            </w:tcBorders>
          </w:tcPr>
          <w:p w:rsidR="0048417A" w:rsidRPr="004D57B3" w:rsidRDefault="0048417A" w:rsidP="00836B55">
            <w:pPr>
              <w:pStyle w:val="TableText"/>
              <w:rPr>
                <w:b/>
              </w:rPr>
            </w:pPr>
            <w:r w:rsidRPr="004D57B3">
              <w:t>Agency for Health Technology Assessment in Poland (</w:t>
            </w:r>
            <w:proofErr w:type="spellStart"/>
            <w:r w:rsidRPr="004D57B3">
              <w:t>AHTAPol</w:t>
            </w:r>
            <w:proofErr w:type="spellEnd"/>
            <w:r w:rsidRPr="004D57B3">
              <w:t>)</w:t>
            </w:r>
          </w:p>
        </w:tc>
        <w:tc>
          <w:tcPr>
            <w:tcW w:w="4536" w:type="dxa"/>
            <w:tcBorders>
              <w:top w:val="nil"/>
              <w:left w:val="nil"/>
            </w:tcBorders>
          </w:tcPr>
          <w:p w:rsidR="0048417A" w:rsidRPr="004D57B3" w:rsidRDefault="00B81800" w:rsidP="00836B55">
            <w:pPr>
              <w:pStyle w:val="TableText"/>
            </w:pPr>
            <w:hyperlink r:id="rId77" w:tooltip="This link goes to the Agency for Health Technology Assessment in Poland website" w:history="1">
              <w:r w:rsidR="0048417A" w:rsidRPr="004D57B3">
                <w:rPr>
                  <w:rStyle w:val="Hyperlink"/>
                  <w:rFonts w:cs="Arial"/>
                  <w:sz w:val="20"/>
                </w:rPr>
                <w:t>http://aotm.eu/index.php?tpl=pl/wot/pake_zako</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SPAIN</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proofErr w:type="spellStart"/>
            <w:r w:rsidRPr="004D57B3">
              <w:t>Agencia</w:t>
            </w:r>
            <w:proofErr w:type="spellEnd"/>
            <w:r w:rsidRPr="004D57B3">
              <w:t xml:space="preserve"> de </w:t>
            </w:r>
            <w:proofErr w:type="spellStart"/>
            <w:r w:rsidRPr="004D57B3">
              <w:t>Evaluación</w:t>
            </w:r>
            <w:proofErr w:type="spellEnd"/>
            <w:r w:rsidRPr="004D57B3">
              <w:t xml:space="preserve"> de </w:t>
            </w:r>
            <w:proofErr w:type="spellStart"/>
            <w:r w:rsidRPr="004D57B3">
              <w:t>Tecnologias</w:t>
            </w:r>
            <w:proofErr w:type="spellEnd"/>
            <w:r w:rsidRPr="004D57B3">
              <w:t xml:space="preserve"> </w:t>
            </w:r>
            <w:proofErr w:type="spellStart"/>
            <w:r w:rsidRPr="004D57B3">
              <w:t>Sanitarias</w:t>
            </w:r>
            <w:proofErr w:type="spellEnd"/>
            <w:r w:rsidRPr="004D57B3">
              <w:t xml:space="preserve">, </w:t>
            </w:r>
            <w:proofErr w:type="spellStart"/>
            <w:r w:rsidRPr="004D57B3">
              <w:t>Instituto</w:t>
            </w:r>
            <w:proofErr w:type="spellEnd"/>
            <w:r w:rsidRPr="004D57B3">
              <w:t xml:space="preserve"> de </w:t>
            </w:r>
            <w:proofErr w:type="spellStart"/>
            <w:r w:rsidRPr="004D57B3">
              <w:t>Salud</w:t>
            </w:r>
            <w:proofErr w:type="spellEnd"/>
            <w:r w:rsidRPr="004D57B3">
              <w:t xml:space="preserve"> “Carlos III”I/Health Technology Assessment Agency (AETS)</w:t>
            </w:r>
          </w:p>
        </w:tc>
        <w:tc>
          <w:tcPr>
            <w:tcW w:w="4536" w:type="dxa"/>
            <w:tcBorders>
              <w:top w:val="nil"/>
              <w:left w:val="nil"/>
              <w:bottom w:val="nil"/>
            </w:tcBorders>
          </w:tcPr>
          <w:p w:rsidR="0048417A" w:rsidRPr="004D57B3" w:rsidRDefault="00B81800" w:rsidP="00836B55">
            <w:pPr>
              <w:pStyle w:val="TableText"/>
            </w:pPr>
            <w:hyperlink r:id="rId78" w:tooltip="This link goes to the Agencia de Evaluación de Tecnologias Sanitarias, Instituto de Salud " w:history="1">
              <w:r w:rsidR="0048417A" w:rsidRPr="004D57B3">
                <w:rPr>
                  <w:rStyle w:val="Hyperlink"/>
                  <w:rFonts w:cs="Arial"/>
                  <w:sz w:val="20"/>
                  <w:lang w:val="pt-BR"/>
                </w:rPr>
                <w:t>http://www.isciii.es/htdocs/en/investigacion/Agencia_quees.jsp</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Catalan Agency for Health Technology Assessment </w:t>
            </w:r>
            <w:r>
              <w:t>and Research</w:t>
            </w:r>
            <w:r w:rsidRPr="004D57B3">
              <w:t xml:space="preserve"> (CAHTA)</w:t>
            </w:r>
          </w:p>
        </w:tc>
        <w:tc>
          <w:tcPr>
            <w:tcW w:w="4536" w:type="dxa"/>
            <w:tcBorders>
              <w:top w:val="nil"/>
              <w:left w:val="nil"/>
              <w:bottom w:val="nil"/>
            </w:tcBorders>
          </w:tcPr>
          <w:p w:rsidR="0048417A" w:rsidRPr="004D57B3" w:rsidRDefault="00B81800" w:rsidP="00836B55">
            <w:pPr>
              <w:pStyle w:val="TableText"/>
            </w:pPr>
            <w:hyperlink r:id="rId79" w:tooltip="This link goes to the Catalan Agency for Health Technology Assessment and Research website" w:history="1">
              <w:r w:rsidR="0048417A" w:rsidRPr="004D57B3">
                <w:rPr>
                  <w:rStyle w:val="Hyperlink"/>
                  <w:rFonts w:cs="Arial"/>
                  <w:sz w:val="20"/>
                </w:rPr>
                <w:t>http://www.gencat.net/salut/depsan/units/aatrm/html/en/dir394/index.html</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rPr>
                <w:lang w:val="nl-NL"/>
              </w:rPr>
            </w:pPr>
            <w:r w:rsidRPr="004D57B3">
              <w:rPr>
                <w:lang w:val="nl-NL"/>
              </w:rPr>
              <w:t>Unidad de Evaluación de Tecnologías Sanitarias</w:t>
            </w:r>
            <w:r>
              <w:rPr>
                <w:lang w:val="nl-NL"/>
              </w:rPr>
              <w:t xml:space="preserve"> (</w:t>
            </w:r>
            <w:r w:rsidRPr="004D57B3">
              <w:rPr>
                <w:lang w:val="nl-NL"/>
              </w:rPr>
              <w:t>UETS</w:t>
            </w:r>
            <w:r>
              <w:rPr>
                <w:lang w:val="nl-NL"/>
              </w:rPr>
              <w:t>)</w:t>
            </w:r>
          </w:p>
        </w:tc>
        <w:tc>
          <w:tcPr>
            <w:tcW w:w="4536" w:type="dxa"/>
            <w:tcBorders>
              <w:top w:val="nil"/>
              <w:left w:val="nil"/>
              <w:bottom w:val="nil"/>
            </w:tcBorders>
          </w:tcPr>
          <w:p w:rsidR="0048417A" w:rsidRPr="004D57B3" w:rsidRDefault="00B81800" w:rsidP="00836B55">
            <w:pPr>
              <w:pStyle w:val="TableText"/>
              <w:rPr>
                <w:lang w:val="nl-NL"/>
              </w:rPr>
            </w:pPr>
            <w:hyperlink r:id="rId80" w:tooltip="This link goes to the Unidad de Evaluación de Tecnologías Sanitarias website" w:history="1">
              <w:r w:rsidR="0048417A" w:rsidRPr="004D57B3">
                <w:rPr>
                  <w:rStyle w:val="Hyperlink"/>
                  <w:rFonts w:cs="Arial"/>
                  <w:sz w:val="20"/>
                  <w:lang w:val="nl-NL"/>
                </w:rPr>
                <w:t>http://www.madrid.org/lainentralgo</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Basque Office for Health Technology Assessment</w:t>
            </w:r>
            <w:r>
              <w:t xml:space="preserve"> (</w:t>
            </w:r>
            <w:r w:rsidRPr="004D57B3">
              <w:t>OSTEBA</w:t>
            </w:r>
            <w:r>
              <w:t>)</w:t>
            </w:r>
          </w:p>
        </w:tc>
        <w:tc>
          <w:tcPr>
            <w:tcW w:w="4536" w:type="dxa"/>
            <w:tcBorders>
              <w:top w:val="nil"/>
              <w:left w:val="nil"/>
              <w:bottom w:val="nil"/>
            </w:tcBorders>
          </w:tcPr>
          <w:p w:rsidR="0048417A" w:rsidRPr="004D57B3" w:rsidRDefault="00B81800" w:rsidP="00836B55">
            <w:pPr>
              <w:pStyle w:val="TableText"/>
            </w:pPr>
            <w:hyperlink r:id="rId81" w:tooltip="This link goes to the Basque Office for Health Technology Assessment website" w:history="1">
              <w:r w:rsidR="0048417A" w:rsidRPr="004D57B3">
                <w:rPr>
                  <w:rStyle w:val="Hyperlink"/>
                  <w:rFonts w:cs="Arial"/>
                  <w:sz w:val="20"/>
                </w:rPr>
                <w:t>http://www.osanet.euskadi.net/osteba/es</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Andalusian Agency for Health Technology Assessment</w:t>
            </w:r>
            <w:r>
              <w:t xml:space="preserve"> (</w:t>
            </w:r>
            <w:r w:rsidRPr="004D57B3">
              <w:t>AETSA</w:t>
            </w:r>
            <w:r>
              <w:t>)</w:t>
            </w:r>
            <w:r w:rsidRPr="004D57B3">
              <w:t xml:space="preserve">  </w:t>
            </w:r>
          </w:p>
        </w:tc>
        <w:tc>
          <w:tcPr>
            <w:tcW w:w="4536" w:type="dxa"/>
            <w:tcBorders>
              <w:top w:val="nil"/>
              <w:left w:val="nil"/>
              <w:bottom w:val="nil"/>
            </w:tcBorders>
          </w:tcPr>
          <w:p w:rsidR="0048417A" w:rsidRPr="004D57B3" w:rsidRDefault="00B81800" w:rsidP="00836B55">
            <w:pPr>
              <w:pStyle w:val="TableText"/>
            </w:pPr>
            <w:hyperlink r:id="rId82" w:tooltip="This link goes to the Andalusian Agency for Health Technology Assessment website" w:history="1">
              <w:r w:rsidR="0048417A" w:rsidRPr="004D57B3">
                <w:rPr>
                  <w:rStyle w:val="Hyperlink"/>
                  <w:rFonts w:cs="Arial"/>
                  <w:sz w:val="20"/>
                </w:rPr>
                <w:t>http://www.juntadeandalucia.es/salud/aetsa</w:t>
              </w:r>
            </w:hyperlink>
          </w:p>
        </w:tc>
      </w:tr>
      <w:tr w:rsidR="0048417A" w:rsidRPr="004D57B3" w:rsidTr="00836B55">
        <w:trPr>
          <w:cantSplit/>
        </w:trPr>
        <w:tc>
          <w:tcPr>
            <w:tcW w:w="4373" w:type="dxa"/>
            <w:tcBorders>
              <w:top w:val="nil"/>
              <w:right w:val="nil"/>
            </w:tcBorders>
          </w:tcPr>
          <w:p w:rsidR="0048417A" w:rsidRDefault="0048417A" w:rsidP="00836B55">
            <w:pPr>
              <w:pStyle w:val="TableText"/>
            </w:pPr>
            <w:r w:rsidRPr="004D57B3">
              <w:t>Galician Agency for Health Technology Assessment</w:t>
            </w:r>
            <w:r>
              <w:t xml:space="preserve"> </w:t>
            </w:r>
          </w:p>
          <w:p w:rsidR="0048417A" w:rsidRPr="004D57B3" w:rsidRDefault="0048417A" w:rsidP="00836B55">
            <w:pPr>
              <w:pStyle w:val="TableText"/>
            </w:pPr>
            <w:r>
              <w:t>(</w:t>
            </w:r>
            <w:r w:rsidRPr="004D57B3">
              <w:t>AVALIA-T</w:t>
            </w:r>
            <w:r>
              <w:t>)</w:t>
            </w:r>
          </w:p>
        </w:tc>
        <w:tc>
          <w:tcPr>
            <w:tcW w:w="4536" w:type="dxa"/>
            <w:tcBorders>
              <w:top w:val="nil"/>
              <w:left w:val="nil"/>
            </w:tcBorders>
          </w:tcPr>
          <w:p w:rsidR="0048417A" w:rsidRPr="004D57B3" w:rsidRDefault="00B81800" w:rsidP="00836B55">
            <w:pPr>
              <w:pStyle w:val="TableText"/>
            </w:pPr>
            <w:hyperlink r:id="rId83" w:tooltip="This link goes to the Galician Agency for Health Technology Assessment website" w:history="1">
              <w:r w:rsidR="0048417A" w:rsidRPr="004D57B3">
                <w:rPr>
                  <w:rStyle w:val="Hyperlink"/>
                  <w:rFonts w:cs="Arial"/>
                  <w:sz w:val="20"/>
                </w:rPr>
                <w:t>http://avalia-t.sergas.es</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SWEDEN</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Swedish Council on </w:t>
            </w:r>
            <w:r>
              <w:t>Health Technology Assessment</w:t>
            </w:r>
            <w:r w:rsidRPr="004D57B3">
              <w:t xml:space="preserve"> (SBU)  </w:t>
            </w:r>
          </w:p>
        </w:tc>
        <w:tc>
          <w:tcPr>
            <w:tcW w:w="4536" w:type="dxa"/>
            <w:tcBorders>
              <w:top w:val="nil"/>
              <w:left w:val="nil"/>
              <w:bottom w:val="nil"/>
            </w:tcBorders>
          </w:tcPr>
          <w:p w:rsidR="0048417A" w:rsidRPr="004D57B3" w:rsidRDefault="00B81800" w:rsidP="00836B55">
            <w:pPr>
              <w:pStyle w:val="TableText"/>
            </w:pPr>
            <w:hyperlink r:id="rId84" w:tooltip="This link goes to the Swedish Council on Health Technology Assessment website" w:history="1">
              <w:r w:rsidR="0048417A" w:rsidRPr="004D57B3">
                <w:rPr>
                  <w:rStyle w:val="Hyperlink"/>
                  <w:sz w:val="20"/>
                </w:rPr>
                <w:t>http://www.sbu.se/en/</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pPr>
            <w:proofErr w:type="spellStart"/>
            <w:r w:rsidRPr="004D57B3">
              <w:t>Center</w:t>
            </w:r>
            <w:proofErr w:type="spellEnd"/>
            <w:r w:rsidRPr="004D57B3">
              <w:t xml:space="preserve"> for Medical Technology Assessment   </w:t>
            </w:r>
          </w:p>
        </w:tc>
        <w:tc>
          <w:tcPr>
            <w:tcW w:w="4536" w:type="dxa"/>
            <w:tcBorders>
              <w:top w:val="nil"/>
              <w:left w:val="nil"/>
            </w:tcBorders>
          </w:tcPr>
          <w:p w:rsidR="0048417A" w:rsidRPr="004D57B3" w:rsidRDefault="00B81800" w:rsidP="00836B55">
            <w:pPr>
              <w:pStyle w:val="TableText"/>
            </w:pPr>
            <w:hyperlink r:id="rId85" w:tooltip="This link goes to the Center for Medical Technology Assessment website" w:history="1">
              <w:r w:rsidR="0048417A" w:rsidRPr="004D57B3">
                <w:rPr>
                  <w:rStyle w:val="Hyperlink"/>
                  <w:sz w:val="20"/>
                </w:rPr>
                <w:t>http://www.cmt.liu.se/?l=en&amp;sc=true</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SWITZERLAND</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 xml:space="preserve">Swiss Network </w:t>
            </w:r>
            <w:r>
              <w:t>for</w:t>
            </w:r>
            <w:r w:rsidRPr="004D57B3">
              <w:t xml:space="preserve"> Health Technology Assessment (SNHTA)  </w:t>
            </w:r>
          </w:p>
        </w:tc>
        <w:tc>
          <w:tcPr>
            <w:tcW w:w="4536" w:type="dxa"/>
            <w:tcBorders>
              <w:top w:val="nil"/>
              <w:left w:val="nil"/>
            </w:tcBorders>
          </w:tcPr>
          <w:p w:rsidR="0048417A" w:rsidRPr="004D57B3" w:rsidRDefault="00B81800" w:rsidP="00836B55">
            <w:pPr>
              <w:pStyle w:val="TableText"/>
            </w:pPr>
            <w:hyperlink r:id="rId86" w:tooltip="This link goes to the Swiss Network for Health Technology Assessment website" w:history="1">
              <w:r w:rsidR="0048417A" w:rsidRPr="004D57B3">
                <w:rPr>
                  <w:rStyle w:val="Hyperlink"/>
                  <w:rFonts w:cs="Arial"/>
                  <w:sz w:val="20"/>
                </w:rPr>
                <w:t>http://www.snhta.ch/</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TAIWAN, REPUBLIC OF CHINA</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proofErr w:type="spellStart"/>
            <w:r w:rsidRPr="004D57B3">
              <w:t>Center</w:t>
            </w:r>
            <w:proofErr w:type="spellEnd"/>
            <w:r w:rsidRPr="004D57B3">
              <w:t xml:space="preserve"> for Drug Evaluation</w:t>
            </w:r>
            <w:r>
              <w:t xml:space="preserve"> (CDE)</w:t>
            </w:r>
          </w:p>
        </w:tc>
        <w:tc>
          <w:tcPr>
            <w:tcW w:w="4536" w:type="dxa"/>
            <w:tcBorders>
              <w:top w:val="nil"/>
              <w:left w:val="nil"/>
            </w:tcBorders>
          </w:tcPr>
          <w:p w:rsidR="0048417A" w:rsidRPr="004D57B3" w:rsidRDefault="00B81800" w:rsidP="00836B55">
            <w:pPr>
              <w:pStyle w:val="TableText"/>
            </w:pPr>
            <w:hyperlink r:id="rId87" w:tooltip="This link goes to the Center for Drug Evaluation website" w:history="1">
              <w:r w:rsidR="0048417A" w:rsidRPr="004D57B3">
                <w:rPr>
                  <w:rStyle w:val="Hyperlink"/>
                  <w:rFonts w:cs="Arial"/>
                  <w:sz w:val="20"/>
                </w:rPr>
                <w:t>http://www.cde.org.tw</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THAILAND</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Health Intervention and</w:t>
            </w:r>
            <w:r>
              <w:t xml:space="preserve"> Technology Assessment Program (</w:t>
            </w:r>
            <w:r w:rsidRPr="004D57B3">
              <w:t>HITAP</w:t>
            </w:r>
            <w:r>
              <w:t>)</w:t>
            </w:r>
          </w:p>
        </w:tc>
        <w:tc>
          <w:tcPr>
            <w:tcW w:w="4536" w:type="dxa"/>
            <w:tcBorders>
              <w:top w:val="nil"/>
              <w:left w:val="nil"/>
            </w:tcBorders>
          </w:tcPr>
          <w:p w:rsidR="0048417A" w:rsidRPr="004D57B3" w:rsidRDefault="00B81800" w:rsidP="00836B55">
            <w:pPr>
              <w:pStyle w:val="TableText"/>
            </w:pPr>
            <w:hyperlink r:id="rId88" w:tooltip="This link goes to the Health Intervention and Technology Assessment Program website" w:history="1">
              <w:r w:rsidR="0048417A" w:rsidRPr="004D57B3">
                <w:rPr>
                  <w:rStyle w:val="Hyperlink"/>
                  <w:rFonts w:cs="Arial"/>
                  <w:sz w:val="20"/>
                </w:rPr>
                <w:t>http://www.hitap.net/index_en.php</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UNITED KINGDOM</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NHS Quality Improvement Scotland   </w:t>
            </w:r>
          </w:p>
        </w:tc>
        <w:tc>
          <w:tcPr>
            <w:tcW w:w="4536" w:type="dxa"/>
            <w:tcBorders>
              <w:top w:val="nil"/>
              <w:left w:val="nil"/>
              <w:bottom w:val="nil"/>
            </w:tcBorders>
          </w:tcPr>
          <w:p w:rsidR="0048417A" w:rsidRPr="004D57B3" w:rsidRDefault="00B81800" w:rsidP="00836B55">
            <w:pPr>
              <w:pStyle w:val="TableText"/>
            </w:pPr>
            <w:hyperlink r:id="rId89" w:tooltip="This link goes to the NHS Quality Improvement Scotland website" w:history="1">
              <w:r w:rsidR="0048417A" w:rsidRPr="004D57B3">
                <w:rPr>
                  <w:rStyle w:val="Hyperlink"/>
                  <w:sz w:val="20"/>
                </w:rPr>
                <w:t>http://www.nhshealthquality.org/nhsqis/CCC_FirstPage.jsp</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National</w:t>
            </w:r>
            <w:r>
              <w:t xml:space="preserve"> Institute for Health Research Health Technology Assessment Programme</w:t>
            </w:r>
          </w:p>
        </w:tc>
        <w:tc>
          <w:tcPr>
            <w:tcW w:w="4536" w:type="dxa"/>
            <w:tcBorders>
              <w:top w:val="nil"/>
              <w:left w:val="nil"/>
              <w:bottom w:val="nil"/>
            </w:tcBorders>
          </w:tcPr>
          <w:p w:rsidR="0048417A" w:rsidRPr="004D57B3" w:rsidRDefault="00B81800" w:rsidP="00836B55">
            <w:pPr>
              <w:pStyle w:val="TableText"/>
              <w:keepLines/>
              <w:rPr>
                <w:sz w:val="20"/>
              </w:rPr>
            </w:pPr>
            <w:hyperlink r:id="rId90" w:tooltip="This link goes to the National Institute for Health Research Health Technology Assessment Programme website" w:history="1">
              <w:r w:rsidR="0048417A" w:rsidRPr="004D57B3">
                <w:rPr>
                  <w:rStyle w:val="Hyperlink"/>
                  <w:sz w:val="20"/>
                </w:rPr>
                <w:t>http://www.hta.ac.uk/</w:t>
              </w:r>
            </w:hyperlink>
          </w:p>
          <w:p w:rsidR="0048417A" w:rsidRPr="004D57B3" w:rsidRDefault="0048417A" w:rsidP="00836B55">
            <w:pPr>
              <w:pStyle w:val="TableText"/>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National Institute for Health and Clinical Excellence (NICE)</w:t>
            </w:r>
          </w:p>
        </w:tc>
        <w:tc>
          <w:tcPr>
            <w:tcW w:w="4536" w:type="dxa"/>
            <w:tcBorders>
              <w:top w:val="nil"/>
              <w:left w:val="nil"/>
              <w:bottom w:val="nil"/>
            </w:tcBorders>
          </w:tcPr>
          <w:p w:rsidR="0048417A" w:rsidRPr="00C52B92" w:rsidRDefault="00B81800" w:rsidP="00836B55">
            <w:pPr>
              <w:pStyle w:val="TableText"/>
              <w:rPr>
                <w:sz w:val="20"/>
              </w:rPr>
            </w:pPr>
            <w:hyperlink r:id="rId91" w:tooltip="This link goes to the National Institute for Health and Clinical Excellence website" w:history="1">
              <w:r w:rsidR="0048417A" w:rsidRPr="003024A0">
                <w:rPr>
                  <w:rStyle w:val="Hyperlink"/>
                  <w:sz w:val="20"/>
                </w:rPr>
                <w:t>http://www.nice.org.uk/</w:t>
              </w:r>
            </w:hyperlink>
            <w:r w:rsidR="0048417A" w:rsidRPr="00C52B92">
              <w:rPr>
                <w:sz w:val="20"/>
              </w:rPr>
              <w:t xml:space="preserve"> </w:t>
            </w: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Institute of Applied Health Sciences</w:t>
            </w:r>
            <w:r>
              <w:t xml:space="preserve"> (</w:t>
            </w:r>
            <w:r w:rsidRPr="004D57B3">
              <w:t>IAHS</w:t>
            </w:r>
            <w:r>
              <w:t>)</w:t>
            </w:r>
            <w:r w:rsidRPr="004D57B3">
              <w:t xml:space="preserve">  </w:t>
            </w:r>
          </w:p>
        </w:tc>
        <w:tc>
          <w:tcPr>
            <w:tcW w:w="4536" w:type="dxa"/>
            <w:tcBorders>
              <w:top w:val="nil"/>
              <w:left w:val="nil"/>
              <w:bottom w:val="nil"/>
            </w:tcBorders>
          </w:tcPr>
          <w:p w:rsidR="0048417A" w:rsidRPr="004D57B3" w:rsidRDefault="00B81800" w:rsidP="00836B55">
            <w:pPr>
              <w:pStyle w:val="TableText"/>
            </w:pPr>
            <w:hyperlink r:id="rId92" w:tooltip="This link goes to the Institute of Applied Health Sciences website" w:history="1">
              <w:r w:rsidR="0048417A" w:rsidRPr="004D57B3">
                <w:rPr>
                  <w:rStyle w:val="Hyperlink"/>
                  <w:rFonts w:cs="Arial"/>
                  <w:sz w:val="20"/>
                </w:rPr>
                <w:t>http://www.abdn.ac.uk/iahs/</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National Horizon Scanning Centre</w:t>
            </w:r>
            <w:r>
              <w:t xml:space="preserve"> (</w:t>
            </w:r>
            <w:r w:rsidRPr="004D57B3">
              <w:t>NHSC</w:t>
            </w:r>
            <w:r>
              <w:t>)</w:t>
            </w:r>
          </w:p>
        </w:tc>
        <w:tc>
          <w:tcPr>
            <w:tcW w:w="4536" w:type="dxa"/>
            <w:tcBorders>
              <w:top w:val="nil"/>
              <w:left w:val="nil"/>
            </w:tcBorders>
          </w:tcPr>
          <w:p w:rsidR="0048417A" w:rsidRPr="00C52B92" w:rsidRDefault="00B81800" w:rsidP="00836B55">
            <w:pPr>
              <w:pStyle w:val="TableText"/>
              <w:rPr>
                <w:sz w:val="20"/>
              </w:rPr>
            </w:pPr>
            <w:hyperlink r:id="rId93" w:tooltip="This link goes to the National Horizon Scanning Centre website" w:history="1">
              <w:r w:rsidR="0048417A" w:rsidRPr="00C52B92">
                <w:rPr>
                  <w:rStyle w:val="Hyperlink"/>
                  <w:sz w:val="20"/>
                </w:rPr>
                <w:t>http://www.haps.bham.ac.uk/publichealth/horizon/</w:t>
              </w:r>
            </w:hyperlink>
          </w:p>
        </w:tc>
      </w:tr>
      <w:tr w:rsidR="0048417A" w:rsidRPr="004D57B3" w:rsidTr="00836B55">
        <w:trPr>
          <w:cantSplit/>
        </w:trPr>
        <w:tc>
          <w:tcPr>
            <w:tcW w:w="4373" w:type="dxa"/>
            <w:tcBorders>
              <w:bottom w:val="nil"/>
              <w:right w:val="nil"/>
            </w:tcBorders>
          </w:tcPr>
          <w:p w:rsidR="0048417A" w:rsidRPr="004D57B3" w:rsidRDefault="0048417A" w:rsidP="00836B55">
            <w:pPr>
              <w:pStyle w:val="TableHeading"/>
            </w:pPr>
            <w:r w:rsidRPr="004D57B3">
              <w:t>UNITED STATES</w:t>
            </w:r>
          </w:p>
        </w:tc>
        <w:tc>
          <w:tcPr>
            <w:tcW w:w="4536" w:type="dxa"/>
            <w:tcBorders>
              <w:left w:val="nil"/>
              <w:bottom w:val="nil"/>
            </w:tcBorders>
          </w:tcPr>
          <w:p w:rsidR="0048417A" w:rsidRPr="004D57B3" w:rsidRDefault="0048417A" w:rsidP="00836B55">
            <w:pPr>
              <w:pStyle w:val="TableText"/>
            </w:pPr>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Agency for Healthcare Research and Quality (AHRQ)</w:t>
            </w:r>
          </w:p>
        </w:tc>
        <w:tc>
          <w:tcPr>
            <w:tcW w:w="4536" w:type="dxa"/>
            <w:tcBorders>
              <w:top w:val="nil"/>
              <w:left w:val="nil"/>
              <w:bottom w:val="nil"/>
            </w:tcBorders>
          </w:tcPr>
          <w:p w:rsidR="0048417A" w:rsidRPr="004D57B3" w:rsidRDefault="00B81800" w:rsidP="00836B55">
            <w:pPr>
              <w:pStyle w:val="TableText"/>
            </w:pPr>
            <w:hyperlink r:id="rId94" w:history="1">
              <w:r w:rsidR="0048417A" w:rsidRPr="004D57B3">
                <w:rPr>
                  <w:rFonts w:cs="Arial"/>
                  <w:color w:val="0000FF"/>
                  <w:sz w:val="20"/>
                  <w:u w:val="single"/>
                </w:rPr>
                <w:t>http://www.ahrq.gov/clinic/techix.htm</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Harvard School of Public Health </w:t>
            </w:r>
            <w:r>
              <w:t>–</w:t>
            </w:r>
            <w:r w:rsidRPr="004D57B3">
              <w:t xml:space="preserve"> Cost-</w:t>
            </w:r>
            <w:r>
              <w:t>Effectiveness</w:t>
            </w:r>
            <w:r w:rsidRPr="004D57B3">
              <w:t xml:space="preserve"> Analysis Registry</w:t>
            </w:r>
          </w:p>
        </w:tc>
        <w:tc>
          <w:tcPr>
            <w:tcW w:w="4536" w:type="dxa"/>
            <w:tcBorders>
              <w:top w:val="nil"/>
              <w:left w:val="nil"/>
              <w:bottom w:val="nil"/>
            </w:tcBorders>
          </w:tcPr>
          <w:p w:rsidR="0048417A" w:rsidRPr="00C52B92" w:rsidRDefault="00B81800" w:rsidP="00836B55">
            <w:pPr>
              <w:pStyle w:val="TableText"/>
              <w:rPr>
                <w:sz w:val="20"/>
              </w:rPr>
            </w:pPr>
            <w:hyperlink r:id="rId95" w:tooltip="This link goes to the Harvard School of Public Health – Cost-Effectiveness Analysis Registry website" w:history="1">
              <w:r w:rsidR="0048417A" w:rsidRPr="00C52B92">
                <w:rPr>
                  <w:rStyle w:val="Hyperlink"/>
                  <w:sz w:val="20"/>
                </w:rPr>
                <w:t>https://research.tufts-nemc.org/cear4/default.aspx</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U.S. Blue Cross/ Blue Shield Association Technology Evaluation </w:t>
            </w:r>
            <w:proofErr w:type="spellStart"/>
            <w:r w:rsidRPr="004D57B3">
              <w:t>Center</w:t>
            </w:r>
            <w:proofErr w:type="spellEnd"/>
            <w:r w:rsidRPr="004D57B3">
              <w:t xml:space="preserve"> (TEC) </w:t>
            </w:r>
          </w:p>
        </w:tc>
        <w:tc>
          <w:tcPr>
            <w:tcW w:w="4536" w:type="dxa"/>
            <w:tcBorders>
              <w:top w:val="nil"/>
              <w:left w:val="nil"/>
              <w:bottom w:val="nil"/>
            </w:tcBorders>
          </w:tcPr>
          <w:p w:rsidR="0048417A" w:rsidRPr="004D57B3" w:rsidRDefault="00B81800" w:rsidP="00836B55">
            <w:pPr>
              <w:pStyle w:val="TableText"/>
            </w:pPr>
            <w:hyperlink r:id="rId96" w:tooltip="This link goes to the U.S. Blue Cross/ Blue Shield Association Technology Evaluation Center website" w:history="1">
              <w:r w:rsidR="0048417A" w:rsidRPr="004D57B3">
                <w:rPr>
                  <w:rStyle w:val="Hyperlink"/>
                  <w:rFonts w:cs="Arial"/>
                  <w:sz w:val="20"/>
                </w:rPr>
                <w:t>http://www.bcbs.com/consumertec/index.html</w:t>
              </w:r>
            </w:hyperlink>
          </w:p>
        </w:tc>
      </w:tr>
      <w:tr w:rsidR="0048417A" w:rsidRPr="004D57B3" w:rsidTr="00836B55">
        <w:trPr>
          <w:cantSplit/>
        </w:trPr>
        <w:tc>
          <w:tcPr>
            <w:tcW w:w="4373" w:type="dxa"/>
            <w:tcBorders>
              <w:top w:val="nil"/>
              <w:bottom w:val="nil"/>
              <w:right w:val="nil"/>
            </w:tcBorders>
          </w:tcPr>
          <w:p w:rsidR="0048417A" w:rsidRPr="004D57B3" w:rsidRDefault="0048417A" w:rsidP="00836B55">
            <w:pPr>
              <w:pStyle w:val="TableText"/>
            </w:pPr>
            <w:r w:rsidRPr="004D57B3">
              <w:t xml:space="preserve">U.S. Department of Health &amp; Human Services, Effective Health Care Program  </w:t>
            </w:r>
          </w:p>
        </w:tc>
        <w:tc>
          <w:tcPr>
            <w:tcW w:w="4536" w:type="dxa"/>
            <w:tcBorders>
              <w:top w:val="nil"/>
              <w:left w:val="nil"/>
              <w:bottom w:val="nil"/>
            </w:tcBorders>
          </w:tcPr>
          <w:p w:rsidR="0048417A" w:rsidRPr="004D57B3" w:rsidRDefault="00B81800" w:rsidP="00836B55">
            <w:pPr>
              <w:pStyle w:val="TableText"/>
            </w:pPr>
            <w:hyperlink r:id="rId97" w:tooltip="This link goes to the U.S. Department of Health &amp; Human Services, Effective Health Care Program website" w:history="1">
              <w:r w:rsidR="0048417A" w:rsidRPr="004D57B3">
                <w:rPr>
                  <w:rStyle w:val="Hyperlink"/>
                  <w:rFonts w:cs="Arial"/>
                  <w:sz w:val="20"/>
                </w:rPr>
                <w:t>http://effectivehealthcare.ahrq.gov/index.cfm</w:t>
              </w:r>
            </w:hyperlink>
          </w:p>
        </w:tc>
      </w:tr>
      <w:tr w:rsidR="0048417A" w:rsidRPr="004D57B3" w:rsidTr="00836B55">
        <w:trPr>
          <w:cantSplit/>
        </w:trPr>
        <w:tc>
          <w:tcPr>
            <w:tcW w:w="4373" w:type="dxa"/>
            <w:tcBorders>
              <w:top w:val="nil"/>
              <w:right w:val="nil"/>
            </w:tcBorders>
          </w:tcPr>
          <w:p w:rsidR="0048417A" w:rsidRPr="004D57B3" w:rsidRDefault="0048417A" w:rsidP="00836B55">
            <w:pPr>
              <w:pStyle w:val="TableText"/>
            </w:pPr>
            <w:r w:rsidRPr="004D57B3">
              <w:t>VA Technology Assessment Program</w:t>
            </w:r>
            <w:r>
              <w:t xml:space="preserve"> (</w:t>
            </w:r>
            <w:r w:rsidRPr="004D57B3">
              <w:t>VATAP</w:t>
            </w:r>
            <w:r>
              <w:t>)</w:t>
            </w:r>
          </w:p>
        </w:tc>
        <w:tc>
          <w:tcPr>
            <w:tcW w:w="4536" w:type="dxa"/>
            <w:tcBorders>
              <w:top w:val="nil"/>
              <w:left w:val="nil"/>
            </w:tcBorders>
          </w:tcPr>
          <w:p w:rsidR="0048417A" w:rsidRPr="004D57B3" w:rsidRDefault="00B81800" w:rsidP="00836B55">
            <w:pPr>
              <w:pStyle w:val="TableText"/>
            </w:pPr>
            <w:hyperlink r:id="rId98" w:tooltip="This link goes to the VA Technology Assessment Program website" w:history="1">
              <w:r w:rsidR="0048417A" w:rsidRPr="004D57B3">
                <w:rPr>
                  <w:rStyle w:val="Hyperlink"/>
                  <w:rFonts w:cs="Arial"/>
                  <w:sz w:val="20"/>
                </w:rPr>
                <w:t>http://www.va.gov/vatap</w:t>
              </w:r>
            </w:hyperlink>
          </w:p>
        </w:tc>
      </w:tr>
    </w:tbl>
    <w:p w:rsidR="0048417A" w:rsidRPr="004D57B3" w:rsidRDefault="0048417A" w:rsidP="00836B55">
      <w:pPr>
        <w:pStyle w:val="TableNamea"/>
      </w:pPr>
      <w:bookmarkStart w:id="254" w:name="_Toc291859593"/>
      <w:bookmarkStart w:id="255" w:name="_Ref170808567"/>
      <w:bookmarkStart w:id="256" w:name="_Toc460813781"/>
      <w:bookmarkStart w:id="257" w:name="_Ref170792604"/>
      <w:r w:rsidRPr="004D57B3">
        <w:t xml:space="preserve">Table </w:t>
      </w:r>
      <w:r w:rsidR="00AE591B">
        <w:fldChar w:fldCharType="begin"/>
      </w:r>
      <w:r w:rsidR="00AE591B">
        <w:instrText xml:space="preserve"> SEQ Table \* ARABIC </w:instrText>
      </w:r>
      <w:r w:rsidR="00AE591B">
        <w:fldChar w:fldCharType="separate"/>
      </w:r>
      <w:r>
        <w:rPr>
          <w:noProof/>
        </w:rPr>
        <w:t>31</w:t>
      </w:r>
      <w:r w:rsidR="00AE591B">
        <w:rPr>
          <w:noProof/>
        </w:rPr>
        <w:fldChar w:fldCharType="end"/>
      </w:r>
      <w:r w:rsidRPr="004D57B3">
        <w:tab/>
        <w:t>Specialty websites</w:t>
      </w:r>
      <w:bookmarkEnd w:id="2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339"/>
      </w:tblGrid>
      <w:tr w:rsidR="0048417A" w:rsidRPr="004D57B3" w:rsidTr="00836B55">
        <w:trPr>
          <w:tblHeader/>
        </w:trPr>
        <w:tc>
          <w:tcPr>
            <w:tcW w:w="4592" w:type="dxa"/>
          </w:tcPr>
          <w:p w:rsidR="0048417A" w:rsidRPr="004D57B3" w:rsidRDefault="0048417A" w:rsidP="00836B55">
            <w:pPr>
              <w:pStyle w:val="TableHeading"/>
            </w:pPr>
            <w:r w:rsidRPr="004D57B3">
              <w:t>Organisation</w:t>
            </w:r>
          </w:p>
        </w:tc>
        <w:tc>
          <w:tcPr>
            <w:tcW w:w="4339" w:type="dxa"/>
          </w:tcPr>
          <w:p w:rsidR="0048417A" w:rsidRPr="004D57B3" w:rsidRDefault="0048417A" w:rsidP="00836B55">
            <w:pPr>
              <w:pStyle w:val="TableHeading"/>
            </w:pPr>
            <w:r w:rsidRPr="004D57B3">
              <w:t>Website</w:t>
            </w:r>
          </w:p>
        </w:tc>
      </w:tr>
      <w:tr w:rsidR="0048417A" w:rsidRPr="004D57B3" w:rsidTr="00836B55">
        <w:tc>
          <w:tcPr>
            <w:tcW w:w="4592" w:type="dxa"/>
          </w:tcPr>
          <w:p w:rsidR="0048417A" w:rsidRPr="004D57B3" w:rsidRDefault="0048417A" w:rsidP="00836B55">
            <w:pPr>
              <w:pStyle w:val="TableText"/>
            </w:pPr>
            <w:r w:rsidRPr="004D57B3">
              <w:t>Agency for Healthcare Research and Quality (AHRQ)</w:t>
            </w:r>
          </w:p>
        </w:tc>
        <w:tc>
          <w:tcPr>
            <w:tcW w:w="4339" w:type="dxa"/>
          </w:tcPr>
          <w:p w:rsidR="0048417A" w:rsidRPr="004D57B3" w:rsidRDefault="00B81800" w:rsidP="00836B55">
            <w:pPr>
              <w:pStyle w:val="TableText"/>
            </w:pPr>
            <w:hyperlink r:id="rId99" w:tooltip="This link goes to the Agency for Healthcare Research and Quality website" w:history="1">
              <w:r w:rsidR="0048417A" w:rsidRPr="004D57B3">
                <w:rPr>
                  <w:rStyle w:val="Hyperlink"/>
                  <w:sz w:val="20"/>
                </w:rPr>
                <w:t>http://www.ahrq.gov</w:t>
              </w:r>
            </w:hyperlink>
          </w:p>
        </w:tc>
      </w:tr>
      <w:tr w:rsidR="0048417A" w:rsidRPr="004D57B3" w:rsidTr="00836B55">
        <w:tc>
          <w:tcPr>
            <w:tcW w:w="4592" w:type="dxa"/>
          </w:tcPr>
          <w:p w:rsidR="0048417A" w:rsidRPr="004D57B3" w:rsidRDefault="0048417A" w:rsidP="00836B55">
            <w:pPr>
              <w:pStyle w:val="TableText"/>
            </w:pPr>
            <w:r w:rsidRPr="004D57B3">
              <w:t>American College of Gastroenterology</w:t>
            </w:r>
          </w:p>
        </w:tc>
        <w:tc>
          <w:tcPr>
            <w:tcW w:w="4339" w:type="dxa"/>
          </w:tcPr>
          <w:p w:rsidR="0048417A" w:rsidRPr="004D57B3" w:rsidRDefault="00B81800" w:rsidP="00836B55">
            <w:pPr>
              <w:pStyle w:val="TableText"/>
            </w:pPr>
            <w:hyperlink r:id="rId100" w:tooltip="This link goes to the American College of Gastroenterology website" w:history="1">
              <w:r w:rsidR="0048417A" w:rsidRPr="004D57B3">
                <w:rPr>
                  <w:rStyle w:val="Hyperlink"/>
                  <w:sz w:val="20"/>
                </w:rPr>
                <w:t>http://www.gi.org</w:t>
              </w:r>
            </w:hyperlink>
          </w:p>
        </w:tc>
      </w:tr>
      <w:tr w:rsidR="0048417A" w:rsidRPr="004D57B3" w:rsidTr="00836B55">
        <w:tc>
          <w:tcPr>
            <w:tcW w:w="4592" w:type="dxa"/>
          </w:tcPr>
          <w:p w:rsidR="0048417A" w:rsidRPr="004D57B3" w:rsidRDefault="0048417A" w:rsidP="00836B55">
            <w:pPr>
              <w:pStyle w:val="TableText"/>
            </w:pPr>
            <w:r w:rsidRPr="004D57B3">
              <w:t>American Gastroenterological Association</w:t>
            </w:r>
          </w:p>
        </w:tc>
        <w:tc>
          <w:tcPr>
            <w:tcW w:w="4339" w:type="dxa"/>
          </w:tcPr>
          <w:p w:rsidR="0048417A" w:rsidRPr="004D57B3" w:rsidRDefault="00B81800" w:rsidP="00836B55">
            <w:pPr>
              <w:pStyle w:val="TableText"/>
            </w:pPr>
            <w:hyperlink r:id="rId101" w:tooltip="This link goes to the American Gastroenterological Association website" w:history="1">
              <w:r w:rsidR="0048417A" w:rsidRPr="004D57B3">
                <w:rPr>
                  <w:rStyle w:val="Hyperlink"/>
                  <w:sz w:val="20"/>
                </w:rPr>
                <w:t>http://www.gastro.org</w:t>
              </w:r>
            </w:hyperlink>
          </w:p>
        </w:tc>
      </w:tr>
      <w:tr w:rsidR="0048417A" w:rsidRPr="004D57B3" w:rsidTr="00836B55">
        <w:tc>
          <w:tcPr>
            <w:tcW w:w="4592" w:type="dxa"/>
          </w:tcPr>
          <w:p w:rsidR="0048417A" w:rsidRPr="004D57B3" w:rsidRDefault="0048417A" w:rsidP="00836B55">
            <w:pPr>
              <w:pStyle w:val="TableText"/>
            </w:pPr>
            <w:r w:rsidRPr="004D57B3">
              <w:t>American Society of Colon and Rectal Surgeons</w:t>
            </w:r>
            <w:r>
              <w:t xml:space="preserve"> (ASCRS)</w:t>
            </w:r>
          </w:p>
        </w:tc>
        <w:tc>
          <w:tcPr>
            <w:tcW w:w="4339" w:type="dxa"/>
          </w:tcPr>
          <w:p w:rsidR="0048417A" w:rsidRPr="004D57B3" w:rsidRDefault="00B81800" w:rsidP="00836B55">
            <w:pPr>
              <w:pStyle w:val="TableText"/>
            </w:pPr>
            <w:hyperlink r:id="rId102" w:tooltip="This link goes to the American Society of Colon and Rectal Surgeons website" w:history="1">
              <w:r w:rsidR="0048417A" w:rsidRPr="004D57B3">
                <w:rPr>
                  <w:rStyle w:val="Hyperlink"/>
                  <w:sz w:val="20"/>
                </w:rPr>
                <w:t>http://www.fascrs.org</w:t>
              </w:r>
            </w:hyperlink>
          </w:p>
        </w:tc>
      </w:tr>
      <w:tr w:rsidR="0048417A" w:rsidRPr="004D57B3" w:rsidTr="00836B55">
        <w:tc>
          <w:tcPr>
            <w:tcW w:w="4592" w:type="dxa"/>
          </w:tcPr>
          <w:p w:rsidR="0048417A" w:rsidRPr="004D57B3" w:rsidRDefault="0048417A" w:rsidP="00836B55">
            <w:pPr>
              <w:pStyle w:val="TableText"/>
            </w:pPr>
            <w:r w:rsidRPr="004D57B3">
              <w:t>American Society for Gastrointestinal Endoscopy (ASGE)</w:t>
            </w:r>
          </w:p>
        </w:tc>
        <w:tc>
          <w:tcPr>
            <w:tcW w:w="4339" w:type="dxa"/>
          </w:tcPr>
          <w:p w:rsidR="0048417A" w:rsidRPr="004D57B3" w:rsidRDefault="00B81800" w:rsidP="00836B55">
            <w:pPr>
              <w:pStyle w:val="TableText"/>
            </w:pPr>
            <w:hyperlink r:id="rId103" w:tooltip="This link goes to the American Society for Gastrointestinal Endoscopy website" w:history="1">
              <w:r w:rsidR="0048417A" w:rsidRPr="004D57B3">
                <w:rPr>
                  <w:rStyle w:val="Hyperlink"/>
                  <w:sz w:val="20"/>
                </w:rPr>
                <w:t>http://www.askasge.org</w:t>
              </w:r>
            </w:hyperlink>
          </w:p>
        </w:tc>
      </w:tr>
      <w:tr w:rsidR="0048417A" w:rsidRPr="004D57B3" w:rsidTr="00836B55">
        <w:tc>
          <w:tcPr>
            <w:tcW w:w="4592" w:type="dxa"/>
          </w:tcPr>
          <w:p w:rsidR="0048417A" w:rsidRPr="004D57B3" w:rsidRDefault="0048417A" w:rsidP="00836B55">
            <w:pPr>
              <w:pStyle w:val="TableText"/>
            </w:pPr>
            <w:r w:rsidRPr="004D57B3">
              <w:lastRenderedPageBreak/>
              <w:t xml:space="preserve">Association of </w:t>
            </w:r>
            <w:proofErr w:type="spellStart"/>
            <w:r w:rsidRPr="004D57B3">
              <w:t>Coloproctology</w:t>
            </w:r>
            <w:proofErr w:type="spellEnd"/>
            <w:r w:rsidRPr="004D57B3">
              <w:t xml:space="preserve"> of Great Britain and Ireland</w:t>
            </w:r>
          </w:p>
        </w:tc>
        <w:tc>
          <w:tcPr>
            <w:tcW w:w="4339" w:type="dxa"/>
          </w:tcPr>
          <w:p w:rsidR="0048417A" w:rsidRPr="004D57B3" w:rsidRDefault="00B81800" w:rsidP="00836B55">
            <w:pPr>
              <w:pStyle w:val="TableText"/>
            </w:pPr>
            <w:hyperlink r:id="rId104" w:tooltip="This link goes to the Association of Coloproctology of Great Britain and Ireland website" w:history="1">
              <w:r w:rsidR="0048417A" w:rsidRPr="004D57B3">
                <w:rPr>
                  <w:rStyle w:val="Hyperlink"/>
                  <w:sz w:val="20"/>
                </w:rPr>
                <w:t>http://www.acpgbi.org.uk</w:t>
              </w:r>
            </w:hyperlink>
          </w:p>
        </w:tc>
      </w:tr>
      <w:tr w:rsidR="0048417A" w:rsidRPr="004D57B3" w:rsidTr="00836B55">
        <w:tc>
          <w:tcPr>
            <w:tcW w:w="4592" w:type="dxa"/>
          </w:tcPr>
          <w:p w:rsidR="0048417A" w:rsidRPr="004D57B3" w:rsidRDefault="0048417A" w:rsidP="00836B55">
            <w:pPr>
              <w:pStyle w:val="TableText"/>
            </w:pPr>
            <w:r w:rsidRPr="004D57B3">
              <w:t>British Society of Gastroenterology</w:t>
            </w:r>
            <w:r>
              <w:t xml:space="preserve"> (BSG)</w:t>
            </w:r>
          </w:p>
        </w:tc>
        <w:tc>
          <w:tcPr>
            <w:tcW w:w="4339" w:type="dxa"/>
          </w:tcPr>
          <w:p w:rsidR="0048417A" w:rsidRPr="004D57B3" w:rsidRDefault="00B81800" w:rsidP="00836B55">
            <w:pPr>
              <w:pStyle w:val="TableText"/>
            </w:pPr>
            <w:hyperlink r:id="rId105" w:tooltip="This link goes to the British Society of Gastroenterology website" w:history="1">
              <w:r w:rsidR="0048417A" w:rsidRPr="004D57B3">
                <w:rPr>
                  <w:rStyle w:val="Hyperlink"/>
                  <w:sz w:val="20"/>
                </w:rPr>
                <w:t>http://www.bsg.org.uk</w:t>
              </w:r>
            </w:hyperlink>
          </w:p>
        </w:tc>
      </w:tr>
      <w:tr w:rsidR="0048417A" w:rsidRPr="004D57B3" w:rsidTr="00836B55">
        <w:tc>
          <w:tcPr>
            <w:tcW w:w="4592" w:type="dxa"/>
          </w:tcPr>
          <w:p w:rsidR="0048417A" w:rsidRPr="004D57B3" w:rsidRDefault="0048417A" w:rsidP="00836B55">
            <w:pPr>
              <w:pStyle w:val="TableText"/>
            </w:pPr>
            <w:r w:rsidRPr="004D57B3">
              <w:t>Canadian Medical Association</w:t>
            </w:r>
          </w:p>
        </w:tc>
        <w:tc>
          <w:tcPr>
            <w:tcW w:w="4339" w:type="dxa"/>
          </w:tcPr>
          <w:p w:rsidR="0048417A" w:rsidRPr="004D57B3" w:rsidRDefault="00B81800" w:rsidP="00836B55">
            <w:pPr>
              <w:pStyle w:val="TableText"/>
            </w:pPr>
            <w:hyperlink r:id="rId106" w:tooltip="This link goes to the Canadian Medical Association website" w:history="1">
              <w:r w:rsidR="0048417A" w:rsidRPr="004D57B3">
                <w:rPr>
                  <w:rStyle w:val="Hyperlink"/>
                  <w:sz w:val="20"/>
                </w:rPr>
                <w:t>http://www.cma.ca</w:t>
              </w:r>
            </w:hyperlink>
          </w:p>
        </w:tc>
      </w:tr>
      <w:tr w:rsidR="0048417A" w:rsidRPr="004D57B3" w:rsidTr="00836B55">
        <w:tc>
          <w:tcPr>
            <w:tcW w:w="4592" w:type="dxa"/>
          </w:tcPr>
          <w:p w:rsidR="0048417A" w:rsidRPr="004D57B3" w:rsidRDefault="0048417A" w:rsidP="00836B55">
            <w:pPr>
              <w:pStyle w:val="TableText"/>
            </w:pPr>
            <w:r w:rsidRPr="004D57B3">
              <w:t>Canadian Task Force on Preventive Health Care</w:t>
            </w:r>
          </w:p>
        </w:tc>
        <w:tc>
          <w:tcPr>
            <w:tcW w:w="4339" w:type="dxa"/>
          </w:tcPr>
          <w:p w:rsidR="0048417A" w:rsidRPr="004D57B3" w:rsidRDefault="00B81800" w:rsidP="00836B55">
            <w:pPr>
              <w:pStyle w:val="TableText"/>
            </w:pPr>
            <w:hyperlink r:id="rId107" w:tooltip="This link goes to the Canadian Task Force on Preventive Health Care website" w:history="1">
              <w:r w:rsidR="0048417A" w:rsidRPr="004D57B3">
                <w:rPr>
                  <w:rStyle w:val="Hyperlink"/>
                  <w:sz w:val="20"/>
                </w:rPr>
                <w:t>http://www.ctfphc.org</w:t>
              </w:r>
            </w:hyperlink>
          </w:p>
        </w:tc>
      </w:tr>
      <w:tr w:rsidR="0048417A" w:rsidRPr="004D57B3" w:rsidTr="00836B55">
        <w:tc>
          <w:tcPr>
            <w:tcW w:w="4592" w:type="dxa"/>
          </w:tcPr>
          <w:p w:rsidR="0048417A" w:rsidRPr="004D57B3" w:rsidRDefault="0048417A" w:rsidP="00836B55">
            <w:pPr>
              <w:pStyle w:val="TableText"/>
            </w:pPr>
            <w:proofErr w:type="spellStart"/>
            <w:r w:rsidRPr="004D57B3">
              <w:t>Centers</w:t>
            </w:r>
            <w:proofErr w:type="spellEnd"/>
            <w:r w:rsidRPr="004D57B3">
              <w:t xml:space="preserve"> for Disease Control and Prevention</w:t>
            </w:r>
          </w:p>
        </w:tc>
        <w:tc>
          <w:tcPr>
            <w:tcW w:w="4339" w:type="dxa"/>
          </w:tcPr>
          <w:p w:rsidR="0048417A" w:rsidRPr="004D57B3" w:rsidRDefault="00B81800" w:rsidP="00836B55">
            <w:pPr>
              <w:pStyle w:val="TableText"/>
            </w:pPr>
            <w:hyperlink r:id="rId108" w:tooltip="This link goes to the Centers for Disease Control and Prevention website" w:history="1">
              <w:r w:rsidR="0048417A" w:rsidRPr="004D57B3">
                <w:rPr>
                  <w:rStyle w:val="Hyperlink"/>
                  <w:sz w:val="20"/>
                </w:rPr>
                <w:t>http://www.cdc.gov</w:t>
              </w:r>
            </w:hyperlink>
          </w:p>
        </w:tc>
      </w:tr>
      <w:tr w:rsidR="0048417A" w:rsidRPr="004D57B3" w:rsidTr="00836B55">
        <w:tc>
          <w:tcPr>
            <w:tcW w:w="4592" w:type="dxa"/>
          </w:tcPr>
          <w:p w:rsidR="0048417A" w:rsidRPr="004D57B3" w:rsidRDefault="0048417A" w:rsidP="00836B55">
            <w:pPr>
              <w:pStyle w:val="TableText"/>
            </w:pPr>
            <w:r w:rsidRPr="004D57B3">
              <w:t>Clinical Practice Guidelines and Protocols in British Columbia</w:t>
            </w:r>
          </w:p>
        </w:tc>
        <w:tc>
          <w:tcPr>
            <w:tcW w:w="4339" w:type="dxa"/>
          </w:tcPr>
          <w:p w:rsidR="0048417A" w:rsidRPr="004D57B3" w:rsidRDefault="00B81800" w:rsidP="00836B55">
            <w:pPr>
              <w:pStyle w:val="TableText"/>
            </w:pPr>
            <w:hyperlink r:id="rId109" w:tooltip="This link goes to the Clinical Practice Guidelines and Protocols in British Columbia website" w:history="1">
              <w:r w:rsidR="0048417A" w:rsidRPr="004D57B3">
                <w:rPr>
                  <w:rStyle w:val="Hyperlink"/>
                  <w:sz w:val="20"/>
                </w:rPr>
                <w:t>http://www.health.gov.bc.ca/gpac</w:t>
              </w:r>
            </w:hyperlink>
          </w:p>
        </w:tc>
      </w:tr>
      <w:tr w:rsidR="0048417A" w:rsidRPr="004D57B3" w:rsidTr="00836B55">
        <w:tc>
          <w:tcPr>
            <w:tcW w:w="4592" w:type="dxa"/>
          </w:tcPr>
          <w:p w:rsidR="0048417A" w:rsidRPr="004D57B3" w:rsidRDefault="0048417A" w:rsidP="00836B55">
            <w:pPr>
              <w:pStyle w:val="TableText"/>
            </w:pPr>
            <w:r w:rsidRPr="004D57B3">
              <w:t>Cochrane Library/ Wiley</w:t>
            </w:r>
          </w:p>
        </w:tc>
        <w:tc>
          <w:tcPr>
            <w:tcW w:w="4339" w:type="dxa"/>
          </w:tcPr>
          <w:p w:rsidR="0048417A" w:rsidRPr="00C11AB9" w:rsidRDefault="00B81800" w:rsidP="004B1BBD">
            <w:pPr>
              <w:pStyle w:val="TableText"/>
              <w:rPr>
                <w:sz w:val="16"/>
                <w:szCs w:val="16"/>
              </w:rPr>
            </w:pPr>
            <w:hyperlink r:id="rId110" w:tooltip="This link goes to the Cochrane Library/ Wiley website" w:history="1">
              <w:r w:rsidR="004B1BBD" w:rsidRPr="004C4368">
                <w:rPr>
                  <w:rStyle w:val="Hyperlink"/>
                  <w:sz w:val="16"/>
                  <w:szCs w:val="16"/>
                </w:rPr>
                <w:t>http://www3.interscience.wiley.com/cgi-bin/mrwhome/106568753/HOME</w:t>
              </w:r>
            </w:hyperlink>
          </w:p>
        </w:tc>
      </w:tr>
      <w:tr w:rsidR="0048417A" w:rsidRPr="004D57B3" w:rsidTr="00836B55">
        <w:tc>
          <w:tcPr>
            <w:tcW w:w="4592" w:type="dxa"/>
          </w:tcPr>
          <w:p w:rsidR="0048417A" w:rsidRPr="004D57B3" w:rsidRDefault="0048417A" w:rsidP="00836B55">
            <w:pPr>
              <w:pStyle w:val="TableText"/>
            </w:pPr>
            <w:r w:rsidRPr="004D57B3">
              <w:t>CORI: Clinical Outcomes Research Initiative</w:t>
            </w:r>
          </w:p>
        </w:tc>
        <w:tc>
          <w:tcPr>
            <w:tcW w:w="4339" w:type="dxa"/>
          </w:tcPr>
          <w:p w:rsidR="0048417A" w:rsidRPr="004D57B3" w:rsidRDefault="00B81800" w:rsidP="00836B55">
            <w:pPr>
              <w:pStyle w:val="TableText"/>
            </w:pPr>
            <w:hyperlink r:id="rId111" w:tooltip="This link goes to the Clinical Outcomes Research Initiative website" w:history="1">
              <w:r w:rsidR="0048417A" w:rsidRPr="004D57B3">
                <w:rPr>
                  <w:rStyle w:val="Hyperlink"/>
                  <w:sz w:val="20"/>
                </w:rPr>
                <w:t>http://www.cori.org</w:t>
              </w:r>
            </w:hyperlink>
          </w:p>
        </w:tc>
      </w:tr>
      <w:tr w:rsidR="0048417A" w:rsidRPr="004D57B3" w:rsidTr="00836B55">
        <w:tc>
          <w:tcPr>
            <w:tcW w:w="4592" w:type="dxa"/>
          </w:tcPr>
          <w:p w:rsidR="0048417A" w:rsidRPr="004D57B3" w:rsidRDefault="0048417A" w:rsidP="00836B55">
            <w:pPr>
              <w:pStyle w:val="TableText"/>
            </w:pPr>
            <w:r w:rsidRPr="004D57B3">
              <w:t>Crohn’s and Colitis Association of America</w:t>
            </w:r>
          </w:p>
        </w:tc>
        <w:tc>
          <w:tcPr>
            <w:tcW w:w="4339" w:type="dxa"/>
          </w:tcPr>
          <w:p w:rsidR="0048417A" w:rsidRPr="004D57B3" w:rsidRDefault="00B81800" w:rsidP="00836B55">
            <w:pPr>
              <w:pStyle w:val="TableText"/>
            </w:pPr>
            <w:hyperlink r:id="rId112" w:tooltip="This link goes to the Crohn’s and Colitis Association of America website" w:history="1">
              <w:r w:rsidR="0048417A" w:rsidRPr="004D57B3">
                <w:rPr>
                  <w:rStyle w:val="Hyperlink"/>
                  <w:sz w:val="20"/>
                </w:rPr>
                <w:t>http://www.ccfa.org</w:t>
              </w:r>
            </w:hyperlink>
          </w:p>
        </w:tc>
      </w:tr>
      <w:tr w:rsidR="0048417A" w:rsidRPr="004D57B3" w:rsidTr="00836B55">
        <w:tc>
          <w:tcPr>
            <w:tcW w:w="4592" w:type="dxa"/>
          </w:tcPr>
          <w:p w:rsidR="0048417A" w:rsidRPr="004D57B3" w:rsidRDefault="0048417A" w:rsidP="00836B55">
            <w:pPr>
              <w:pStyle w:val="TableText"/>
            </w:pPr>
            <w:r w:rsidRPr="004D57B3">
              <w:t>Crohn</w:t>
            </w:r>
            <w:r>
              <w:t>’s</w:t>
            </w:r>
            <w:r w:rsidRPr="004D57B3">
              <w:t xml:space="preserve"> and Colitis A</w:t>
            </w:r>
            <w:r>
              <w:t>ustralia</w:t>
            </w:r>
          </w:p>
        </w:tc>
        <w:tc>
          <w:tcPr>
            <w:tcW w:w="4339" w:type="dxa"/>
          </w:tcPr>
          <w:p w:rsidR="0048417A" w:rsidRPr="004D57B3" w:rsidRDefault="00B81800" w:rsidP="00836B55">
            <w:pPr>
              <w:pStyle w:val="TableText"/>
            </w:pPr>
            <w:hyperlink r:id="rId113" w:tooltip="This link goes to the Crohn’s and Colitis Australia website" w:history="1">
              <w:r w:rsidR="0048417A" w:rsidRPr="004D57B3">
                <w:rPr>
                  <w:rStyle w:val="Hyperlink"/>
                  <w:sz w:val="20"/>
                </w:rPr>
                <w:t>http://www.acca.net.au</w:t>
              </w:r>
            </w:hyperlink>
          </w:p>
        </w:tc>
      </w:tr>
      <w:tr w:rsidR="0048417A" w:rsidRPr="004D57B3" w:rsidTr="00836B55">
        <w:tc>
          <w:tcPr>
            <w:tcW w:w="4592" w:type="dxa"/>
          </w:tcPr>
          <w:p w:rsidR="0048417A" w:rsidRPr="004D57B3" w:rsidRDefault="0048417A" w:rsidP="00836B55">
            <w:pPr>
              <w:pStyle w:val="TableText"/>
              <w:rPr>
                <w:lang w:val="nl-NL"/>
              </w:rPr>
            </w:pPr>
            <w:r w:rsidRPr="004D57B3">
              <w:rPr>
                <w:lang w:val="nl-NL"/>
              </w:rPr>
              <w:t>Deutsche Gesellschaft für Verdauungs und Stoffwechselkrankheiten</w:t>
            </w:r>
            <w:r>
              <w:rPr>
                <w:lang w:val="nl-NL"/>
              </w:rPr>
              <w:t xml:space="preserve"> e.V.</w:t>
            </w:r>
          </w:p>
        </w:tc>
        <w:tc>
          <w:tcPr>
            <w:tcW w:w="4339" w:type="dxa"/>
          </w:tcPr>
          <w:p w:rsidR="0048417A" w:rsidRPr="004D57B3" w:rsidRDefault="00B81800" w:rsidP="00836B55">
            <w:pPr>
              <w:pStyle w:val="TableText"/>
            </w:pPr>
            <w:hyperlink r:id="rId114" w:tooltip="This link goes to the Deutsche Gesellschaft für Verdauungs und Stoffwechselkrankheiten e.V. website" w:history="1">
              <w:r w:rsidR="0048417A" w:rsidRPr="004D57B3">
                <w:rPr>
                  <w:rStyle w:val="Hyperlink"/>
                  <w:sz w:val="20"/>
                </w:rPr>
                <w:t>http://www.dgvs.de</w:t>
              </w:r>
            </w:hyperlink>
          </w:p>
        </w:tc>
      </w:tr>
      <w:tr w:rsidR="0048417A" w:rsidRPr="004D57B3" w:rsidTr="00836B55">
        <w:tc>
          <w:tcPr>
            <w:tcW w:w="4592" w:type="dxa"/>
          </w:tcPr>
          <w:p w:rsidR="0048417A" w:rsidRPr="004D57B3" w:rsidRDefault="0048417A" w:rsidP="00836B55">
            <w:pPr>
              <w:pStyle w:val="TableText"/>
            </w:pPr>
            <w:r>
              <w:t>E</w:t>
            </w:r>
            <w:r w:rsidRPr="004D57B3">
              <w:t>uropean Panel on the Appropriateness</w:t>
            </w:r>
            <w:r>
              <w:t xml:space="preserve"> of Gastrointestinal Endoscopy  (EPAGE I)</w:t>
            </w:r>
          </w:p>
        </w:tc>
        <w:tc>
          <w:tcPr>
            <w:tcW w:w="4339" w:type="dxa"/>
          </w:tcPr>
          <w:p w:rsidR="0048417A" w:rsidRPr="004D57B3" w:rsidRDefault="00B81800" w:rsidP="00836B55">
            <w:pPr>
              <w:pStyle w:val="TableText"/>
            </w:pPr>
            <w:hyperlink r:id="rId115" w:tooltip="This link goes to the European Panel on the Appropriateness of Gastrointestinal Endoscopy website" w:history="1">
              <w:r w:rsidR="0048417A" w:rsidRPr="004D57B3">
                <w:rPr>
                  <w:rStyle w:val="Hyperlink"/>
                  <w:sz w:val="20"/>
                </w:rPr>
                <w:t>http://www.epage.ch</w:t>
              </w:r>
            </w:hyperlink>
          </w:p>
        </w:tc>
      </w:tr>
      <w:tr w:rsidR="0048417A" w:rsidRPr="004D57B3" w:rsidTr="00836B55">
        <w:tc>
          <w:tcPr>
            <w:tcW w:w="4592" w:type="dxa"/>
          </w:tcPr>
          <w:p w:rsidR="0048417A" w:rsidRPr="004D57B3" w:rsidRDefault="0048417A" w:rsidP="00836B55">
            <w:pPr>
              <w:pStyle w:val="TableText"/>
            </w:pPr>
            <w:r w:rsidRPr="004D57B3">
              <w:t>European Crohn’s and Colitis Organi</w:t>
            </w:r>
            <w:r>
              <w:t>z</w:t>
            </w:r>
            <w:r w:rsidRPr="004D57B3">
              <w:t>ation</w:t>
            </w:r>
          </w:p>
        </w:tc>
        <w:tc>
          <w:tcPr>
            <w:tcW w:w="4339" w:type="dxa"/>
          </w:tcPr>
          <w:p w:rsidR="0048417A" w:rsidRPr="004D57B3" w:rsidRDefault="00B81800" w:rsidP="00836B55">
            <w:pPr>
              <w:pStyle w:val="TableText"/>
            </w:pPr>
            <w:hyperlink r:id="rId116" w:tooltip="This link goes to the European Crohn’s and Colitis Organization website" w:history="1">
              <w:r w:rsidR="0048417A" w:rsidRPr="004D57B3">
                <w:rPr>
                  <w:rStyle w:val="Hyperlink"/>
                  <w:sz w:val="20"/>
                </w:rPr>
                <w:t>http://www.ecco-ibd.org</w:t>
              </w:r>
            </w:hyperlink>
          </w:p>
        </w:tc>
      </w:tr>
      <w:tr w:rsidR="0048417A" w:rsidRPr="004D57B3" w:rsidTr="00836B55">
        <w:tc>
          <w:tcPr>
            <w:tcW w:w="4592" w:type="dxa"/>
          </w:tcPr>
          <w:p w:rsidR="0048417A" w:rsidRPr="004D57B3" w:rsidRDefault="0048417A" w:rsidP="00836B55">
            <w:pPr>
              <w:pStyle w:val="TableText"/>
            </w:pPr>
            <w:proofErr w:type="spellStart"/>
            <w:r w:rsidRPr="004D57B3">
              <w:t>Fondation</w:t>
            </w:r>
            <w:proofErr w:type="spellEnd"/>
            <w:r w:rsidRPr="004D57B3">
              <w:t xml:space="preserve"> </w:t>
            </w:r>
            <w:proofErr w:type="spellStart"/>
            <w:r w:rsidRPr="004D57B3">
              <w:t>canadienne</w:t>
            </w:r>
            <w:proofErr w:type="spellEnd"/>
            <w:r w:rsidRPr="004D57B3">
              <w:t xml:space="preserve"> des maladies </w:t>
            </w:r>
            <w:proofErr w:type="spellStart"/>
            <w:r w:rsidRPr="004D57B3">
              <w:t>inflammatoires</w:t>
            </w:r>
            <w:proofErr w:type="spellEnd"/>
            <w:r w:rsidRPr="004D57B3">
              <w:t xml:space="preserve"> de </w:t>
            </w:r>
            <w:proofErr w:type="spellStart"/>
            <w:r w:rsidRPr="004D57B3">
              <w:t>l'intestin</w:t>
            </w:r>
            <w:proofErr w:type="spellEnd"/>
            <w:r>
              <w:t xml:space="preserve"> (Crohn’s and Colitis Foundation of Canada)</w:t>
            </w:r>
          </w:p>
        </w:tc>
        <w:tc>
          <w:tcPr>
            <w:tcW w:w="4339" w:type="dxa"/>
          </w:tcPr>
          <w:p w:rsidR="0048417A" w:rsidRPr="004D57B3" w:rsidRDefault="00B81800" w:rsidP="00836B55">
            <w:pPr>
              <w:pStyle w:val="TableText"/>
            </w:pPr>
            <w:hyperlink r:id="rId117" w:tooltip="This link goes to the Fondation canadienne des maladies inflammatoires de l'intestin website" w:history="1">
              <w:r w:rsidR="0048417A" w:rsidRPr="004D57B3">
                <w:rPr>
                  <w:rStyle w:val="Hyperlink"/>
                  <w:sz w:val="20"/>
                </w:rPr>
                <w:t>http://www.ccfc.ca</w:t>
              </w:r>
            </w:hyperlink>
          </w:p>
        </w:tc>
      </w:tr>
      <w:tr w:rsidR="0048417A" w:rsidRPr="004D57B3" w:rsidTr="00836B55">
        <w:tc>
          <w:tcPr>
            <w:tcW w:w="4592" w:type="dxa"/>
          </w:tcPr>
          <w:p w:rsidR="0048417A" w:rsidRPr="004D57B3" w:rsidRDefault="0048417A" w:rsidP="00836B55">
            <w:pPr>
              <w:pStyle w:val="TableText"/>
            </w:pPr>
            <w:r w:rsidRPr="004D57B3">
              <w:t>Gastroenterological Society of Australia</w:t>
            </w:r>
          </w:p>
        </w:tc>
        <w:tc>
          <w:tcPr>
            <w:tcW w:w="4339" w:type="dxa"/>
          </w:tcPr>
          <w:p w:rsidR="0048417A" w:rsidRPr="004D57B3" w:rsidRDefault="00B81800" w:rsidP="00836B55">
            <w:pPr>
              <w:pStyle w:val="TableText"/>
            </w:pPr>
            <w:hyperlink r:id="rId118" w:tooltip="This link goes to the Gastroenterological Society of Australia website" w:history="1">
              <w:r w:rsidR="0048417A" w:rsidRPr="004D57B3">
                <w:rPr>
                  <w:rStyle w:val="Hyperlink"/>
                  <w:sz w:val="20"/>
                </w:rPr>
                <w:t>http://www.gesa.org.au</w:t>
              </w:r>
            </w:hyperlink>
          </w:p>
        </w:tc>
      </w:tr>
      <w:tr w:rsidR="0048417A" w:rsidRPr="004D57B3" w:rsidTr="00836B55">
        <w:tc>
          <w:tcPr>
            <w:tcW w:w="4592" w:type="dxa"/>
          </w:tcPr>
          <w:p w:rsidR="0048417A" w:rsidRPr="004D57B3" w:rsidRDefault="0048417A" w:rsidP="00836B55">
            <w:pPr>
              <w:pStyle w:val="TableText"/>
            </w:pPr>
            <w:r w:rsidRPr="004D57B3">
              <w:t>Guidelines Advisory Committee</w:t>
            </w:r>
            <w:r>
              <w:t xml:space="preserve"> (GAC)</w:t>
            </w:r>
          </w:p>
        </w:tc>
        <w:tc>
          <w:tcPr>
            <w:tcW w:w="4339" w:type="dxa"/>
          </w:tcPr>
          <w:p w:rsidR="0048417A" w:rsidRPr="004D57B3" w:rsidRDefault="00B81800" w:rsidP="00836B55">
            <w:pPr>
              <w:pStyle w:val="TableText"/>
            </w:pPr>
            <w:hyperlink r:id="rId119" w:tooltip="This link goes to the Guidelines Advisory Committee website" w:history="1">
              <w:r w:rsidR="0048417A" w:rsidRPr="004D57B3">
                <w:rPr>
                  <w:rStyle w:val="Hyperlink"/>
                  <w:sz w:val="20"/>
                </w:rPr>
                <w:t>http://www.gacguidelines.ca</w:t>
              </w:r>
            </w:hyperlink>
          </w:p>
        </w:tc>
      </w:tr>
      <w:tr w:rsidR="0048417A" w:rsidRPr="004D57B3" w:rsidTr="00836B55">
        <w:tc>
          <w:tcPr>
            <w:tcW w:w="4592" w:type="dxa"/>
          </w:tcPr>
          <w:p w:rsidR="0048417A" w:rsidRPr="004D57B3" w:rsidRDefault="0048417A" w:rsidP="00836B55">
            <w:pPr>
              <w:pStyle w:val="TableText"/>
            </w:pPr>
            <w:r w:rsidRPr="004D57B3">
              <w:t>G</w:t>
            </w:r>
            <w:r>
              <w:t>uidelines International Network (G-I-N)</w:t>
            </w:r>
          </w:p>
        </w:tc>
        <w:tc>
          <w:tcPr>
            <w:tcW w:w="4339" w:type="dxa"/>
          </w:tcPr>
          <w:p w:rsidR="0048417A" w:rsidRPr="004D57B3" w:rsidRDefault="00B81800" w:rsidP="00836B55">
            <w:pPr>
              <w:pStyle w:val="TableText"/>
            </w:pPr>
            <w:hyperlink r:id="rId120" w:tooltip="This link goes to the Guidelines International Network website" w:history="1">
              <w:r w:rsidR="0048417A" w:rsidRPr="004D57B3">
                <w:rPr>
                  <w:rStyle w:val="Hyperlink"/>
                  <w:sz w:val="20"/>
                </w:rPr>
                <w:t>http://www.g-i-n.net</w:t>
              </w:r>
            </w:hyperlink>
          </w:p>
        </w:tc>
      </w:tr>
      <w:tr w:rsidR="0048417A" w:rsidRPr="004D57B3" w:rsidTr="00836B55">
        <w:tc>
          <w:tcPr>
            <w:tcW w:w="4592" w:type="dxa"/>
          </w:tcPr>
          <w:p w:rsidR="0048417A" w:rsidRPr="004D57B3" w:rsidRDefault="0048417A" w:rsidP="00836B55">
            <w:pPr>
              <w:pStyle w:val="TableText"/>
              <w:rPr>
                <w:lang w:val="nl-NL"/>
              </w:rPr>
            </w:pPr>
            <w:r w:rsidRPr="004D57B3">
              <w:rPr>
                <w:lang w:val="nl-NL"/>
              </w:rPr>
              <w:t>Haute Autorité de Santé (France)</w:t>
            </w:r>
          </w:p>
        </w:tc>
        <w:tc>
          <w:tcPr>
            <w:tcW w:w="4339" w:type="dxa"/>
          </w:tcPr>
          <w:p w:rsidR="0048417A" w:rsidRPr="004D57B3" w:rsidRDefault="00B81800" w:rsidP="00836B55">
            <w:pPr>
              <w:pStyle w:val="TableText"/>
              <w:rPr>
                <w:lang w:val="nl-NL"/>
              </w:rPr>
            </w:pPr>
            <w:hyperlink r:id="rId121" w:tooltip="This link goes to the Haute Autorité de Santé website" w:history="1">
              <w:r w:rsidR="0048417A" w:rsidRPr="004D57B3">
                <w:rPr>
                  <w:rStyle w:val="Hyperlink"/>
                  <w:sz w:val="20"/>
                  <w:lang w:val="nl-NL"/>
                </w:rPr>
                <w:t>http://www.has-sante.fr</w:t>
              </w:r>
            </w:hyperlink>
          </w:p>
        </w:tc>
      </w:tr>
      <w:tr w:rsidR="0048417A" w:rsidRPr="004D57B3" w:rsidTr="00836B55">
        <w:tc>
          <w:tcPr>
            <w:tcW w:w="4592" w:type="dxa"/>
          </w:tcPr>
          <w:p w:rsidR="0048417A" w:rsidRPr="004D57B3" w:rsidRDefault="0048417A" w:rsidP="00836B55">
            <w:pPr>
              <w:pStyle w:val="TableText"/>
            </w:pPr>
            <w:r w:rsidRPr="004D57B3">
              <w:t>Health On the Net Foundation</w:t>
            </w:r>
          </w:p>
        </w:tc>
        <w:tc>
          <w:tcPr>
            <w:tcW w:w="4339" w:type="dxa"/>
          </w:tcPr>
          <w:p w:rsidR="0048417A" w:rsidRPr="004D57B3" w:rsidRDefault="00B81800" w:rsidP="00836B55">
            <w:pPr>
              <w:pStyle w:val="TableText"/>
            </w:pPr>
            <w:hyperlink r:id="rId122" w:tooltip="This link goes to the Health On the Net Foundation website" w:history="1">
              <w:r w:rsidR="0048417A" w:rsidRPr="004D57B3">
                <w:rPr>
                  <w:rStyle w:val="Hyperlink"/>
                  <w:sz w:val="20"/>
                </w:rPr>
                <w:t>http://www.hon.ch</w:t>
              </w:r>
            </w:hyperlink>
          </w:p>
        </w:tc>
      </w:tr>
      <w:tr w:rsidR="0048417A" w:rsidRPr="004D57B3" w:rsidTr="00836B55">
        <w:tc>
          <w:tcPr>
            <w:tcW w:w="4592" w:type="dxa"/>
          </w:tcPr>
          <w:p w:rsidR="0048417A" w:rsidRPr="004D57B3" w:rsidRDefault="0048417A" w:rsidP="00836B55">
            <w:pPr>
              <w:pStyle w:val="TableText"/>
            </w:pPr>
            <w:r w:rsidRPr="004D57B3">
              <w:t>Institute for Clinical Systems Improvement (ICSI)</w:t>
            </w:r>
          </w:p>
        </w:tc>
        <w:tc>
          <w:tcPr>
            <w:tcW w:w="4339" w:type="dxa"/>
          </w:tcPr>
          <w:p w:rsidR="0048417A" w:rsidRPr="004D57B3" w:rsidRDefault="00B81800" w:rsidP="00836B55">
            <w:pPr>
              <w:pStyle w:val="TableText"/>
            </w:pPr>
            <w:hyperlink r:id="rId123" w:tooltip="This link goes to the Institute for Clinical Systems Improvement website" w:history="1">
              <w:r w:rsidR="0048417A" w:rsidRPr="004D57B3">
                <w:rPr>
                  <w:rStyle w:val="Hyperlink"/>
                  <w:sz w:val="20"/>
                </w:rPr>
                <w:t>http://www.icsi.org</w:t>
              </w:r>
            </w:hyperlink>
          </w:p>
        </w:tc>
      </w:tr>
      <w:tr w:rsidR="0048417A" w:rsidRPr="004D57B3" w:rsidTr="00836B55">
        <w:tc>
          <w:tcPr>
            <w:tcW w:w="4592" w:type="dxa"/>
          </w:tcPr>
          <w:p w:rsidR="0048417A" w:rsidRPr="004D57B3" w:rsidRDefault="0048417A" w:rsidP="00836B55">
            <w:pPr>
              <w:pStyle w:val="TableText"/>
            </w:pPr>
            <w:r w:rsidRPr="004D57B3">
              <w:t xml:space="preserve">National </w:t>
            </w:r>
            <w:r>
              <w:t>D</w:t>
            </w:r>
            <w:r w:rsidRPr="004D57B3">
              <w:t xml:space="preserve">igestive </w:t>
            </w:r>
            <w:r>
              <w:t>D</w:t>
            </w:r>
            <w:r w:rsidRPr="004D57B3">
              <w:t xml:space="preserve">iseases </w:t>
            </w:r>
            <w:r>
              <w:t>I</w:t>
            </w:r>
            <w:r w:rsidRPr="004D57B3">
              <w:t xml:space="preserve">nformation </w:t>
            </w:r>
            <w:r>
              <w:t>C</w:t>
            </w:r>
            <w:r w:rsidRPr="004D57B3">
              <w:t>learinghouse (NDDIC)</w:t>
            </w:r>
            <w:r>
              <w:t>. A</w:t>
            </w:r>
            <w:r w:rsidRPr="004D57B3">
              <w:t xml:space="preserve">  service of the National Institute of Diabetes and Digestive and Kidney Diseases (NIDDK)</w:t>
            </w:r>
            <w:r>
              <w:t>, NIH</w:t>
            </w:r>
          </w:p>
        </w:tc>
        <w:tc>
          <w:tcPr>
            <w:tcW w:w="4339" w:type="dxa"/>
          </w:tcPr>
          <w:p w:rsidR="0048417A" w:rsidRPr="00C11AB9" w:rsidRDefault="00B81800" w:rsidP="00836B55">
            <w:pPr>
              <w:pStyle w:val="TableText"/>
              <w:rPr>
                <w:sz w:val="20"/>
              </w:rPr>
            </w:pPr>
            <w:hyperlink r:id="rId124" w:tooltip="This link goes to the National Digestive Diseases Information Clearinghouse website" w:history="1">
              <w:r w:rsidR="0048417A" w:rsidRPr="00C11AB9">
                <w:rPr>
                  <w:rStyle w:val="Hyperlink"/>
                  <w:sz w:val="20"/>
                </w:rPr>
                <w:t>http://digestive.niddk.nih.gov</w:t>
              </w:r>
            </w:hyperlink>
          </w:p>
          <w:p w:rsidR="0048417A" w:rsidRPr="004D57B3" w:rsidRDefault="0048417A" w:rsidP="00836B55">
            <w:pPr>
              <w:pStyle w:val="TableText"/>
            </w:pPr>
          </w:p>
        </w:tc>
      </w:tr>
      <w:tr w:rsidR="0048417A" w:rsidRPr="004D57B3" w:rsidTr="00836B55">
        <w:tc>
          <w:tcPr>
            <w:tcW w:w="4592" w:type="dxa"/>
          </w:tcPr>
          <w:p w:rsidR="0048417A" w:rsidRPr="004D57B3" w:rsidRDefault="0048417A" w:rsidP="00836B55">
            <w:pPr>
              <w:pStyle w:val="TableText"/>
            </w:pPr>
            <w:r w:rsidRPr="004D57B3">
              <w:t>National Guideline Clearinghouse</w:t>
            </w:r>
          </w:p>
        </w:tc>
        <w:tc>
          <w:tcPr>
            <w:tcW w:w="4339" w:type="dxa"/>
          </w:tcPr>
          <w:p w:rsidR="0048417A" w:rsidRPr="004D57B3" w:rsidRDefault="00B81800" w:rsidP="00836B55">
            <w:pPr>
              <w:pStyle w:val="TableText"/>
            </w:pPr>
            <w:hyperlink r:id="rId125" w:tooltip="This link goes to the National Guideline Clearinghouse website" w:history="1">
              <w:r w:rsidR="0048417A" w:rsidRPr="004D57B3">
                <w:rPr>
                  <w:rStyle w:val="Hyperlink"/>
                  <w:sz w:val="20"/>
                </w:rPr>
                <w:t>http://www.guideline.gov</w:t>
              </w:r>
            </w:hyperlink>
          </w:p>
        </w:tc>
      </w:tr>
      <w:tr w:rsidR="0048417A" w:rsidRPr="004D57B3" w:rsidTr="00836B55">
        <w:tc>
          <w:tcPr>
            <w:tcW w:w="4592" w:type="dxa"/>
          </w:tcPr>
          <w:p w:rsidR="0048417A" w:rsidRPr="004D57B3" w:rsidRDefault="0048417A" w:rsidP="00836B55">
            <w:pPr>
              <w:pStyle w:val="TableText"/>
            </w:pPr>
            <w:r w:rsidRPr="004D57B3">
              <w:t xml:space="preserve">National Health and Medical Research Council (NHMRC) </w:t>
            </w:r>
          </w:p>
        </w:tc>
        <w:tc>
          <w:tcPr>
            <w:tcW w:w="4339" w:type="dxa"/>
          </w:tcPr>
          <w:p w:rsidR="0048417A" w:rsidRPr="004D57B3" w:rsidRDefault="00B81800" w:rsidP="00836B55">
            <w:pPr>
              <w:pStyle w:val="TableText"/>
            </w:pPr>
            <w:hyperlink r:id="rId126" w:tooltip="This link goes to the National Health and Medical Research Council website" w:history="1">
              <w:r w:rsidR="0048417A" w:rsidRPr="004D57B3">
                <w:rPr>
                  <w:rStyle w:val="Hyperlink"/>
                  <w:sz w:val="20"/>
                </w:rPr>
                <w:t>http://www.nhmrc.gov.au</w:t>
              </w:r>
            </w:hyperlink>
          </w:p>
        </w:tc>
      </w:tr>
      <w:tr w:rsidR="0048417A" w:rsidRPr="004D57B3" w:rsidTr="00836B55">
        <w:tc>
          <w:tcPr>
            <w:tcW w:w="4592" w:type="dxa"/>
          </w:tcPr>
          <w:p w:rsidR="0048417A" w:rsidRPr="004D57B3" w:rsidRDefault="0048417A" w:rsidP="00836B55">
            <w:pPr>
              <w:pStyle w:val="TableText"/>
            </w:pPr>
            <w:r w:rsidRPr="004D57B3">
              <w:t>National Health Service – UK</w:t>
            </w:r>
            <w:r>
              <w:t xml:space="preserve"> (NHS)</w:t>
            </w:r>
          </w:p>
        </w:tc>
        <w:tc>
          <w:tcPr>
            <w:tcW w:w="4339" w:type="dxa"/>
          </w:tcPr>
          <w:p w:rsidR="0048417A" w:rsidRPr="004D57B3" w:rsidRDefault="00B81800" w:rsidP="00836B55">
            <w:pPr>
              <w:pStyle w:val="TableText"/>
            </w:pPr>
            <w:hyperlink r:id="rId127" w:tooltip="This link goes to the National Health Service website" w:history="1">
              <w:r w:rsidR="0048417A" w:rsidRPr="004D57B3">
                <w:rPr>
                  <w:rStyle w:val="Hyperlink"/>
                  <w:sz w:val="20"/>
                </w:rPr>
                <w:t>http://www.nhs.uk</w:t>
              </w:r>
            </w:hyperlink>
          </w:p>
        </w:tc>
      </w:tr>
      <w:tr w:rsidR="0048417A" w:rsidRPr="004D57B3" w:rsidTr="00836B55">
        <w:tc>
          <w:tcPr>
            <w:tcW w:w="4592" w:type="dxa"/>
          </w:tcPr>
          <w:p w:rsidR="0048417A" w:rsidRPr="004D57B3" w:rsidRDefault="0048417A" w:rsidP="00836B55">
            <w:pPr>
              <w:pStyle w:val="TableText"/>
            </w:pPr>
            <w:r w:rsidRPr="004D57B3">
              <w:t>New Zealand Guidelines Group</w:t>
            </w:r>
          </w:p>
        </w:tc>
        <w:tc>
          <w:tcPr>
            <w:tcW w:w="4339" w:type="dxa"/>
          </w:tcPr>
          <w:p w:rsidR="0048417A" w:rsidRPr="004D57B3" w:rsidRDefault="00B81800" w:rsidP="00836B55">
            <w:pPr>
              <w:pStyle w:val="TableText"/>
            </w:pPr>
            <w:hyperlink r:id="rId128" w:tooltip="This link goes to the New Zealand Guidelines Group website" w:history="1">
              <w:r w:rsidR="0048417A" w:rsidRPr="004D57B3">
                <w:rPr>
                  <w:rStyle w:val="Hyperlink"/>
                  <w:sz w:val="20"/>
                </w:rPr>
                <w:t>http://www.nzgg.org.nz</w:t>
              </w:r>
            </w:hyperlink>
          </w:p>
        </w:tc>
      </w:tr>
      <w:tr w:rsidR="0048417A" w:rsidRPr="004D57B3" w:rsidTr="00836B55">
        <w:tc>
          <w:tcPr>
            <w:tcW w:w="4592" w:type="dxa"/>
          </w:tcPr>
          <w:p w:rsidR="0048417A" w:rsidRPr="004D57B3" w:rsidRDefault="0048417A" w:rsidP="00836B55">
            <w:pPr>
              <w:pStyle w:val="TableText"/>
            </w:pPr>
            <w:r w:rsidRPr="004D57B3">
              <w:t>Ontario Association of Gastroenterology</w:t>
            </w:r>
          </w:p>
        </w:tc>
        <w:tc>
          <w:tcPr>
            <w:tcW w:w="4339" w:type="dxa"/>
          </w:tcPr>
          <w:p w:rsidR="0048417A" w:rsidRPr="004D57B3" w:rsidRDefault="00B81800" w:rsidP="00836B55">
            <w:pPr>
              <w:pStyle w:val="TableText"/>
            </w:pPr>
            <w:hyperlink r:id="rId129" w:tooltip="This link goes to the Ontario Association of Gastroenterology website" w:history="1">
              <w:r w:rsidR="0048417A" w:rsidRPr="004D57B3">
                <w:rPr>
                  <w:rStyle w:val="Hyperlink"/>
                  <w:sz w:val="20"/>
                </w:rPr>
                <w:t>http://www.gastro.on.ca</w:t>
              </w:r>
            </w:hyperlink>
          </w:p>
        </w:tc>
      </w:tr>
      <w:tr w:rsidR="0048417A" w:rsidRPr="004D57B3" w:rsidTr="00836B55">
        <w:tc>
          <w:tcPr>
            <w:tcW w:w="4592" w:type="dxa"/>
          </w:tcPr>
          <w:p w:rsidR="0048417A" w:rsidRPr="004D57B3" w:rsidRDefault="0048417A" w:rsidP="00836B55">
            <w:pPr>
              <w:pStyle w:val="TableText"/>
            </w:pPr>
            <w:proofErr w:type="spellStart"/>
            <w:r w:rsidRPr="004D57B3">
              <w:t>Pubmed</w:t>
            </w:r>
            <w:proofErr w:type="spellEnd"/>
          </w:p>
        </w:tc>
        <w:tc>
          <w:tcPr>
            <w:tcW w:w="4339" w:type="dxa"/>
          </w:tcPr>
          <w:p w:rsidR="0048417A" w:rsidRPr="004D57B3" w:rsidRDefault="00B81800" w:rsidP="00836B55">
            <w:pPr>
              <w:pStyle w:val="TableText"/>
            </w:pPr>
            <w:hyperlink r:id="rId130" w:tooltip="This link goes to the Pubmed website" w:history="1">
              <w:r w:rsidR="0048417A" w:rsidRPr="004D57B3">
                <w:rPr>
                  <w:rStyle w:val="Hyperlink"/>
                  <w:sz w:val="20"/>
                </w:rPr>
                <w:t>http://www.pubmed.org</w:t>
              </w:r>
            </w:hyperlink>
          </w:p>
        </w:tc>
      </w:tr>
      <w:tr w:rsidR="0048417A" w:rsidRPr="004D57B3" w:rsidTr="00836B55">
        <w:tc>
          <w:tcPr>
            <w:tcW w:w="4592" w:type="dxa"/>
          </w:tcPr>
          <w:p w:rsidR="0048417A" w:rsidRPr="004D57B3" w:rsidRDefault="0048417A" w:rsidP="00836B55">
            <w:pPr>
              <w:pStyle w:val="TableText"/>
            </w:pPr>
            <w:r w:rsidRPr="004D57B3">
              <w:t>Royal College of Surgeons in Ireland</w:t>
            </w:r>
          </w:p>
        </w:tc>
        <w:tc>
          <w:tcPr>
            <w:tcW w:w="4339" w:type="dxa"/>
          </w:tcPr>
          <w:p w:rsidR="0048417A" w:rsidRPr="004D57B3" w:rsidRDefault="00B81800" w:rsidP="00836B55">
            <w:pPr>
              <w:pStyle w:val="TableText"/>
            </w:pPr>
            <w:hyperlink r:id="rId131" w:tooltip="This link goes to the Royal College of Surgeons in Ireland website" w:history="1">
              <w:r w:rsidR="0048417A" w:rsidRPr="004D57B3">
                <w:rPr>
                  <w:rStyle w:val="Hyperlink"/>
                  <w:sz w:val="20"/>
                </w:rPr>
                <w:t>http://www.rcsi.ie</w:t>
              </w:r>
            </w:hyperlink>
          </w:p>
        </w:tc>
      </w:tr>
      <w:tr w:rsidR="0048417A" w:rsidRPr="004D57B3" w:rsidTr="00836B55">
        <w:tc>
          <w:tcPr>
            <w:tcW w:w="4592" w:type="dxa"/>
          </w:tcPr>
          <w:p w:rsidR="0048417A" w:rsidRPr="004D57B3" w:rsidRDefault="0048417A" w:rsidP="00836B55">
            <w:pPr>
              <w:pStyle w:val="TableText"/>
            </w:pPr>
            <w:r w:rsidRPr="004D57B3">
              <w:t xml:space="preserve">Santé Canada/ </w:t>
            </w:r>
            <w:r>
              <w:t xml:space="preserve">Health </w:t>
            </w:r>
            <w:r w:rsidRPr="004D57B3">
              <w:t>Canada</w:t>
            </w:r>
          </w:p>
        </w:tc>
        <w:tc>
          <w:tcPr>
            <w:tcW w:w="4339" w:type="dxa"/>
          </w:tcPr>
          <w:p w:rsidR="0048417A" w:rsidRPr="004D57B3" w:rsidRDefault="00B81800" w:rsidP="00836B55">
            <w:pPr>
              <w:pStyle w:val="TableText"/>
            </w:pPr>
            <w:hyperlink r:id="rId132" w:tooltip="This link goes to the Santé Canada/ Health Canada website" w:history="1">
              <w:r w:rsidR="0048417A" w:rsidRPr="004D57B3">
                <w:rPr>
                  <w:rStyle w:val="Hyperlink"/>
                  <w:sz w:val="20"/>
                </w:rPr>
                <w:t>http://www.hc-sc.gc.ca</w:t>
              </w:r>
            </w:hyperlink>
          </w:p>
        </w:tc>
      </w:tr>
      <w:tr w:rsidR="0048417A" w:rsidRPr="004D57B3" w:rsidTr="00836B55">
        <w:tc>
          <w:tcPr>
            <w:tcW w:w="4592" w:type="dxa"/>
          </w:tcPr>
          <w:p w:rsidR="0048417A" w:rsidRPr="004D57B3" w:rsidRDefault="0048417A" w:rsidP="00836B55">
            <w:pPr>
              <w:pStyle w:val="TableText"/>
            </w:pPr>
            <w:r w:rsidRPr="004D57B3">
              <w:t>Scottish Int</w:t>
            </w:r>
            <w:r>
              <w:t>ercollegiate Guidelines Network (SIGN)</w:t>
            </w:r>
          </w:p>
        </w:tc>
        <w:tc>
          <w:tcPr>
            <w:tcW w:w="4339" w:type="dxa"/>
          </w:tcPr>
          <w:p w:rsidR="0048417A" w:rsidRPr="004D57B3" w:rsidRDefault="00B81800" w:rsidP="00836B55">
            <w:pPr>
              <w:pStyle w:val="TableText"/>
            </w:pPr>
            <w:hyperlink r:id="rId133" w:tooltip="This link goes to the Scottish Intercollegiate Guidelines Network website" w:history="1">
              <w:r w:rsidR="0048417A" w:rsidRPr="004D57B3">
                <w:rPr>
                  <w:rStyle w:val="Hyperlink"/>
                  <w:sz w:val="20"/>
                </w:rPr>
                <w:t>http://www.sign.ac.uk</w:t>
              </w:r>
            </w:hyperlink>
          </w:p>
        </w:tc>
      </w:tr>
      <w:tr w:rsidR="0048417A" w:rsidRPr="004D57B3" w:rsidTr="00836B55">
        <w:tc>
          <w:tcPr>
            <w:tcW w:w="4592" w:type="dxa"/>
          </w:tcPr>
          <w:p w:rsidR="0048417A" w:rsidRPr="004D57B3" w:rsidRDefault="0048417A" w:rsidP="00836B55">
            <w:pPr>
              <w:pStyle w:val="TableText"/>
            </w:pPr>
            <w:r w:rsidRPr="004D57B3">
              <w:t xml:space="preserve">Site Suisse pour les Maladies </w:t>
            </w:r>
            <w:proofErr w:type="spellStart"/>
            <w:r w:rsidRPr="004D57B3">
              <w:t>Inflammatoires</w:t>
            </w:r>
            <w:proofErr w:type="spellEnd"/>
            <w:r w:rsidRPr="004D57B3">
              <w:t xml:space="preserve"> de </w:t>
            </w:r>
            <w:proofErr w:type="spellStart"/>
            <w:r w:rsidRPr="004D57B3">
              <w:t>l'Intestin</w:t>
            </w:r>
            <w:proofErr w:type="spellEnd"/>
          </w:p>
        </w:tc>
        <w:tc>
          <w:tcPr>
            <w:tcW w:w="4339" w:type="dxa"/>
          </w:tcPr>
          <w:p w:rsidR="0048417A" w:rsidRPr="004D57B3" w:rsidRDefault="00B81800" w:rsidP="00836B55">
            <w:pPr>
              <w:pStyle w:val="TableText"/>
            </w:pPr>
            <w:hyperlink r:id="rId134" w:tooltip="This link goes to the Site Suisse pour les Maladies Inflammatoires de l'Intestin website" w:history="1">
              <w:r w:rsidR="0048417A" w:rsidRPr="004D57B3">
                <w:rPr>
                  <w:rStyle w:val="Hyperlink"/>
                  <w:sz w:val="20"/>
                </w:rPr>
                <w:t>http://www.ibd-net.ch</w:t>
              </w:r>
            </w:hyperlink>
          </w:p>
        </w:tc>
      </w:tr>
      <w:tr w:rsidR="0048417A" w:rsidRPr="004D57B3" w:rsidTr="00836B55">
        <w:tc>
          <w:tcPr>
            <w:tcW w:w="4592" w:type="dxa"/>
          </w:tcPr>
          <w:p w:rsidR="0048417A" w:rsidRPr="004D57B3" w:rsidRDefault="0048417A" w:rsidP="00836B55">
            <w:pPr>
              <w:pStyle w:val="TableText"/>
            </w:pPr>
            <w:proofErr w:type="spellStart"/>
            <w:r w:rsidRPr="004D57B3">
              <w:t>Société</w:t>
            </w:r>
            <w:proofErr w:type="spellEnd"/>
            <w:r w:rsidRPr="004D57B3">
              <w:t xml:space="preserve"> </w:t>
            </w:r>
            <w:proofErr w:type="spellStart"/>
            <w:r w:rsidRPr="004D57B3">
              <w:t>Française</w:t>
            </w:r>
            <w:proofErr w:type="spellEnd"/>
            <w:r w:rsidRPr="004D57B3">
              <w:t xml:space="preserve"> </w:t>
            </w:r>
            <w:proofErr w:type="spellStart"/>
            <w:r w:rsidRPr="004D57B3">
              <w:t>d’Endoscopie</w:t>
            </w:r>
            <w:proofErr w:type="spellEnd"/>
            <w:r w:rsidRPr="004D57B3">
              <w:t xml:space="preserve"> Digestive</w:t>
            </w:r>
          </w:p>
        </w:tc>
        <w:tc>
          <w:tcPr>
            <w:tcW w:w="4339" w:type="dxa"/>
          </w:tcPr>
          <w:p w:rsidR="0048417A" w:rsidRPr="004D57B3" w:rsidRDefault="00B81800" w:rsidP="00836B55">
            <w:pPr>
              <w:pStyle w:val="TableText"/>
            </w:pPr>
            <w:hyperlink r:id="rId135" w:tooltip="This link goes to the Société Française d’Endoscopie Digestive website" w:history="1">
              <w:r w:rsidR="0048417A" w:rsidRPr="004D57B3">
                <w:rPr>
                  <w:rStyle w:val="Hyperlink"/>
                  <w:sz w:val="20"/>
                </w:rPr>
                <w:t>http://www.sfed.org</w:t>
              </w:r>
            </w:hyperlink>
            <w:r w:rsidR="0048417A" w:rsidRPr="004D57B3">
              <w:t xml:space="preserve"> </w:t>
            </w:r>
          </w:p>
        </w:tc>
      </w:tr>
      <w:tr w:rsidR="0048417A" w:rsidRPr="004D57B3" w:rsidTr="00836B55">
        <w:tc>
          <w:tcPr>
            <w:tcW w:w="4592" w:type="dxa"/>
          </w:tcPr>
          <w:p w:rsidR="0048417A" w:rsidRPr="004D57B3" w:rsidRDefault="0048417A" w:rsidP="00836B55">
            <w:pPr>
              <w:pStyle w:val="TableText"/>
              <w:rPr>
                <w:lang w:val="nl-NL"/>
              </w:rPr>
            </w:pPr>
            <w:r w:rsidRPr="004D57B3">
              <w:rPr>
                <w:lang w:val="nl-NL"/>
              </w:rPr>
              <w:t>Société National</w:t>
            </w:r>
            <w:r>
              <w:rPr>
                <w:lang w:val="nl-NL"/>
              </w:rPr>
              <w:t>e</w:t>
            </w:r>
            <w:r w:rsidRPr="004D57B3">
              <w:rPr>
                <w:lang w:val="nl-NL"/>
              </w:rPr>
              <w:t xml:space="preserve"> Française de Gastro</w:t>
            </w:r>
            <w:r>
              <w:rPr>
                <w:lang w:val="nl-NL"/>
              </w:rPr>
              <w:t>-E</w:t>
            </w:r>
            <w:r w:rsidRPr="004D57B3">
              <w:rPr>
                <w:lang w:val="nl-NL"/>
              </w:rPr>
              <w:t>ntérologie</w:t>
            </w:r>
          </w:p>
        </w:tc>
        <w:tc>
          <w:tcPr>
            <w:tcW w:w="4339" w:type="dxa"/>
          </w:tcPr>
          <w:p w:rsidR="0048417A" w:rsidRPr="004D57B3" w:rsidRDefault="00B81800" w:rsidP="00836B55">
            <w:pPr>
              <w:pStyle w:val="TableText"/>
              <w:rPr>
                <w:lang w:val="nl-NL"/>
              </w:rPr>
            </w:pPr>
            <w:hyperlink r:id="rId136" w:tooltip="This link goes to the Société Nationale Française de Gastro-Entérologie website" w:history="1">
              <w:r w:rsidR="0048417A" w:rsidRPr="004D57B3">
                <w:rPr>
                  <w:rStyle w:val="Hyperlink"/>
                  <w:sz w:val="20"/>
                  <w:lang w:val="nl-NL"/>
                </w:rPr>
                <w:t>http://www.snfge.asso.fr</w:t>
              </w:r>
            </w:hyperlink>
          </w:p>
        </w:tc>
      </w:tr>
      <w:tr w:rsidR="0048417A" w:rsidRPr="004D57B3" w:rsidTr="00836B55">
        <w:tc>
          <w:tcPr>
            <w:tcW w:w="4592" w:type="dxa"/>
          </w:tcPr>
          <w:p w:rsidR="0048417A" w:rsidRPr="004D57B3" w:rsidRDefault="0048417A" w:rsidP="00836B55">
            <w:pPr>
              <w:pStyle w:val="TableText"/>
            </w:pPr>
            <w:proofErr w:type="spellStart"/>
            <w:r w:rsidRPr="004D57B3">
              <w:t>Société</w:t>
            </w:r>
            <w:proofErr w:type="spellEnd"/>
            <w:r w:rsidRPr="004D57B3">
              <w:t xml:space="preserve"> Suisse de </w:t>
            </w:r>
            <w:proofErr w:type="spellStart"/>
            <w:r w:rsidRPr="004D57B3">
              <w:t>Gastroentérologie</w:t>
            </w:r>
            <w:proofErr w:type="spellEnd"/>
          </w:p>
        </w:tc>
        <w:tc>
          <w:tcPr>
            <w:tcW w:w="4339" w:type="dxa"/>
          </w:tcPr>
          <w:p w:rsidR="0048417A" w:rsidRPr="004D57B3" w:rsidRDefault="00B81800" w:rsidP="00836B55">
            <w:pPr>
              <w:pStyle w:val="TableText"/>
            </w:pPr>
            <w:hyperlink r:id="rId137" w:tooltip="This link goes to the Société Suisse de Gastroentérologie website" w:history="1">
              <w:r w:rsidR="0048417A" w:rsidRPr="004D57B3">
                <w:rPr>
                  <w:rStyle w:val="Hyperlink"/>
                  <w:sz w:val="20"/>
                </w:rPr>
                <w:t>http://www.sggssg.ch</w:t>
              </w:r>
            </w:hyperlink>
          </w:p>
        </w:tc>
      </w:tr>
      <w:tr w:rsidR="0048417A" w:rsidRPr="004D57B3" w:rsidTr="00836B55">
        <w:tc>
          <w:tcPr>
            <w:tcW w:w="4592" w:type="dxa"/>
          </w:tcPr>
          <w:p w:rsidR="0048417A" w:rsidRPr="004D57B3" w:rsidRDefault="0048417A" w:rsidP="00836B55">
            <w:pPr>
              <w:pStyle w:val="TableText"/>
            </w:pPr>
            <w:r w:rsidRPr="004D57B3">
              <w:t>US Department of Veterans Affairs (VA)</w:t>
            </w:r>
          </w:p>
        </w:tc>
        <w:tc>
          <w:tcPr>
            <w:tcW w:w="4339" w:type="dxa"/>
          </w:tcPr>
          <w:p w:rsidR="0048417A" w:rsidRPr="00590616" w:rsidRDefault="00B81800" w:rsidP="00836B55">
            <w:pPr>
              <w:pStyle w:val="TableText"/>
              <w:rPr>
                <w:sz w:val="20"/>
              </w:rPr>
            </w:pPr>
            <w:hyperlink r:id="rId138" w:tooltip="This link goes to the US Department of Veterans Affairs website" w:history="1">
              <w:r w:rsidR="0048417A" w:rsidRPr="00590616">
                <w:rPr>
                  <w:rStyle w:val="Hyperlink"/>
                  <w:sz w:val="20"/>
                </w:rPr>
                <w:t>http://www.healthquality.va.gov/</w:t>
              </w:r>
            </w:hyperlink>
          </w:p>
        </w:tc>
      </w:tr>
      <w:tr w:rsidR="0048417A" w:rsidRPr="004D57B3" w:rsidTr="00836B55">
        <w:tc>
          <w:tcPr>
            <w:tcW w:w="4592" w:type="dxa"/>
          </w:tcPr>
          <w:p w:rsidR="0048417A" w:rsidRPr="004D57B3" w:rsidRDefault="0048417A" w:rsidP="00836B55">
            <w:pPr>
              <w:pStyle w:val="TableText"/>
            </w:pPr>
            <w:r w:rsidRPr="004D57B3">
              <w:t>World Endoscopy Organization</w:t>
            </w:r>
          </w:p>
        </w:tc>
        <w:tc>
          <w:tcPr>
            <w:tcW w:w="4339" w:type="dxa"/>
          </w:tcPr>
          <w:p w:rsidR="0048417A" w:rsidRPr="004D57B3" w:rsidRDefault="00B81800" w:rsidP="00836B55">
            <w:pPr>
              <w:pStyle w:val="TableText"/>
            </w:pPr>
            <w:hyperlink r:id="rId139" w:tooltip="This link goes to the World Endoscopy Organization website" w:history="1">
              <w:r w:rsidR="0048417A" w:rsidRPr="00BD07C3">
                <w:rPr>
                  <w:rStyle w:val="Hyperlink"/>
                </w:rPr>
                <w:t>http://www.worldendo.org/</w:t>
              </w:r>
            </w:hyperlink>
          </w:p>
        </w:tc>
      </w:tr>
      <w:tr w:rsidR="0048417A" w:rsidRPr="004D57B3" w:rsidTr="00836B55">
        <w:tc>
          <w:tcPr>
            <w:tcW w:w="4592" w:type="dxa"/>
          </w:tcPr>
          <w:p w:rsidR="0048417A" w:rsidRPr="004D57B3" w:rsidRDefault="0048417A" w:rsidP="00836B55">
            <w:pPr>
              <w:pStyle w:val="TableText"/>
            </w:pPr>
            <w:r w:rsidRPr="004D57B3">
              <w:t>World Gastroenterolog</w:t>
            </w:r>
            <w:r>
              <w:t>y</w:t>
            </w:r>
            <w:r w:rsidRPr="004D57B3">
              <w:t xml:space="preserve"> Organisation</w:t>
            </w:r>
          </w:p>
        </w:tc>
        <w:tc>
          <w:tcPr>
            <w:tcW w:w="4339" w:type="dxa"/>
          </w:tcPr>
          <w:p w:rsidR="0048417A" w:rsidRPr="004D57B3" w:rsidRDefault="00B81800" w:rsidP="00836B55">
            <w:pPr>
              <w:pStyle w:val="TableText"/>
            </w:pPr>
            <w:hyperlink r:id="rId140" w:tooltip="This link goes to the World Gastroenterology Organisation website" w:history="1">
              <w:r w:rsidR="0048417A" w:rsidRPr="004D57B3">
                <w:rPr>
                  <w:rStyle w:val="Hyperlink"/>
                  <w:sz w:val="20"/>
                </w:rPr>
                <w:t>http://www.worldgastroenterology.org</w:t>
              </w:r>
            </w:hyperlink>
          </w:p>
        </w:tc>
      </w:tr>
    </w:tbl>
    <w:p w:rsidR="0048417A" w:rsidRPr="004D57B3" w:rsidRDefault="0048417A" w:rsidP="00836B55"/>
    <w:p w:rsidR="0048417A" w:rsidRPr="004D57B3" w:rsidRDefault="0048417A" w:rsidP="00836B55">
      <w:pPr>
        <w:framePr w:h="16136" w:hRule="exact" w:wrap="auto" w:hAnchor="text" w:y="-9148"/>
        <w:sectPr w:rsidR="0048417A" w:rsidRPr="004D57B3" w:rsidSect="00836B55">
          <w:pgSz w:w="11906" w:h="16838"/>
          <w:pgMar w:top="1440" w:right="1440" w:bottom="1440" w:left="1440" w:header="720" w:footer="720" w:gutter="0"/>
          <w:paperSrc w:first="7" w:other="7"/>
          <w:cols w:space="720"/>
          <w:docGrid w:linePitch="326"/>
        </w:sectPr>
      </w:pPr>
    </w:p>
    <w:p w:rsidR="0048417A" w:rsidRPr="004D57B3" w:rsidRDefault="0048417A" w:rsidP="00836B55">
      <w:pPr>
        <w:pStyle w:val="Heading1"/>
        <w:rPr>
          <w:bCs/>
        </w:rPr>
      </w:pPr>
      <w:bookmarkStart w:id="258" w:name="_Appendix_D_Studies_1"/>
      <w:bookmarkStart w:id="259" w:name="_Ref281981704"/>
      <w:bookmarkStart w:id="260" w:name="_Ref190841600"/>
      <w:bookmarkStart w:id="261" w:name="_Toc296517906"/>
      <w:bookmarkEnd w:id="255"/>
      <w:bookmarkEnd w:id="258"/>
      <w:r w:rsidRPr="004D57B3">
        <w:rPr>
          <w:bCs/>
        </w:rPr>
        <w:lastRenderedPageBreak/>
        <w:t xml:space="preserve">Appendix </w:t>
      </w:r>
      <w:r w:rsidRPr="004D57B3">
        <w:rPr>
          <w:bCs/>
        </w:rPr>
        <w:fldChar w:fldCharType="begin"/>
      </w:r>
      <w:r w:rsidRPr="004D57B3">
        <w:rPr>
          <w:bCs/>
        </w:rPr>
        <w:instrText xml:space="preserve"> SEQ Appendix \* ALPHABETIC </w:instrText>
      </w:r>
      <w:r w:rsidRPr="004D57B3">
        <w:rPr>
          <w:bCs/>
        </w:rPr>
        <w:fldChar w:fldCharType="separate"/>
      </w:r>
      <w:r>
        <w:rPr>
          <w:bCs/>
          <w:noProof/>
        </w:rPr>
        <w:t>D</w:t>
      </w:r>
      <w:r w:rsidRPr="004D57B3">
        <w:rPr>
          <w:bCs/>
        </w:rPr>
        <w:fldChar w:fldCharType="end"/>
      </w:r>
      <w:bookmarkEnd w:id="259"/>
      <w:r w:rsidRPr="004D57B3">
        <w:rPr>
          <w:bCs/>
        </w:rPr>
        <w:tab/>
        <w:t>Studies included in the review</w:t>
      </w:r>
      <w:bookmarkEnd w:id="256"/>
      <w:bookmarkEnd w:id="257"/>
      <w:bookmarkEnd w:id="260"/>
      <w:bookmarkEnd w:id="261"/>
      <w:r w:rsidRPr="004D57B3">
        <w:rPr>
          <w:bCs/>
        </w:rPr>
        <w:t xml:space="preserve"> </w:t>
      </w:r>
    </w:p>
    <w:p w:rsidR="0048417A" w:rsidRPr="004D57B3" w:rsidRDefault="0048417A" w:rsidP="00836B55">
      <w:pPr>
        <w:pStyle w:val="Heading2"/>
        <w:rPr>
          <w:bCs/>
        </w:rPr>
      </w:pPr>
      <w:bookmarkStart w:id="262" w:name="_Toc296517907"/>
      <w:r w:rsidRPr="004D57B3">
        <w:rPr>
          <w:bCs/>
        </w:rPr>
        <w:t>Systematic reviews and HTA reports</w:t>
      </w:r>
      <w:bookmarkEnd w:id="2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350"/>
        <w:gridCol w:w="2036"/>
        <w:gridCol w:w="2161"/>
        <w:gridCol w:w="2579"/>
        <w:gridCol w:w="2533"/>
      </w:tblGrid>
      <w:tr w:rsidR="0048417A" w:rsidRPr="004D57B3" w:rsidTr="00836B55">
        <w:tc>
          <w:tcPr>
            <w:tcW w:w="13410" w:type="dxa"/>
            <w:gridSpan w:val="6"/>
          </w:tcPr>
          <w:p w:rsidR="0048417A" w:rsidRPr="004D57B3" w:rsidRDefault="0048417A" w:rsidP="00836B55">
            <w:pPr>
              <w:pStyle w:val="TableHeading"/>
            </w:pPr>
            <w:r w:rsidRPr="004D57B3">
              <w:t>HTA and systematic reviews</w:t>
            </w:r>
          </w:p>
        </w:tc>
      </w:tr>
      <w:tr w:rsidR="0048417A" w:rsidRPr="004D57B3" w:rsidTr="00836B55">
        <w:tc>
          <w:tcPr>
            <w:tcW w:w="1751" w:type="dxa"/>
          </w:tcPr>
          <w:p w:rsidR="0048417A" w:rsidRPr="004D57B3" w:rsidRDefault="0048417A" w:rsidP="00836B55">
            <w:pPr>
              <w:pStyle w:val="TableHeading"/>
            </w:pPr>
            <w:r w:rsidRPr="004D57B3">
              <w:t>Author/Year</w:t>
            </w:r>
          </w:p>
        </w:tc>
        <w:tc>
          <w:tcPr>
            <w:tcW w:w="2350" w:type="dxa"/>
          </w:tcPr>
          <w:p w:rsidR="0048417A" w:rsidRPr="004D57B3" w:rsidRDefault="0048417A" w:rsidP="00836B55">
            <w:pPr>
              <w:pStyle w:val="TableHeading"/>
            </w:pPr>
            <w:r w:rsidRPr="004D57B3">
              <w:t>Objective of report</w:t>
            </w:r>
          </w:p>
        </w:tc>
        <w:tc>
          <w:tcPr>
            <w:tcW w:w="2036" w:type="dxa"/>
          </w:tcPr>
          <w:p w:rsidR="0048417A" w:rsidRPr="004D57B3" w:rsidRDefault="0048417A" w:rsidP="00836B55">
            <w:pPr>
              <w:pStyle w:val="TableHeading"/>
            </w:pPr>
            <w:r w:rsidRPr="004D57B3">
              <w:t xml:space="preserve">Number </w:t>
            </w:r>
            <w:r>
              <w:t>and</w:t>
            </w:r>
            <w:r w:rsidRPr="004D57B3">
              <w:t xml:space="preserve"> publication dates of included studies</w:t>
            </w:r>
          </w:p>
        </w:tc>
        <w:tc>
          <w:tcPr>
            <w:tcW w:w="2161" w:type="dxa"/>
          </w:tcPr>
          <w:p w:rsidR="0048417A" w:rsidRPr="004D57B3" w:rsidRDefault="0048417A" w:rsidP="00836B55">
            <w:pPr>
              <w:pStyle w:val="TableHeading"/>
            </w:pPr>
            <w:r w:rsidRPr="004D57B3">
              <w:t xml:space="preserve">Population considered in included studies </w:t>
            </w:r>
          </w:p>
          <w:p w:rsidR="0048417A" w:rsidRPr="004D57B3" w:rsidRDefault="0048417A" w:rsidP="00836B55">
            <w:pPr>
              <w:pStyle w:val="TableHeading"/>
            </w:pPr>
            <w:r w:rsidRPr="004D57B3">
              <w:t>Test comparison</w:t>
            </w:r>
          </w:p>
        </w:tc>
        <w:tc>
          <w:tcPr>
            <w:tcW w:w="2579" w:type="dxa"/>
          </w:tcPr>
          <w:p w:rsidR="0048417A" w:rsidRPr="004D57B3" w:rsidRDefault="0048417A" w:rsidP="00836B55">
            <w:pPr>
              <w:pStyle w:val="TableHeading"/>
            </w:pPr>
            <w:r w:rsidRPr="004D57B3">
              <w:t>Conclusions/ recommendation</w:t>
            </w:r>
          </w:p>
        </w:tc>
        <w:tc>
          <w:tcPr>
            <w:tcW w:w="2533" w:type="dxa"/>
          </w:tcPr>
          <w:p w:rsidR="0048417A" w:rsidRPr="004D57B3" w:rsidRDefault="0048417A" w:rsidP="00836B55">
            <w:pPr>
              <w:pStyle w:val="TableHeading"/>
            </w:pPr>
            <w:r w:rsidRPr="004D57B3">
              <w:t xml:space="preserve">Quality </w:t>
            </w:r>
            <w:r>
              <w:t>a</w:t>
            </w:r>
            <w:r w:rsidRPr="004D57B3">
              <w:t>ssessment</w:t>
            </w:r>
          </w:p>
        </w:tc>
      </w:tr>
      <w:tr w:rsidR="0048417A" w:rsidRPr="004D57B3" w:rsidTr="00836B55">
        <w:tc>
          <w:tcPr>
            <w:tcW w:w="1751" w:type="dxa"/>
          </w:tcPr>
          <w:p w:rsidR="0048417A" w:rsidRPr="004D57B3" w:rsidRDefault="0048417A" w:rsidP="00836B55">
            <w:pPr>
              <w:pStyle w:val="TableText"/>
              <w:spacing w:before="0" w:after="0"/>
            </w:pPr>
            <w:proofErr w:type="spellStart"/>
            <w:r w:rsidRPr="004D57B3">
              <w:t>Dionisio</w:t>
            </w:r>
            <w:proofErr w:type="spellEnd"/>
            <w:r w:rsidRPr="004D57B3">
              <w:t xml:space="preserve"> et al </w:t>
            </w:r>
            <w:r>
              <w:t>(</w:t>
            </w:r>
            <w:r w:rsidRPr="004D57B3">
              <w:t>2010</w:t>
            </w:r>
            <w:r>
              <w:t>)</w:t>
            </w:r>
          </w:p>
          <w:p w:rsidR="0048417A" w:rsidRPr="004D57B3" w:rsidRDefault="0048417A" w:rsidP="00836B55">
            <w:pPr>
              <w:pStyle w:val="TableText"/>
              <w:spacing w:before="0" w:after="0"/>
            </w:pPr>
          </w:p>
          <w:p w:rsidR="0048417A" w:rsidRPr="004D57B3" w:rsidRDefault="0048417A" w:rsidP="00836B55">
            <w:pPr>
              <w:pStyle w:val="TableText"/>
              <w:spacing w:before="0" w:after="0"/>
            </w:pPr>
            <w:r w:rsidRPr="004D57B3">
              <w:t>USA</w:t>
            </w:r>
          </w:p>
          <w:p w:rsidR="0048417A" w:rsidRPr="004D57B3" w:rsidRDefault="0048417A" w:rsidP="00836B55">
            <w:pPr>
              <w:pStyle w:val="TableText"/>
              <w:spacing w:before="0" w:after="0"/>
            </w:pPr>
          </w:p>
          <w:p w:rsidR="0048417A" w:rsidRPr="004D57B3" w:rsidRDefault="0048417A" w:rsidP="00836B55">
            <w:pPr>
              <w:pStyle w:val="TableText"/>
              <w:spacing w:before="0" w:after="0"/>
            </w:pPr>
            <w:r w:rsidRPr="004D57B3">
              <w:t xml:space="preserve">This meta-analysis updates </w:t>
            </w:r>
            <w:proofErr w:type="spellStart"/>
            <w:r w:rsidRPr="004D57B3">
              <w:t>Triester</w:t>
            </w:r>
            <w:proofErr w:type="spellEnd"/>
            <w:r w:rsidRPr="004D57B3">
              <w:t xml:space="preserve"> et al 2006.</w:t>
            </w:r>
          </w:p>
        </w:tc>
        <w:tc>
          <w:tcPr>
            <w:tcW w:w="2350" w:type="dxa"/>
          </w:tcPr>
          <w:p w:rsidR="0048417A" w:rsidRPr="004D57B3" w:rsidRDefault="0048417A" w:rsidP="00836B55">
            <w:pPr>
              <w:pStyle w:val="TableText"/>
              <w:spacing w:before="0" w:after="0"/>
              <w:rPr>
                <w:rFonts w:cs="Symbol"/>
              </w:rPr>
            </w:pPr>
            <w:r w:rsidRPr="004D57B3">
              <w:rPr>
                <w:rFonts w:cs="Symbol"/>
              </w:rPr>
              <w:t>To evaluate the diagnostic yield of capsule endoscopy compared with other modalities in patients with suspected and established Crohn’s disease.</w:t>
            </w:r>
          </w:p>
          <w:p w:rsidR="0048417A" w:rsidRPr="004D57B3" w:rsidRDefault="0048417A" w:rsidP="00836B55">
            <w:pPr>
              <w:pStyle w:val="TableText"/>
              <w:spacing w:before="0" w:after="0"/>
              <w:rPr>
                <w:rFonts w:cs="Symbol"/>
              </w:rPr>
            </w:pPr>
          </w:p>
          <w:p w:rsidR="0048417A" w:rsidRPr="004D57B3" w:rsidRDefault="0048417A" w:rsidP="00836B55">
            <w:pPr>
              <w:pStyle w:val="TableText"/>
              <w:spacing w:before="0" w:after="0"/>
              <w:rPr>
                <w:rFonts w:cs="Garamond"/>
              </w:rPr>
            </w:pPr>
            <w:r w:rsidRPr="004D57B3">
              <w:rPr>
                <w:rFonts w:cs="Garamond"/>
                <w:b/>
              </w:rPr>
              <w:t>Indication:</w:t>
            </w:r>
            <w:r w:rsidRPr="004D57B3">
              <w:rPr>
                <w:rFonts w:cs="Garamond"/>
              </w:rPr>
              <w:t xml:space="preserve"> </w:t>
            </w:r>
          </w:p>
          <w:p w:rsidR="0048417A" w:rsidRPr="004D57B3" w:rsidRDefault="0048417A" w:rsidP="00836B55">
            <w:pPr>
              <w:pStyle w:val="TableText"/>
              <w:spacing w:before="0" w:after="0"/>
              <w:rPr>
                <w:rFonts w:cs="Garamond"/>
              </w:rPr>
            </w:pPr>
            <w:r w:rsidRPr="004D57B3">
              <w:rPr>
                <w:rFonts w:cs="Garamond"/>
              </w:rPr>
              <w:t>Suspected and established Crohn’s disease where tests are used</w:t>
            </w:r>
            <w:r w:rsidRPr="004D57B3">
              <w:t xml:space="preserve"> for findings outside the range of normal </w:t>
            </w:r>
            <w:proofErr w:type="spellStart"/>
            <w:r w:rsidRPr="004D57B3">
              <w:t>oesophagogastroduodenoscopy</w:t>
            </w:r>
            <w:proofErr w:type="spellEnd"/>
            <w:r w:rsidRPr="004D57B3">
              <w:t xml:space="preserve"> (EGD).</w:t>
            </w:r>
          </w:p>
          <w:p w:rsidR="0048417A" w:rsidRPr="004D57B3" w:rsidRDefault="0048417A" w:rsidP="00836B55">
            <w:pPr>
              <w:pStyle w:val="TableText"/>
              <w:spacing w:before="0" w:after="0"/>
              <w:rPr>
                <w:rFonts w:cs="Symbol"/>
                <w:b/>
              </w:rPr>
            </w:pPr>
          </w:p>
          <w:p w:rsidR="0048417A" w:rsidRPr="004D57B3" w:rsidRDefault="0048417A" w:rsidP="00836B55">
            <w:pPr>
              <w:pStyle w:val="TableText"/>
              <w:spacing w:before="0" w:after="0"/>
              <w:rPr>
                <w:rFonts w:cs="Symbol"/>
                <w:b/>
              </w:rPr>
            </w:pPr>
            <w:r w:rsidRPr="004D57B3">
              <w:rPr>
                <w:rFonts w:cs="Symbol"/>
                <w:b/>
              </w:rPr>
              <w:t>Study design</w:t>
            </w:r>
            <w:r>
              <w:rPr>
                <w:rFonts w:cs="Symbol"/>
                <w:b/>
              </w:rPr>
              <w:t>:</w:t>
            </w:r>
          </w:p>
          <w:p w:rsidR="0048417A" w:rsidRPr="004D57B3" w:rsidRDefault="0048417A" w:rsidP="00836B55">
            <w:pPr>
              <w:pStyle w:val="TableText"/>
              <w:spacing w:before="0" w:after="0"/>
            </w:pPr>
            <w:r w:rsidRPr="004D57B3">
              <w:rPr>
                <w:rFonts w:cs="Symbol"/>
                <w:b/>
              </w:rPr>
              <w:t xml:space="preserve"> </w:t>
            </w:r>
            <w:r w:rsidRPr="004D57B3">
              <w:rPr>
                <w:rFonts w:cs="Symbol"/>
              </w:rPr>
              <w:t>A meta</w:t>
            </w:r>
            <w:r>
              <w:rPr>
                <w:rFonts w:cs="Symbol"/>
              </w:rPr>
              <w:t>-</w:t>
            </w:r>
            <w:r w:rsidRPr="004D57B3">
              <w:rPr>
                <w:rFonts w:cs="Symbol"/>
              </w:rPr>
              <w:t>analysis based on ‘per protocol’ results (rather than ‘intention to treat’), including subgroup analyses of those with suspected and established Crohn’s disease.</w:t>
            </w:r>
          </w:p>
          <w:p w:rsidR="0048417A" w:rsidRPr="004D57B3" w:rsidRDefault="0048417A" w:rsidP="00836B55">
            <w:pPr>
              <w:pStyle w:val="TableText"/>
              <w:spacing w:before="0" w:after="0"/>
              <w:rPr>
                <w:b/>
              </w:rPr>
            </w:pPr>
          </w:p>
          <w:p w:rsidR="0048417A" w:rsidRPr="004D57B3" w:rsidRDefault="0048417A" w:rsidP="00836B55">
            <w:pPr>
              <w:pStyle w:val="TableText"/>
              <w:spacing w:before="0" w:after="0"/>
            </w:pPr>
          </w:p>
        </w:tc>
        <w:tc>
          <w:tcPr>
            <w:tcW w:w="2036" w:type="dxa"/>
          </w:tcPr>
          <w:p w:rsidR="0048417A" w:rsidRPr="004D57B3" w:rsidRDefault="0048417A" w:rsidP="00836B55">
            <w:pPr>
              <w:pStyle w:val="TableText"/>
              <w:spacing w:before="0" w:after="0"/>
            </w:pPr>
            <w:r w:rsidRPr="004D57B3">
              <w:t>19 prospective trials were included.</w:t>
            </w:r>
          </w:p>
          <w:p w:rsidR="0048417A" w:rsidRPr="004D57B3" w:rsidRDefault="0048417A" w:rsidP="00836B55">
            <w:pPr>
              <w:pStyle w:val="TableText"/>
              <w:spacing w:before="0" w:after="0"/>
            </w:pPr>
            <w:r w:rsidRPr="004D57B3">
              <w:t>These related to patients with suspected and established Crohn’s disease.</w:t>
            </w:r>
          </w:p>
          <w:p w:rsidR="0048417A" w:rsidRPr="004D57B3" w:rsidRDefault="0048417A" w:rsidP="00836B55">
            <w:pPr>
              <w:pStyle w:val="TableText"/>
              <w:spacing w:before="0" w:after="0"/>
              <w:rPr>
                <w:b/>
              </w:rPr>
            </w:pPr>
          </w:p>
          <w:p w:rsidR="0048417A" w:rsidRPr="004D57B3" w:rsidRDefault="0048417A" w:rsidP="00836B55">
            <w:pPr>
              <w:pStyle w:val="TableText"/>
              <w:spacing w:before="0" w:after="0"/>
              <w:rPr>
                <w:b/>
              </w:rPr>
            </w:pPr>
            <w:r w:rsidRPr="004D57B3">
              <w:rPr>
                <w:b/>
              </w:rPr>
              <w:t>Search method and date range</w:t>
            </w:r>
            <w:r>
              <w:rPr>
                <w:b/>
              </w:rPr>
              <w:t>:</w:t>
            </w:r>
          </w:p>
          <w:p w:rsidR="0048417A" w:rsidRPr="004D57B3" w:rsidRDefault="0048417A" w:rsidP="00836B55">
            <w:pPr>
              <w:pStyle w:val="TableText"/>
              <w:spacing w:before="0" w:after="0"/>
            </w:pPr>
            <w:r w:rsidRPr="004D57B3">
              <w:t>These consisted of 18 trials published up until May 2009 identified via a search of M</w:t>
            </w:r>
            <w:r>
              <w:t>EDLINE</w:t>
            </w:r>
            <w:r w:rsidRPr="004D57B3">
              <w:t xml:space="preserve">, EMBASE and the Cochrane Central Trials database and 1 trial identified by a manual search of conference proceedings published through 2008. The capsule manufacturer was consulted to provide additional trials from its database covering up until February 2009. </w:t>
            </w:r>
          </w:p>
          <w:p w:rsidR="0048417A" w:rsidRPr="004D57B3" w:rsidRDefault="0048417A" w:rsidP="00836B55">
            <w:pPr>
              <w:pStyle w:val="TableText"/>
              <w:spacing w:before="0" w:after="0"/>
            </w:pPr>
          </w:p>
          <w:p w:rsidR="0048417A" w:rsidRPr="004D57B3" w:rsidRDefault="0048417A" w:rsidP="00836B55">
            <w:pPr>
              <w:pStyle w:val="TableText"/>
              <w:spacing w:before="0" w:after="0"/>
            </w:pPr>
            <w:r w:rsidRPr="004D57B3">
              <w:t>The search was not limited to English language publications.</w:t>
            </w:r>
          </w:p>
          <w:p w:rsidR="0048417A" w:rsidRPr="004D57B3" w:rsidRDefault="0048417A" w:rsidP="00836B55">
            <w:pPr>
              <w:pStyle w:val="TableText"/>
              <w:spacing w:before="0" w:after="0"/>
              <w:rPr>
                <w:b/>
              </w:rPr>
            </w:pPr>
          </w:p>
        </w:tc>
        <w:tc>
          <w:tcPr>
            <w:tcW w:w="2161" w:type="dxa"/>
          </w:tcPr>
          <w:p w:rsidR="0048417A" w:rsidRPr="004D57B3" w:rsidRDefault="0048417A" w:rsidP="00836B55">
            <w:pPr>
              <w:pStyle w:val="TableText"/>
              <w:spacing w:before="0" w:after="0"/>
              <w:rPr>
                <w:b/>
              </w:rPr>
            </w:pPr>
            <w:r w:rsidRPr="004D57B3">
              <w:rPr>
                <w:b/>
              </w:rPr>
              <w:t>Population</w:t>
            </w:r>
            <w:r>
              <w:rPr>
                <w:b/>
              </w:rPr>
              <w:t>:</w:t>
            </w:r>
          </w:p>
          <w:p w:rsidR="0048417A" w:rsidRPr="004D57B3" w:rsidRDefault="0048417A" w:rsidP="00836B55">
            <w:pPr>
              <w:pStyle w:val="TableText"/>
              <w:spacing w:before="0" w:after="0"/>
            </w:pPr>
            <w:r w:rsidRPr="004D57B3">
              <w:t xml:space="preserve">Adult patients with suspected or established Crohn’s disease. The suspicion of Crohn’s disease was determined by biomarkers or patient symptoms. In 8 trials, patients with prior </w:t>
            </w:r>
            <w:proofErr w:type="spellStart"/>
            <w:r w:rsidRPr="004D57B3">
              <w:t>stricturing</w:t>
            </w:r>
            <w:proofErr w:type="spellEnd"/>
            <w:r w:rsidRPr="004D57B3">
              <w:t xml:space="preserve"> were excluded.</w:t>
            </w:r>
          </w:p>
          <w:p w:rsidR="0048417A" w:rsidRPr="004D57B3" w:rsidRDefault="0048417A" w:rsidP="00836B55">
            <w:pPr>
              <w:pStyle w:val="TableText"/>
              <w:spacing w:before="0" w:after="0"/>
              <w:rPr>
                <w:b/>
              </w:rPr>
            </w:pPr>
          </w:p>
          <w:p w:rsidR="0048417A" w:rsidRPr="004D57B3" w:rsidRDefault="0048417A" w:rsidP="00836B55">
            <w:pPr>
              <w:pStyle w:val="TableText"/>
              <w:spacing w:before="0" w:after="0"/>
            </w:pPr>
            <w:r w:rsidRPr="004D57B3">
              <w:rPr>
                <w:b/>
              </w:rPr>
              <w:t>Prior tests</w:t>
            </w:r>
            <w:r>
              <w:rPr>
                <w:b/>
              </w:rPr>
              <w:t>:</w:t>
            </w:r>
            <w:r w:rsidRPr="004D57B3">
              <w:rPr>
                <w:b/>
              </w:rPr>
              <w:t xml:space="preserve"> </w:t>
            </w:r>
            <w:r>
              <w:t>nr</w:t>
            </w:r>
          </w:p>
          <w:p w:rsidR="0048417A" w:rsidRPr="004D57B3" w:rsidRDefault="0048417A" w:rsidP="00836B55">
            <w:pPr>
              <w:pStyle w:val="TableText"/>
              <w:spacing w:before="0" w:after="0"/>
              <w:rPr>
                <w:b/>
              </w:rPr>
            </w:pPr>
          </w:p>
          <w:p w:rsidR="0048417A" w:rsidRPr="004D57B3" w:rsidRDefault="0048417A" w:rsidP="00836B55">
            <w:pPr>
              <w:pStyle w:val="TableText"/>
              <w:spacing w:before="0" w:after="0"/>
              <w:rPr>
                <w:b/>
              </w:rPr>
            </w:pPr>
            <w:r w:rsidRPr="004D57B3">
              <w:rPr>
                <w:b/>
              </w:rPr>
              <w:t>Test comparison</w:t>
            </w:r>
            <w:r>
              <w:rPr>
                <w:b/>
              </w:rPr>
              <w:t>:</w:t>
            </w:r>
          </w:p>
          <w:p w:rsidR="0048417A" w:rsidRPr="004D57B3" w:rsidRDefault="0048417A" w:rsidP="00836B55">
            <w:pPr>
              <w:pStyle w:val="TableText"/>
              <w:numPr>
                <w:ilvl w:val="0"/>
                <w:numId w:val="39"/>
              </w:numPr>
              <w:spacing w:before="0" w:after="0"/>
              <w:ind w:left="162" w:hanging="162"/>
            </w:pPr>
            <w:r w:rsidRPr="004D57B3">
              <w:t>Small bowel barium radiography</w:t>
            </w:r>
          </w:p>
          <w:p w:rsidR="0048417A" w:rsidRPr="004D57B3" w:rsidRDefault="0048417A" w:rsidP="00836B55">
            <w:pPr>
              <w:pStyle w:val="TableText"/>
              <w:numPr>
                <w:ilvl w:val="0"/>
                <w:numId w:val="39"/>
              </w:numPr>
              <w:spacing w:before="0" w:after="0"/>
              <w:ind w:left="162" w:hanging="162"/>
            </w:pPr>
            <w:r w:rsidRPr="004D57B3">
              <w:t xml:space="preserve">Push </w:t>
            </w:r>
            <w:proofErr w:type="spellStart"/>
            <w:r w:rsidRPr="004D57B3">
              <w:t>enteroscopy</w:t>
            </w:r>
            <w:proofErr w:type="spellEnd"/>
          </w:p>
          <w:p w:rsidR="0048417A" w:rsidRPr="004D57B3" w:rsidRDefault="0048417A" w:rsidP="00836B55">
            <w:pPr>
              <w:pStyle w:val="TableText"/>
              <w:numPr>
                <w:ilvl w:val="0"/>
                <w:numId w:val="39"/>
              </w:numPr>
              <w:spacing w:before="0" w:after="0"/>
              <w:ind w:left="162" w:hanging="162"/>
            </w:pPr>
            <w:r w:rsidRPr="004D57B3">
              <w:t xml:space="preserve">Colonoscopy with </w:t>
            </w:r>
            <w:proofErr w:type="spellStart"/>
            <w:r w:rsidRPr="004D57B3">
              <w:t>ileoscopy</w:t>
            </w:r>
            <w:proofErr w:type="spellEnd"/>
          </w:p>
          <w:p w:rsidR="0048417A" w:rsidRPr="004D57B3" w:rsidRDefault="0048417A" w:rsidP="00836B55">
            <w:pPr>
              <w:pStyle w:val="TableText"/>
              <w:numPr>
                <w:ilvl w:val="0"/>
                <w:numId w:val="39"/>
              </w:numPr>
              <w:spacing w:before="0" w:after="0"/>
              <w:ind w:left="162" w:hanging="162"/>
            </w:pPr>
            <w:r w:rsidRPr="004D57B3">
              <w:t>CT</w:t>
            </w:r>
            <w:r>
              <w:t>E</w:t>
            </w:r>
            <w:r w:rsidRPr="004D57B3">
              <w:t>/</w:t>
            </w:r>
            <w:proofErr w:type="spellStart"/>
            <w:r w:rsidRPr="004D57B3">
              <w:t>enteroclysis</w:t>
            </w:r>
            <w:proofErr w:type="spellEnd"/>
          </w:p>
          <w:p w:rsidR="0048417A" w:rsidRPr="004D57B3" w:rsidRDefault="0048417A" w:rsidP="00836B55">
            <w:pPr>
              <w:pStyle w:val="TableText"/>
              <w:numPr>
                <w:ilvl w:val="0"/>
                <w:numId w:val="39"/>
              </w:numPr>
              <w:spacing w:before="0" w:after="0"/>
              <w:ind w:left="162" w:hanging="162"/>
              <w:rPr>
                <w:szCs w:val="18"/>
              </w:rPr>
            </w:pPr>
            <w:r w:rsidRPr="004D57B3">
              <w:t>MRE</w:t>
            </w:r>
          </w:p>
          <w:p w:rsidR="0048417A" w:rsidRDefault="0048417A" w:rsidP="00836B55">
            <w:pPr>
              <w:pStyle w:val="TableText"/>
              <w:spacing w:before="0" w:after="0"/>
              <w:rPr>
                <w:b/>
                <w:szCs w:val="18"/>
              </w:rPr>
            </w:pPr>
          </w:p>
          <w:p w:rsidR="0048417A" w:rsidRPr="004D57B3" w:rsidRDefault="0048417A" w:rsidP="00836B55">
            <w:pPr>
              <w:pStyle w:val="TableText"/>
              <w:spacing w:before="0" w:after="0"/>
              <w:rPr>
                <w:szCs w:val="18"/>
              </w:rPr>
            </w:pPr>
            <w:r w:rsidRPr="004D57B3">
              <w:rPr>
                <w:b/>
                <w:szCs w:val="18"/>
              </w:rPr>
              <w:t>Outcome:</w:t>
            </w:r>
            <w:r w:rsidRPr="004D57B3">
              <w:rPr>
                <w:szCs w:val="18"/>
              </w:rPr>
              <w:t xml:space="preserve"> </w:t>
            </w:r>
            <w:r>
              <w:rPr>
                <w:szCs w:val="18"/>
              </w:rPr>
              <w:t>W</w:t>
            </w:r>
            <w:r w:rsidRPr="004D57B3">
              <w:rPr>
                <w:szCs w:val="18"/>
              </w:rPr>
              <w:t>eighted incremental diagnostic yield</w:t>
            </w:r>
          </w:p>
          <w:p w:rsidR="0048417A" w:rsidRPr="004D57B3" w:rsidRDefault="0048417A" w:rsidP="00836B55">
            <w:pPr>
              <w:pStyle w:val="TableText"/>
              <w:spacing w:before="0" w:after="0"/>
              <w:rPr>
                <w:b/>
                <w:szCs w:val="18"/>
              </w:rPr>
            </w:pPr>
          </w:p>
          <w:p w:rsidR="0048417A" w:rsidRPr="004D57B3" w:rsidRDefault="0048417A" w:rsidP="00836B55">
            <w:pPr>
              <w:pStyle w:val="TableText"/>
              <w:spacing w:before="0" w:after="0"/>
              <w:rPr>
                <w:b/>
                <w:szCs w:val="18"/>
              </w:rPr>
            </w:pPr>
            <w:r w:rsidRPr="004D57B3">
              <w:rPr>
                <w:b/>
                <w:szCs w:val="18"/>
              </w:rPr>
              <w:t>Reference standard/threshold:</w:t>
            </w:r>
          </w:p>
          <w:p w:rsidR="0048417A" w:rsidRPr="004D57B3" w:rsidRDefault="0048417A" w:rsidP="00836B55">
            <w:pPr>
              <w:pStyle w:val="TableText"/>
              <w:spacing w:before="0" w:after="0"/>
              <w:rPr>
                <w:szCs w:val="18"/>
              </w:rPr>
            </w:pPr>
            <w:r w:rsidRPr="004D57B3">
              <w:rPr>
                <w:szCs w:val="18"/>
              </w:rPr>
              <w:t>No reference standard.</w:t>
            </w:r>
          </w:p>
          <w:p w:rsidR="0048417A" w:rsidRPr="004D57B3" w:rsidRDefault="0048417A" w:rsidP="00836B55">
            <w:pPr>
              <w:pStyle w:val="TableText"/>
              <w:spacing w:before="0" w:after="0"/>
            </w:pPr>
            <w:r w:rsidRPr="004D57B3">
              <w:rPr>
                <w:szCs w:val="18"/>
              </w:rPr>
              <w:t>Positive test threshold defined within each study</w:t>
            </w:r>
            <w:r>
              <w:rPr>
                <w:szCs w:val="18"/>
              </w:rPr>
              <w:t>.</w:t>
            </w:r>
          </w:p>
        </w:tc>
        <w:tc>
          <w:tcPr>
            <w:tcW w:w="2579" w:type="dxa"/>
          </w:tcPr>
          <w:p w:rsidR="0048417A" w:rsidRPr="004D57B3" w:rsidRDefault="0048417A" w:rsidP="00836B55">
            <w:pPr>
              <w:pStyle w:val="TableText"/>
              <w:spacing w:before="0" w:after="0"/>
              <w:rPr>
                <w:rFonts w:cs="Garamond"/>
                <w:b/>
              </w:rPr>
            </w:pPr>
            <w:r w:rsidRPr="004D57B3">
              <w:rPr>
                <w:rFonts w:cs="Garamond"/>
                <w:b/>
              </w:rPr>
              <w:t>Overall conclusion</w:t>
            </w:r>
            <w:r>
              <w:rPr>
                <w:rFonts w:cs="Garamond"/>
                <w:b/>
              </w:rPr>
              <w:t>:</w:t>
            </w:r>
          </w:p>
          <w:p w:rsidR="0048417A" w:rsidRPr="004D57B3" w:rsidRDefault="0048417A" w:rsidP="00836B55">
            <w:pPr>
              <w:pStyle w:val="TableText"/>
              <w:spacing w:before="0" w:after="0"/>
            </w:pPr>
            <w:r w:rsidRPr="004D57B3">
              <w:t xml:space="preserve">Capsule endoscopy is superior to small bowel barium radiography, CT </w:t>
            </w:r>
            <w:proofErr w:type="spellStart"/>
            <w:r w:rsidRPr="004D57B3">
              <w:t>enterography</w:t>
            </w:r>
            <w:proofErr w:type="spellEnd"/>
            <w:r w:rsidRPr="004D57B3">
              <w:t>/</w:t>
            </w:r>
            <w:proofErr w:type="spellStart"/>
            <w:r w:rsidRPr="004D57B3">
              <w:t>enteroclysis</w:t>
            </w:r>
            <w:proofErr w:type="spellEnd"/>
            <w:r w:rsidRPr="004D57B3">
              <w:t xml:space="preserve">, and colonoscopy with </w:t>
            </w:r>
            <w:proofErr w:type="spellStart"/>
            <w:r w:rsidRPr="004D57B3">
              <w:t>ileoscopy</w:t>
            </w:r>
            <w:proofErr w:type="spellEnd"/>
            <w:r w:rsidRPr="004D57B3">
              <w:t xml:space="preserve"> in the diagnosis of adult patients with suspected non-</w:t>
            </w:r>
            <w:proofErr w:type="spellStart"/>
            <w:r w:rsidRPr="004D57B3">
              <w:t>stricturing</w:t>
            </w:r>
            <w:proofErr w:type="spellEnd"/>
            <w:r w:rsidRPr="004D57B3">
              <w:t xml:space="preserve"> Crohn’s disease, in virtue of its significantly higher weighted incremental diagnostic yield. It is not superior to MRE or push </w:t>
            </w:r>
            <w:proofErr w:type="spellStart"/>
            <w:r w:rsidRPr="004D57B3">
              <w:t>enteroscopy</w:t>
            </w:r>
            <w:proofErr w:type="spellEnd"/>
            <w:r w:rsidRPr="004D57B3">
              <w:t>.</w:t>
            </w:r>
          </w:p>
          <w:p w:rsidR="0048417A" w:rsidRPr="004D57B3" w:rsidRDefault="0048417A" w:rsidP="00836B55">
            <w:pPr>
              <w:pStyle w:val="TableText"/>
              <w:spacing w:before="0" w:after="0"/>
            </w:pPr>
          </w:p>
          <w:p w:rsidR="0048417A" w:rsidRPr="004D57B3" w:rsidRDefault="0048417A" w:rsidP="00836B55">
            <w:pPr>
              <w:pStyle w:val="TableText"/>
              <w:spacing w:before="0" w:after="0"/>
              <w:rPr>
                <w:rFonts w:cs="Arial"/>
              </w:rPr>
            </w:pPr>
            <w:r w:rsidRPr="004D57B3">
              <w:t>Capsule endoscopy is an important first</w:t>
            </w:r>
            <w:r>
              <w:t xml:space="preserve"> </w:t>
            </w:r>
            <w:r w:rsidRPr="004D57B3">
              <w:t xml:space="preserve">line diagnostic tool, especially when colonoscopy with </w:t>
            </w:r>
            <w:proofErr w:type="spellStart"/>
            <w:r w:rsidRPr="004D57B3">
              <w:t>ileoscopy</w:t>
            </w:r>
            <w:proofErr w:type="spellEnd"/>
            <w:r w:rsidRPr="004D57B3">
              <w:t xml:space="preserve"> is unsuccessful or undiagnostic.</w:t>
            </w:r>
          </w:p>
        </w:tc>
        <w:tc>
          <w:tcPr>
            <w:tcW w:w="2533" w:type="dxa"/>
          </w:tcPr>
          <w:p w:rsidR="0048417A" w:rsidRPr="004D57B3" w:rsidRDefault="0048417A" w:rsidP="00836B55">
            <w:pPr>
              <w:pStyle w:val="TableText"/>
              <w:spacing w:before="0" w:after="0"/>
              <w:rPr>
                <w:rFonts w:cs="Garamond"/>
                <w:b/>
              </w:rPr>
            </w:pPr>
            <w:r w:rsidRPr="004D57B3">
              <w:rPr>
                <w:rFonts w:cs="Garamond"/>
                <w:b/>
              </w:rPr>
              <w:t>Quality: FAIR</w:t>
            </w:r>
          </w:p>
          <w:p w:rsidR="0048417A" w:rsidRPr="004D57B3" w:rsidRDefault="0048417A" w:rsidP="00836B55">
            <w:pPr>
              <w:pStyle w:val="TableText"/>
              <w:spacing w:before="0" w:after="0"/>
              <w:rPr>
                <w:rFonts w:cs="Garamond"/>
              </w:rPr>
            </w:pPr>
            <w:r w:rsidRPr="004D57B3">
              <w:rPr>
                <w:rFonts w:cs="Garamond"/>
              </w:rPr>
              <w:t>Explicit review questions: yes</w:t>
            </w:r>
          </w:p>
          <w:p w:rsidR="0048417A" w:rsidRPr="004D57B3" w:rsidRDefault="0048417A" w:rsidP="00836B55">
            <w:pPr>
              <w:pStyle w:val="TableText"/>
              <w:spacing w:before="0" w:after="0"/>
              <w:rPr>
                <w:rFonts w:cs="Garamond"/>
              </w:rPr>
            </w:pPr>
            <w:r w:rsidRPr="004D57B3">
              <w:rPr>
                <w:rFonts w:cs="Garamond"/>
              </w:rPr>
              <w:t xml:space="preserve">Explicit </w:t>
            </w:r>
            <w:r>
              <w:rPr>
                <w:rFonts w:cs="Garamond"/>
              </w:rPr>
              <w:t>and</w:t>
            </w:r>
            <w:r w:rsidRPr="004D57B3">
              <w:rPr>
                <w:rFonts w:cs="Garamond"/>
              </w:rPr>
              <w:t xml:space="preserve"> appropriate eligibility criteria: yes</w:t>
            </w:r>
          </w:p>
          <w:p w:rsidR="0048417A" w:rsidRPr="004D57B3" w:rsidRDefault="0048417A" w:rsidP="00836B55">
            <w:pPr>
              <w:pStyle w:val="TableText"/>
              <w:spacing w:before="0" w:after="0"/>
              <w:rPr>
                <w:rFonts w:cs="Garamond"/>
              </w:rPr>
            </w:pPr>
            <w:r w:rsidRPr="004D57B3">
              <w:rPr>
                <w:rFonts w:cs="Garamond"/>
              </w:rPr>
              <w:t xml:space="preserve">Explicit </w:t>
            </w:r>
            <w:r>
              <w:rPr>
                <w:rFonts w:cs="Garamond"/>
              </w:rPr>
              <w:t>and</w:t>
            </w:r>
            <w:r w:rsidRPr="004D57B3">
              <w:rPr>
                <w:rFonts w:cs="Garamond"/>
              </w:rPr>
              <w:t xml:space="preserve"> comprehensive search strategy: yes</w:t>
            </w:r>
          </w:p>
          <w:p w:rsidR="0048417A" w:rsidRPr="004D57B3" w:rsidRDefault="0048417A" w:rsidP="00836B55">
            <w:pPr>
              <w:pStyle w:val="TableText"/>
              <w:spacing w:before="0" w:after="0"/>
              <w:rPr>
                <w:rFonts w:cs="Garamond"/>
              </w:rPr>
            </w:pPr>
            <w:r w:rsidRPr="004D57B3">
              <w:rPr>
                <w:rFonts w:cs="Garamond"/>
              </w:rPr>
              <w:t>Quality of included studies appraised: no</w:t>
            </w:r>
          </w:p>
          <w:p w:rsidR="0048417A" w:rsidRPr="004D57B3" w:rsidRDefault="0048417A" w:rsidP="00836B55">
            <w:pPr>
              <w:pStyle w:val="TableText"/>
              <w:spacing w:before="0" w:after="0"/>
              <w:rPr>
                <w:rFonts w:cs="Garamond"/>
              </w:rPr>
            </w:pPr>
            <w:r w:rsidRPr="004D57B3">
              <w:rPr>
                <w:rFonts w:cs="Garamond"/>
              </w:rPr>
              <w:t>Methods of study appraisal reproducible: N/A</w:t>
            </w:r>
          </w:p>
          <w:p w:rsidR="0048417A" w:rsidRPr="004D57B3" w:rsidRDefault="0048417A" w:rsidP="00836B55">
            <w:pPr>
              <w:pStyle w:val="TableText"/>
              <w:spacing w:before="0" w:after="0"/>
              <w:rPr>
                <w:rFonts w:cs="Garamond"/>
              </w:rPr>
            </w:pPr>
            <w:r w:rsidRPr="004D57B3">
              <w:rPr>
                <w:rFonts w:cs="Garamond"/>
              </w:rPr>
              <w:t>Heterogeneity between studies assessed: yes</w:t>
            </w:r>
          </w:p>
          <w:p w:rsidR="0048417A" w:rsidRPr="004D57B3" w:rsidRDefault="0048417A" w:rsidP="00836B55">
            <w:pPr>
              <w:pStyle w:val="TableText"/>
              <w:spacing w:before="0" w:after="0"/>
              <w:rPr>
                <w:rFonts w:cs="Garamond"/>
              </w:rPr>
            </w:pPr>
            <w:r w:rsidRPr="004D57B3">
              <w:rPr>
                <w:rFonts w:cs="Garamond"/>
              </w:rPr>
              <w:t>Summary of main results clear and appropriate: no</w:t>
            </w:r>
          </w:p>
          <w:p w:rsidR="0048417A" w:rsidRPr="004D57B3" w:rsidRDefault="0048417A" w:rsidP="00836B55">
            <w:pPr>
              <w:pStyle w:val="TableText"/>
              <w:spacing w:before="0" w:after="0"/>
              <w:rPr>
                <w:rFonts w:cs="Arial Unicode MS"/>
                <w:lang w:val="en-US"/>
              </w:rPr>
            </w:pPr>
          </w:p>
        </w:tc>
      </w:tr>
      <w:tr w:rsidR="0048417A" w:rsidRPr="004D57B3" w:rsidTr="00836B55">
        <w:tc>
          <w:tcPr>
            <w:tcW w:w="13410" w:type="dxa"/>
            <w:gridSpan w:val="6"/>
          </w:tcPr>
          <w:p w:rsidR="0048417A" w:rsidRPr="004D57B3" w:rsidRDefault="0048417A" w:rsidP="00836B55">
            <w:pPr>
              <w:pStyle w:val="TableText"/>
              <w:spacing w:before="0" w:after="0"/>
              <w:rPr>
                <w:i/>
                <w:szCs w:val="18"/>
                <w:u w:val="single"/>
              </w:rPr>
            </w:pPr>
            <w:r w:rsidRPr="004D57B3">
              <w:rPr>
                <w:b/>
                <w:szCs w:val="18"/>
                <w:u w:val="single"/>
              </w:rPr>
              <w:t>Results</w:t>
            </w:r>
            <w:r w:rsidRPr="004D57B3">
              <w:rPr>
                <w:i/>
                <w:szCs w:val="18"/>
                <w:u w:val="single"/>
              </w:rPr>
              <w:t xml:space="preserve"> </w:t>
            </w:r>
          </w:p>
          <w:p w:rsidR="0048417A" w:rsidRPr="004D57B3" w:rsidRDefault="0048417A" w:rsidP="00836B55">
            <w:pPr>
              <w:pStyle w:val="TableText"/>
              <w:spacing w:before="0" w:after="0"/>
              <w:rPr>
                <w:b/>
                <w:szCs w:val="18"/>
              </w:rPr>
            </w:pPr>
            <w:r w:rsidRPr="004D57B3">
              <w:rPr>
                <w:b/>
                <w:szCs w:val="18"/>
              </w:rPr>
              <w:lastRenderedPageBreak/>
              <w:t>Diagnostic performance:</w:t>
            </w:r>
          </w:p>
          <w:p w:rsidR="0048417A" w:rsidRPr="004D57B3" w:rsidRDefault="0048417A" w:rsidP="00836B55">
            <w:pPr>
              <w:pStyle w:val="TableText"/>
              <w:spacing w:before="0" w:after="0"/>
              <w:rPr>
                <w:b/>
                <w:szCs w:val="18"/>
              </w:rPr>
            </w:pPr>
            <w:r w:rsidRPr="004D57B3">
              <w:rPr>
                <w:b/>
                <w:szCs w:val="18"/>
              </w:rPr>
              <w:t>In patients with suspected Crohn’s disease:</w:t>
            </w:r>
          </w:p>
          <w:p w:rsidR="0048417A" w:rsidRPr="004D57B3" w:rsidRDefault="0048417A" w:rsidP="00836B55">
            <w:pPr>
              <w:pStyle w:val="TableText"/>
              <w:spacing w:before="0" w:after="0"/>
              <w:rPr>
                <w:i/>
                <w:szCs w:val="18"/>
              </w:rPr>
            </w:pPr>
          </w:p>
          <w:p w:rsidR="0048417A" w:rsidRPr="004D57B3" w:rsidRDefault="0048417A" w:rsidP="00836B55">
            <w:pPr>
              <w:pStyle w:val="TableText"/>
              <w:spacing w:before="0" w:after="0"/>
              <w:rPr>
                <w:i/>
                <w:szCs w:val="18"/>
              </w:rPr>
            </w:pPr>
            <w:r w:rsidRPr="004D57B3">
              <w:rPr>
                <w:i/>
                <w:szCs w:val="18"/>
              </w:rPr>
              <w:t xml:space="preserve">Weighted incremental yield of capsule endoscopy over: </w:t>
            </w:r>
          </w:p>
          <w:p w:rsidR="0048417A" w:rsidRPr="002F4A4F" w:rsidRDefault="0048417A" w:rsidP="00836B55">
            <w:pPr>
              <w:pStyle w:val="TableText"/>
              <w:spacing w:before="0" w:after="0"/>
              <w:rPr>
                <w:szCs w:val="18"/>
              </w:rPr>
            </w:pPr>
            <w:r w:rsidRPr="002F4A4F">
              <w:rPr>
                <w:szCs w:val="18"/>
              </w:rPr>
              <w:t xml:space="preserve">Small bowel barium radiography (8 trials, </w:t>
            </w:r>
            <w:r>
              <w:rPr>
                <w:szCs w:val="18"/>
              </w:rPr>
              <w:t>n</w:t>
            </w:r>
            <w:r w:rsidRPr="002F4A4F">
              <w:rPr>
                <w:szCs w:val="18"/>
              </w:rPr>
              <w:t>=155):</w:t>
            </w:r>
          </w:p>
          <w:p w:rsidR="0048417A" w:rsidRPr="004D57B3" w:rsidRDefault="0048417A" w:rsidP="00836B55">
            <w:pPr>
              <w:pStyle w:val="TableText"/>
              <w:spacing w:before="0" w:after="0"/>
              <w:rPr>
                <w:szCs w:val="18"/>
              </w:rPr>
            </w:pPr>
            <w:r w:rsidRPr="004D57B3">
              <w:rPr>
                <w:szCs w:val="18"/>
              </w:rPr>
              <w:t>32% (95% CI = 16-48%; p &lt; 0.0001), REM.</w:t>
            </w:r>
          </w:p>
          <w:p w:rsidR="0048417A" w:rsidRPr="004D57B3" w:rsidRDefault="0048417A" w:rsidP="00836B55">
            <w:pPr>
              <w:pStyle w:val="TableText"/>
              <w:spacing w:before="0" w:after="0"/>
              <w:rPr>
                <w:szCs w:val="18"/>
              </w:rPr>
            </w:pPr>
          </w:p>
          <w:p w:rsidR="0048417A" w:rsidRPr="004D57B3" w:rsidRDefault="0048417A" w:rsidP="00836B55">
            <w:pPr>
              <w:pStyle w:val="TableText"/>
              <w:spacing w:before="0" w:after="0"/>
              <w:rPr>
                <w:szCs w:val="18"/>
              </w:rPr>
            </w:pPr>
            <w:r w:rsidRPr="004D57B3">
              <w:rPr>
                <w:szCs w:val="18"/>
              </w:rPr>
              <w:t xml:space="preserve">CT </w:t>
            </w:r>
            <w:proofErr w:type="spellStart"/>
            <w:r w:rsidRPr="004D57B3">
              <w:rPr>
                <w:szCs w:val="18"/>
              </w:rPr>
              <w:t>enterography</w:t>
            </w:r>
            <w:proofErr w:type="spellEnd"/>
            <w:r w:rsidRPr="004D57B3">
              <w:rPr>
                <w:szCs w:val="18"/>
              </w:rPr>
              <w:t>/</w:t>
            </w:r>
            <w:proofErr w:type="spellStart"/>
            <w:r w:rsidRPr="004D57B3">
              <w:rPr>
                <w:szCs w:val="18"/>
              </w:rPr>
              <w:t>enteroclysis</w:t>
            </w:r>
            <w:proofErr w:type="spellEnd"/>
            <w:r w:rsidRPr="004D57B3">
              <w:rPr>
                <w:szCs w:val="18"/>
              </w:rPr>
              <w:t xml:space="preserve"> (3 trials, </w:t>
            </w:r>
            <w:r>
              <w:rPr>
                <w:szCs w:val="18"/>
              </w:rPr>
              <w:t>n</w:t>
            </w:r>
            <w:r w:rsidRPr="004D57B3">
              <w:rPr>
                <w:szCs w:val="18"/>
              </w:rPr>
              <w:t>=53):</w:t>
            </w:r>
          </w:p>
          <w:p w:rsidR="0048417A" w:rsidRPr="004D57B3" w:rsidRDefault="0048417A" w:rsidP="00836B55">
            <w:pPr>
              <w:pStyle w:val="TableText"/>
              <w:spacing w:before="0" w:after="0"/>
              <w:rPr>
                <w:szCs w:val="18"/>
              </w:rPr>
            </w:pPr>
            <w:r w:rsidRPr="004D57B3">
              <w:rPr>
                <w:szCs w:val="18"/>
              </w:rPr>
              <w:t>47% (95% CI = 31-63%, P &lt; 0.00001), REM.</w:t>
            </w:r>
          </w:p>
          <w:p w:rsidR="0048417A" w:rsidRPr="004D57B3" w:rsidRDefault="0048417A" w:rsidP="00836B55">
            <w:pPr>
              <w:pStyle w:val="TableText"/>
              <w:spacing w:before="0" w:after="0"/>
              <w:rPr>
                <w:szCs w:val="18"/>
              </w:rPr>
            </w:pPr>
          </w:p>
          <w:p w:rsidR="0048417A" w:rsidRPr="004D57B3" w:rsidRDefault="0048417A" w:rsidP="00836B55">
            <w:pPr>
              <w:pStyle w:val="TableText"/>
              <w:spacing w:before="0" w:after="0"/>
              <w:rPr>
                <w:szCs w:val="18"/>
              </w:rPr>
            </w:pPr>
            <w:r w:rsidRPr="004D57B3">
              <w:rPr>
                <w:szCs w:val="18"/>
              </w:rPr>
              <w:t xml:space="preserve">Colonoscopy with </w:t>
            </w:r>
            <w:proofErr w:type="spellStart"/>
            <w:r w:rsidRPr="004D57B3">
              <w:rPr>
                <w:szCs w:val="18"/>
              </w:rPr>
              <w:t>ileoscopy</w:t>
            </w:r>
            <w:proofErr w:type="spellEnd"/>
            <w:r w:rsidRPr="004D57B3">
              <w:rPr>
                <w:szCs w:val="18"/>
              </w:rPr>
              <w:t xml:space="preserve"> (4 trials, </w:t>
            </w:r>
            <w:r>
              <w:rPr>
                <w:szCs w:val="18"/>
              </w:rPr>
              <w:t>n</w:t>
            </w:r>
            <w:r w:rsidRPr="004D57B3">
              <w:rPr>
                <w:szCs w:val="18"/>
              </w:rPr>
              <w:t>=59):</w:t>
            </w:r>
          </w:p>
          <w:p w:rsidR="0048417A" w:rsidRPr="004D57B3" w:rsidRDefault="0048417A" w:rsidP="00836B55">
            <w:pPr>
              <w:pStyle w:val="TableText"/>
              <w:spacing w:before="0" w:after="0"/>
              <w:rPr>
                <w:szCs w:val="18"/>
              </w:rPr>
            </w:pPr>
            <w:r w:rsidRPr="004D57B3">
              <w:rPr>
                <w:szCs w:val="18"/>
              </w:rPr>
              <w:t>22% (95% CI = 5-39%, P = 0.009), FEM.</w:t>
            </w:r>
          </w:p>
          <w:p w:rsidR="0048417A" w:rsidRPr="004D57B3" w:rsidRDefault="0048417A" w:rsidP="00836B55">
            <w:pPr>
              <w:pStyle w:val="TableText"/>
              <w:spacing w:before="0" w:after="0"/>
              <w:rPr>
                <w:szCs w:val="18"/>
              </w:rPr>
            </w:pPr>
          </w:p>
          <w:p w:rsidR="0048417A" w:rsidRPr="004D57B3" w:rsidRDefault="0048417A" w:rsidP="00836B55">
            <w:pPr>
              <w:pStyle w:val="TableText"/>
              <w:spacing w:before="0" w:after="0"/>
              <w:rPr>
                <w:szCs w:val="18"/>
              </w:rPr>
            </w:pPr>
            <w:r w:rsidRPr="004D57B3">
              <w:rPr>
                <w:szCs w:val="18"/>
              </w:rPr>
              <w:t xml:space="preserve">Push </w:t>
            </w:r>
            <w:proofErr w:type="spellStart"/>
            <w:r w:rsidRPr="004D57B3">
              <w:rPr>
                <w:szCs w:val="18"/>
              </w:rPr>
              <w:t>enteroscopy</w:t>
            </w:r>
            <w:proofErr w:type="spellEnd"/>
            <w:r w:rsidRPr="004D57B3">
              <w:rPr>
                <w:szCs w:val="18"/>
              </w:rPr>
              <w:t xml:space="preserve"> (2 trials, </w:t>
            </w:r>
            <w:r>
              <w:rPr>
                <w:szCs w:val="18"/>
              </w:rPr>
              <w:t>n</w:t>
            </w:r>
            <w:r w:rsidRPr="004D57B3">
              <w:rPr>
                <w:szCs w:val="18"/>
              </w:rPr>
              <w:t>=46):</w:t>
            </w:r>
          </w:p>
          <w:p w:rsidR="0048417A" w:rsidRPr="004D57B3" w:rsidRDefault="0048417A" w:rsidP="00836B55">
            <w:pPr>
              <w:pStyle w:val="TableText"/>
              <w:spacing w:before="0" w:after="0"/>
              <w:rPr>
                <w:szCs w:val="18"/>
              </w:rPr>
            </w:pPr>
            <w:r w:rsidRPr="004D57B3">
              <w:rPr>
                <w:szCs w:val="18"/>
              </w:rPr>
              <w:t xml:space="preserve">18% (95% CI = </w:t>
            </w:r>
            <w:r>
              <w:rPr>
                <w:szCs w:val="18"/>
              </w:rPr>
              <w:t>–</w:t>
            </w:r>
            <w:r w:rsidRPr="004D57B3">
              <w:rPr>
                <w:szCs w:val="18"/>
              </w:rPr>
              <w:t>23-59%, P = 0.39), FEM.</w:t>
            </w:r>
          </w:p>
          <w:p w:rsidR="0048417A" w:rsidRPr="004D57B3" w:rsidRDefault="0048417A" w:rsidP="00836B55">
            <w:pPr>
              <w:pStyle w:val="TableText"/>
              <w:spacing w:before="0" w:after="0"/>
              <w:rPr>
                <w:szCs w:val="18"/>
              </w:rPr>
            </w:pPr>
          </w:p>
          <w:p w:rsidR="0048417A" w:rsidRPr="004D57B3" w:rsidRDefault="0048417A" w:rsidP="00836B55">
            <w:pPr>
              <w:pStyle w:val="TableText"/>
              <w:spacing w:before="0" w:after="0"/>
              <w:rPr>
                <w:szCs w:val="18"/>
              </w:rPr>
            </w:pPr>
            <w:r>
              <w:rPr>
                <w:szCs w:val="18"/>
              </w:rPr>
              <w:t>MRE</w:t>
            </w:r>
            <w:r w:rsidRPr="004D57B3">
              <w:rPr>
                <w:szCs w:val="18"/>
              </w:rPr>
              <w:t xml:space="preserve"> (3 trials, </w:t>
            </w:r>
            <w:r>
              <w:rPr>
                <w:szCs w:val="18"/>
              </w:rPr>
              <w:t>n</w:t>
            </w:r>
            <w:r w:rsidRPr="004D57B3">
              <w:rPr>
                <w:szCs w:val="18"/>
              </w:rPr>
              <w:t>=31):</w:t>
            </w:r>
          </w:p>
          <w:p w:rsidR="0048417A" w:rsidRPr="004D57B3" w:rsidRDefault="0048417A" w:rsidP="00836B55">
            <w:pPr>
              <w:pStyle w:val="TableText"/>
              <w:spacing w:before="0" w:after="0"/>
              <w:rPr>
                <w:szCs w:val="18"/>
              </w:rPr>
            </w:pPr>
            <w:r w:rsidRPr="004D57B3">
              <w:rPr>
                <w:szCs w:val="18"/>
              </w:rPr>
              <w:t xml:space="preserve">10% (95% CI = </w:t>
            </w:r>
            <w:r>
              <w:rPr>
                <w:szCs w:val="18"/>
              </w:rPr>
              <w:t>–</w:t>
            </w:r>
            <w:r w:rsidRPr="004D57B3">
              <w:rPr>
                <w:szCs w:val="18"/>
              </w:rPr>
              <w:t>14-34%, P = 0.43), FEM.</w:t>
            </w:r>
          </w:p>
          <w:p w:rsidR="0048417A" w:rsidRPr="004D57B3" w:rsidRDefault="0048417A" w:rsidP="00836B55">
            <w:pPr>
              <w:pStyle w:val="TableText"/>
              <w:spacing w:before="0" w:after="0"/>
              <w:rPr>
                <w:szCs w:val="18"/>
              </w:rPr>
            </w:pPr>
          </w:p>
          <w:p w:rsidR="0048417A" w:rsidRPr="004D57B3" w:rsidRDefault="0048417A" w:rsidP="00836B55">
            <w:pPr>
              <w:pStyle w:val="TableText"/>
              <w:spacing w:before="0" w:after="0"/>
              <w:rPr>
                <w:szCs w:val="18"/>
              </w:rPr>
            </w:pPr>
            <w:r w:rsidRPr="004D57B3">
              <w:rPr>
                <w:szCs w:val="18"/>
              </w:rPr>
              <w:t>FEM = fixed effects model, REM = random effects model</w:t>
            </w:r>
          </w:p>
          <w:p w:rsidR="0048417A" w:rsidRPr="004D57B3" w:rsidRDefault="0048417A" w:rsidP="00836B55">
            <w:pPr>
              <w:pStyle w:val="TableText"/>
              <w:spacing w:before="0" w:after="0"/>
              <w:rPr>
                <w:szCs w:val="18"/>
              </w:rPr>
            </w:pPr>
          </w:p>
          <w:p w:rsidR="0048417A" w:rsidRPr="004D57B3" w:rsidRDefault="0048417A" w:rsidP="00836B55">
            <w:pPr>
              <w:pStyle w:val="TableText"/>
              <w:spacing w:before="0" w:after="0"/>
              <w:rPr>
                <w:szCs w:val="18"/>
              </w:rPr>
            </w:pPr>
            <w:r w:rsidRPr="004D57B3">
              <w:rPr>
                <w:szCs w:val="18"/>
              </w:rPr>
              <w:t xml:space="preserve">A sensitivity analysis was conducted using the highest quality trials that compared capsule endoscopy with small bowel barium radiography in patients with suspected Crohn’s disease (8 trials, </w:t>
            </w:r>
            <w:r>
              <w:rPr>
                <w:szCs w:val="18"/>
              </w:rPr>
              <w:t>n</w:t>
            </w:r>
            <w:r w:rsidRPr="004D57B3">
              <w:rPr>
                <w:szCs w:val="18"/>
              </w:rPr>
              <w:t xml:space="preserve">=126). Suitability for the sensitivity analysis was based on studies being blinded and published as full manuscripts. Using the </w:t>
            </w:r>
            <w:proofErr w:type="spellStart"/>
            <w:r w:rsidRPr="004D57B3">
              <w:rPr>
                <w:szCs w:val="18"/>
              </w:rPr>
              <w:t>DerSimonian</w:t>
            </w:r>
            <w:proofErr w:type="spellEnd"/>
            <w:r w:rsidRPr="004D57B3">
              <w:rPr>
                <w:szCs w:val="18"/>
              </w:rPr>
              <w:t>-Laird random effect</w:t>
            </w:r>
            <w:r>
              <w:rPr>
                <w:szCs w:val="18"/>
              </w:rPr>
              <w:t>s</w:t>
            </w:r>
            <w:r w:rsidRPr="004D57B3">
              <w:rPr>
                <w:szCs w:val="18"/>
              </w:rPr>
              <w:t xml:space="preserve"> model due to the presence of heterogeneity, it was found that in patients with suspected Crohn’s disease, capsule endoscopy has a non</w:t>
            </w:r>
            <w:r>
              <w:rPr>
                <w:szCs w:val="18"/>
              </w:rPr>
              <w:t>-</w:t>
            </w:r>
            <w:r w:rsidRPr="004D57B3">
              <w:rPr>
                <w:szCs w:val="18"/>
              </w:rPr>
              <w:t xml:space="preserve">statistically significant weighted incremental diagnostic yield of 22% (95% CI = </w:t>
            </w:r>
            <w:r>
              <w:rPr>
                <w:szCs w:val="18"/>
              </w:rPr>
              <w:t>–</w:t>
            </w:r>
            <w:r w:rsidRPr="004D57B3">
              <w:rPr>
                <w:szCs w:val="18"/>
              </w:rPr>
              <w:t>1-44%; p = 0.06) compared with small bowel barium radiography.</w:t>
            </w:r>
          </w:p>
          <w:p w:rsidR="0048417A" w:rsidRPr="004D57B3" w:rsidRDefault="0048417A" w:rsidP="00836B55">
            <w:pPr>
              <w:pStyle w:val="TableText"/>
              <w:spacing w:before="0" w:after="0"/>
              <w:rPr>
                <w:b/>
                <w:szCs w:val="18"/>
              </w:rPr>
            </w:pPr>
          </w:p>
          <w:p w:rsidR="0048417A" w:rsidRPr="004D57B3" w:rsidRDefault="0048417A" w:rsidP="00836B55">
            <w:pPr>
              <w:pStyle w:val="TableText"/>
              <w:spacing w:before="0" w:after="0"/>
              <w:rPr>
                <w:b/>
                <w:szCs w:val="18"/>
              </w:rPr>
            </w:pPr>
            <w:r w:rsidRPr="004D57B3">
              <w:rPr>
                <w:b/>
                <w:szCs w:val="18"/>
              </w:rPr>
              <w:t xml:space="preserve">Change in management: </w:t>
            </w:r>
            <w:r>
              <w:rPr>
                <w:b/>
                <w:szCs w:val="18"/>
              </w:rPr>
              <w:t>nr</w:t>
            </w:r>
          </w:p>
          <w:p w:rsidR="0048417A" w:rsidRPr="004D57B3" w:rsidRDefault="0048417A" w:rsidP="00836B55">
            <w:pPr>
              <w:pStyle w:val="TableText"/>
              <w:spacing w:before="0" w:after="0"/>
              <w:rPr>
                <w:b/>
                <w:szCs w:val="18"/>
              </w:rPr>
            </w:pPr>
            <w:r w:rsidRPr="004D57B3">
              <w:rPr>
                <w:b/>
                <w:szCs w:val="18"/>
              </w:rPr>
              <w:t xml:space="preserve">Health outcomes: </w:t>
            </w:r>
            <w:r>
              <w:rPr>
                <w:b/>
                <w:szCs w:val="18"/>
              </w:rPr>
              <w:t>nr</w:t>
            </w:r>
          </w:p>
          <w:p w:rsidR="0048417A" w:rsidRDefault="0048417A" w:rsidP="00260BB3">
            <w:pPr>
              <w:pStyle w:val="TableText"/>
              <w:spacing w:before="0" w:after="0"/>
              <w:rPr>
                <w:b/>
                <w:szCs w:val="18"/>
              </w:rPr>
            </w:pPr>
            <w:r w:rsidRPr="004D57B3">
              <w:rPr>
                <w:b/>
                <w:szCs w:val="18"/>
              </w:rPr>
              <w:t xml:space="preserve">Adverse effects: </w:t>
            </w:r>
            <w:r>
              <w:rPr>
                <w:b/>
                <w:szCs w:val="18"/>
              </w:rPr>
              <w:t>nr</w:t>
            </w:r>
          </w:p>
          <w:p w:rsidR="0048417A" w:rsidRPr="00260BB3" w:rsidRDefault="0048417A" w:rsidP="00836B55">
            <w:pPr>
              <w:pStyle w:val="TableText"/>
              <w:rPr>
                <w:b/>
                <w:bCs/>
                <w:sz w:val="144"/>
                <w:szCs w:val="144"/>
              </w:rPr>
            </w:pPr>
          </w:p>
        </w:tc>
      </w:tr>
    </w:tbl>
    <w:p w:rsidR="0048417A" w:rsidRPr="004D57B3" w:rsidRDefault="0048417A" w:rsidP="00836B55"/>
    <w:p w:rsidR="0048417A" w:rsidRPr="004D57B3" w:rsidRDefault="0048417A" w:rsidP="00836B55"/>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159"/>
        <w:gridCol w:w="2159"/>
        <w:gridCol w:w="2159"/>
        <w:gridCol w:w="2159"/>
        <w:gridCol w:w="2611"/>
      </w:tblGrid>
      <w:tr w:rsidR="0048417A" w:rsidRPr="004D57B3" w:rsidTr="00836B55">
        <w:trPr>
          <w:tblHeader/>
        </w:trPr>
        <w:tc>
          <w:tcPr>
            <w:tcW w:w="13406" w:type="dxa"/>
            <w:gridSpan w:val="6"/>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lastRenderedPageBreak/>
              <w:t>HTA and systematic reviews</w:t>
            </w:r>
          </w:p>
        </w:tc>
      </w:tr>
      <w:tr w:rsidR="0048417A" w:rsidRPr="004D57B3" w:rsidTr="00836B55">
        <w:tc>
          <w:tcPr>
            <w:tcW w:w="2159"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Author/Year</w:t>
            </w:r>
          </w:p>
        </w:tc>
        <w:tc>
          <w:tcPr>
            <w:tcW w:w="2159"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Objective of report</w:t>
            </w:r>
          </w:p>
        </w:tc>
        <w:tc>
          <w:tcPr>
            <w:tcW w:w="2159"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 xml:space="preserve">Number </w:t>
            </w:r>
            <w:r>
              <w:rPr>
                <w:rFonts w:ascii="Arial Narrow" w:hAnsi="Arial Narrow"/>
                <w:b/>
                <w:bCs/>
                <w:sz w:val="18"/>
                <w:szCs w:val="18"/>
              </w:rPr>
              <w:t>and</w:t>
            </w:r>
            <w:r w:rsidRPr="004D57B3">
              <w:rPr>
                <w:rFonts w:ascii="Arial Narrow" w:hAnsi="Arial Narrow"/>
                <w:b/>
                <w:bCs/>
                <w:sz w:val="18"/>
                <w:szCs w:val="18"/>
              </w:rPr>
              <w:t xml:space="preserve"> publication dates of included studies</w:t>
            </w:r>
          </w:p>
        </w:tc>
        <w:tc>
          <w:tcPr>
            <w:tcW w:w="2159"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Population considered in included studies </w:t>
            </w:r>
          </w:p>
          <w:p w:rsidR="0048417A" w:rsidRPr="004D57B3" w:rsidRDefault="0048417A" w:rsidP="00836B55">
            <w:pPr>
              <w:keepNext/>
              <w:spacing w:after="0"/>
              <w:ind w:left="57" w:right="57"/>
              <w:rPr>
                <w:rFonts w:ascii="Arial Narrow" w:hAnsi="Arial Narrow"/>
                <w:b/>
                <w:bCs/>
                <w:sz w:val="18"/>
                <w:szCs w:val="18"/>
              </w:rPr>
            </w:pP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Test comparison</w:t>
            </w:r>
          </w:p>
        </w:tc>
        <w:tc>
          <w:tcPr>
            <w:tcW w:w="2159"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Conclusions/ recommendation</w:t>
            </w:r>
          </w:p>
        </w:tc>
        <w:tc>
          <w:tcPr>
            <w:tcW w:w="2611"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c>
          <w:tcPr>
            <w:tcW w:w="2159"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lang w:val="nl-NL"/>
              </w:rPr>
            </w:pPr>
            <w:r w:rsidRPr="004D57B3">
              <w:rPr>
                <w:rFonts w:ascii="Arial Narrow" w:hAnsi="Arial Narrow" w:cs="Garamond"/>
                <w:sz w:val="18"/>
                <w:szCs w:val="18"/>
                <w:lang w:val="nl-NL"/>
              </w:rPr>
              <w:t>Varela</w:t>
            </w:r>
            <w:r>
              <w:rPr>
                <w:rFonts w:ascii="Arial Narrow" w:hAnsi="Arial Narrow" w:cs="Garamond"/>
                <w:sz w:val="18"/>
                <w:szCs w:val="18"/>
                <w:lang w:val="nl-NL"/>
              </w:rPr>
              <w:t>-</w:t>
            </w:r>
            <w:r w:rsidRPr="004D57B3">
              <w:rPr>
                <w:rFonts w:ascii="Arial Narrow" w:hAnsi="Arial Narrow" w:cs="Garamond"/>
                <w:sz w:val="18"/>
                <w:szCs w:val="18"/>
                <w:lang w:val="nl-NL"/>
              </w:rPr>
              <w:t xml:space="preserve">Lema et al </w:t>
            </w:r>
            <w:r>
              <w:rPr>
                <w:rFonts w:ascii="Arial Narrow" w:hAnsi="Arial Narrow" w:cs="Garamond"/>
                <w:sz w:val="18"/>
                <w:szCs w:val="18"/>
                <w:lang w:val="nl-NL"/>
              </w:rPr>
              <w:t>(</w:t>
            </w:r>
            <w:r w:rsidRPr="004D57B3">
              <w:rPr>
                <w:rFonts w:ascii="Arial Narrow" w:hAnsi="Arial Narrow" w:cs="Garamond"/>
                <w:sz w:val="18"/>
                <w:szCs w:val="18"/>
                <w:lang w:val="nl-NL"/>
              </w:rPr>
              <w:t>2008</w:t>
            </w:r>
            <w:r>
              <w:rPr>
                <w:rFonts w:ascii="Arial Narrow" w:hAnsi="Arial Narrow" w:cs="Garamond"/>
                <w:sz w:val="18"/>
                <w:szCs w:val="18"/>
                <w:lang w:val="nl-NL"/>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lang w:val="nl-NL"/>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lang w:val="nl-NL"/>
              </w:rPr>
            </w:pPr>
            <w:r w:rsidRPr="004D57B3">
              <w:rPr>
                <w:rFonts w:ascii="Arial Narrow" w:hAnsi="Arial Narrow" w:cs="Garamond"/>
                <w:sz w:val="18"/>
                <w:szCs w:val="18"/>
                <w:lang w:val="nl-NL"/>
              </w:rPr>
              <w:t>Spain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lang w:val="nl-NL"/>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lang w:val="nl-NL"/>
              </w:rPr>
            </w:pPr>
            <w:r w:rsidRPr="004D57B3">
              <w:rPr>
                <w:rFonts w:ascii="Arial Narrow" w:hAnsi="Arial Narrow" w:cs="Garamond"/>
                <w:sz w:val="18"/>
                <w:szCs w:val="18"/>
                <w:lang w:val="nl-NL"/>
              </w:rPr>
              <w:t>GAHTA</w:t>
            </w:r>
          </w:p>
          <w:p w:rsidR="0048417A" w:rsidRPr="004D57B3" w:rsidRDefault="0048417A" w:rsidP="00836B55">
            <w:pPr>
              <w:keepNext/>
              <w:spacing w:after="0"/>
              <w:ind w:left="57" w:right="57"/>
              <w:rPr>
                <w:rFonts w:ascii="Arial Narrow" w:hAnsi="Arial Narrow"/>
                <w:b/>
                <w:bCs/>
                <w:sz w:val="18"/>
                <w:szCs w:val="18"/>
                <w:lang w:val="nl-NL"/>
              </w:rPr>
            </w:pPr>
          </w:p>
        </w:tc>
        <w:tc>
          <w:tcPr>
            <w:tcW w:w="2159"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assess the effectiveness, safety and clinical use of capsule endoscopy in the diagnosis of small bowel diseases.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Indications:</w:t>
            </w:r>
          </w:p>
          <w:p w:rsidR="0048417A" w:rsidRPr="004D57B3" w:rsidRDefault="0048417A" w:rsidP="00836B55">
            <w:pPr>
              <w:numPr>
                <w:ilvl w:val="0"/>
                <w:numId w:val="37"/>
              </w:numPr>
              <w:spacing w:after="0"/>
              <w:ind w:left="251" w:hanging="194"/>
              <w:rPr>
                <w:rFonts w:ascii="Arial Narrow" w:hAnsi="Arial Narrow"/>
                <w:sz w:val="18"/>
                <w:szCs w:val="18"/>
                <w:lang w:val="de-DE"/>
              </w:rPr>
            </w:pPr>
            <w:r>
              <w:rPr>
                <w:rFonts w:ascii="Arial Narrow" w:hAnsi="Arial Narrow"/>
                <w:sz w:val="18"/>
                <w:szCs w:val="18"/>
                <w:lang w:val="de-DE"/>
              </w:rPr>
              <w:t>OGIB</w:t>
            </w:r>
          </w:p>
          <w:p w:rsidR="0048417A" w:rsidRPr="004D57B3" w:rsidRDefault="0048417A" w:rsidP="00836B55">
            <w:pPr>
              <w:numPr>
                <w:ilvl w:val="0"/>
                <w:numId w:val="37"/>
              </w:numPr>
              <w:spacing w:after="0"/>
              <w:ind w:left="251" w:hanging="194"/>
              <w:rPr>
                <w:rFonts w:ascii="Arial Narrow" w:hAnsi="Arial Narrow"/>
                <w:sz w:val="18"/>
                <w:szCs w:val="18"/>
                <w:lang w:val="de-DE"/>
              </w:rPr>
            </w:pPr>
            <w:r w:rsidRPr="004D57B3">
              <w:rPr>
                <w:rFonts w:ascii="Arial Narrow" w:hAnsi="Arial Narrow"/>
                <w:sz w:val="18"/>
                <w:szCs w:val="18"/>
                <w:lang w:val="de-DE"/>
              </w:rPr>
              <w:t>Crohn’s disease - suspected and established</w:t>
            </w:r>
          </w:p>
          <w:p w:rsidR="0048417A" w:rsidRPr="004D57B3" w:rsidRDefault="0048417A" w:rsidP="00836B55">
            <w:pPr>
              <w:numPr>
                <w:ilvl w:val="0"/>
                <w:numId w:val="37"/>
              </w:numPr>
              <w:spacing w:after="0"/>
              <w:ind w:left="251" w:hanging="194"/>
              <w:rPr>
                <w:rFonts w:ascii="Arial Narrow" w:hAnsi="Arial Narrow"/>
                <w:sz w:val="18"/>
                <w:szCs w:val="18"/>
                <w:lang w:val="de-DE"/>
              </w:rPr>
            </w:pPr>
            <w:r w:rsidRPr="004D57B3">
              <w:rPr>
                <w:rFonts w:ascii="Arial Narrow" w:hAnsi="Arial Narrow"/>
                <w:sz w:val="18"/>
                <w:szCs w:val="18"/>
                <w:lang w:val="de-DE"/>
              </w:rPr>
              <w:t>Hereditary polyposis syndromes</w:t>
            </w:r>
          </w:p>
          <w:p w:rsidR="0048417A" w:rsidRPr="004D57B3" w:rsidRDefault="0048417A" w:rsidP="00836B55">
            <w:pPr>
              <w:numPr>
                <w:ilvl w:val="0"/>
                <w:numId w:val="37"/>
              </w:numPr>
              <w:spacing w:after="0"/>
              <w:ind w:left="251" w:hanging="194"/>
              <w:rPr>
                <w:rFonts w:ascii="Arial Narrow" w:hAnsi="Arial Narrow"/>
                <w:sz w:val="18"/>
                <w:szCs w:val="18"/>
                <w:lang w:val="de-DE"/>
              </w:rPr>
            </w:pPr>
            <w:r w:rsidRPr="004D57B3">
              <w:rPr>
                <w:rFonts w:ascii="Arial Narrow" w:hAnsi="Arial Narrow"/>
                <w:sz w:val="18"/>
                <w:szCs w:val="18"/>
                <w:lang w:val="de-DE"/>
              </w:rPr>
              <w:t xml:space="preserve">Celiac disease </w:t>
            </w:r>
          </w:p>
          <w:p w:rsidR="0048417A" w:rsidRPr="004D57B3" w:rsidRDefault="0048417A" w:rsidP="00836B55">
            <w:pPr>
              <w:numPr>
                <w:ilvl w:val="0"/>
                <w:numId w:val="37"/>
              </w:numPr>
              <w:spacing w:after="0"/>
              <w:ind w:left="251" w:hanging="194"/>
              <w:rPr>
                <w:rFonts w:ascii="Arial Narrow" w:hAnsi="Arial Narrow"/>
                <w:sz w:val="18"/>
                <w:szCs w:val="18"/>
                <w:lang w:val="de-DE"/>
              </w:rPr>
            </w:pPr>
            <w:r w:rsidRPr="004D57B3">
              <w:rPr>
                <w:rFonts w:ascii="Arial Narrow" w:hAnsi="Arial Narrow"/>
                <w:sz w:val="18"/>
                <w:szCs w:val="18"/>
                <w:lang w:val="de-DE"/>
              </w:rPr>
              <w:t>Chronic abdominal pain and other disorders</w:t>
            </w:r>
          </w:p>
          <w:p w:rsidR="0048417A" w:rsidRPr="004D57B3" w:rsidRDefault="0048417A" w:rsidP="00836B55">
            <w:pPr>
              <w:spacing w:after="0"/>
              <w:ind w:left="57"/>
              <w:rPr>
                <w:rFonts w:ascii="Arial Narrow" w:hAnsi="Arial Narrow"/>
                <w:sz w:val="18"/>
                <w:szCs w:val="18"/>
                <w:lang w:val="de-DE"/>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cs="Garamond"/>
                <w:sz w:val="18"/>
                <w:szCs w:val="18"/>
              </w:rPr>
              <w:t>Systematic review using qualitative data synthesis.</w:t>
            </w:r>
          </w:p>
        </w:tc>
        <w:tc>
          <w:tcPr>
            <w:tcW w:w="2159" w:type="dxa"/>
          </w:tcPr>
          <w:p w:rsidR="0048417A" w:rsidRPr="004D57B3" w:rsidRDefault="0048417A" w:rsidP="00836B55">
            <w:pPr>
              <w:keepNext/>
              <w:autoSpaceDE w:val="0"/>
              <w:autoSpaceDN w:val="0"/>
              <w:adjustRightInd w:val="0"/>
              <w:ind w:left="57" w:right="57"/>
              <w:rPr>
                <w:rFonts w:ascii="Arial Narrow" w:hAnsi="Arial Narrow" w:cs="Garamond"/>
                <w:i/>
                <w:sz w:val="18"/>
                <w:szCs w:val="18"/>
              </w:rPr>
            </w:pPr>
            <w:r w:rsidRPr="004D57B3">
              <w:rPr>
                <w:rFonts w:ascii="Arial Narrow" w:hAnsi="Arial Narrow" w:cs="Garamond"/>
                <w:sz w:val="18"/>
                <w:szCs w:val="18"/>
              </w:rPr>
              <w:t>9 primary studies were included for the indications of suspected and/or established Crohn’s disease. 9 systematic reviews were included that addressed small bowel diseases in general (see indications section).</w:t>
            </w:r>
          </w:p>
          <w:p w:rsidR="0048417A"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Search method and date range: </w:t>
            </w:r>
          </w:p>
          <w:p w:rsidR="0048417A" w:rsidRPr="004D57B3" w:rsidRDefault="0048417A" w:rsidP="00836B55">
            <w:pPr>
              <w:keepNext/>
              <w:autoSpaceDE w:val="0"/>
              <w:autoSpaceDN w:val="0"/>
              <w:adjustRightInd w:val="0"/>
              <w:spacing w:after="0"/>
              <w:ind w:left="57" w:right="57"/>
              <w:rPr>
                <w:rFonts w:ascii="Arial Narrow" w:hAnsi="Arial Narrow"/>
                <w:b/>
                <w:bCs/>
                <w:sz w:val="18"/>
                <w:szCs w:val="18"/>
              </w:rPr>
            </w:pPr>
            <w:r w:rsidRPr="004D57B3">
              <w:rPr>
                <w:rFonts w:ascii="Arial Narrow" w:hAnsi="Arial Narrow" w:cs="Garamond"/>
                <w:sz w:val="18"/>
                <w:szCs w:val="18"/>
              </w:rPr>
              <w:t>Studies published between January 2003 until December 2005 were identified via a search of MEDLINE, EMBASE, the Cochrane Collaboration, the Centre for Reviews and Dissemination, IBECS, IME, LILACS and ISI Web of Knowledge.  Additionally, the references of identified papers were manually searched.</w:t>
            </w:r>
          </w:p>
        </w:tc>
        <w:tc>
          <w:tcPr>
            <w:tcW w:w="2159"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Population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Patients with suspected and established Crohn’s disease. Adult and paediatric patients (mostly adult) from Europe, the United States and Israel. </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Prior </w:t>
            </w:r>
            <w:r>
              <w:rPr>
                <w:rFonts w:ascii="Arial Narrow" w:hAnsi="Arial Narrow" w:cs="Garamond"/>
                <w:b/>
                <w:sz w:val="18"/>
                <w:szCs w:val="18"/>
              </w:rPr>
              <w:t>t</w:t>
            </w:r>
            <w:r w:rsidRPr="004D57B3">
              <w:rPr>
                <w:rFonts w:ascii="Arial Narrow" w:hAnsi="Arial Narrow" w:cs="Garamond"/>
                <w:b/>
                <w:sz w:val="18"/>
                <w:szCs w:val="18"/>
              </w:rPr>
              <w:t xml:space="preserve">ests: </w:t>
            </w:r>
            <w:r>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Test comparison:</w:t>
            </w:r>
          </w:p>
          <w:p w:rsidR="0048417A" w:rsidRPr="004D57B3" w:rsidRDefault="0048417A" w:rsidP="00836B55">
            <w:pPr>
              <w:keepNext/>
              <w:numPr>
                <w:ilvl w:val="0"/>
                <w:numId w:val="38"/>
              </w:numPr>
              <w:autoSpaceDE w:val="0"/>
              <w:autoSpaceDN w:val="0"/>
              <w:adjustRightInd w:val="0"/>
              <w:spacing w:after="0"/>
              <w:ind w:left="158" w:right="57" w:hanging="158"/>
              <w:rPr>
                <w:rFonts w:ascii="Arial Narrow" w:hAnsi="Arial Narrow" w:cs="Garamond"/>
                <w:sz w:val="18"/>
                <w:szCs w:val="18"/>
              </w:rPr>
            </w:pPr>
            <w:r>
              <w:rPr>
                <w:rFonts w:ascii="Arial Narrow" w:hAnsi="Arial Narrow" w:cs="Garamond"/>
                <w:sz w:val="18"/>
                <w:szCs w:val="18"/>
              </w:rPr>
              <w:t>SBFT</w:t>
            </w:r>
          </w:p>
          <w:p w:rsidR="0048417A" w:rsidRPr="004D57B3" w:rsidRDefault="0048417A" w:rsidP="00836B55">
            <w:pPr>
              <w:keepNext/>
              <w:numPr>
                <w:ilvl w:val="0"/>
                <w:numId w:val="38"/>
              </w:numPr>
              <w:autoSpaceDE w:val="0"/>
              <w:autoSpaceDN w:val="0"/>
              <w:adjustRightInd w:val="0"/>
              <w:spacing w:after="0"/>
              <w:ind w:left="158" w:right="57" w:hanging="158"/>
              <w:rPr>
                <w:rFonts w:ascii="Arial Narrow" w:hAnsi="Arial Narrow" w:cs="Garamond"/>
                <w:sz w:val="18"/>
                <w:szCs w:val="18"/>
              </w:rPr>
            </w:pPr>
            <w:proofErr w:type="spellStart"/>
            <w:r w:rsidRPr="004D57B3">
              <w:rPr>
                <w:rFonts w:ascii="Arial Narrow" w:hAnsi="Arial Narrow" w:cs="Garamond"/>
                <w:sz w:val="18"/>
                <w:szCs w:val="18"/>
              </w:rPr>
              <w:t>Enteroclysis</w:t>
            </w:r>
            <w:proofErr w:type="spellEnd"/>
          </w:p>
          <w:p w:rsidR="0048417A" w:rsidRPr="004D57B3" w:rsidRDefault="0048417A" w:rsidP="00836B55">
            <w:pPr>
              <w:keepNext/>
              <w:numPr>
                <w:ilvl w:val="0"/>
                <w:numId w:val="38"/>
              </w:numPr>
              <w:autoSpaceDE w:val="0"/>
              <w:autoSpaceDN w:val="0"/>
              <w:adjustRightInd w:val="0"/>
              <w:spacing w:after="0"/>
              <w:ind w:left="158" w:right="57" w:hanging="158"/>
              <w:rPr>
                <w:rFonts w:ascii="Arial Narrow" w:hAnsi="Arial Narrow" w:cs="Garamond"/>
                <w:sz w:val="18"/>
                <w:szCs w:val="18"/>
              </w:rPr>
            </w:pPr>
            <w:r w:rsidRPr="004D57B3">
              <w:rPr>
                <w:rFonts w:ascii="Arial Narrow" w:hAnsi="Arial Narrow" w:cs="Garamond"/>
                <w:sz w:val="18"/>
                <w:szCs w:val="18"/>
              </w:rPr>
              <w:t xml:space="preserve">CT </w:t>
            </w:r>
            <w:proofErr w:type="spellStart"/>
            <w:r w:rsidRPr="004D57B3">
              <w:rPr>
                <w:rFonts w:ascii="Arial Narrow" w:hAnsi="Arial Narrow" w:cs="Garamond"/>
                <w:sz w:val="18"/>
                <w:szCs w:val="18"/>
              </w:rPr>
              <w:t>enteroclysis</w:t>
            </w:r>
            <w:proofErr w:type="spellEnd"/>
          </w:p>
          <w:p w:rsidR="0048417A" w:rsidRPr="004D57B3" w:rsidRDefault="0048417A" w:rsidP="00836B55">
            <w:pPr>
              <w:keepNext/>
              <w:numPr>
                <w:ilvl w:val="0"/>
                <w:numId w:val="38"/>
              </w:numPr>
              <w:autoSpaceDE w:val="0"/>
              <w:autoSpaceDN w:val="0"/>
              <w:adjustRightInd w:val="0"/>
              <w:spacing w:after="0"/>
              <w:ind w:left="158" w:right="57" w:hanging="158"/>
              <w:rPr>
                <w:rFonts w:ascii="Arial Narrow" w:hAnsi="Arial Narrow" w:cs="Garamond"/>
                <w:sz w:val="18"/>
                <w:szCs w:val="18"/>
              </w:rPr>
            </w:pPr>
            <w:r w:rsidRPr="004D57B3">
              <w:rPr>
                <w:rFonts w:ascii="Arial Narrow" w:hAnsi="Arial Narrow" w:cs="Garamond"/>
                <w:sz w:val="18"/>
                <w:szCs w:val="18"/>
              </w:rPr>
              <w:t xml:space="preserve">CT </w:t>
            </w:r>
            <w:proofErr w:type="spellStart"/>
            <w:r w:rsidRPr="004D57B3">
              <w:rPr>
                <w:rFonts w:ascii="Arial Narrow" w:hAnsi="Arial Narrow" w:cs="Garamond"/>
                <w:sz w:val="18"/>
                <w:szCs w:val="18"/>
              </w:rPr>
              <w:t>enteroscopy</w:t>
            </w:r>
            <w:proofErr w:type="spellEnd"/>
          </w:p>
          <w:p w:rsidR="0048417A" w:rsidRPr="004D57B3" w:rsidRDefault="0048417A" w:rsidP="00836B55">
            <w:pPr>
              <w:keepNext/>
              <w:numPr>
                <w:ilvl w:val="0"/>
                <w:numId w:val="38"/>
              </w:numPr>
              <w:autoSpaceDE w:val="0"/>
              <w:autoSpaceDN w:val="0"/>
              <w:adjustRightInd w:val="0"/>
              <w:spacing w:after="0"/>
              <w:ind w:left="158" w:right="57" w:hanging="158"/>
              <w:rPr>
                <w:rFonts w:ascii="Arial Narrow" w:hAnsi="Arial Narrow" w:cs="Garamond"/>
                <w:sz w:val="18"/>
                <w:szCs w:val="18"/>
              </w:rPr>
            </w:pPr>
            <w:r w:rsidRPr="004D57B3">
              <w:rPr>
                <w:rFonts w:ascii="Arial Narrow" w:hAnsi="Arial Narrow" w:cs="Garamond"/>
                <w:sz w:val="18"/>
                <w:szCs w:val="18"/>
              </w:rPr>
              <w:t xml:space="preserve">Push </w:t>
            </w:r>
            <w:proofErr w:type="spellStart"/>
            <w:r w:rsidRPr="004D57B3">
              <w:rPr>
                <w:rFonts w:ascii="Arial Narrow" w:hAnsi="Arial Narrow" w:cs="Garamond"/>
                <w:sz w:val="18"/>
                <w:szCs w:val="18"/>
              </w:rPr>
              <w:t>enteroscopy</w:t>
            </w:r>
            <w:proofErr w:type="spellEnd"/>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Outcome:</w:t>
            </w:r>
            <w:r w:rsidRPr="004D57B3">
              <w:rPr>
                <w:rFonts w:ascii="Arial Narrow" w:hAnsi="Arial Narrow" w:cs="Garamond"/>
                <w:sz w:val="18"/>
                <w:szCs w:val="18"/>
              </w:rPr>
              <w:t xml:space="preserve"> </w:t>
            </w:r>
            <w:r>
              <w:rPr>
                <w:rFonts w:ascii="Arial Narrow" w:hAnsi="Arial Narrow" w:cs="Garamond"/>
                <w:sz w:val="18"/>
                <w:szCs w:val="18"/>
              </w:rPr>
              <w:t>D</w:t>
            </w:r>
            <w:r w:rsidRPr="004D57B3">
              <w:rPr>
                <w:rFonts w:ascii="Arial Narrow" w:hAnsi="Arial Narrow" w:cs="Garamond"/>
                <w:sz w:val="18"/>
                <w:szCs w:val="18"/>
              </w:rPr>
              <w:t xml:space="preserve">iagnostic accuracy (sensitivity, specificity, positive predictive value and negative predictive value), diagnostic yield, change in </w:t>
            </w:r>
            <w:proofErr w:type="gramStart"/>
            <w:r w:rsidRPr="004D57B3">
              <w:rPr>
                <w:rFonts w:ascii="Arial Narrow" w:hAnsi="Arial Narrow" w:cs="Garamond"/>
                <w:sz w:val="18"/>
                <w:szCs w:val="18"/>
              </w:rPr>
              <w:t>management.,</w:t>
            </w:r>
            <w:proofErr w:type="gramEnd"/>
            <w:r w:rsidRPr="004D57B3">
              <w:rPr>
                <w:rFonts w:ascii="Arial Narrow" w:hAnsi="Arial Narrow" w:cs="Garamond"/>
                <w:sz w:val="18"/>
                <w:szCs w:val="18"/>
              </w:rPr>
              <w:t xml:space="preserve"> adverse events</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Reference standard/threshold: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In </w:t>
            </w:r>
            <w:r>
              <w:rPr>
                <w:rFonts w:ascii="Arial Narrow" w:hAnsi="Arial Narrow" w:cs="Garamond"/>
                <w:sz w:val="18"/>
                <w:szCs w:val="18"/>
              </w:rPr>
              <w:t>2</w:t>
            </w:r>
            <w:r w:rsidRPr="004D57B3">
              <w:rPr>
                <w:rFonts w:ascii="Arial Narrow" w:hAnsi="Arial Narrow" w:cs="Garamond"/>
                <w:sz w:val="18"/>
                <w:szCs w:val="18"/>
              </w:rPr>
              <w:t xml:space="preserve"> studies,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with biopsy was the reference standard. Threshold for positive results not reported.</w:t>
            </w:r>
          </w:p>
          <w:p w:rsidR="0048417A" w:rsidRPr="004D57B3" w:rsidRDefault="0048417A" w:rsidP="00836B55">
            <w:pPr>
              <w:keepNext/>
              <w:ind w:left="57" w:right="57"/>
              <w:rPr>
                <w:rFonts w:ascii="Arial Narrow" w:hAnsi="Arial Narrow"/>
                <w:b/>
                <w:bCs/>
                <w:sz w:val="18"/>
                <w:szCs w:val="18"/>
              </w:rPr>
            </w:pPr>
          </w:p>
        </w:tc>
        <w:tc>
          <w:tcPr>
            <w:tcW w:w="2159"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Overall conclusion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Existing studies suggest that capsule endoscopy might occupy a preferential place in the diagnosis of suspected Crohn’s disease. However, the evidence is insufficient to establish if it should be used as a first line diagnostic test.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endoscopy is contraindicated in patients with stenosis and does not allow precise locali</w:t>
            </w:r>
            <w:r>
              <w:rPr>
                <w:rFonts w:ascii="Arial Narrow" w:hAnsi="Arial Narrow" w:cs="Garamond"/>
                <w:sz w:val="18"/>
                <w:szCs w:val="18"/>
              </w:rPr>
              <w:t>s</w:t>
            </w:r>
            <w:r w:rsidRPr="004D57B3">
              <w:rPr>
                <w:rFonts w:ascii="Arial Narrow" w:hAnsi="Arial Narrow" w:cs="Garamond"/>
                <w:sz w:val="18"/>
                <w:szCs w:val="18"/>
              </w:rPr>
              <w:t>ation of the lesion.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Additional studies are required to verify the usefulness of capsule endoscopy in incident Crohn’s disease patients and assess the clinical consequences of changes in therapeutic management. Existing studies that evaluate changes to therapeutic management of Crohn’s disease following capsule endoscopy report different results.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C8742E">
            <w:pPr>
              <w:keepNext/>
              <w:autoSpaceDE w:val="0"/>
              <w:autoSpaceDN w:val="0"/>
              <w:adjustRightInd w:val="0"/>
              <w:spacing w:after="0"/>
              <w:ind w:left="57" w:right="57"/>
              <w:rPr>
                <w:rFonts w:ascii="Arial Narrow" w:hAnsi="Arial Narrow"/>
                <w:b/>
                <w:bCs/>
                <w:sz w:val="18"/>
                <w:szCs w:val="18"/>
              </w:rPr>
            </w:pPr>
            <w:r w:rsidRPr="004D57B3">
              <w:rPr>
                <w:rFonts w:ascii="Arial Narrow" w:hAnsi="Arial Narrow" w:cs="Garamond"/>
                <w:sz w:val="18"/>
                <w:szCs w:val="18"/>
              </w:rPr>
              <w:t>In addition, clear criteria for a positive result needs to be established.</w:t>
            </w:r>
          </w:p>
        </w:tc>
        <w:tc>
          <w:tcPr>
            <w:tcW w:w="2611" w:type="dxa"/>
          </w:tcPr>
          <w:p w:rsidR="0048417A" w:rsidRPr="007E53A7" w:rsidRDefault="0048417A" w:rsidP="00836B55">
            <w:pPr>
              <w:pStyle w:val="TableText"/>
              <w:spacing w:before="0" w:after="0"/>
              <w:rPr>
                <w:b/>
              </w:rPr>
            </w:pPr>
            <w:r w:rsidRPr="007E53A7">
              <w:rPr>
                <w:b/>
              </w:rPr>
              <w:t>Quality: FAIR</w:t>
            </w:r>
          </w:p>
          <w:p w:rsidR="0048417A" w:rsidRPr="004D57B3" w:rsidRDefault="0048417A" w:rsidP="00836B55">
            <w:pPr>
              <w:pStyle w:val="TableText"/>
              <w:spacing w:before="0" w:after="0"/>
            </w:pPr>
            <w:r w:rsidRPr="004D57B3">
              <w:t>Explicit review questions: no</w:t>
            </w:r>
          </w:p>
          <w:p w:rsidR="0048417A" w:rsidRPr="004D57B3" w:rsidRDefault="0048417A" w:rsidP="00836B55">
            <w:pPr>
              <w:pStyle w:val="TableText"/>
              <w:spacing w:before="0" w:after="0"/>
            </w:pPr>
            <w:r w:rsidRPr="004D57B3">
              <w:t xml:space="preserve">Explicit </w:t>
            </w:r>
            <w:r>
              <w:t>and</w:t>
            </w:r>
            <w:r w:rsidRPr="004D57B3">
              <w:t xml:space="preserve"> appropriate eligibility criteria: yes</w:t>
            </w:r>
          </w:p>
          <w:p w:rsidR="0048417A" w:rsidRPr="004D57B3" w:rsidRDefault="0048417A" w:rsidP="00836B55">
            <w:pPr>
              <w:pStyle w:val="TableText"/>
              <w:spacing w:before="0" w:after="0"/>
            </w:pPr>
            <w:r w:rsidRPr="004D57B3">
              <w:t xml:space="preserve">Explicit </w:t>
            </w:r>
            <w:r>
              <w:t>and</w:t>
            </w:r>
            <w:r w:rsidRPr="004D57B3">
              <w:t xml:space="preserve"> comprehensive search strategy: yes</w:t>
            </w:r>
          </w:p>
          <w:p w:rsidR="0048417A" w:rsidRPr="004D57B3" w:rsidRDefault="0048417A" w:rsidP="00836B55">
            <w:pPr>
              <w:pStyle w:val="TableText"/>
              <w:spacing w:before="0" w:after="0"/>
            </w:pPr>
            <w:r w:rsidRPr="004D57B3">
              <w:t>Quality of included studies appraised: yes</w:t>
            </w:r>
          </w:p>
          <w:p w:rsidR="0048417A" w:rsidRPr="004D57B3" w:rsidRDefault="0048417A" w:rsidP="00836B55">
            <w:pPr>
              <w:pStyle w:val="TableText"/>
              <w:spacing w:before="0" w:after="0"/>
            </w:pPr>
            <w:r w:rsidRPr="004D57B3">
              <w:t xml:space="preserve">Methods of study appraisal reproducible: yes </w:t>
            </w:r>
          </w:p>
          <w:p w:rsidR="0048417A" w:rsidRPr="004D57B3" w:rsidRDefault="0048417A" w:rsidP="00836B55">
            <w:pPr>
              <w:pStyle w:val="TableText"/>
              <w:spacing w:before="0" w:after="0"/>
            </w:pPr>
            <w:r w:rsidRPr="004D57B3">
              <w:t>Heterogeneity between studies assessed:  N/A</w:t>
            </w:r>
          </w:p>
          <w:p w:rsidR="0048417A" w:rsidRPr="004D57B3" w:rsidRDefault="0048417A" w:rsidP="00836B55">
            <w:pPr>
              <w:pStyle w:val="TableText"/>
              <w:spacing w:before="0" w:after="0"/>
            </w:pPr>
            <w:r w:rsidRPr="004D57B3">
              <w:t>Summary of main results clear and appropriate: yes</w:t>
            </w:r>
          </w:p>
          <w:p w:rsidR="0048417A" w:rsidRPr="004D57B3" w:rsidRDefault="0048417A" w:rsidP="00836B55">
            <w:pPr>
              <w:keepNext/>
              <w:ind w:left="57" w:right="57"/>
              <w:rPr>
                <w:rFonts w:ascii="Arial Narrow" w:hAnsi="Arial Narrow"/>
                <w:b/>
                <w:bCs/>
                <w:sz w:val="18"/>
                <w:szCs w:val="18"/>
              </w:rPr>
            </w:pPr>
          </w:p>
        </w:tc>
      </w:tr>
    </w:tbl>
    <w:p w:rsidR="0048417A" w:rsidRPr="004D57B3" w:rsidRDefault="0048417A" w:rsidP="00836B55"/>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3454"/>
      </w:tblGrid>
      <w:tr w:rsidR="0048417A" w:rsidRPr="004D57B3" w:rsidTr="00836B55">
        <w:tc>
          <w:tcPr>
            <w:tcW w:w="13454" w:type="dxa"/>
            <w:tcBorders>
              <w:top w:val="single" w:sz="4" w:space="0" w:color="auto"/>
              <w:bottom w:val="single" w:sz="4" w:space="0" w:color="auto"/>
            </w:tcBorders>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r w:rsidRPr="004D57B3">
              <w:rPr>
                <w:rFonts w:ascii="Arial Narrow" w:hAnsi="Arial Narrow" w:cs="Garamond"/>
                <w:b/>
                <w:sz w:val="18"/>
                <w:szCs w:val="18"/>
                <w:u w:val="single"/>
              </w:rPr>
              <w:lastRenderedPageBreak/>
              <w:t>Results</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Diagnostic performance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Diagnostic yield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In patients with suspected Crohn’s disease </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Suggestive findings found in capsule endoscopy compared with radiological techniques (4 studies)</w:t>
            </w:r>
          </w:p>
          <w:p w:rsidR="0048417A" w:rsidRPr="004D57B3" w:rsidRDefault="0048417A" w:rsidP="00836B55">
            <w:pPr>
              <w:keepNext/>
              <w:autoSpaceDE w:val="0"/>
              <w:autoSpaceDN w:val="0"/>
              <w:adjustRightInd w:val="0"/>
              <w:spacing w:after="0"/>
              <w:ind w:left="57" w:right="57"/>
              <w:rPr>
                <w:rFonts w:ascii="Arial Narrow" w:hAnsi="Arial Narrow" w:cs="Garamond"/>
                <w:b/>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19</w:t>
            </w:r>
            <w:r>
              <w:rPr>
                <w:rFonts w:ascii="Arial Narrow" w:hAnsi="Arial Narrow" w:cs="Garamond"/>
                <w:sz w:val="18"/>
                <w:szCs w:val="18"/>
              </w:rPr>
              <w:t>-</w:t>
            </w:r>
            <w:r w:rsidRPr="004D57B3">
              <w:rPr>
                <w:rFonts w:ascii="Arial Narrow" w:hAnsi="Arial Narrow" w:cs="Garamond"/>
                <w:sz w:val="18"/>
                <w:szCs w:val="18"/>
              </w:rPr>
              <w:t>71% for capsule endoscopy compared with 0</w:t>
            </w:r>
            <w:r>
              <w:rPr>
                <w:rFonts w:ascii="Arial Narrow" w:hAnsi="Arial Narrow" w:cs="Garamond"/>
                <w:sz w:val="18"/>
                <w:szCs w:val="18"/>
              </w:rPr>
              <w:t>-</w:t>
            </w:r>
            <w:r w:rsidRPr="004D57B3">
              <w:rPr>
                <w:rFonts w:ascii="Arial Narrow" w:hAnsi="Arial Narrow" w:cs="Garamond"/>
                <w:sz w:val="18"/>
                <w:szCs w:val="18"/>
              </w:rPr>
              <w:t>37% for radiologic techniques.</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 xml:space="preserve">In paediatric patients with suspected Crohn’s disease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i/>
                <w:sz w:val="18"/>
                <w:szCs w:val="18"/>
              </w:rPr>
              <w:t>Diagnostic yield of capsule endoscopy compared with comparator modalities (</w:t>
            </w:r>
            <w:r>
              <w:rPr>
                <w:rFonts w:ascii="Arial Narrow" w:hAnsi="Arial Narrow" w:cs="Garamond"/>
                <w:i/>
                <w:sz w:val="18"/>
                <w:szCs w:val="18"/>
              </w:rPr>
              <w:t>SBFT</w:t>
            </w:r>
            <w:r w:rsidRPr="004D57B3">
              <w:rPr>
                <w:rFonts w:ascii="Arial Narrow" w:hAnsi="Arial Narrow" w:cs="Garamond"/>
                <w:i/>
                <w:sz w:val="18"/>
                <w:szCs w:val="18"/>
              </w:rPr>
              <w:t xml:space="preserve"> and endoscopies) (2 studies)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58</w:t>
            </w:r>
            <w:r>
              <w:rPr>
                <w:rFonts w:ascii="Arial Narrow" w:hAnsi="Arial Narrow" w:cs="Garamond"/>
                <w:sz w:val="18"/>
                <w:szCs w:val="18"/>
              </w:rPr>
              <w:t>-</w:t>
            </w:r>
            <w:r w:rsidRPr="004D57B3">
              <w:rPr>
                <w:rFonts w:ascii="Arial Narrow" w:hAnsi="Arial Narrow" w:cs="Garamond"/>
                <w:sz w:val="18"/>
                <w:szCs w:val="18"/>
              </w:rPr>
              <w:t>60% for capsule endoscopy compared with 0</w:t>
            </w:r>
            <w:r>
              <w:rPr>
                <w:rFonts w:ascii="Arial Narrow" w:hAnsi="Arial Narrow" w:cs="Garamond"/>
                <w:sz w:val="18"/>
                <w:szCs w:val="18"/>
              </w:rPr>
              <w:t>-</w:t>
            </w:r>
            <w:r w:rsidRPr="004D57B3">
              <w:rPr>
                <w:rFonts w:ascii="Arial Narrow" w:hAnsi="Arial Narrow" w:cs="Garamond"/>
                <w:sz w:val="18"/>
                <w:szCs w:val="18"/>
              </w:rPr>
              <w:t>20% for comparator modalities.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Diagnostic accuracy</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In patients with suspected Crohn’s disease </w:t>
            </w:r>
          </w:p>
          <w:p w:rsidR="0048417A" w:rsidRPr="004D57B3" w:rsidRDefault="0048417A" w:rsidP="00836B55">
            <w:pPr>
              <w:keepNext/>
              <w:autoSpaceDE w:val="0"/>
              <w:autoSpaceDN w:val="0"/>
              <w:adjustRightInd w:val="0"/>
              <w:spacing w:after="0"/>
              <w:ind w:left="57" w:right="57"/>
              <w:rPr>
                <w:rFonts w:ascii="Arial Narrow" w:hAnsi="Arial Narrow" w:cs="Garamond"/>
                <w:b/>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 xml:space="preserve">Sensitivity and specificity of capsule endoscopy compared with </w:t>
            </w:r>
            <w:proofErr w:type="spellStart"/>
            <w:r w:rsidRPr="004D57B3">
              <w:rPr>
                <w:rFonts w:ascii="Arial Narrow" w:hAnsi="Arial Narrow" w:cs="Garamond"/>
                <w:i/>
                <w:sz w:val="18"/>
                <w:szCs w:val="18"/>
              </w:rPr>
              <w:t>ileoscopy</w:t>
            </w:r>
            <w:proofErr w:type="spellEnd"/>
            <w:r w:rsidRPr="004D57B3">
              <w:rPr>
                <w:rFonts w:ascii="Arial Narrow" w:hAnsi="Arial Narrow" w:cs="Garamond"/>
                <w:i/>
                <w:sz w:val="18"/>
                <w:szCs w:val="18"/>
              </w:rPr>
              <w:t xml:space="preserve"> with biopsy (1 study)</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w:t>
            </w:r>
            <w:r w:rsidRPr="004D57B3">
              <w:rPr>
                <w:rFonts w:ascii="Arial Narrow" w:hAnsi="Arial Narrow" w:cs="Garamond"/>
                <w:i/>
                <w:sz w:val="18"/>
                <w:szCs w:val="18"/>
              </w:rPr>
              <w:t xml:space="preserve"> </w:t>
            </w:r>
            <w:r w:rsidRPr="004D57B3">
              <w:rPr>
                <w:rFonts w:ascii="Arial Narrow" w:hAnsi="Arial Narrow" w:cs="Garamond"/>
                <w:sz w:val="18"/>
                <w:szCs w:val="18"/>
              </w:rPr>
              <w:t>87%</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Specificity:</w:t>
            </w:r>
            <w:r w:rsidRPr="004D57B3">
              <w:rPr>
                <w:rFonts w:ascii="Arial Narrow" w:hAnsi="Arial Narrow" w:cs="Garamond"/>
                <w:i/>
                <w:sz w:val="18"/>
                <w:szCs w:val="18"/>
              </w:rPr>
              <w:t xml:space="preserve"> </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In patients with suspected and established Crohn’s disease compared with radiological techniques (1 study):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89.6%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Positive predictive value: 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Negative predictive value: 76.9%</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 xml:space="preserve">Change in management:  </w:t>
            </w:r>
            <w:r w:rsidRPr="004D57B3">
              <w:rPr>
                <w:rFonts w:ascii="Arial Narrow" w:hAnsi="Arial Narrow" w:cs="Garamond"/>
                <w:sz w:val="18"/>
                <w:szCs w:val="18"/>
              </w:rPr>
              <w:t>Therapeutic management changed in 67% of patients with suspected Crohn’s disease, 38% of whom improved (1 study). The use of capsule endoscopy in suspected and established Crohn’s disease changed th</w:t>
            </w:r>
            <w:r>
              <w:rPr>
                <w:rFonts w:ascii="Arial Narrow" w:hAnsi="Arial Narrow" w:cs="Garamond"/>
                <w:sz w:val="18"/>
                <w:szCs w:val="18"/>
              </w:rPr>
              <w:t xml:space="preserve">erapeutic management in </w:t>
            </w:r>
            <w:r w:rsidRPr="004D57B3">
              <w:rPr>
                <w:rFonts w:ascii="Arial Narrow" w:hAnsi="Arial Narrow" w:cs="Garamond"/>
                <w:sz w:val="18"/>
                <w:szCs w:val="18"/>
              </w:rPr>
              <w:t>24</w:t>
            </w:r>
            <w:r>
              <w:rPr>
                <w:rFonts w:ascii="Arial Narrow" w:hAnsi="Arial Narrow" w:cs="Garamond"/>
                <w:sz w:val="18"/>
                <w:szCs w:val="18"/>
              </w:rPr>
              <w:t>-</w:t>
            </w:r>
            <w:r w:rsidRPr="004D57B3">
              <w:rPr>
                <w:rFonts w:ascii="Arial Narrow" w:hAnsi="Arial Narrow" w:cs="Garamond"/>
                <w:sz w:val="18"/>
                <w:szCs w:val="18"/>
              </w:rPr>
              <w:t xml:space="preserve">73% of subjects in </w:t>
            </w:r>
            <w:r>
              <w:rPr>
                <w:rFonts w:ascii="Arial Narrow" w:hAnsi="Arial Narrow" w:cs="Garamond"/>
                <w:sz w:val="18"/>
                <w:szCs w:val="18"/>
              </w:rPr>
              <w:t>2</w:t>
            </w:r>
            <w:r w:rsidRPr="004D57B3">
              <w:rPr>
                <w:rFonts w:ascii="Arial Narrow" w:hAnsi="Arial Narrow" w:cs="Garamond"/>
                <w:sz w:val="18"/>
                <w:szCs w:val="18"/>
              </w:rPr>
              <w:t xml:space="preserve"> studies, but in another study no change in diagnosis following capsule endoscopy was reported.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Health outcomes: </w:t>
            </w:r>
            <w:r>
              <w:rPr>
                <w:rFonts w:ascii="Arial Narrow" w:hAnsi="Arial Narrow" w:cs="Garamond"/>
                <w:b/>
                <w:sz w:val="18"/>
                <w:szCs w:val="18"/>
              </w:rPr>
              <w:t>nr</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 xml:space="preserve">Adverse events: </w:t>
            </w:r>
            <w:r w:rsidRPr="004D57B3">
              <w:rPr>
                <w:rFonts w:ascii="Arial Narrow" w:hAnsi="Arial Narrow" w:cs="Garamond"/>
                <w:sz w:val="18"/>
                <w:szCs w:val="18"/>
              </w:rPr>
              <w:t xml:space="preserve">Despite previous performance of </w:t>
            </w:r>
            <w:r>
              <w:rPr>
                <w:rFonts w:ascii="Arial Narrow" w:hAnsi="Arial Narrow" w:cs="Garamond"/>
                <w:sz w:val="18"/>
                <w:szCs w:val="18"/>
              </w:rPr>
              <w:t>SBFT</w:t>
            </w:r>
            <w:r w:rsidRPr="004D57B3">
              <w:rPr>
                <w:rFonts w:ascii="Arial Narrow" w:hAnsi="Arial Narrow" w:cs="Garamond"/>
                <w:sz w:val="18"/>
                <w:szCs w:val="18"/>
              </w:rPr>
              <w:t xml:space="preserve"> or other radiological techniques</w:t>
            </w:r>
            <w:r w:rsidRPr="004D57B3">
              <w:rPr>
                <w:rFonts w:ascii="Arial Narrow" w:hAnsi="Arial Narrow" w:cs="Garamond"/>
                <w:b/>
                <w:sz w:val="18"/>
                <w:szCs w:val="18"/>
              </w:rPr>
              <w:t xml:space="preserve">, </w:t>
            </w:r>
            <w:r w:rsidRPr="004D57B3">
              <w:rPr>
                <w:rFonts w:ascii="Arial Narrow" w:hAnsi="Arial Narrow" w:cs="Garamond"/>
                <w:sz w:val="18"/>
                <w:szCs w:val="18"/>
              </w:rPr>
              <w:t>most studies reported temporary capsule retention or delays in the capsule which led to incomplete visualisation of the small bowel. The rates reported are variable across studies, and range between 4.7</w:t>
            </w:r>
            <w:r>
              <w:rPr>
                <w:rFonts w:ascii="Arial Narrow" w:hAnsi="Arial Narrow" w:cs="Garamond"/>
                <w:sz w:val="18"/>
                <w:szCs w:val="18"/>
              </w:rPr>
              <w:t>-</w:t>
            </w:r>
            <w:r w:rsidRPr="004D57B3">
              <w:rPr>
                <w:rFonts w:ascii="Arial Narrow" w:hAnsi="Arial Narrow" w:cs="Garamond"/>
                <w:sz w:val="18"/>
                <w:szCs w:val="18"/>
              </w:rPr>
              <w:t>80% of patients.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The </w:t>
            </w:r>
            <w:r>
              <w:rPr>
                <w:rFonts w:ascii="Arial Narrow" w:hAnsi="Arial Narrow" w:cs="Garamond"/>
                <w:sz w:val="18"/>
                <w:szCs w:val="18"/>
              </w:rPr>
              <w:t>most severe</w:t>
            </w:r>
            <w:r w:rsidRPr="004D57B3">
              <w:rPr>
                <w:rFonts w:ascii="Arial Narrow" w:hAnsi="Arial Narrow" w:cs="Garamond"/>
                <w:sz w:val="18"/>
                <w:szCs w:val="18"/>
              </w:rPr>
              <w:t xml:space="preserve"> adverse event reported was the permanent retention of the capsule (due to stenosis or fissures), leading to laparotomy. </w:t>
            </w:r>
          </w:p>
          <w:p w:rsidR="0048417A" w:rsidRPr="004D57B3" w:rsidRDefault="0048417A" w:rsidP="00836B55">
            <w:pPr>
              <w:ind w:left="0"/>
              <w:rPr>
                <w:rFonts w:cs="Tahoma"/>
                <w:sz w:val="16"/>
                <w:szCs w:val="16"/>
              </w:rPr>
            </w:pPr>
          </w:p>
        </w:tc>
      </w:tr>
    </w:tbl>
    <w:p w:rsidR="0048417A" w:rsidRPr="004D57B3" w:rsidRDefault="0048417A" w:rsidP="00836B55"/>
    <w:p w:rsidR="0048417A" w:rsidRPr="004D57B3" w:rsidRDefault="0048417A" w:rsidP="00836B55">
      <w:pPr>
        <w:pStyle w:val="Heading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350"/>
        <w:gridCol w:w="2036"/>
        <w:gridCol w:w="2161"/>
        <w:gridCol w:w="2579"/>
        <w:gridCol w:w="2533"/>
      </w:tblGrid>
      <w:tr w:rsidR="0048417A" w:rsidRPr="004D57B3" w:rsidTr="00836B55">
        <w:tc>
          <w:tcPr>
            <w:tcW w:w="13410" w:type="dxa"/>
            <w:gridSpan w:val="6"/>
          </w:tcPr>
          <w:p w:rsidR="0048417A" w:rsidRPr="004D57B3" w:rsidRDefault="0048417A" w:rsidP="00836B55">
            <w:pPr>
              <w:pStyle w:val="TableHeading"/>
            </w:pPr>
            <w:r w:rsidRPr="004D57B3">
              <w:t>HTA and systematic reviews</w:t>
            </w:r>
          </w:p>
        </w:tc>
      </w:tr>
      <w:tr w:rsidR="0048417A" w:rsidRPr="004D57B3" w:rsidTr="00836B55">
        <w:tc>
          <w:tcPr>
            <w:tcW w:w="1751" w:type="dxa"/>
          </w:tcPr>
          <w:p w:rsidR="0048417A" w:rsidRPr="004D57B3" w:rsidRDefault="0048417A" w:rsidP="00836B55">
            <w:pPr>
              <w:pStyle w:val="TableHeading"/>
            </w:pPr>
            <w:r w:rsidRPr="004D57B3">
              <w:t>Author/Year</w:t>
            </w:r>
          </w:p>
        </w:tc>
        <w:tc>
          <w:tcPr>
            <w:tcW w:w="2350" w:type="dxa"/>
          </w:tcPr>
          <w:p w:rsidR="0048417A" w:rsidRPr="004D57B3" w:rsidRDefault="0048417A" w:rsidP="00836B55">
            <w:pPr>
              <w:pStyle w:val="TableHeading"/>
            </w:pPr>
            <w:r w:rsidRPr="004D57B3">
              <w:t>Objective of report</w:t>
            </w:r>
          </w:p>
        </w:tc>
        <w:tc>
          <w:tcPr>
            <w:tcW w:w="2036" w:type="dxa"/>
          </w:tcPr>
          <w:p w:rsidR="0048417A" w:rsidRPr="004D57B3" w:rsidRDefault="0048417A" w:rsidP="00836B55">
            <w:pPr>
              <w:pStyle w:val="TableHeading"/>
            </w:pPr>
            <w:r w:rsidRPr="004D57B3">
              <w:t xml:space="preserve">Number </w:t>
            </w:r>
            <w:r>
              <w:t>and</w:t>
            </w:r>
            <w:r w:rsidRPr="004D57B3">
              <w:t xml:space="preserve"> publication dates of included studies</w:t>
            </w:r>
          </w:p>
        </w:tc>
        <w:tc>
          <w:tcPr>
            <w:tcW w:w="2161" w:type="dxa"/>
          </w:tcPr>
          <w:p w:rsidR="0048417A" w:rsidRPr="004D57B3" w:rsidRDefault="0048417A" w:rsidP="00836B55">
            <w:pPr>
              <w:pStyle w:val="TableHeading"/>
              <w:spacing w:before="0" w:after="0"/>
            </w:pPr>
            <w:r w:rsidRPr="004D57B3">
              <w:t xml:space="preserve">Population considered in included studies </w:t>
            </w:r>
          </w:p>
          <w:p w:rsidR="0048417A" w:rsidRPr="004D57B3" w:rsidRDefault="0048417A" w:rsidP="00836B55">
            <w:pPr>
              <w:pStyle w:val="TableHeading"/>
              <w:spacing w:before="0" w:after="0"/>
            </w:pPr>
            <w:r w:rsidRPr="004D57B3">
              <w:t>Test comparison</w:t>
            </w:r>
          </w:p>
        </w:tc>
        <w:tc>
          <w:tcPr>
            <w:tcW w:w="2579" w:type="dxa"/>
          </w:tcPr>
          <w:p w:rsidR="0048417A" w:rsidRPr="004D57B3" w:rsidRDefault="0048417A" w:rsidP="00836B55">
            <w:pPr>
              <w:pStyle w:val="TableHeading"/>
            </w:pPr>
            <w:r w:rsidRPr="004D57B3">
              <w:t>Conclusions/ recommendation</w:t>
            </w:r>
          </w:p>
        </w:tc>
        <w:tc>
          <w:tcPr>
            <w:tcW w:w="2533" w:type="dxa"/>
          </w:tcPr>
          <w:p w:rsidR="0048417A" w:rsidRPr="004D57B3" w:rsidRDefault="0048417A" w:rsidP="00836B55">
            <w:pPr>
              <w:pStyle w:val="TableHeading"/>
            </w:pPr>
            <w:r w:rsidRPr="004D57B3">
              <w:t xml:space="preserve">Quality </w:t>
            </w:r>
            <w:r>
              <w:t>a</w:t>
            </w:r>
            <w:r w:rsidRPr="004D57B3">
              <w:t>ssessment</w:t>
            </w:r>
          </w:p>
        </w:tc>
      </w:tr>
      <w:tr w:rsidR="0048417A" w:rsidRPr="004D57B3" w:rsidTr="00836B55">
        <w:tc>
          <w:tcPr>
            <w:tcW w:w="1751" w:type="dxa"/>
          </w:tcPr>
          <w:p w:rsidR="0048417A" w:rsidRPr="004D57B3" w:rsidRDefault="0048417A" w:rsidP="00836B55">
            <w:pPr>
              <w:ind w:left="57"/>
              <w:rPr>
                <w:rFonts w:ascii="Arial Narrow" w:hAnsi="Arial Narrow"/>
                <w:sz w:val="18"/>
                <w:szCs w:val="18"/>
                <w:lang w:val="nl-NL"/>
              </w:rPr>
            </w:pPr>
            <w:r w:rsidRPr="004D57B3">
              <w:rPr>
                <w:rFonts w:ascii="Arial Narrow" w:hAnsi="Arial Narrow"/>
                <w:sz w:val="18"/>
                <w:szCs w:val="18"/>
                <w:lang w:val="nl-NL"/>
              </w:rPr>
              <w:t xml:space="preserve">Poelmans et al </w:t>
            </w:r>
            <w:r>
              <w:rPr>
                <w:rFonts w:ascii="Arial Narrow" w:hAnsi="Arial Narrow"/>
                <w:sz w:val="18"/>
                <w:szCs w:val="18"/>
                <w:lang w:val="nl-NL"/>
              </w:rPr>
              <w:t>(</w:t>
            </w:r>
            <w:r w:rsidRPr="004D57B3">
              <w:rPr>
                <w:rFonts w:ascii="Arial Narrow" w:hAnsi="Arial Narrow"/>
                <w:sz w:val="18"/>
                <w:szCs w:val="18"/>
                <w:lang w:val="nl-NL"/>
              </w:rPr>
              <w:t>2006</w:t>
            </w:r>
            <w:r>
              <w:rPr>
                <w:rFonts w:ascii="Arial Narrow" w:hAnsi="Arial Narrow"/>
                <w:sz w:val="18"/>
                <w:szCs w:val="18"/>
                <w:lang w:val="nl-NL"/>
              </w:rPr>
              <w:t>)</w:t>
            </w:r>
            <w:r w:rsidRPr="004D57B3">
              <w:rPr>
                <w:rFonts w:ascii="Arial Narrow" w:hAnsi="Arial Narrow"/>
                <w:sz w:val="18"/>
                <w:szCs w:val="18"/>
                <w:lang w:val="nl-NL"/>
              </w:rPr>
              <w:t xml:space="preserve"> </w:t>
            </w:r>
          </w:p>
          <w:p w:rsidR="0048417A" w:rsidRPr="004D57B3" w:rsidRDefault="0048417A" w:rsidP="00836B55">
            <w:pPr>
              <w:ind w:left="57"/>
              <w:rPr>
                <w:rFonts w:ascii="Arial Narrow" w:hAnsi="Arial Narrow"/>
                <w:sz w:val="18"/>
                <w:szCs w:val="18"/>
                <w:lang w:val="nl-NL"/>
              </w:rPr>
            </w:pPr>
          </w:p>
          <w:p w:rsidR="0048417A" w:rsidRPr="004D57B3" w:rsidRDefault="0048417A" w:rsidP="00836B55">
            <w:pPr>
              <w:ind w:left="57"/>
              <w:rPr>
                <w:rFonts w:ascii="Arial Narrow" w:hAnsi="Arial Narrow"/>
                <w:sz w:val="18"/>
                <w:szCs w:val="18"/>
              </w:rPr>
            </w:pPr>
            <w:r w:rsidRPr="004D57B3">
              <w:rPr>
                <w:rFonts w:ascii="Arial Narrow" w:hAnsi="Arial Narrow"/>
                <w:sz w:val="18"/>
                <w:szCs w:val="18"/>
              </w:rPr>
              <w:t>Belgium</w:t>
            </w:r>
          </w:p>
          <w:p w:rsidR="0048417A" w:rsidRPr="004D57B3" w:rsidRDefault="0048417A" w:rsidP="00836B55">
            <w:pPr>
              <w:ind w:left="57"/>
              <w:rPr>
                <w:rFonts w:ascii="Arial Narrow" w:hAnsi="Arial Narrow"/>
                <w:sz w:val="18"/>
                <w:szCs w:val="18"/>
              </w:rPr>
            </w:pPr>
          </w:p>
          <w:p w:rsidR="0048417A" w:rsidRPr="004D57B3" w:rsidRDefault="0048417A" w:rsidP="00836B55">
            <w:pPr>
              <w:keepNext/>
              <w:autoSpaceDE w:val="0"/>
              <w:autoSpaceDN w:val="0"/>
              <w:adjustRightInd w:val="0"/>
              <w:ind w:left="57" w:right="57"/>
              <w:rPr>
                <w:rFonts w:ascii="Arial Narrow" w:hAnsi="Arial Narrow"/>
                <w:sz w:val="18"/>
                <w:szCs w:val="18"/>
              </w:rPr>
            </w:pPr>
            <w:r w:rsidRPr="004D57B3">
              <w:rPr>
                <w:rFonts w:ascii="Arial Narrow" w:hAnsi="Arial Narrow"/>
                <w:sz w:val="18"/>
                <w:szCs w:val="18"/>
              </w:rPr>
              <w:t>KCE</w:t>
            </w:r>
          </w:p>
          <w:p w:rsidR="0048417A" w:rsidRPr="004D57B3" w:rsidRDefault="0048417A" w:rsidP="00836B55">
            <w:pPr>
              <w:pStyle w:val="TableText"/>
              <w:spacing w:before="0" w:after="0"/>
            </w:pPr>
          </w:p>
        </w:tc>
        <w:tc>
          <w:tcPr>
            <w:tcW w:w="2350"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assess the clinical efficacy and economic effectiveness of capsule endoscopy compared with competing diagnostic modalities in small bowel diseases.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Indications: </w:t>
            </w:r>
          </w:p>
          <w:p w:rsidR="0048417A" w:rsidRPr="004D57B3" w:rsidRDefault="0048417A" w:rsidP="00836B55">
            <w:pPr>
              <w:keepNext/>
              <w:numPr>
                <w:ilvl w:val="0"/>
                <w:numId w:val="40"/>
              </w:numPr>
              <w:autoSpaceDE w:val="0"/>
              <w:autoSpaceDN w:val="0"/>
              <w:adjustRightInd w:val="0"/>
              <w:spacing w:after="0"/>
              <w:ind w:left="251" w:right="57" w:hanging="194"/>
              <w:rPr>
                <w:rFonts w:ascii="Arial Narrow" w:hAnsi="Arial Narrow" w:cs="Garamond"/>
                <w:sz w:val="18"/>
                <w:szCs w:val="18"/>
              </w:rPr>
            </w:pPr>
            <w:r w:rsidRPr="004D57B3">
              <w:rPr>
                <w:rFonts w:ascii="Arial Narrow" w:hAnsi="Arial Narrow" w:cs="Garamond"/>
                <w:sz w:val="18"/>
                <w:szCs w:val="18"/>
              </w:rPr>
              <w:t>Established and suspected Crohn’s disease</w:t>
            </w:r>
          </w:p>
          <w:p w:rsidR="0048417A" w:rsidRPr="004D57B3" w:rsidRDefault="0048417A" w:rsidP="00836B55">
            <w:pPr>
              <w:keepNext/>
              <w:numPr>
                <w:ilvl w:val="0"/>
                <w:numId w:val="40"/>
              </w:numPr>
              <w:autoSpaceDE w:val="0"/>
              <w:autoSpaceDN w:val="0"/>
              <w:adjustRightInd w:val="0"/>
              <w:spacing w:after="0"/>
              <w:ind w:left="251" w:right="57" w:hanging="194"/>
              <w:rPr>
                <w:rFonts w:ascii="Arial Narrow" w:hAnsi="Arial Narrow" w:cs="Garamond"/>
                <w:sz w:val="18"/>
                <w:szCs w:val="18"/>
              </w:rPr>
            </w:pPr>
            <w:r>
              <w:rPr>
                <w:rFonts w:ascii="Arial Narrow" w:hAnsi="Arial Narrow" w:cs="Garamond"/>
                <w:sz w:val="18"/>
                <w:szCs w:val="18"/>
              </w:rPr>
              <w:t>OGIB</w:t>
            </w:r>
          </w:p>
          <w:p w:rsidR="0048417A" w:rsidRPr="004D57B3" w:rsidRDefault="0048417A" w:rsidP="00836B55">
            <w:pPr>
              <w:keepNext/>
              <w:numPr>
                <w:ilvl w:val="0"/>
                <w:numId w:val="40"/>
              </w:numPr>
              <w:autoSpaceDE w:val="0"/>
              <w:autoSpaceDN w:val="0"/>
              <w:adjustRightInd w:val="0"/>
              <w:spacing w:after="0"/>
              <w:ind w:left="251" w:right="57" w:hanging="194"/>
              <w:rPr>
                <w:rFonts w:ascii="Arial Narrow" w:hAnsi="Arial Narrow" w:cs="Garamond"/>
                <w:sz w:val="18"/>
                <w:szCs w:val="18"/>
              </w:rPr>
            </w:pPr>
            <w:r w:rsidRPr="004D57B3">
              <w:rPr>
                <w:rFonts w:ascii="Arial Narrow" w:hAnsi="Arial Narrow" w:cs="Garamond"/>
                <w:sz w:val="18"/>
                <w:szCs w:val="18"/>
              </w:rPr>
              <w:t>Celiac disease</w:t>
            </w:r>
          </w:p>
          <w:p w:rsidR="0048417A" w:rsidRPr="004D57B3" w:rsidRDefault="0048417A" w:rsidP="00836B55">
            <w:pPr>
              <w:keepNext/>
              <w:numPr>
                <w:ilvl w:val="0"/>
                <w:numId w:val="40"/>
              </w:numPr>
              <w:autoSpaceDE w:val="0"/>
              <w:autoSpaceDN w:val="0"/>
              <w:adjustRightInd w:val="0"/>
              <w:spacing w:after="0"/>
              <w:ind w:left="251" w:right="57" w:hanging="194"/>
              <w:rPr>
                <w:rFonts w:ascii="Arial Narrow" w:hAnsi="Arial Narrow" w:cs="Garamond"/>
                <w:sz w:val="18"/>
                <w:szCs w:val="18"/>
              </w:rPr>
            </w:pPr>
            <w:r w:rsidRPr="004D57B3">
              <w:rPr>
                <w:rFonts w:ascii="Arial Narrow" w:hAnsi="Arial Narrow" w:cs="Garamond"/>
                <w:sz w:val="18"/>
                <w:szCs w:val="18"/>
              </w:rPr>
              <w:t>Polyposis</w:t>
            </w:r>
          </w:p>
          <w:p w:rsidR="0048417A" w:rsidRPr="004D57B3" w:rsidRDefault="0048417A" w:rsidP="00836B55">
            <w:pPr>
              <w:keepNext/>
              <w:numPr>
                <w:ilvl w:val="0"/>
                <w:numId w:val="40"/>
              </w:numPr>
              <w:autoSpaceDE w:val="0"/>
              <w:autoSpaceDN w:val="0"/>
              <w:adjustRightInd w:val="0"/>
              <w:spacing w:after="0"/>
              <w:ind w:left="251" w:right="57" w:hanging="194"/>
              <w:rPr>
                <w:rFonts w:ascii="Arial Narrow" w:hAnsi="Arial Narrow" w:cs="Garamond"/>
                <w:i/>
                <w:sz w:val="18"/>
                <w:szCs w:val="18"/>
              </w:rPr>
            </w:pPr>
            <w:r w:rsidRPr="004D57B3">
              <w:rPr>
                <w:rFonts w:ascii="Arial Narrow" w:hAnsi="Arial Narrow" w:cs="Garamond"/>
                <w:sz w:val="18"/>
                <w:szCs w:val="18"/>
              </w:rPr>
              <w:t xml:space="preserve">Paediatric studies </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Health technology assessment and systematic review</w:t>
            </w:r>
            <w:r>
              <w:rPr>
                <w:rFonts w:ascii="Arial Narrow" w:hAnsi="Arial Narrow" w:cs="Garamond"/>
                <w:sz w:val="18"/>
                <w:szCs w:val="18"/>
              </w:rPr>
              <w:t>.</w:t>
            </w:r>
          </w:p>
          <w:p w:rsidR="0048417A" w:rsidRPr="004D57B3" w:rsidRDefault="0048417A" w:rsidP="00836B55">
            <w:pPr>
              <w:pStyle w:val="TableText"/>
              <w:spacing w:before="0" w:after="0"/>
            </w:pPr>
          </w:p>
        </w:tc>
        <w:tc>
          <w:tcPr>
            <w:tcW w:w="2036"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7 publications included on suspected and established Crohn’s disease. This includes 5 prospective and comparative primary studies (</w:t>
            </w:r>
            <w:r>
              <w:rPr>
                <w:rFonts w:ascii="Arial Narrow" w:hAnsi="Arial Narrow" w:cs="Garamond"/>
                <w:sz w:val="18"/>
                <w:szCs w:val="18"/>
              </w:rPr>
              <w:t>n</w:t>
            </w:r>
            <w:r w:rsidRPr="004D57B3">
              <w:rPr>
                <w:rFonts w:ascii="Arial Narrow" w:hAnsi="Arial Narrow" w:cs="Garamond"/>
                <w:sz w:val="18"/>
                <w:szCs w:val="18"/>
              </w:rPr>
              <w:t>=176), 1 systematic review and 1 HTA report.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Search method and date range: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Databases searched included the CRD database (All databases-DARE, NHS EED, HTA) to June 2005 and MEDLINE to October 2005.</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The search was restricted to full text English language publications.</w:t>
            </w:r>
          </w:p>
          <w:p w:rsidR="0048417A" w:rsidRPr="004D57B3" w:rsidRDefault="0048417A" w:rsidP="00836B55">
            <w:pPr>
              <w:pStyle w:val="TableText"/>
              <w:spacing w:before="0" w:after="0"/>
              <w:rPr>
                <w:b/>
              </w:rPr>
            </w:pPr>
          </w:p>
        </w:tc>
        <w:tc>
          <w:tcPr>
            <w:tcW w:w="2161"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Population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Patients with suspected and established Crohn’s disease.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Prior </w:t>
            </w:r>
            <w:r>
              <w:rPr>
                <w:rFonts w:ascii="Arial Narrow" w:hAnsi="Arial Narrow" w:cs="Garamond"/>
                <w:b/>
                <w:sz w:val="18"/>
                <w:szCs w:val="18"/>
              </w:rPr>
              <w:t>t</w:t>
            </w:r>
            <w:r w:rsidRPr="004D57B3">
              <w:rPr>
                <w:rFonts w:ascii="Arial Narrow" w:hAnsi="Arial Narrow" w:cs="Garamond"/>
                <w:b/>
                <w:sz w:val="18"/>
                <w:szCs w:val="18"/>
              </w:rPr>
              <w:t>ests: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Varies by study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SBFT</w:t>
            </w:r>
            <w:r w:rsidRPr="004D57B3">
              <w:rPr>
                <w:rFonts w:ascii="Arial Narrow" w:hAnsi="Arial Narrow" w:cs="Garamond"/>
                <w:sz w:val="18"/>
                <w:szCs w:val="18"/>
              </w:rPr>
              <w:t xml:space="preserve"> in some studies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Most underwent prior radiological investigation of the small bowel.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Test comparison: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Alternate diagnostic modalities</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numPr>
                <w:ilvl w:val="0"/>
                <w:numId w:val="41"/>
              </w:numPr>
              <w:autoSpaceDE w:val="0"/>
              <w:autoSpaceDN w:val="0"/>
              <w:adjustRightInd w:val="0"/>
              <w:spacing w:after="0"/>
              <w:ind w:left="162" w:right="57" w:hanging="182"/>
              <w:rPr>
                <w:rFonts w:ascii="Arial Narrow" w:hAnsi="Arial Narrow" w:cs="Garamond"/>
                <w:sz w:val="18"/>
                <w:szCs w:val="18"/>
              </w:rPr>
            </w:pPr>
            <w:r>
              <w:rPr>
                <w:rFonts w:ascii="Arial Narrow" w:hAnsi="Arial Narrow" w:cs="Garamond"/>
                <w:sz w:val="18"/>
                <w:szCs w:val="18"/>
              </w:rPr>
              <w:t>SBFT</w:t>
            </w:r>
          </w:p>
          <w:p w:rsidR="0048417A" w:rsidRPr="004D57B3" w:rsidRDefault="0048417A" w:rsidP="00836B55">
            <w:pPr>
              <w:keepNext/>
              <w:numPr>
                <w:ilvl w:val="0"/>
                <w:numId w:val="41"/>
              </w:numPr>
              <w:autoSpaceDE w:val="0"/>
              <w:autoSpaceDN w:val="0"/>
              <w:adjustRightInd w:val="0"/>
              <w:spacing w:after="0"/>
              <w:ind w:left="162" w:right="57" w:hanging="182"/>
              <w:rPr>
                <w:rFonts w:ascii="Arial Narrow" w:hAnsi="Arial Narrow" w:cs="Garamond"/>
                <w:sz w:val="18"/>
                <w:szCs w:val="18"/>
              </w:rPr>
            </w:pPr>
            <w:r w:rsidRPr="004D57B3">
              <w:rPr>
                <w:rFonts w:ascii="Arial Narrow" w:hAnsi="Arial Narrow" w:cs="Garamond"/>
                <w:sz w:val="18"/>
                <w:szCs w:val="18"/>
              </w:rPr>
              <w:t xml:space="preserve">Push </w:t>
            </w:r>
            <w:proofErr w:type="spellStart"/>
            <w:r w:rsidRPr="004D57B3">
              <w:rPr>
                <w:rFonts w:ascii="Arial Narrow" w:hAnsi="Arial Narrow" w:cs="Garamond"/>
                <w:sz w:val="18"/>
                <w:szCs w:val="18"/>
              </w:rPr>
              <w:t>enteroscopy</w:t>
            </w:r>
            <w:proofErr w:type="spellEnd"/>
            <w:r w:rsidRPr="004D57B3">
              <w:rPr>
                <w:rFonts w:ascii="Arial Narrow" w:hAnsi="Arial Narrow" w:cs="Garamond"/>
                <w:sz w:val="18"/>
                <w:szCs w:val="18"/>
              </w:rPr>
              <w:t xml:space="preserve"> and </w:t>
            </w:r>
            <w:proofErr w:type="spellStart"/>
            <w:r w:rsidRPr="004D57B3">
              <w:rPr>
                <w:rFonts w:ascii="Arial Narrow" w:hAnsi="Arial Narrow" w:cs="Garamond"/>
                <w:sz w:val="18"/>
                <w:szCs w:val="18"/>
              </w:rPr>
              <w:t>enteroclysis</w:t>
            </w:r>
            <w:proofErr w:type="spellEnd"/>
          </w:p>
          <w:p w:rsidR="0048417A" w:rsidRPr="004D57B3" w:rsidRDefault="0048417A" w:rsidP="00836B55">
            <w:pPr>
              <w:keepNext/>
              <w:numPr>
                <w:ilvl w:val="0"/>
                <w:numId w:val="41"/>
              </w:numPr>
              <w:autoSpaceDE w:val="0"/>
              <w:autoSpaceDN w:val="0"/>
              <w:adjustRightInd w:val="0"/>
              <w:spacing w:after="0"/>
              <w:ind w:left="162" w:right="57" w:hanging="182"/>
              <w:rPr>
                <w:rFonts w:ascii="Arial Narrow" w:hAnsi="Arial Narrow" w:cs="Garamond"/>
                <w:sz w:val="18"/>
                <w:szCs w:val="18"/>
              </w:rPr>
            </w:pPr>
            <w:r w:rsidRPr="004D57B3">
              <w:rPr>
                <w:rFonts w:ascii="Arial Narrow" w:hAnsi="Arial Narrow" w:cs="Garamond"/>
                <w:sz w:val="18"/>
                <w:szCs w:val="18"/>
              </w:rPr>
              <w:t xml:space="preserve">CT </w:t>
            </w:r>
            <w:proofErr w:type="spellStart"/>
            <w:r w:rsidRPr="004D57B3">
              <w:rPr>
                <w:rFonts w:ascii="Arial Narrow" w:hAnsi="Arial Narrow" w:cs="Garamond"/>
                <w:sz w:val="18"/>
                <w:szCs w:val="18"/>
              </w:rPr>
              <w:t>enteroclysis</w:t>
            </w:r>
            <w:proofErr w:type="spellEnd"/>
          </w:p>
          <w:p w:rsidR="0048417A" w:rsidRPr="004D57B3" w:rsidRDefault="0048417A" w:rsidP="00836B55">
            <w:pPr>
              <w:keepNext/>
              <w:numPr>
                <w:ilvl w:val="0"/>
                <w:numId w:val="41"/>
              </w:numPr>
              <w:autoSpaceDE w:val="0"/>
              <w:autoSpaceDN w:val="0"/>
              <w:adjustRightInd w:val="0"/>
              <w:spacing w:after="0"/>
              <w:ind w:left="162" w:right="57" w:hanging="182"/>
              <w:rPr>
                <w:rFonts w:ascii="Arial Narrow" w:hAnsi="Arial Narrow" w:cs="Garamond"/>
                <w:sz w:val="18"/>
                <w:szCs w:val="18"/>
              </w:rPr>
            </w:pPr>
            <w:r w:rsidRPr="004D57B3">
              <w:rPr>
                <w:rFonts w:ascii="Arial Narrow" w:hAnsi="Arial Narrow" w:cs="Garamond"/>
                <w:sz w:val="18"/>
                <w:szCs w:val="18"/>
              </w:rPr>
              <w:t xml:space="preserve">MRI and </w:t>
            </w:r>
            <w:proofErr w:type="spellStart"/>
            <w:r w:rsidRPr="004D57B3">
              <w:rPr>
                <w:rFonts w:ascii="Arial Narrow" w:hAnsi="Arial Narrow" w:cs="Garamond"/>
                <w:sz w:val="18"/>
                <w:szCs w:val="18"/>
              </w:rPr>
              <w:t>enteroclysis</w:t>
            </w:r>
            <w:proofErr w:type="spellEnd"/>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Outcome: </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Pr>
                <w:rFonts w:ascii="Arial Narrow" w:hAnsi="Arial Narrow" w:cs="Garamond"/>
                <w:sz w:val="18"/>
                <w:szCs w:val="18"/>
              </w:rPr>
              <w:t>D</w:t>
            </w:r>
            <w:r w:rsidRPr="004D57B3">
              <w:rPr>
                <w:rFonts w:ascii="Arial Narrow" w:hAnsi="Arial Narrow" w:cs="Garamond"/>
                <w:sz w:val="18"/>
                <w:szCs w:val="18"/>
              </w:rPr>
              <w:t>iagnostic yield or diagnostic accuracy, therapeutic impact and adverse events</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Reference standard/threshold:</w:t>
            </w:r>
          </w:p>
          <w:p w:rsidR="0048417A" w:rsidRPr="004D57B3" w:rsidRDefault="0048417A" w:rsidP="00836B55">
            <w:pPr>
              <w:keepNext/>
              <w:autoSpaceDE w:val="0"/>
              <w:autoSpaceDN w:val="0"/>
              <w:adjustRightInd w:val="0"/>
              <w:spacing w:after="0"/>
              <w:ind w:left="57" w:right="57"/>
            </w:pPr>
            <w:r w:rsidRPr="004D57B3">
              <w:rPr>
                <w:rFonts w:ascii="Arial Narrow" w:hAnsi="Arial Narrow" w:cs="Garamond"/>
                <w:sz w:val="18"/>
                <w:szCs w:val="18"/>
              </w:rPr>
              <w:t xml:space="preserve">Reference standard in </w:t>
            </w:r>
            <w:r>
              <w:rPr>
                <w:rFonts w:ascii="Arial Narrow" w:hAnsi="Arial Narrow" w:cs="Garamond"/>
                <w:sz w:val="18"/>
                <w:szCs w:val="18"/>
              </w:rPr>
              <w:t>1</w:t>
            </w:r>
            <w:r w:rsidRPr="004D57B3">
              <w:rPr>
                <w:rFonts w:ascii="Arial Narrow" w:hAnsi="Arial Narrow" w:cs="Garamond"/>
                <w:sz w:val="18"/>
                <w:szCs w:val="18"/>
              </w:rPr>
              <w:t xml:space="preserve"> study (</w:t>
            </w:r>
            <w:r>
              <w:rPr>
                <w:rFonts w:ascii="Arial Narrow" w:hAnsi="Arial Narrow" w:cs="Garamond"/>
                <w:sz w:val="18"/>
                <w:szCs w:val="18"/>
              </w:rPr>
              <w:t>12</w:t>
            </w:r>
            <w:r w:rsidRPr="004D57B3">
              <w:rPr>
                <w:rFonts w:ascii="Arial Narrow" w:hAnsi="Arial Narrow" w:cs="Garamond"/>
                <w:sz w:val="18"/>
                <w:szCs w:val="18"/>
              </w:rPr>
              <w:t xml:space="preserve"> month </w:t>
            </w:r>
            <w:r>
              <w:rPr>
                <w:rFonts w:ascii="Arial Narrow" w:hAnsi="Arial Narrow" w:cs="Garamond"/>
                <w:sz w:val="18"/>
                <w:szCs w:val="18"/>
              </w:rPr>
              <w:t>follow-up</w:t>
            </w:r>
            <w:r w:rsidRPr="004D57B3">
              <w:rPr>
                <w:rFonts w:ascii="Arial Narrow" w:hAnsi="Arial Narrow" w:cs="Garamond"/>
                <w:sz w:val="18"/>
                <w:szCs w:val="18"/>
              </w:rPr>
              <w:t xml:space="preserve">). Threshold for positive result varies by study.  </w:t>
            </w:r>
          </w:p>
        </w:tc>
        <w:tc>
          <w:tcPr>
            <w:tcW w:w="2579"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Overall conclusion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The available evidence is not of sufficient quantity and quality to determine the relative diagnostic performance of capsule endoscopy compared with conventional tests used to diagnose Crohn’s disease. No conclusions can be made as to whether capsule endoscopy is an effective alternative to other tests.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The existing body of evidence has limited </w:t>
            </w:r>
            <w:proofErr w:type="spellStart"/>
            <w:r w:rsidRPr="004D57B3">
              <w:rPr>
                <w:rFonts w:ascii="Arial Narrow" w:hAnsi="Arial Narrow" w:cs="Garamond"/>
                <w:sz w:val="18"/>
                <w:szCs w:val="18"/>
              </w:rPr>
              <w:t>generalisability</w:t>
            </w:r>
            <w:proofErr w:type="spellEnd"/>
            <w:r w:rsidRPr="004D57B3">
              <w:rPr>
                <w:rFonts w:ascii="Arial Narrow" w:hAnsi="Arial Narrow" w:cs="Garamond"/>
                <w:sz w:val="18"/>
                <w:szCs w:val="18"/>
              </w:rPr>
              <w:t xml:space="preserve"> because existing studies have small and heterogeneous patient populations.</w:t>
            </w:r>
          </w:p>
          <w:p w:rsidR="0048417A" w:rsidRPr="004D57B3" w:rsidRDefault="0048417A" w:rsidP="00836B55">
            <w:pPr>
              <w:pStyle w:val="TableText"/>
              <w:spacing w:before="0" w:after="0"/>
              <w:rPr>
                <w:rFonts w:cs="Arial"/>
              </w:rPr>
            </w:pPr>
          </w:p>
        </w:tc>
        <w:tc>
          <w:tcPr>
            <w:tcW w:w="2533" w:type="dxa"/>
          </w:tcPr>
          <w:p w:rsidR="0048417A" w:rsidRPr="004D57B3" w:rsidRDefault="0048417A" w:rsidP="00AE591B">
            <w:pPr>
              <w:autoSpaceDE w:val="0"/>
              <w:autoSpaceDN w:val="0"/>
              <w:adjustRightInd w:val="0"/>
              <w:spacing w:beforeLines="20" w:before="48" w:afterLines="20" w:after="48"/>
              <w:ind w:left="20" w:right="20"/>
              <w:rPr>
                <w:rFonts w:ascii="Arial Narrow" w:hAnsi="Arial Narrow" w:cs="Garamond"/>
                <w:b/>
                <w:sz w:val="18"/>
                <w:szCs w:val="18"/>
              </w:rPr>
            </w:pPr>
            <w:r w:rsidRPr="004D57B3">
              <w:rPr>
                <w:rFonts w:ascii="Arial Narrow" w:hAnsi="Arial Narrow" w:cs="Garamond"/>
                <w:b/>
                <w:sz w:val="18"/>
                <w:szCs w:val="18"/>
              </w:rPr>
              <w:t>Quality: FAIR</w:t>
            </w:r>
          </w:p>
          <w:p w:rsidR="0048417A" w:rsidRPr="004D57B3" w:rsidRDefault="0048417A" w:rsidP="00AE591B">
            <w:pPr>
              <w:autoSpaceDE w:val="0"/>
              <w:autoSpaceDN w:val="0"/>
              <w:adjustRightInd w:val="0"/>
              <w:spacing w:beforeLines="20" w:before="48" w:afterLines="20" w:after="48"/>
              <w:ind w:left="20" w:right="20"/>
              <w:rPr>
                <w:rFonts w:ascii="Arial Narrow" w:hAnsi="Arial Narrow" w:cs="Garamond"/>
                <w:sz w:val="18"/>
                <w:szCs w:val="18"/>
              </w:rPr>
            </w:pPr>
            <w:r w:rsidRPr="004D57B3">
              <w:rPr>
                <w:rFonts w:ascii="Arial Narrow" w:hAnsi="Arial Narrow" w:cs="Garamond"/>
                <w:sz w:val="18"/>
                <w:szCs w:val="18"/>
              </w:rPr>
              <w:t>Explicit review questions: no</w:t>
            </w:r>
          </w:p>
          <w:p w:rsidR="0048417A" w:rsidRPr="004D57B3" w:rsidRDefault="0048417A" w:rsidP="00AE591B">
            <w:pPr>
              <w:autoSpaceDE w:val="0"/>
              <w:autoSpaceDN w:val="0"/>
              <w:adjustRightInd w:val="0"/>
              <w:spacing w:beforeLines="20" w:before="48" w:afterLines="20" w:after="48"/>
              <w:ind w:left="20" w:right="20"/>
              <w:rPr>
                <w:rFonts w:ascii="Arial Narrow" w:hAnsi="Arial Narrow" w:cs="Garamond"/>
                <w:sz w:val="18"/>
                <w:szCs w:val="18"/>
              </w:rPr>
            </w:pPr>
            <w:r w:rsidRPr="004D57B3">
              <w:rPr>
                <w:rFonts w:ascii="Arial Narrow" w:hAnsi="Arial Narrow" w:cs="Garamond"/>
                <w:sz w:val="18"/>
                <w:szCs w:val="18"/>
              </w:rPr>
              <w:t xml:space="preserve">Explicit </w:t>
            </w:r>
            <w:r>
              <w:rPr>
                <w:rFonts w:ascii="Arial Narrow" w:hAnsi="Arial Narrow" w:cs="Garamond"/>
                <w:sz w:val="18"/>
                <w:szCs w:val="18"/>
              </w:rPr>
              <w:t>and</w:t>
            </w:r>
            <w:r w:rsidRPr="004D57B3">
              <w:rPr>
                <w:rFonts w:ascii="Arial Narrow" w:hAnsi="Arial Narrow" w:cs="Garamond"/>
                <w:sz w:val="18"/>
                <w:szCs w:val="18"/>
              </w:rPr>
              <w:t xml:space="preserve"> appropriate eligibility criteria: yes</w:t>
            </w:r>
          </w:p>
          <w:p w:rsidR="0048417A" w:rsidRPr="004D57B3" w:rsidRDefault="0048417A" w:rsidP="00AE591B">
            <w:pPr>
              <w:autoSpaceDE w:val="0"/>
              <w:autoSpaceDN w:val="0"/>
              <w:adjustRightInd w:val="0"/>
              <w:spacing w:beforeLines="20" w:before="48" w:afterLines="20" w:after="48"/>
              <w:ind w:left="20" w:right="20"/>
              <w:rPr>
                <w:rFonts w:ascii="Arial Narrow" w:hAnsi="Arial Narrow" w:cs="Garamond"/>
                <w:sz w:val="18"/>
                <w:szCs w:val="18"/>
              </w:rPr>
            </w:pPr>
            <w:r w:rsidRPr="004D57B3">
              <w:rPr>
                <w:rFonts w:ascii="Arial Narrow" w:hAnsi="Arial Narrow" w:cs="Garamond"/>
                <w:sz w:val="18"/>
                <w:szCs w:val="18"/>
              </w:rPr>
              <w:t xml:space="preserve">Explicit </w:t>
            </w:r>
            <w:r>
              <w:rPr>
                <w:rFonts w:ascii="Arial Narrow" w:hAnsi="Arial Narrow" w:cs="Garamond"/>
                <w:sz w:val="18"/>
                <w:szCs w:val="18"/>
              </w:rPr>
              <w:t>and</w:t>
            </w:r>
            <w:r w:rsidRPr="004D57B3">
              <w:rPr>
                <w:rFonts w:ascii="Arial Narrow" w:hAnsi="Arial Narrow" w:cs="Garamond"/>
                <w:sz w:val="18"/>
                <w:szCs w:val="18"/>
              </w:rPr>
              <w:t xml:space="preserve"> comprehensive search strategy: yes</w:t>
            </w:r>
          </w:p>
          <w:p w:rsidR="0048417A" w:rsidRPr="004D57B3" w:rsidRDefault="0048417A" w:rsidP="00AE591B">
            <w:pPr>
              <w:autoSpaceDE w:val="0"/>
              <w:autoSpaceDN w:val="0"/>
              <w:adjustRightInd w:val="0"/>
              <w:spacing w:beforeLines="20" w:before="48" w:afterLines="20" w:after="48"/>
              <w:ind w:left="20" w:right="20"/>
              <w:rPr>
                <w:rFonts w:ascii="Arial Narrow" w:hAnsi="Arial Narrow" w:cs="Garamond"/>
                <w:sz w:val="18"/>
                <w:szCs w:val="18"/>
              </w:rPr>
            </w:pPr>
            <w:r w:rsidRPr="004D57B3">
              <w:rPr>
                <w:rFonts w:ascii="Arial Narrow" w:hAnsi="Arial Narrow" w:cs="Garamond"/>
                <w:sz w:val="18"/>
                <w:szCs w:val="18"/>
              </w:rPr>
              <w:t xml:space="preserve">Quality of included studies appraised: yes </w:t>
            </w:r>
          </w:p>
          <w:p w:rsidR="0048417A" w:rsidRPr="004D57B3" w:rsidRDefault="0048417A" w:rsidP="00AE591B">
            <w:pPr>
              <w:autoSpaceDE w:val="0"/>
              <w:autoSpaceDN w:val="0"/>
              <w:adjustRightInd w:val="0"/>
              <w:spacing w:beforeLines="20" w:before="48" w:afterLines="20" w:after="48"/>
              <w:ind w:left="20" w:right="20"/>
              <w:rPr>
                <w:rFonts w:ascii="Arial Narrow" w:hAnsi="Arial Narrow" w:cs="Garamond"/>
                <w:sz w:val="18"/>
                <w:szCs w:val="18"/>
              </w:rPr>
            </w:pPr>
            <w:r w:rsidRPr="004D57B3">
              <w:rPr>
                <w:rFonts w:ascii="Arial Narrow" w:hAnsi="Arial Narrow" w:cs="Garamond"/>
                <w:sz w:val="18"/>
                <w:szCs w:val="18"/>
              </w:rPr>
              <w:t>Methods of study appraisal reproducible: no</w:t>
            </w:r>
          </w:p>
          <w:p w:rsidR="0048417A" w:rsidRPr="004D57B3" w:rsidRDefault="0048417A" w:rsidP="00AE591B">
            <w:pPr>
              <w:autoSpaceDE w:val="0"/>
              <w:autoSpaceDN w:val="0"/>
              <w:adjustRightInd w:val="0"/>
              <w:spacing w:beforeLines="20" w:before="48" w:afterLines="20" w:after="48"/>
              <w:ind w:left="20" w:right="20"/>
              <w:rPr>
                <w:rFonts w:ascii="Arial Narrow" w:hAnsi="Arial Narrow" w:cs="Garamond"/>
                <w:sz w:val="18"/>
                <w:szCs w:val="18"/>
              </w:rPr>
            </w:pPr>
            <w:r w:rsidRPr="004D57B3">
              <w:rPr>
                <w:rFonts w:ascii="Arial Narrow" w:hAnsi="Arial Narrow" w:cs="Garamond"/>
                <w:sz w:val="18"/>
                <w:szCs w:val="18"/>
              </w:rPr>
              <w:t>Heterogeneity between studies assessed:  N/A</w:t>
            </w:r>
          </w:p>
          <w:p w:rsidR="0048417A" w:rsidRPr="004D57B3" w:rsidRDefault="0048417A" w:rsidP="00836B55">
            <w:pPr>
              <w:keepNext/>
              <w:ind w:left="0" w:right="57"/>
              <w:rPr>
                <w:rFonts w:ascii="Arial Narrow" w:hAnsi="Arial Narrow" w:cs="Garamond"/>
                <w:sz w:val="18"/>
                <w:szCs w:val="18"/>
              </w:rPr>
            </w:pPr>
            <w:r w:rsidRPr="004D57B3">
              <w:rPr>
                <w:rFonts w:ascii="Arial Narrow" w:hAnsi="Arial Narrow" w:cs="Garamond"/>
                <w:sz w:val="18"/>
                <w:szCs w:val="18"/>
              </w:rPr>
              <w:t xml:space="preserve">Summary of main results clear and appropriate: yes </w:t>
            </w:r>
          </w:p>
          <w:p w:rsidR="0048417A" w:rsidRPr="004D57B3" w:rsidRDefault="0048417A" w:rsidP="00836B55">
            <w:pPr>
              <w:pStyle w:val="TableText"/>
              <w:spacing w:before="0" w:after="0"/>
              <w:rPr>
                <w:rFonts w:cs="Arial Unicode MS"/>
                <w:lang w:val="en-US"/>
              </w:rPr>
            </w:pPr>
          </w:p>
        </w:tc>
      </w:tr>
      <w:tr w:rsidR="0048417A" w:rsidRPr="004D57B3" w:rsidTr="00836B55">
        <w:tc>
          <w:tcPr>
            <w:tcW w:w="13410" w:type="dxa"/>
            <w:gridSpan w:val="6"/>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r w:rsidRPr="004D57B3">
              <w:rPr>
                <w:rFonts w:ascii="Arial Narrow" w:hAnsi="Arial Narrow" w:cs="Garamond"/>
                <w:b/>
                <w:sz w:val="18"/>
                <w:szCs w:val="18"/>
                <w:u w:val="single"/>
              </w:rPr>
              <w:lastRenderedPageBreak/>
              <w:t>Results</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Diagnostic performance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 xml:space="preserve">Diagnostic accuracy of capsule endoscopy in patients with suspected Crohn’s disease </w:t>
            </w:r>
            <w:r w:rsidRPr="004D57B3">
              <w:rPr>
                <w:rFonts w:ascii="Arial Narrow" w:hAnsi="Arial Narrow" w:cs="Garamond"/>
                <w:sz w:val="18"/>
                <w:szCs w:val="18"/>
              </w:rPr>
              <w:t xml:space="preserve">(Reference standard: final diagnosis at </w:t>
            </w:r>
            <w:r>
              <w:rPr>
                <w:rFonts w:ascii="Arial Narrow" w:hAnsi="Arial Narrow" w:cs="Garamond"/>
                <w:sz w:val="18"/>
                <w:szCs w:val="18"/>
              </w:rPr>
              <w:t>12</w:t>
            </w:r>
            <w:r w:rsidRPr="004D57B3">
              <w:rPr>
                <w:rFonts w:ascii="Arial Narrow" w:hAnsi="Arial Narrow" w:cs="Garamond"/>
                <w:sz w:val="18"/>
                <w:szCs w:val="18"/>
              </w:rPr>
              <w:t xml:space="preserve"> months) (1 study, </w:t>
            </w:r>
            <w:r>
              <w:rPr>
                <w:rFonts w:ascii="Arial Narrow" w:hAnsi="Arial Narrow" w:cs="Garamond"/>
                <w:sz w:val="18"/>
                <w:szCs w:val="18"/>
              </w:rPr>
              <w:t>n</w:t>
            </w:r>
            <w:r w:rsidRPr="004D57B3">
              <w:rPr>
                <w:rFonts w:ascii="Arial Narrow" w:hAnsi="Arial Narrow" w:cs="Garamond"/>
                <w:sz w:val="18"/>
                <w:szCs w:val="18"/>
              </w:rPr>
              <w:t>=13)</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Capsule endoscopy sensitivity: 92% (12/13 patients)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endoscopy specificity: 100% (10/10 patients)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and specificity may be overestimated as it was unclear if the reference test was blindly assessed.</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Pr>
                <w:rFonts w:ascii="Arial Narrow" w:hAnsi="Arial Narrow" w:cs="Garamond"/>
                <w:i/>
                <w:sz w:val="18"/>
                <w:szCs w:val="18"/>
              </w:rPr>
              <w:t>Diagnostic yield (5 studies, n</w:t>
            </w:r>
            <w:r w:rsidRPr="004D57B3">
              <w:rPr>
                <w:rFonts w:ascii="Arial Narrow" w:hAnsi="Arial Narrow" w:cs="Garamond"/>
                <w:i/>
                <w:sz w:val="18"/>
                <w:szCs w:val="18"/>
              </w:rPr>
              <w:t>=176)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In </w:t>
            </w:r>
            <w:r>
              <w:rPr>
                <w:rFonts w:ascii="Arial Narrow" w:hAnsi="Arial Narrow" w:cs="Garamond"/>
                <w:sz w:val="18"/>
                <w:szCs w:val="18"/>
              </w:rPr>
              <w:t>4</w:t>
            </w:r>
            <w:r w:rsidRPr="004D57B3">
              <w:rPr>
                <w:rFonts w:ascii="Arial Narrow" w:hAnsi="Arial Narrow" w:cs="Garamond"/>
                <w:sz w:val="18"/>
                <w:szCs w:val="18"/>
              </w:rPr>
              <w:t xml:space="preserve"> of the studies, capsule endoscopy had a higher diagnostic yield than the comparator and similar to </w:t>
            </w:r>
            <w:r>
              <w:rPr>
                <w:rFonts w:ascii="Arial Narrow" w:hAnsi="Arial Narrow" w:cs="Garamond"/>
                <w:sz w:val="18"/>
                <w:szCs w:val="18"/>
              </w:rPr>
              <w:t>SBFT</w:t>
            </w:r>
            <w:r w:rsidRPr="004D57B3">
              <w:rPr>
                <w:rFonts w:ascii="Arial Narrow" w:hAnsi="Arial Narrow" w:cs="Garamond"/>
                <w:sz w:val="18"/>
                <w:szCs w:val="18"/>
              </w:rPr>
              <w:t xml:space="preserve"> in </w:t>
            </w:r>
            <w:r>
              <w:rPr>
                <w:rFonts w:ascii="Arial Narrow" w:hAnsi="Arial Narrow" w:cs="Garamond"/>
                <w:sz w:val="18"/>
                <w:szCs w:val="18"/>
              </w:rPr>
              <w:t>1</w:t>
            </w:r>
            <w:r w:rsidRPr="004D57B3">
              <w:rPr>
                <w:rFonts w:ascii="Arial Narrow" w:hAnsi="Arial Narrow" w:cs="Garamond"/>
                <w:sz w:val="18"/>
                <w:szCs w:val="18"/>
              </w:rPr>
              <w:t xml:space="preserve"> study.</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Change in management:  </w:t>
            </w:r>
            <w:r w:rsidRPr="004D57B3">
              <w:rPr>
                <w:rFonts w:ascii="Arial Narrow" w:hAnsi="Arial Narrow" w:cs="Garamond"/>
                <w:sz w:val="18"/>
                <w:szCs w:val="18"/>
              </w:rPr>
              <w:t>2 studies reported changes in patient management. A management change was reported in 67% (14/21) of patients with suspected Crohn’s disease.</w:t>
            </w:r>
            <w:r w:rsidRPr="004D57B3">
              <w:rPr>
                <w:rFonts w:ascii="Arial Narrow" w:hAnsi="Arial Narrow" w:cs="Garamond"/>
                <w:b/>
                <w:sz w:val="18"/>
                <w:szCs w:val="18"/>
              </w:rPr>
              <w:t xml:space="preserve"> </w:t>
            </w:r>
            <w:r w:rsidRPr="004D57B3">
              <w:rPr>
                <w:rFonts w:ascii="Arial Narrow" w:hAnsi="Arial Narrow" w:cs="Garamond"/>
                <w:sz w:val="18"/>
                <w:szCs w:val="18"/>
              </w:rPr>
              <w:t>A therapeutic impact was reported in 18% (10/56) of patients diagnosed with capsule endoscopy, 5 of whom had new diagnoses.</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 xml:space="preserve">Health outcomes: </w:t>
            </w:r>
            <w:r>
              <w:rPr>
                <w:rFonts w:ascii="Arial Narrow" w:hAnsi="Arial Narrow" w:cs="Garamond"/>
                <w:b/>
                <w:sz w:val="18"/>
                <w:szCs w:val="18"/>
              </w:rPr>
              <w:t>nr</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Adverse events:</w:t>
            </w:r>
            <w:r w:rsidRPr="004D57B3">
              <w:rPr>
                <w:rFonts w:ascii="Arial Narrow" w:hAnsi="Arial Narrow" w:cs="Garamond"/>
                <w:sz w:val="18"/>
                <w:szCs w:val="18"/>
              </w:rPr>
              <w:t xml:space="preserve"> Adverse events were reported in 4.5% of patients (8/176). Capsule retention occurred in 2.8% of patients (5/176), requiring surgical removal in 2 patients, </w:t>
            </w:r>
            <w:proofErr w:type="gramStart"/>
            <w:r w:rsidRPr="004D57B3">
              <w:rPr>
                <w:rFonts w:ascii="Arial Narrow" w:hAnsi="Arial Narrow" w:cs="Garamond"/>
                <w:sz w:val="18"/>
                <w:szCs w:val="18"/>
              </w:rPr>
              <w:t>endoscopic</w:t>
            </w:r>
            <w:proofErr w:type="gramEnd"/>
            <w:r w:rsidRPr="004D57B3">
              <w:rPr>
                <w:rFonts w:ascii="Arial Narrow" w:hAnsi="Arial Narrow" w:cs="Garamond"/>
                <w:sz w:val="18"/>
                <w:szCs w:val="18"/>
              </w:rPr>
              <w:t xml:space="preserve"> removal in 1 patient and corticosteroid therapy in 1 patient. Other adverse events reported include painful passage of the capsule through the </w:t>
            </w:r>
            <w:proofErr w:type="spellStart"/>
            <w:r w:rsidRPr="004D57B3">
              <w:rPr>
                <w:rFonts w:ascii="Arial Narrow" w:hAnsi="Arial Narrow" w:cs="Garamond"/>
                <w:sz w:val="18"/>
                <w:szCs w:val="18"/>
              </w:rPr>
              <w:t>ileocaecal</w:t>
            </w:r>
            <w:proofErr w:type="spellEnd"/>
            <w:r w:rsidRPr="004D57B3">
              <w:rPr>
                <w:rFonts w:ascii="Arial Narrow" w:hAnsi="Arial Narrow" w:cs="Garamond"/>
                <w:sz w:val="18"/>
                <w:szCs w:val="18"/>
              </w:rPr>
              <w:t xml:space="preserve"> region in 2 patients, inability to swallow the capsule in 1 patient requiring endoscopy placement of the capsule in the duodenum, repeat capsule endoscopy in 1 patient due to prolonged stay in the stomach.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3 studies (n</w:t>
            </w:r>
            <w:r w:rsidRPr="004D57B3">
              <w:rPr>
                <w:rFonts w:ascii="Arial Narrow" w:hAnsi="Arial Narrow" w:cs="Garamond"/>
                <w:sz w:val="18"/>
                <w:szCs w:val="18"/>
              </w:rPr>
              <w:t>=114) reported on whether the capsule failed to reach the caecum within the battery life time, resulting in incomplete visualisation. This occurred in 17.5% (20/114) of patients.</w:t>
            </w:r>
          </w:p>
          <w:p w:rsidR="0048417A" w:rsidRPr="00B81800" w:rsidRDefault="0048417A" w:rsidP="00836B55">
            <w:pPr>
              <w:pStyle w:val="TableText"/>
              <w:rPr>
                <w:b/>
                <w:bCs/>
                <w:sz w:val="96"/>
                <w:szCs w:val="96"/>
              </w:rPr>
            </w:pPr>
          </w:p>
        </w:tc>
      </w:tr>
    </w:tbl>
    <w:p w:rsidR="0048417A" w:rsidRPr="004D57B3" w:rsidRDefault="0048417A" w:rsidP="00836B55">
      <w:pPr>
        <w:pStyle w:val="Heading2"/>
        <w:rPr>
          <w:bCs/>
        </w:rPr>
      </w:pPr>
      <w:bookmarkStart w:id="263" w:name="_Toc296517908"/>
      <w:r w:rsidRPr="004D57B3">
        <w:rPr>
          <w:bCs/>
        </w:rPr>
        <w:t>Primary studies</w:t>
      </w:r>
      <w:bookmarkEnd w:id="263"/>
    </w:p>
    <w:p w:rsidR="0048417A" w:rsidRPr="004D57B3" w:rsidRDefault="0048417A" w:rsidP="00836B55">
      <w:pPr>
        <w:ind w:left="1134"/>
      </w:pPr>
      <w:r w:rsidRPr="004D57B3">
        <w:rPr>
          <w:noProof/>
        </w:rPr>
        <w:t>All included studies on accuracy and diagnostic yield provided safety data except for Guilhon de Araujo Sant'Anna et al (2005)</w:t>
      </w:r>
      <w:r w:rsidRPr="004D57B3">
        <w:t>. All included studies on accuracy provided diagnostic yield data.</w:t>
      </w:r>
    </w:p>
    <w:p w:rsidR="0048417A" w:rsidRPr="004D57B3" w:rsidRDefault="0048417A" w:rsidP="00836B55">
      <w:pPr>
        <w:pStyle w:val="Heading2"/>
        <w:rPr>
          <w:bCs/>
        </w:rPr>
      </w:pPr>
      <w:bookmarkStart w:id="264" w:name="_Toc296517909"/>
      <w:r w:rsidRPr="004D57B3">
        <w:rPr>
          <w:bCs/>
        </w:rPr>
        <w:lastRenderedPageBreak/>
        <w:t>Study profiles of included studies on accuracy</w:t>
      </w:r>
      <w:bookmarkEnd w:id="2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2"/>
        <w:gridCol w:w="2299"/>
        <w:gridCol w:w="188"/>
        <w:gridCol w:w="2487"/>
        <w:gridCol w:w="2487"/>
        <w:gridCol w:w="3485"/>
      </w:tblGrid>
      <w:tr w:rsidR="0048417A" w:rsidRPr="004D57B3" w:rsidTr="00836B55">
        <w:trPr>
          <w:trHeight w:val="620"/>
        </w:trPr>
        <w:tc>
          <w:tcPr>
            <w:tcW w:w="2235"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547DED" w:rsidRDefault="0048417A" w:rsidP="00836B55">
            <w:pPr>
              <w:keepNext/>
              <w:spacing w:after="0"/>
              <w:ind w:left="57" w:right="57"/>
              <w:rPr>
                <w:rFonts w:ascii="Arial Narrow" w:hAnsi="Arial Narrow"/>
                <w:b/>
                <w:bCs/>
                <w:sz w:val="18"/>
                <w:szCs w:val="18"/>
              </w:rPr>
            </w:pPr>
            <w:r w:rsidRPr="00547DED">
              <w:rPr>
                <w:rFonts w:ascii="Arial Narrow" w:hAnsi="Arial Narrow"/>
                <w:b/>
                <w:bCs/>
                <w:sz w:val="18"/>
                <w:szCs w:val="18"/>
              </w:rPr>
              <w:t>n</w:t>
            </w:r>
          </w:p>
        </w:tc>
        <w:tc>
          <w:tcPr>
            <w:tcW w:w="2551" w:type="dxa"/>
            <w:gridSpan w:val="2"/>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675" w:type="dxa"/>
            <w:gridSpan w:val="2"/>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485"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7083"/>
        </w:trPr>
        <w:tc>
          <w:tcPr>
            <w:tcW w:w="2235"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Albert et al </w:t>
            </w:r>
            <w:r>
              <w:rPr>
                <w:rFonts w:ascii="Arial Narrow" w:hAnsi="Arial Narrow" w:cs="Garamond"/>
                <w:sz w:val="18"/>
                <w:szCs w:val="18"/>
              </w:rPr>
              <w:t>(</w:t>
            </w:r>
            <w:r w:rsidRPr="004D57B3">
              <w:rPr>
                <w:rFonts w:ascii="Arial Narrow" w:hAnsi="Arial Narrow" w:cs="Garamond"/>
                <w:sz w:val="18"/>
                <w:szCs w:val="18"/>
              </w:rPr>
              <w:t>2005</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Germany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Single centre (hospital)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1 May 2002</w:t>
            </w:r>
            <w:r>
              <w:rPr>
                <w:rFonts w:ascii="Arial Narrow" w:hAnsi="Arial Narrow" w:cs="Garamond"/>
                <w:sz w:val="18"/>
                <w:szCs w:val="18"/>
              </w:rPr>
              <w:t>-</w:t>
            </w:r>
            <w:r w:rsidRPr="004D57B3">
              <w:rPr>
                <w:rFonts w:ascii="Arial Narrow" w:hAnsi="Arial Narrow" w:cs="Garamond"/>
                <w:sz w:val="18"/>
                <w:szCs w:val="18"/>
              </w:rPr>
              <w:t>15 December 2003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=52 patients (25 newly suspected of Crohn’s disease, 27 with established non</w:t>
            </w:r>
            <w:r>
              <w:rPr>
                <w:rFonts w:ascii="Arial Narrow" w:hAnsi="Arial Narrow" w:cs="Garamond"/>
                <w:sz w:val="18"/>
                <w:szCs w:val="18"/>
              </w:rPr>
              <w:t>-</w:t>
            </w:r>
            <w:r w:rsidRPr="004D57B3">
              <w:rPr>
                <w:rFonts w:ascii="Arial Narrow" w:hAnsi="Arial Narrow" w:cs="Garamond"/>
                <w:sz w:val="18"/>
                <w:szCs w:val="18"/>
              </w:rPr>
              <w:t>small bowel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Follow</w:t>
            </w:r>
            <w:r>
              <w:rPr>
                <w:rFonts w:ascii="Arial Narrow" w:hAnsi="Arial Narrow" w:cs="Garamond"/>
                <w:sz w:val="18"/>
                <w:szCs w:val="18"/>
              </w:rPr>
              <w:t>-</w:t>
            </w:r>
            <w:r w:rsidRPr="004D57B3">
              <w:rPr>
                <w:rFonts w:ascii="Arial Narrow" w:hAnsi="Arial Narrow" w:cs="Garamond"/>
                <w:sz w:val="18"/>
                <w:szCs w:val="18"/>
              </w:rPr>
              <w:t>up:</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r w:rsidRPr="004D57B3">
              <w:rPr>
                <w:rFonts w:ascii="Arial Narrow" w:hAnsi="Arial Narrow" w:cs="Garamond"/>
                <w:sz w:val="18"/>
                <w:szCs w:val="18"/>
              </w:rPr>
              <w:t>Mean follow</w:t>
            </w:r>
            <w:r>
              <w:rPr>
                <w:rFonts w:ascii="Arial Narrow" w:hAnsi="Arial Narrow" w:cs="Garamond"/>
                <w:sz w:val="18"/>
                <w:szCs w:val="18"/>
              </w:rPr>
              <w:t>-</w:t>
            </w:r>
            <w:r w:rsidRPr="004D57B3">
              <w:rPr>
                <w:rFonts w:ascii="Arial Narrow" w:hAnsi="Arial Narrow" w:cs="Garamond"/>
                <w:sz w:val="18"/>
                <w:szCs w:val="18"/>
              </w:rPr>
              <w:t>up 14.5 months (SD 6.5 months).</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551" w:type="dxa"/>
            <w:gridSpan w:val="2"/>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evaluate the efficacy and safety of capsule endoscopy in diagnosing small bowel Crohn’s disease in comparison with MRI and double contrast small bowel fluoroscopy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 consecutive diagnostic accuracy study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tests</w:t>
            </w:r>
            <w:r>
              <w:rPr>
                <w:rFonts w:ascii="Arial Narrow" w:hAnsi="Arial Narrow" w:cs="Garamond"/>
                <w:i/>
                <w:sz w:val="18"/>
                <w:szCs w:val="18"/>
              </w:rPr>
              <w:t>:</w:t>
            </w:r>
          </w:p>
          <w:p w:rsidR="0048417A" w:rsidRPr="004D57B3" w:rsidRDefault="0048417A" w:rsidP="00836B55">
            <w:pPr>
              <w:keepNext/>
              <w:numPr>
                <w:ilvl w:val="0"/>
                <w:numId w:val="42"/>
              </w:numPr>
              <w:autoSpaceDE w:val="0"/>
              <w:autoSpaceDN w:val="0"/>
              <w:adjustRightInd w:val="0"/>
              <w:spacing w:after="0"/>
              <w:ind w:left="229" w:right="57" w:hanging="172"/>
              <w:jc w:val="both"/>
              <w:rPr>
                <w:rFonts w:ascii="Arial Narrow" w:hAnsi="Arial Narrow" w:cs="Garamond"/>
                <w:sz w:val="18"/>
                <w:szCs w:val="18"/>
              </w:rPr>
            </w:pPr>
            <w:r w:rsidRPr="004D57B3">
              <w:rPr>
                <w:rFonts w:ascii="Arial Narrow" w:hAnsi="Arial Narrow" w:cs="Garamond"/>
                <w:sz w:val="18"/>
                <w:szCs w:val="18"/>
              </w:rPr>
              <w:t>MRI</w:t>
            </w:r>
          </w:p>
          <w:p w:rsidR="0048417A" w:rsidRPr="004D57B3" w:rsidRDefault="0048417A" w:rsidP="00836B55">
            <w:pPr>
              <w:keepNext/>
              <w:numPr>
                <w:ilvl w:val="0"/>
                <w:numId w:val="42"/>
              </w:numPr>
              <w:autoSpaceDE w:val="0"/>
              <w:autoSpaceDN w:val="0"/>
              <w:adjustRightInd w:val="0"/>
              <w:spacing w:after="0"/>
              <w:ind w:left="229" w:right="57" w:hanging="172"/>
              <w:jc w:val="both"/>
              <w:rPr>
                <w:rFonts w:ascii="Arial Narrow" w:hAnsi="Arial Narrow" w:cs="Garamond"/>
                <w:sz w:val="18"/>
                <w:szCs w:val="18"/>
              </w:rPr>
            </w:pPr>
            <w:r w:rsidRPr="004D57B3">
              <w:rPr>
                <w:rFonts w:ascii="Arial Narrow" w:hAnsi="Arial Narrow" w:cs="Garamond"/>
                <w:sz w:val="18"/>
                <w:szCs w:val="18"/>
              </w:rPr>
              <w:t>Double contrast small bowel fluoroscopy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Combined diagnostic endpoint composed of all imaging methods including </w:t>
            </w:r>
            <w:proofErr w:type="spellStart"/>
            <w:r w:rsidRPr="004D57B3">
              <w:rPr>
                <w:rFonts w:ascii="Arial Narrow" w:hAnsi="Arial Narrow" w:cs="Garamond"/>
                <w:sz w:val="18"/>
                <w:szCs w:val="18"/>
              </w:rPr>
              <w:t>ileocolonoscopy</w:t>
            </w:r>
            <w:proofErr w:type="spellEnd"/>
            <w:r w:rsidRPr="004D57B3">
              <w:rPr>
                <w:rFonts w:ascii="Arial Narrow" w:hAnsi="Arial Narrow" w:cs="Garamond"/>
                <w:sz w:val="18"/>
                <w:szCs w:val="18"/>
              </w:rPr>
              <w:t>, clinical and laboratory data and the evolution of diagnosis during follow</w:t>
            </w:r>
            <w:r>
              <w:rPr>
                <w:rFonts w:ascii="Arial Narrow" w:hAnsi="Arial Narrow" w:cs="Garamond"/>
                <w:sz w:val="18"/>
                <w:szCs w:val="18"/>
              </w:rPr>
              <w:t>-</w:t>
            </w:r>
            <w:r w:rsidRPr="004D57B3">
              <w:rPr>
                <w:rFonts w:ascii="Arial Narrow" w:hAnsi="Arial Narrow" w:cs="Garamond"/>
                <w:sz w:val="18"/>
                <w:szCs w:val="18"/>
              </w:rPr>
              <w:t xml:space="preserve">up &gt;12 months. </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675" w:type="dxa"/>
            <w:gridSpan w:val="2"/>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 (for suspected CD group):</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Patients admitted for the evaluation of suspected or previously diagnosed but worsening Crohn’s disease.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Crohn’s disease was suspected in the presence of suggestive clinical symptoms (diarrhoea, abdominal pain, anorexia, weight loss, rectal bleeding) and biochemical signs of systemic inflammation. </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Dysphagia, gastrointestinal obstruction and/or ileus, pregnancy, presence of an implanted </w:t>
            </w:r>
            <w:proofErr w:type="spellStart"/>
            <w:r w:rsidRPr="004D57B3">
              <w:rPr>
                <w:rFonts w:ascii="Arial Narrow" w:hAnsi="Arial Narrow" w:cs="Garamond"/>
                <w:sz w:val="18"/>
                <w:szCs w:val="18"/>
              </w:rPr>
              <w:t>electromedical</w:t>
            </w:r>
            <w:proofErr w:type="spellEnd"/>
            <w:r w:rsidRPr="004D57B3">
              <w:rPr>
                <w:rFonts w:ascii="Arial Narrow" w:hAnsi="Arial Narrow" w:cs="Garamond"/>
                <w:sz w:val="18"/>
                <w:szCs w:val="18"/>
              </w:rPr>
              <w:t xml:space="preserve"> device (cardiac pacemaker or defibrillator). Patients &lt;18 years. Significant bowel stricture detected on prior imaging.  Detection of small bowel involvement did not potentially affect treatment strategies. For the suspected Crohn’s disease subgroup: the diagnostic work</w:t>
            </w:r>
            <w:r>
              <w:rPr>
                <w:rFonts w:ascii="Arial Narrow" w:hAnsi="Arial Narrow" w:cs="Garamond"/>
                <w:sz w:val="18"/>
                <w:szCs w:val="18"/>
              </w:rPr>
              <w:t>-</w:t>
            </w:r>
            <w:r w:rsidRPr="004D57B3">
              <w:rPr>
                <w:rFonts w:ascii="Arial Narrow" w:hAnsi="Arial Narrow" w:cs="Garamond"/>
                <w:sz w:val="18"/>
                <w:szCs w:val="18"/>
              </w:rPr>
              <w:t xml:space="preserve">up (see prior tests) did not establish a diagnosis other than Crohn’s disease. </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Age 18-72 years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39 female/13 male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Male – Mean age 36.6 years SD 12.41 years</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lastRenderedPageBreak/>
              <w:t>Female – Mean age 39.7 years, SD 16.0 years</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Abdominal ultrasound, upper endoscopy, </w:t>
            </w:r>
            <w:proofErr w:type="spellStart"/>
            <w:r w:rsidRPr="004D57B3">
              <w:rPr>
                <w:rFonts w:ascii="Arial Narrow" w:hAnsi="Arial Narrow" w:cs="Garamond"/>
                <w:sz w:val="18"/>
                <w:szCs w:val="18"/>
              </w:rPr>
              <w:t>ileocolonoscopy</w:t>
            </w:r>
            <w:proofErr w:type="spellEnd"/>
            <w:r w:rsidRPr="004D57B3">
              <w:rPr>
                <w:rFonts w:ascii="Arial Narrow" w:hAnsi="Arial Narrow" w:cs="Garamond"/>
                <w:sz w:val="18"/>
                <w:szCs w:val="18"/>
              </w:rPr>
              <w:t>, microbiological stool tests,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Not reported by subgroup.</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Abdominal pain 51.9% (27/52)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Diarrhoea 36.5% (19/52)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Weight loss 5.8% (3/52)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Perineal fistula 5.8% (3/52)</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CE: </w:t>
            </w:r>
            <w:proofErr w:type="spellStart"/>
            <w:r w:rsidRPr="004D57B3">
              <w:rPr>
                <w:rFonts w:ascii="Arial Narrow" w:hAnsi="Arial Narrow" w:cs="Garamond"/>
                <w:sz w:val="18"/>
                <w:szCs w:val="18"/>
              </w:rPr>
              <w:t>Aphthous</w:t>
            </w:r>
            <w:proofErr w:type="spellEnd"/>
            <w:r w:rsidRPr="004D57B3">
              <w:rPr>
                <w:rFonts w:ascii="Arial Narrow" w:hAnsi="Arial Narrow" w:cs="Garamond"/>
                <w:sz w:val="18"/>
                <w:szCs w:val="18"/>
              </w:rPr>
              <w:t xml:space="preserve"> mucosal lesions, irregularly shaped or </w:t>
            </w:r>
            <w:proofErr w:type="spellStart"/>
            <w:r w:rsidRPr="004D57B3">
              <w:rPr>
                <w:rFonts w:ascii="Arial Narrow" w:hAnsi="Arial Narrow" w:cs="Garamond"/>
                <w:sz w:val="18"/>
                <w:szCs w:val="18"/>
              </w:rPr>
              <w:t>fissural</w:t>
            </w:r>
            <w:proofErr w:type="spellEnd"/>
            <w:r w:rsidRPr="004D57B3">
              <w:rPr>
                <w:rFonts w:ascii="Arial Narrow" w:hAnsi="Arial Narrow" w:cs="Garamond"/>
                <w:sz w:val="18"/>
                <w:szCs w:val="18"/>
              </w:rPr>
              <w:t xml:space="preserve"> ulcers (occasionally associated with bleeding), cobblestone appearance, luminal narrowing due to oedema and/or fibrous scarring, and granularity with attenuated or lost vascular pattern resulted in the diagnosis of Crohn’s disease. Patchy mucosal erythema, oedema or a single regular ulceration were considered inconclusive findings.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sz w:val="18"/>
                <w:szCs w:val="18"/>
              </w:rPr>
              <w:t>MRI: Thickening of the bowel wall (≥4mm) and enhancement of the bowel wall after application of intravenous contrast medium were considered indicative of CD. Weak enhancement of bowel loops without bowel wall thickening was interpreted as non-specific.</w:t>
            </w: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accuracy</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8"/>
              <w:gridCol w:w="515"/>
              <w:gridCol w:w="509"/>
              <w:gridCol w:w="440"/>
              <w:gridCol w:w="442"/>
            </w:tblGrid>
            <w:tr w:rsidR="0048417A" w:rsidRPr="004D57B3" w:rsidTr="00836B55">
              <w:trPr>
                <w:trHeight w:val="268"/>
              </w:trPr>
              <w:tc>
                <w:tcPr>
                  <w:tcW w:w="31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394" w:type="dxa"/>
                  <w:gridSpan w:val="3"/>
                  <w:tcBorders>
                    <w:top w:val="single" w:sz="4" w:space="0" w:color="auto"/>
                    <w:left w:val="single" w:sz="4" w:space="0" w:color="auto"/>
                    <w:bottom w:val="single" w:sz="4" w:space="0" w:color="auto"/>
                    <w:right w:val="single" w:sz="4" w:space="0" w:color="auto"/>
                  </w:tcBorders>
                </w:tcPr>
                <w:p w:rsidR="0048417A" w:rsidRDefault="0048417A" w:rsidP="00836B55">
                  <w:pPr>
                    <w:pStyle w:val="TableText"/>
                    <w:spacing w:before="0" w:after="0"/>
                  </w:pPr>
                  <w:r w:rsidRPr="004D57B3">
                    <w:t xml:space="preserve">Reference </w:t>
                  </w:r>
                </w:p>
                <w:p w:rsidR="0048417A" w:rsidRPr="004D57B3" w:rsidRDefault="0048417A" w:rsidP="00836B55">
                  <w:pPr>
                    <w:pStyle w:val="TableText"/>
                    <w:spacing w:before="0" w:after="0"/>
                  </w:pPr>
                  <w:r w:rsidRPr="004D57B3">
                    <w:t>standard</w:t>
                  </w:r>
                  <w:r>
                    <w:t xml:space="preserve"> –</w:t>
                  </w:r>
                </w:p>
                <w:p w:rsidR="0048417A" w:rsidRPr="004D57B3" w:rsidRDefault="0048417A" w:rsidP="00836B55">
                  <w:pPr>
                    <w:pStyle w:val="TableText"/>
                  </w:pPr>
                  <w:r w:rsidRPr="004D57B3">
                    <w:t>Follow</w:t>
                  </w:r>
                  <w:r>
                    <w:t>-</w:t>
                  </w:r>
                  <w:r w:rsidRPr="004D57B3">
                    <w:t>up</w:t>
                  </w:r>
                </w:p>
              </w:tc>
            </w:tr>
            <w:tr w:rsidR="0048417A" w:rsidRPr="004D57B3" w:rsidTr="00836B55">
              <w:trPr>
                <w:trHeight w:val="292"/>
              </w:trPr>
              <w:tc>
                <w:tcPr>
                  <w:tcW w:w="31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44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319"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CE</w:t>
                  </w:r>
                </w:p>
              </w:tc>
              <w:tc>
                <w:tcPr>
                  <w:tcW w:w="51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51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12</w:t>
                  </w:r>
                </w:p>
              </w:tc>
              <w:tc>
                <w:tcPr>
                  <w:tcW w:w="44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0</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12</w:t>
                  </w:r>
                </w:p>
              </w:tc>
            </w:tr>
            <w:tr w:rsidR="0048417A" w:rsidRPr="004D57B3" w:rsidTr="00836B55">
              <w:trPr>
                <w:trHeight w:val="143"/>
              </w:trPr>
              <w:tc>
                <w:tcPr>
                  <w:tcW w:w="319"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51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w:t>
                  </w:r>
                </w:p>
              </w:tc>
              <w:tc>
                <w:tcPr>
                  <w:tcW w:w="44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11</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12</w:t>
                  </w:r>
                </w:p>
              </w:tc>
            </w:tr>
            <w:tr w:rsidR="0048417A" w:rsidRPr="004D57B3" w:rsidTr="00836B55">
              <w:trPr>
                <w:trHeight w:val="143"/>
              </w:trPr>
              <w:tc>
                <w:tcPr>
                  <w:tcW w:w="319"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roofErr w:type="spellStart"/>
                  <w:r w:rsidRPr="004D57B3">
                    <w:t>Toal</w:t>
                  </w:r>
                  <w:proofErr w:type="spellEnd"/>
                </w:p>
              </w:tc>
              <w:tc>
                <w:tcPr>
                  <w:tcW w:w="51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13</w:t>
                  </w:r>
                </w:p>
              </w:tc>
              <w:tc>
                <w:tcPr>
                  <w:tcW w:w="44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11</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24</w:t>
                  </w:r>
                </w:p>
              </w:tc>
            </w:tr>
          </w:tbl>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CE: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0.92 (95% CI = 0.62</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1.00 (95% CI = 0.72</w:t>
            </w:r>
            <w:r>
              <w:rPr>
                <w:rFonts w:ascii="Arial Narrow" w:hAnsi="Arial Narrow" w:cs="Garamond"/>
                <w:sz w:val="18"/>
                <w:szCs w:val="18"/>
              </w:rPr>
              <w:t>-</w:t>
            </w:r>
            <w:r w:rsidRPr="004D57B3">
              <w:rPr>
                <w:rFonts w:ascii="Arial Narrow" w:hAnsi="Arial Narrow" w:cs="Garamond"/>
                <w:sz w:val="18"/>
                <w:szCs w:val="18"/>
              </w:rPr>
              <w:t xml:space="preserve"> 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PPV: 1.00 (95% CI = 0.74</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NPV: 0.92 (95% CI = 0.60</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 Undefined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0.08</w:t>
            </w:r>
          </w:p>
          <w:p w:rsidR="000E4781" w:rsidRPr="00260BB3" w:rsidRDefault="0048417A" w:rsidP="00260BB3">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Assumption: 1 drop out</w:t>
            </w:r>
          </w:p>
          <w:p w:rsidR="00260BB3" w:rsidRPr="004D57B3" w:rsidRDefault="00260BB3" w:rsidP="000E4781">
            <w:pPr>
              <w:keepNext/>
              <w:autoSpaceDE w:val="0"/>
              <w:autoSpaceDN w:val="0"/>
              <w:adjustRightInd w:val="0"/>
              <w:spacing w:after="0"/>
              <w:ind w:left="0" w:right="57"/>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79"/>
              <w:gridCol w:w="509"/>
              <w:gridCol w:w="509"/>
              <w:gridCol w:w="442"/>
              <w:gridCol w:w="385"/>
            </w:tblGrid>
            <w:tr w:rsidR="0048417A" w:rsidRPr="004D57B3" w:rsidTr="00836B55">
              <w:trPr>
                <w:trHeight w:val="268"/>
              </w:trPr>
              <w:tc>
                <w:tcPr>
                  <w:tcW w:w="38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327" w:type="dxa"/>
                  <w:gridSpan w:val="3"/>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Reference standard</w:t>
                  </w:r>
                  <w:r>
                    <w:t xml:space="preserve"> –</w:t>
                  </w:r>
                </w:p>
                <w:p w:rsidR="0048417A" w:rsidRPr="004D57B3" w:rsidRDefault="0048417A" w:rsidP="00836B55">
                  <w:pPr>
                    <w:pStyle w:val="TableText"/>
                  </w:pPr>
                  <w:r w:rsidRPr="004D57B3">
                    <w:t>Follow</w:t>
                  </w:r>
                  <w:r>
                    <w:t>-</w:t>
                  </w:r>
                  <w:r w:rsidRPr="004D57B3">
                    <w:t>up</w:t>
                  </w:r>
                </w:p>
              </w:tc>
            </w:tr>
            <w:tr w:rsidR="0048417A" w:rsidRPr="004D57B3" w:rsidTr="00836B55">
              <w:trPr>
                <w:trHeight w:val="292"/>
              </w:trPr>
              <w:tc>
                <w:tcPr>
                  <w:tcW w:w="38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4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34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143"/>
              </w:trPr>
              <w:tc>
                <w:tcPr>
                  <w:tcW w:w="384"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MRI</w:t>
                  </w:r>
                </w:p>
              </w:tc>
              <w:tc>
                <w:tcPr>
                  <w:tcW w:w="5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5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w:t>
                  </w:r>
                </w:p>
              </w:tc>
              <w:tc>
                <w:tcPr>
                  <w:tcW w:w="4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w:t>
                  </w:r>
                </w:p>
              </w:tc>
              <w:tc>
                <w:tcPr>
                  <w:tcW w:w="34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12</w:t>
                  </w:r>
                </w:p>
              </w:tc>
            </w:tr>
            <w:tr w:rsidR="0048417A" w:rsidRPr="004D57B3" w:rsidTr="00836B55">
              <w:trPr>
                <w:trHeight w:val="143"/>
              </w:trPr>
              <w:tc>
                <w:tcPr>
                  <w:tcW w:w="384"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5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w:t>
                  </w:r>
                </w:p>
              </w:tc>
              <w:tc>
                <w:tcPr>
                  <w:tcW w:w="4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w:t>
                  </w:r>
                </w:p>
              </w:tc>
              <w:tc>
                <w:tcPr>
                  <w:tcW w:w="34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12</w:t>
                  </w:r>
                </w:p>
              </w:tc>
            </w:tr>
            <w:tr w:rsidR="0048417A" w:rsidRPr="004D57B3" w:rsidTr="00836B55">
              <w:trPr>
                <w:trHeight w:val="143"/>
              </w:trPr>
              <w:tc>
                <w:tcPr>
                  <w:tcW w:w="38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5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14</w:t>
                  </w:r>
                </w:p>
              </w:tc>
              <w:tc>
                <w:tcPr>
                  <w:tcW w:w="4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w:t>
                  </w:r>
                </w:p>
              </w:tc>
              <w:tc>
                <w:tcPr>
                  <w:tcW w:w="34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24</w:t>
                  </w:r>
                </w:p>
              </w:tc>
            </w:tr>
          </w:tbl>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MRI:</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lastRenderedPageBreak/>
              <w:t>Sensitivity: 0.71 (95% CI = 0.42</w:t>
            </w:r>
            <w:r>
              <w:rPr>
                <w:rFonts w:ascii="Arial Narrow" w:hAnsi="Arial Narrow" w:cs="Garamond"/>
                <w:sz w:val="18"/>
                <w:szCs w:val="18"/>
              </w:rPr>
              <w:t>-</w:t>
            </w:r>
            <w:r w:rsidRPr="004D57B3">
              <w:rPr>
                <w:rFonts w:ascii="Arial Narrow" w:hAnsi="Arial Narrow" w:cs="Garamond"/>
                <w:sz w:val="18"/>
                <w:szCs w:val="18"/>
              </w:rPr>
              <w:t>0.90)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0.80 (95% CI = 0.44</w:t>
            </w:r>
            <w:r>
              <w:rPr>
                <w:rFonts w:ascii="Arial Narrow" w:hAnsi="Arial Narrow" w:cs="Garamond"/>
                <w:sz w:val="18"/>
                <w:szCs w:val="18"/>
              </w:rPr>
              <w:t>-</w:t>
            </w:r>
            <w:r w:rsidRPr="004D57B3">
              <w:rPr>
                <w:rFonts w:ascii="Arial Narrow" w:hAnsi="Arial Narrow" w:cs="Garamond"/>
                <w:sz w:val="18"/>
                <w:szCs w:val="18"/>
              </w:rPr>
              <w:t>0.96)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PPV: 0.83 (95% CI = 0.51</w:t>
            </w:r>
            <w:r>
              <w:rPr>
                <w:rFonts w:ascii="Arial Narrow" w:hAnsi="Arial Narrow" w:cs="Garamond"/>
                <w:sz w:val="18"/>
                <w:szCs w:val="18"/>
              </w:rPr>
              <w:t>-</w:t>
            </w:r>
            <w:r w:rsidRPr="004D57B3">
              <w:rPr>
                <w:rFonts w:ascii="Arial Narrow" w:hAnsi="Arial Narrow" w:cs="Garamond"/>
                <w:sz w:val="18"/>
                <w:szCs w:val="18"/>
              </w:rPr>
              <w:t>0.97)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NPV: 0.67 (95% CI = 0.35</w:t>
            </w:r>
            <w:r>
              <w:rPr>
                <w:rFonts w:ascii="Arial Narrow" w:hAnsi="Arial Narrow" w:cs="Garamond"/>
                <w:sz w:val="18"/>
                <w:szCs w:val="18"/>
              </w:rPr>
              <w:t>-</w:t>
            </w:r>
            <w:r w:rsidRPr="004D57B3">
              <w:rPr>
                <w:rFonts w:ascii="Arial Narrow" w:hAnsi="Arial Narrow" w:cs="Garamond"/>
                <w:sz w:val="18"/>
                <w:szCs w:val="18"/>
              </w:rPr>
              <w:t>0.89)</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 3.57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0.36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Assumption: 1 drop</w:t>
            </w:r>
            <w:r>
              <w:rPr>
                <w:rFonts w:ascii="Arial Narrow" w:hAnsi="Arial Narrow" w:cs="Garamond"/>
                <w:sz w:val="18"/>
                <w:szCs w:val="18"/>
              </w:rPr>
              <w:t>-</w:t>
            </w:r>
            <w:r w:rsidRPr="004D57B3">
              <w:rPr>
                <w:rFonts w:ascii="Arial Narrow" w:hAnsi="Arial Narrow" w:cs="Garamond"/>
                <w:sz w:val="18"/>
                <w:szCs w:val="18"/>
              </w:rPr>
              <w:t>out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endoscopy: 50% (12/24) (95% CI = 30</w:t>
            </w:r>
            <w:r>
              <w:rPr>
                <w:rFonts w:ascii="Arial Narrow" w:hAnsi="Arial Narrow" w:cs="Garamond"/>
                <w:sz w:val="18"/>
                <w:szCs w:val="18"/>
              </w:rPr>
              <w:t>-</w:t>
            </w:r>
            <w:r w:rsidRPr="004D57B3">
              <w:rPr>
                <w:rFonts w:ascii="Arial Narrow" w:hAnsi="Arial Narrow" w:cs="Garamond"/>
                <w:sz w:val="18"/>
                <w:szCs w:val="18"/>
              </w:rPr>
              <w:t>70%)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MRI: 50% (12/24) (95% CI = 30</w:t>
            </w:r>
            <w:r>
              <w:rPr>
                <w:rFonts w:ascii="Arial Narrow" w:hAnsi="Arial Narrow" w:cs="Garamond"/>
                <w:sz w:val="18"/>
                <w:szCs w:val="18"/>
              </w:rPr>
              <w:t>-</w:t>
            </w:r>
            <w:r w:rsidRPr="004D57B3">
              <w:rPr>
                <w:rFonts w:ascii="Arial Narrow" w:hAnsi="Arial Narrow" w:cs="Garamond"/>
                <w:sz w:val="18"/>
                <w:szCs w:val="18"/>
              </w:rPr>
              <w:t>70%)</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Capsule retention: 4.2% (1/24) </w:t>
            </w:r>
            <w:r>
              <w:rPr>
                <w:rFonts w:ascii="Arial Narrow" w:hAnsi="Arial Narrow" w:cs="Garamond"/>
                <w:sz w:val="18"/>
                <w:szCs w:val="18"/>
              </w:rPr>
              <w:t>1</w:t>
            </w:r>
            <w:r w:rsidRPr="004D57B3">
              <w:rPr>
                <w:rFonts w:ascii="Arial Narrow" w:hAnsi="Arial Narrow" w:cs="Garamond"/>
                <w:sz w:val="18"/>
                <w:szCs w:val="18"/>
              </w:rPr>
              <w:t xml:space="preserve"> patient retained the capsule proximal to a bowel stricture (not detected by abdominal ultrasound and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 but this did not cause complete obstruction or ileus. Steroids were started and the capsule was excreted 72 hours later.</w:t>
            </w:r>
          </w:p>
          <w:p w:rsidR="0048417A"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c>
        <w:tc>
          <w:tcPr>
            <w:tcW w:w="3485"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III-2</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C1:</w:t>
            </w:r>
            <w:r w:rsidRPr="004D57B3">
              <w:rPr>
                <w:rFonts w:ascii="Arial Narrow" w:hAnsi="Arial Narrow" w:cs="Garamond"/>
                <w:sz w:val="18"/>
                <w:szCs w:val="18"/>
              </w:rPr>
              <w:t xml:space="preserve"> for MRI</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CX:</w:t>
            </w:r>
            <w:r w:rsidRPr="004D57B3">
              <w:rPr>
                <w:rFonts w:ascii="Arial Narrow" w:hAnsi="Arial Narrow" w:cs="Garamond"/>
                <w:sz w:val="18"/>
                <w:szCs w:val="18"/>
              </w:rPr>
              <w:t xml:space="preserve"> 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Reference standard:</w:t>
            </w:r>
          </w:p>
          <w:p w:rsidR="0048417A" w:rsidRPr="004D57B3" w:rsidRDefault="0048417A" w:rsidP="00836B55">
            <w:pPr>
              <w:keepNext/>
              <w:autoSpaceDE w:val="0"/>
              <w:autoSpaceDN w:val="0"/>
              <w:adjustRightInd w:val="0"/>
              <w:spacing w:after="0"/>
              <w:ind w:left="19" w:right="57"/>
              <w:rPr>
                <w:rFonts w:ascii="Arial Narrow" w:hAnsi="Arial Narrow" w:cs="Garamond"/>
                <w:sz w:val="18"/>
                <w:szCs w:val="18"/>
              </w:rPr>
            </w:pPr>
            <w:r w:rsidRPr="004D57B3">
              <w:rPr>
                <w:rFonts w:ascii="Arial Narrow" w:hAnsi="Arial Narrow" w:cs="Garamond"/>
                <w:sz w:val="18"/>
                <w:szCs w:val="18"/>
              </w:rPr>
              <w:t>Diagnosis at follow</w:t>
            </w:r>
            <w:r>
              <w:rPr>
                <w:rFonts w:ascii="Arial Narrow" w:hAnsi="Arial Narrow" w:cs="Garamond"/>
                <w:sz w:val="18"/>
                <w:szCs w:val="18"/>
              </w:rPr>
              <w:t>-</w:t>
            </w:r>
            <w:r w:rsidRPr="004D57B3">
              <w:rPr>
                <w:rFonts w:ascii="Arial Narrow" w:hAnsi="Arial Narrow" w:cs="Garamond"/>
                <w:sz w:val="18"/>
                <w:szCs w:val="18"/>
              </w:rPr>
              <w:t>up</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no</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Comparator: All investigations occurred within </w:t>
            </w:r>
            <w:r>
              <w:rPr>
                <w:rFonts w:ascii="Arial Narrow" w:hAnsi="Arial Narrow" w:cs="Garamond"/>
                <w:sz w:val="18"/>
                <w:szCs w:val="18"/>
              </w:rPr>
              <w:t>10</w:t>
            </w:r>
            <w:r w:rsidRPr="004D57B3">
              <w:rPr>
                <w:rFonts w:ascii="Arial Narrow" w:hAnsi="Arial Narrow" w:cs="Garamond"/>
                <w:sz w:val="18"/>
                <w:szCs w:val="18"/>
              </w:rPr>
              <w:t xml:space="preserve"> days except for </w:t>
            </w:r>
            <w:r>
              <w:rPr>
                <w:rFonts w:ascii="Arial Narrow" w:hAnsi="Arial Narrow" w:cs="Garamond"/>
                <w:sz w:val="18"/>
                <w:szCs w:val="18"/>
              </w:rPr>
              <w:t>1</w:t>
            </w:r>
            <w:r w:rsidRPr="004D57B3">
              <w:rPr>
                <w:rFonts w:ascii="Arial Narrow" w:hAnsi="Arial Narrow" w:cs="Garamond"/>
                <w:sz w:val="18"/>
                <w:szCs w:val="18"/>
              </w:rPr>
              <w:t xml:space="preserve"> patient (</w:t>
            </w:r>
            <w:r>
              <w:rPr>
                <w:rFonts w:ascii="Arial Narrow" w:hAnsi="Arial Narrow" w:cs="Garamond"/>
                <w:sz w:val="18"/>
                <w:szCs w:val="18"/>
              </w:rPr>
              <w:t>6</w:t>
            </w:r>
            <w:r w:rsidRPr="004D57B3">
              <w:rPr>
                <w:rFonts w:ascii="Arial Narrow" w:hAnsi="Arial Narrow" w:cs="Garamond"/>
                <w:sz w:val="18"/>
                <w:szCs w:val="18"/>
              </w:rPr>
              <w:t xml:space="preserve"> 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Mean follow</w:t>
            </w:r>
            <w:r>
              <w:rPr>
                <w:rFonts w:ascii="Arial Narrow" w:hAnsi="Arial Narrow" w:cs="Garamond"/>
                <w:sz w:val="18"/>
                <w:szCs w:val="18"/>
              </w:rPr>
              <w:t>-</w:t>
            </w:r>
            <w:r w:rsidRPr="004D57B3">
              <w:rPr>
                <w:rFonts w:ascii="Arial Narrow" w:hAnsi="Arial Narrow" w:cs="Garamond"/>
                <w:sz w:val="18"/>
                <w:szCs w:val="18"/>
              </w:rPr>
              <w:t>up 14.5 months.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partially</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r w:rsidR="0048417A" w:rsidRPr="004D57B3" w:rsidTr="00836B55">
        <w:trPr>
          <w:trHeight w:val="620"/>
        </w:trPr>
        <w:tc>
          <w:tcPr>
            <w:tcW w:w="2487" w:type="dxa"/>
            <w:gridSpan w:val="2"/>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547DED" w:rsidRDefault="0048417A" w:rsidP="00836B55">
            <w:pPr>
              <w:keepNext/>
              <w:spacing w:after="0"/>
              <w:ind w:left="57" w:right="57"/>
              <w:rPr>
                <w:rFonts w:ascii="Arial Narrow" w:hAnsi="Arial Narrow"/>
                <w:b/>
                <w:bCs/>
                <w:sz w:val="18"/>
                <w:szCs w:val="18"/>
              </w:rPr>
            </w:pPr>
            <w:r w:rsidRPr="00547DED">
              <w:rPr>
                <w:rFonts w:ascii="Arial Narrow" w:hAnsi="Arial Narrow"/>
                <w:b/>
                <w:bCs/>
                <w:sz w:val="18"/>
                <w:szCs w:val="18"/>
              </w:rPr>
              <w:t>n</w:t>
            </w:r>
          </w:p>
        </w:tc>
        <w:tc>
          <w:tcPr>
            <w:tcW w:w="2487" w:type="dxa"/>
            <w:gridSpan w:val="2"/>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485"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gridSpan w:val="2"/>
          </w:tcPr>
          <w:p w:rsidR="00B81800"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lastRenderedPageBreak/>
              <w:t>Casciani</w:t>
            </w:r>
            <w:proofErr w:type="spellEnd"/>
            <w:r w:rsidRPr="004D57B3">
              <w:rPr>
                <w:rFonts w:ascii="Arial Narrow" w:hAnsi="Arial Narrow" w:cs="Garamond"/>
                <w:sz w:val="18"/>
                <w:szCs w:val="18"/>
              </w:rPr>
              <w:t xml:space="preserve"> et al </w:t>
            </w:r>
            <w:r>
              <w:rPr>
                <w:rFonts w:ascii="Arial Narrow" w:hAnsi="Arial Narrow" w:cs="Garamond"/>
                <w:sz w:val="18"/>
                <w:szCs w:val="18"/>
              </w:rPr>
              <w:t>(</w:t>
            </w:r>
            <w:r w:rsidRPr="004D57B3">
              <w:rPr>
                <w:rFonts w:ascii="Arial Narrow" w:hAnsi="Arial Narrow" w:cs="Garamond"/>
                <w:sz w:val="18"/>
                <w:szCs w:val="18"/>
              </w:rPr>
              <w:t>2010</w:t>
            </w:r>
            <w:r>
              <w:rPr>
                <w:rFonts w:ascii="Arial Narrow" w:hAnsi="Arial Narrow" w:cs="Garamond"/>
                <w:sz w:val="18"/>
                <w:szCs w:val="18"/>
              </w:rPr>
              <w:t>)</w:t>
            </w:r>
          </w:p>
          <w:p w:rsidR="00B81800" w:rsidRPr="00B81800" w:rsidRDefault="00B81800" w:rsidP="00836B55">
            <w:pPr>
              <w:keepNext/>
              <w:autoSpaceDE w:val="0"/>
              <w:autoSpaceDN w:val="0"/>
              <w:adjustRightInd w:val="0"/>
              <w:spacing w:after="0"/>
              <w:ind w:left="57" w:right="57"/>
              <w:rPr>
                <w:rFonts w:ascii="Arial Narrow" w:hAnsi="Arial Narrow" w:cs="Garamond"/>
                <w:sz w:val="72"/>
                <w:szCs w:val="72"/>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Italy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Single centre (hospital)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January</w:t>
            </w:r>
            <w:r>
              <w:rPr>
                <w:rFonts w:ascii="Arial Narrow" w:hAnsi="Arial Narrow" w:cs="Garamond"/>
                <w:sz w:val="18"/>
                <w:szCs w:val="18"/>
              </w:rPr>
              <w:t>-</w:t>
            </w:r>
            <w:r w:rsidRPr="004D57B3">
              <w:rPr>
                <w:rFonts w:ascii="Arial Narrow" w:hAnsi="Arial Narrow" w:cs="Garamond"/>
                <w:sz w:val="18"/>
                <w:szCs w:val="18"/>
              </w:rPr>
              <w:t>December 2009</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=60 patients with suspected Crohn’s disease, CE performed in 37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gridSpan w:val="2"/>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compare the diagnostic yield and efficacy of MRE with small bowel capsule endoscopy in diagnosing small bowel Crohn’s disease in paediatric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w:t>
            </w:r>
            <w:r>
              <w:rPr>
                <w:rFonts w:ascii="Arial Narrow" w:hAnsi="Arial Narrow" w:cs="Garamond"/>
                <w:sz w:val="18"/>
                <w:szCs w:val="18"/>
              </w:rPr>
              <w:t xml:space="preserve"> </w:t>
            </w:r>
            <w:r w:rsidRPr="004D57B3">
              <w:rPr>
                <w:rFonts w:ascii="Arial Narrow" w:hAnsi="Arial Narrow" w:cs="Garamond"/>
                <w:sz w:val="18"/>
                <w:szCs w:val="18"/>
              </w:rPr>
              <w:t>consecutive diagnostic accuracy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MRE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autoSpaceDE w:val="0"/>
              <w:autoSpaceDN w:val="0"/>
              <w:adjustRightInd w:val="0"/>
              <w:spacing w:after="0"/>
              <w:ind w:left="61"/>
              <w:rPr>
                <w:rFonts w:ascii="Arial Narrow" w:hAnsi="Arial Narrow" w:cs="Arial"/>
                <w:sz w:val="18"/>
                <w:szCs w:val="18"/>
              </w:rPr>
            </w:pPr>
            <w:r w:rsidRPr="004D57B3">
              <w:rPr>
                <w:rFonts w:ascii="Arial Narrow" w:hAnsi="Arial Narrow" w:cs="Arial"/>
                <w:sz w:val="18"/>
                <w:szCs w:val="18"/>
              </w:rPr>
              <w:t xml:space="preserve">Combination of clinical evaluation, endoscopic, histological and/or biochemical investigations with a clinical </w:t>
            </w:r>
            <w:r>
              <w:rPr>
                <w:rFonts w:ascii="Arial Narrow" w:hAnsi="Arial Narrow" w:cs="Arial"/>
                <w:sz w:val="18"/>
                <w:szCs w:val="18"/>
              </w:rPr>
              <w:t>follow-up</w:t>
            </w:r>
            <w:r w:rsidRPr="004D57B3">
              <w:rPr>
                <w:rFonts w:ascii="Arial Narrow" w:hAnsi="Arial Narrow" w:cs="Arial"/>
                <w:sz w:val="18"/>
                <w:szCs w:val="18"/>
              </w:rPr>
              <w:t xml:space="preserve"> of 12</w:t>
            </w:r>
            <w:r>
              <w:rPr>
                <w:rFonts w:ascii="Arial Narrow" w:hAnsi="Arial Narrow" w:cs="Arial"/>
                <w:sz w:val="18"/>
                <w:szCs w:val="18"/>
              </w:rPr>
              <w:t>-</w:t>
            </w:r>
            <w:r w:rsidRPr="004D57B3">
              <w:rPr>
                <w:rFonts w:ascii="Arial Narrow" w:hAnsi="Arial Narrow" w:cs="Arial"/>
                <w:sz w:val="18"/>
                <w:szCs w:val="18"/>
              </w:rPr>
              <w:t>14 months.</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autoSpaceDE w:val="0"/>
              <w:autoSpaceDN w:val="0"/>
              <w:adjustRightInd w:val="0"/>
              <w:spacing w:after="0"/>
              <w:ind w:left="52" w:hanging="14"/>
              <w:rPr>
                <w:rFonts w:ascii="Arial Narrow" w:hAnsi="Arial Narrow" w:cs="AdvTT2acb703b"/>
                <w:color w:val="131313"/>
                <w:sz w:val="18"/>
                <w:szCs w:val="18"/>
              </w:rPr>
            </w:pPr>
            <w:r w:rsidRPr="004D57B3">
              <w:rPr>
                <w:rFonts w:ascii="Arial Narrow" w:hAnsi="Arial Narrow" w:cs="Garamond"/>
                <w:i/>
                <w:sz w:val="18"/>
                <w:szCs w:val="18"/>
              </w:rPr>
              <w:t>Inclusion:</w:t>
            </w:r>
            <w:r w:rsidRPr="004D57B3">
              <w:rPr>
                <w:rFonts w:ascii="Arial Narrow" w:hAnsi="Arial Narrow" w:cs="AdvTT2acb703b"/>
                <w:color w:val="131313"/>
                <w:sz w:val="18"/>
                <w:szCs w:val="18"/>
              </w:rPr>
              <w:t xml:space="preserve"> IBD was suspected if there was at least </w:t>
            </w:r>
            <w:r>
              <w:rPr>
                <w:rFonts w:ascii="Arial Narrow" w:hAnsi="Arial Narrow" w:cs="AdvTT2acb703b"/>
                <w:color w:val="131313"/>
                <w:sz w:val="18"/>
                <w:szCs w:val="18"/>
              </w:rPr>
              <w:t xml:space="preserve">1 </w:t>
            </w:r>
            <w:r w:rsidRPr="004D57B3">
              <w:rPr>
                <w:rFonts w:ascii="Arial Narrow" w:hAnsi="Arial Narrow" w:cs="AdvTT2acb703b"/>
                <w:color w:val="131313"/>
                <w:sz w:val="18"/>
                <w:szCs w:val="18"/>
              </w:rPr>
              <w:t xml:space="preserve">suggestive clinical symptom (diarrhoea, abdominal pain, anorexia, weight loss, rectal bleeding) and </w:t>
            </w:r>
            <w:r>
              <w:rPr>
                <w:rFonts w:ascii="Arial Narrow" w:hAnsi="Arial Narrow" w:cs="AdvTT2acb703b"/>
                <w:color w:val="131313"/>
                <w:sz w:val="18"/>
                <w:szCs w:val="18"/>
              </w:rPr>
              <w:t>1</w:t>
            </w:r>
            <w:r w:rsidRPr="004D57B3">
              <w:rPr>
                <w:rFonts w:ascii="Arial Narrow" w:hAnsi="Arial Narrow" w:cs="AdvTT2acb703b"/>
                <w:color w:val="131313"/>
                <w:sz w:val="18"/>
                <w:szCs w:val="18"/>
              </w:rPr>
              <w:t xml:space="preserve"> biochemical sign of systemic inflammation (high plasma levels of acute phase reactants (C-reactive protein, erythrocyte sedimentation rate) refractory anaemia and low serum albumin). </w:t>
            </w:r>
          </w:p>
          <w:p w:rsidR="0048417A" w:rsidRPr="004D57B3" w:rsidRDefault="0048417A" w:rsidP="00836B55">
            <w:pPr>
              <w:autoSpaceDE w:val="0"/>
              <w:autoSpaceDN w:val="0"/>
              <w:adjustRightInd w:val="0"/>
              <w:spacing w:after="0"/>
              <w:ind w:left="52" w:hanging="14"/>
              <w:rPr>
                <w:rFonts w:ascii="Arial Narrow" w:hAnsi="Arial Narrow" w:cs="AdvTT2acb703b"/>
                <w:color w:val="131313"/>
                <w:sz w:val="18"/>
                <w:szCs w:val="18"/>
              </w:rPr>
            </w:pPr>
          </w:p>
          <w:p w:rsidR="0048417A" w:rsidRPr="004D57B3" w:rsidRDefault="0048417A" w:rsidP="00836B55">
            <w:pPr>
              <w:autoSpaceDE w:val="0"/>
              <w:autoSpaceDN w:val="0"/>
              <w:adjustRightInd w:val="0"/>
              <w:spacing w:after="0"/>
              <w:ind w:left="52" w:hanging="14"/>
              <w:rPr>
                <w:rFonts w:ascii="AdvTT2acb703b" w:hAnsi="AdvTT2acb703b" w:cs="AdvTT2acb703b"/>
                <w:color w:val="000000"/>
                <w:sz w:val="18"/>
                <w:szCs w:val="18"/>
              </w:rPr>
            </w:pPr>
            <w:r w:rsidRPr="004D57B3">
              <w:rPr>
                <w:rFonts w:ascii="Arial Narrow" w:hAnsi="Arial Narrow" w:cs="AdvTT2acb703b"/>
                <w:i/>
                <w:color w:val="131313"/>
                <w:sz w:val="18"/>
                <w:szCs w:val="18"/>
              </w:rPr>
              <w:t xml:space="preserve">Exclusion: </w:t>
            </w:r>
            <w:r w:rsidRPr="004D57B3">
              <w:rPr>
                <w:rFonts w:ascii="Arial Narrow" w:hAnsi="Arial Narrow" w:cs="AdvTT2acb703b"/>
                <w:color w:val="131313"/>
                <w:sz w:val="18"/>
                <w:szCs w:val="18"/>
              </w:rPr>
              <w:t>Age &gt;18 years, dysphagia, gastrointestinal obstruction or ileus, inability to hold breath for 15</w:t>
            </w:r>
            <w:r>
              <w:rPr>
                <w:rFonts w:ascii="Arial Narrow" w:hAnsi="Arial Narrow" w:cs="AdvTT2acb703b+20"/>
                <w:color w:val="131313"/>
                <w:sz w:val="18"/>
                <w:szCs w:val="18"/>
              </w:rPr>
              <w:t>-</w:t>
            </w:r>
            <w:r w:rsidRPr="004D57B3">
              <w:rPr>
                <w:rFonts w:ascii="Arial Narrow" w:hAnsi="Arial Narrow" w:cs="AdvTT2acb703b"/>
                <w:color w:val="131313"/>
                <w:sz w:val="18"/>
                <w:szCs w:val="18"/>
              </w:rPr>
              <w:t>20 s</w:t>
            </w:r>
            <w:r>
              <w:rPr>
                <w:rFonts w:ascii="Arial Narrow" w:hAnsi="Arial Narrow" w:cs="AdvTT2acb703b"/>
                <w:color w:val="131313"/>
                <w:sz w:val="18"/>
                <w:szCs w:val="18"/>
              </w:rPr>
              <w:t>econds</w:t>
            </w:r>
            <w:r w:rsidRPr="004D57B3">
              <w:rPr>
                <w:rFonts w:ascii="Arial Narrow" w:hAnsi="Arial Narrow" w:cs="AdvTT2acb703b"/>
                <w:color w:val="131313"/>
                <w:sz w:val="18"/>
                <w:szCs w:val="18"/>
              </w:rPr>
              <w:t xml:space="preserve"> apnoea, MRE showed stricture or excluded small bowel disease by revealing incidental findings outside the small bowel.</w:t>
            </w:r>
          </w:p>
          <w:p w:rsidR="0048417A" w:rsidRPr="004D57B3" w:rsidRDefault="0048417A" w:rsidP="00836B55">
            <w:pPr>
              <w:autoSpaceDE w:val="0"/>
              <w:autoSpaceDN w:val="0"/>
              <w:adjustRightInd w:val="0"/>
              <w:spacing w:after="0"/>
              <w:rPr>
                <w:rFonts w:ascii="AdvTT2acb703b" w:hAnsi="AdvTT2acb703b" w:cs="AdvTT2acb703b"/>
                <w:color w:val="000000"/>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Average age 14 years and range 6</w:t>
            </w:r>
            <w:r>
              <w:rPr>
                <w:rFonts w:ascii="Arial Narrow" w:hAnsi="Arial Narrow" w:cs="Garamond"/>
                <w:sz w:val="18"/>
                <w:szCs w:val="18"/>
              </w:rPr>
              <w:t>-</w:t>
            </w:r>
            <w:r w:rsidRPr="004D57B3">
              <w:rPr>
                <w:rFonts w:ascii="Arial Narrow" w:hAnsi="Arial Narrow" w:cs="Garamond"/>
                <w:sz w:val="18"/>
                <w:szCs w:val="18"/>
              </w:rPr>
              <w:t>18 years.</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24 female/36 male</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Ileocolonoscopy</w:t>
            </w:r>
            <w:proofErr w:type="spellEnd"/>
            <w:r w:rsidRPr="004D57B3">
              <w:rPr>
                <w:rFonts w:ascii="Arial Narrow" w:hAnsi="Arial Narrow" w:cs="Garamond"/>
                <w:sz w:val="18"/>
                <w:szCs w:val="18"/>
              </w:rPr>
              <w:t xml:space="preserve">, </w:t>
            </w:r>
            <w:proofErr w:type="spellStart"/>
            <w:r w:rsidRPr="004D57B3">
              <w:rPr>
                <w:rFonts w:ascii="Arial Narrow" w:hAnsi="Arial Narrow" w:cs="Garamond"/>
                <w:sz w:val="18"/>
                <w:szCs w:val="18"/>
              </w:rPr>
              <w:t>oesophagogastroduodenoscopy</w:t>
            </w:r>
            <w:proofErr w:type="spellEnd"/>
            <w:r w:rsidRPr="004D57B3">
              <w:rPr>
                <w:rFonts w:ascii="Arial Narrow" w:hAnsi="Arial Narrow" w:cs="Garamond"/>
                <w:sz w:val="18"/>
                <w:szCs w:val="18"/>
              </w:rPr>
              <w:t xml:space="preserve"> under deep sedation</w:t>
            </w:r>
            <w:r>
              <w:rPr>
                <w:rFonts w:ascii="Arial Narrow" w:hAnsi="Arial Narrow" w:cs="Garamond"/>
                <w:sz w:val="18"/>
                <w:szCs w:val="18"/>
              </w:rPr>
              <w:t>.</w:t>
            </w:r>
            <w:r w:rsidRPr="004D57B3">
              <w:rPr>
                <w:rFonts w:ascii="Arial Narrow" w:hAnsi="Arial Narrow" w:cs="Garamond"/>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Clinical characteristic</w:t>
            </w:r>
            <w:r>
              <w:rPr>
                <w:rFonts w:ascii="Arial Narrow" w:hAnsi="Arial Narrow" w:cs="Garamond"/>
                <w:i/>
                <w:sz w:val="18"/>
                <w:szCs w:val="18"/>
              </w:rPr>
              <w:t xml:space="preserve">s: </w:t>
            </w:r>
            <w:r>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Negative if no abnormalities were seen. Positive if clear abnormalities of the small bowel mucosa were observed</w:t>
            </w:r>
            <w:r>
              <w:rPr>
                <w:rFonts w:ascii="Arial Narrow" w:hAnsi="Arial Narrow" w:cs="Garamond"/>
                <w:sz w:val="18"/>
                <w:szCs w:val="18"/>
              </w:rPr>
              <w:t>.</w:t>
            </w:r>
            <w:r w:rsidRPr="004D57B3">
              <w:rPr>
                <w:rFonts w:ascii="Arial Narrow" w:hAnsi="Arial Narrow" w:cs="Garamond"/>
                <w:sz w:val="18"/>
                <w:szCs w:val="18"/>
              </w:rPr>
              <w:t xml:space="preserve"> (</w:t>
            </w:r>
            <w:proofErr w:type="gramStart"/>
            <w:r w:rsidRPr="004D57B3">
              <w:rPr>
                <w:rFonts w:ascii="Arial Narrow" w:hAnsi="Arial Narrow" w:cs="Garamond"/>
                <w:sz w:val="18"/>
                <w:szCs w:val="18"/>
              </w:rPr>
              <w:t>ulcerations</w:t>
            </w:r>
            <w:proofErr w:type="gramEnd"/>
            <w:r w:rsidRPr="004D57B3">
              <w:rPr>
                <w:rFonts w:ascii="Arial Narrow" w:hAnsi="Arial Narrow" w:cs="Garamond"/>
                <w:sz w:val="18"/>
                <w:szCs w:val="18"/>
              </w:rPr>
              <w:t xml:space="preserve">, erosions, polyps, vascular lesions, bleeding lesions). Features detected by CE were considered diagnostic </w:t>
            </w:r>
            <w:r w:rsidRPr="004D57B3">
              <w:rPr>
                <w:rFonts w:ascii="Arial Narrow" w:hAnsi="Arial Narrow" w:cs="Garamond"/>
                <w:sz w:val="18"/>
                <w:szCs w:val="18"/>
              </w:rPr>
              <w:lastRenderedPageBreak/>
              <w:t>of active Crohn’s disease if &gt;3 small bowel ulcerations were observed. Features of ≤3 ulcerations were considered suggestive but not diagnostic. Results with no abnormalities or non-specific findings (</w:t>
            </w:r>
            <w:proofErr w:type="spellStart"/>
            <w:r>
              <w:rPr>
                <w:rFonts w:ascii="Arial Narrow" w:hAnsi="Arial Narrow" w:cs="Garamond"/>
                <w:sz w:val="18"/>
                <w:szCs w:val="18"/>
              </w:rPr>
              <w:t>eg</w:t>
            </w:r>
            <w:proofErr w:type="spellEnd"/>
            <w:r w:rsidRPr="004D57B3">
              <w:rPr>
                <w:rFonts w:ascii="Arial Narrow" w:hAnsi="Arial Narrow" w:cs="Garamond"/>
                <w:sz w:val="18"/>
                <w:szCs w:val="18"/>
              </w:rPr>
              <w:t xml:space="preserve"> erythematous spots or mucosal breaks) were considered normal or non-specific.</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MRI:  Positive if </w:t>
            </w:r>
            <w:r>
              <w:rPr>
                <w:rFonts w:ascii="Arial Narrow" w:hAnsi="Arial Narrow" w:cs="Garamond"/>
                <w:sz w:val="18"/>
                <w:szCs w:val="18"/>
              </w:rPr>
              <w:t xml:space="preserve">1 </w:t>
            </w:r>
            <w:r w:rsidRPr="004D57B3">
              <w:rPr>
                <w:rFonts w:ascii="Arial Narrow" w:hAnsi="Arial Narrow" w:cs="Garamond"/>
                <w:sz w:val="18"/>
                <w:szCs w:val="18"/>
              </w:rPr>
              <w:t>of the following:</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numPr>
                <w:ilvl w:val="0"/>
                <w:numId w:val="24"/>
              </w:numPr>
              <w:autoSpaceDE w:val="0"/>
              <w:autoSpaceDN w:val="0"/>
              <w:adjustRightInd w:val="0"/>
              <w:spacing w:after="0"/>
              <w:ind w:right="57"/>
              <w:rPr>
                <w:rFonts w:ascii="Arial Narrow" w:hAnsi="Arial Narrow" w:cs="Garamond"/>
                <w:sz w:val="18"/>
                <w:szCs w:val="18"/>
              </w:rPr>
            </w:pPr>
            <w:r w:rsidRPr="004D57B3">
              <w:rPr>
                <w:rFonts w:ascii="Arial Narrow" w:hAnsi="Arial Narrow" w:cs="Garamond"/>
                <w:sz w:val="18"/>
                <w:szCs w:val="18"/>
              </w:rPr>
              <w:t>Small bowel wall thickness &gt;3</w:t>
            </w:r>
            <w:r>
              <w:rPr>
                <w:rFonts w:ascii="Arial Narrow" w:hAnsi="Arial Narrow" w:cs="Garamond"/>
                <w:sz w:val="18"/>
                <w:szCs w:val="18"/>
              </w:rPr>
              <w:t xml:space="preserve"> </w:t>
            </w:r>
            <w:r w:rsidRPr="004D57B3">
              <w:rPr>
                <w:rFonts w:ascii="Arial Narrow" w:hAnsi="Arial Narrow" w:cs="Garamond"/>
                <w:sz w:val="18"/>
                <w:szCs w:val="18"/>
              </w:rPr>
              <w:t>mm</w:t>
            </w:r>
          </w:p>
          <w:p w:rsidR="0048417A" w:rsidRPr="004D57B3" w:rsidRDefault="0048417A" w:rsidP="00836B55">
            <w:pPr>
              <w:keepNext/>
              <w:numPr>
                <w:ilvl w:val="0"/>
                <w:numId w:val="24"/>
              </w:numPr>
              <w:autoSpaceDE w:val="0"/>
              <w:autoSpaceDN w:val="0"/>
              <w:adjustRightInd w:val="0"/>
              <w:spacing w:after="0"/>
              <w:ind w:right="57"/>
              <w:rPr>
                <w:rFonts w:ascii="Arial Narrow" w:hAnsi="Arial Narrow" w:cs="Garamond"/>
                <w:sz w:val="18"/>
                <w:szCs w:val="18"/>
              </w:rPr>
            </w:pPr>
            <w:r w:rsidRPr="004D57B3">
              <w:rPr>
                <w:rFonts w:ascii="Arial Narrow" w:hAnsi="Arial Narrow" w:cs="Garamond"/>
                <w:sz w:val="18"/>
                <w:szCs w:val="18"/>
              </w:rPr>
              <w:t>Small bowel wall enhancement after contrast</w:t>
            </w:r>
          </w:p>
          <w:p w:rsidR="0048417A" w:rsidRPr="004D57B3" w:rsidRDefault="0048417A" w:rsidP="00836B55">
            <w:pPr>
              <w:keepNext/>
              <w:numPr>
                <w:ilvl w:val="0"/>
                <w:numId w:val="24"/>
              </w:numPr>
              <w:autoSpaceDE w:val="0"/>
              <w:autoSpaceDN w:val="0"/>
              <w:adjustRightInd w:val="0"/>
              <w:spacing w:after="0"/>
              <w:ind w:right="57"/>
              <w:rPr>
                <w:rFonts w:ascii="Arial Narrow" w:hAnsi="Arial Narrow" w:cs="Garamond"/>
                <w:sz w:val="18"/>
                <w:szCs w:val="18"/>
              </w:rPr>
            </w:pPr>
            <w:r w:rsidRPr="004D57B3">
              <w:rPr>
                <w:rFonts w:ascii="Arial Narrow" w:hAnsi="Arial Narrow" w:cs="Garamond"/>
                <w:sz w:val="18"/>
                <w:szCs w:val="18"/>
              </w:rPr>
              <w:t>Small bowel oedema</w:t>
            </w:r>
          </w:p>
          <w:p w:rsidR="0048417A" w:rsidRPr="004D57B3" w:rsidRDefault="0048417A" w:rsidP="00836B55">
            <w:pPr>
              <w:keepNext/>
              <w:numPr>
                <w:ilvl w:val="0"/>
                <w:numId w:val="24"/>
              </w:numPr>
              <w:autoSpaceDE w:val="0"/>
              <w:autoSpaceDN w:val="0"/>
              <w:adjustRightInd w:val="0"/>
              <w:spacing w:after="0"/>
              <w:ind w:right="57"/>
              <w:rPr>
                <w:rFonts w:ascii="Arial Narrow" w:hAnsi="Arial Narrow" w:cs="Garamond"/>
                <w:sz w:val="18"/>
                <w:szCs w:val="18"/>
              </w:rPr>
            </w:pPr>
            <w:r w:rsidRPr="004D57B3">
              <w:rPr>
                <w:rFonts w:ascii="Arial Narrow" w:hAnsi="Arial Narrow" w:cs="Garamond"/>
                <w:sz w:val="18"/>
                <w:szCs w:val="18"/>
              </w:rPr>
              <w:t>Stratified appearance</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accuracy</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Diagnostic (&gt;3 ulcers):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7"/>
              <w:gridCol w:w="472"/>
              <w:gridCol w:w="527"/>
              <w:gridCol w:w="466"/>
              <w:gridCol w:w="442"/>
            </w:tblGrid>
            <w:tr w:rsidR="0048417A" w:rsidRPr="004D57B3" w:rsidTr="00836B55">
              <w:trPr>
                <w:trHeight w:val="268"/>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438" w:type="dxa"/>
                  <w:gridSpan w:val="3"/>
                  <w:tcBorders>
                    <w:top w:val="single" w:sz="4" w:space="0" w:color="auto"/>
                    <w:left w:val="single" w:sz="4" w:space="0" w:color="auto"/>
                    <w:bottom w:val="single" w:sz="4" w:space="0" w:color="auto"/>
                    <w:right w:val="single" w:sz="4" w:space="0" w:color="auto"/>
                  </w:tcBorders>
                </w:tcPr>
                <w:p w:rsidR="0048417A" w:rsidRDefault="0048417A" w:rsidP="00836B55">
                  <w:pPr>
                    <w:pStyle w:val="TableText"/>
                    <w:spacing w:before="0" w:after="0"/>
                  </w:pPr>
                  <w:r w:rsidRPr="004D57B3">
                    <w:t xml:space="preserve">Reference </w:t>
                  </w:r>
                </w:p>
                <w:p w:rsidR="0048417A" w:rsidRPr="004D57B3" w:rsidRDefault="0048417A" w:rsidP="00836B55">
                  <w:pPr>
                    <w:pStyle w:val="TableText"/>
                    <w:spacing w:before="0" w:after="0"/>
                  </w:pPr>
                  <w:r w:rsidRPr="004D57B3">
                    <w:t>standard</w:t>
                  </w:r>
                  <w:r>
                    <w:t xml:space="preserve"> –</w:t>
                  </w:r>
                </w:p>
                <w:p w:rsidR="0048417A" w:rsidRPr="004D57B3" w:rsidRDefault="0048417A" w:rsidP="00836B55">
                  <w:pPr>
                    <w:pStyle w:val="TableText"/>
                  </w:pPr>
                  <w:r>
                    <w:t>Follow-up</w:t>
                  </w:r>
                </w:p>
              </w:tc>
            </w:tr>
            <w:tr w:rsidR="0048417A" w:rsidRPr="004D57B3" w:rsidTr="00836B55">
              <w:trPr>
                <w:trHeight w:val="292"/>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318"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CE</w:t>
                  </w: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0</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26</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27</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11</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26</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37</w:t>
                  </w:r>
                </w:p>
              </w:tc>
            </w:tr>
          </w:tbl>
          <w:p w:rsidR="0048417A" w:rsidRPr="004D57B3" w:rsidRDefault="0048417A" w:rsidP="00836B55">
            <w:pPr>
              <w:pStyle w:val="TableText"/>
              <w:rPr>
                <w:rFonts w:cs="Garamond"/>
                <w:b/>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0.91 (95% CI 0.57-1.00)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1.00 (95% CI 0.87-1.00)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PPV: 1.00 (95% CI 0.69-1.00)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NPV: 0.96 (95% CI 0.81-1.00)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 Undefined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0.09</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Diagnostic (&gt;3 ulcers) and suggestive (≤3 ulcers):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7"/>
              <w:gridCol w:w="472"/>
              <w:gridCol w:w="527"/>
              <w:gridCol w:w="466"/>
              <w:gridCol w:w="442"/>
            </w:tblGrid>
            <w:tr w:rsidR="0048417A" w:rsidRPr="004D57B3" w:rsidTr="00836B55">
              <w:trPr>
                <w:trHeight w:val="268"/>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438" w:type="dxa"/>
                  <w:gridSpan w:val="3"/>
                  <w:tcBorders>
                    <w:top w:val="single" w:sz="4" w:space="0" w:color="auto"/>
                    <w:left w:val="single" w:sz="4" w:space="0" w:color="auto"/>
                    <w:bottom w:val="single" w:sz="4" w:space="0" w:color="auto"/>
                    <w:right w:val="single" w:sz="4" w:space="0" w:color="auto"/>
                  </w:tcBorders>
                </w:tcPr>
                <w:p w:rsidR="0048417A" w:rsidRDefault="0048417A" w:rsidP="00836B55">
                  <w:pPr>
                    <w:pStyle w:val="TableText"/>
                    <w:spacing w:before="0" w:after="0"/>
                  </w:pPr>
                  <w:r w:rsidRPr="004D57B3">
                    <w:t xml:space="preserve">Reference </w:t>
                  </w:r>
                </w:p>
                <w:p w:rsidR="0048417A" w:rsidRPr="004D57B3" w:rsidRDefault="0048417A" w:rsidP="00836B55">
                  <w:pPr>
                    <w:pStyle w:val="TableText"/>
                    <w:spacing w:before="0" w:after="0"/>
                  </w:pPr>
                  <w:r w:rsidRPr="004D57B3">
                    <w:t>standard</w:t>
                  </w:r>
                  <w:r>
                    <w:t xml:space="preserve"> –</w:t>
                  </w:r>
                </w:p>
                <w:p w:rsidR="0048417A" w:rsidRPr="004D57B3" w:rsidRDefault="0048417A" w:rsidP="00836B55">
                  <w:pPr>
                    <w:pStyle w:val="TableText"/>
                  </w:pPr>
                  <w:r>
                    <w:t>Follow-up</w:t>
                  </w:r>
                </w:p>
              </w:tc>
            </w:tr>
            <w:tr w:rsidR="0048417A" w:rsidRPr="004D57B3" w:rsidTr="00836B55">
              <w:trPr>
                <w:trHeight w:val="292"/>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318"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CE</w:t>
                  </w: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11</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13</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0</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24</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24</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11</w:t>
                  </w:r>
                </w:p>
              </w:tc>
              <w:tc>
                <w:tcPr>
                  <w:tcW w:w="4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26</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37</w:t>
                  </w:r>
                </w:p>
              </w:tc>
            </w:tr>
          </w:tbl>
          <w:p w:rsidR="0048417A" w:rsidRPr="004D57B3" w:rsidRDefault="0048417A" w:rsidP="00836B55">
            <w:pPr>
              <w:keepNext/>
              <w:autoSpaceDE w:val="0"/>
              <w:autoSpaceDN w:val="0"/>
              <w:adjustRightInd w:val="0"/>
              <w:spacing w:after="0"/>
              <w:ind w:left="57" w:right="57"/>
              <w:rPr>
                <w:rFonts w:ascii="Arial Narrow" w:hAnsi="Arial Narrow" w:cs="Garamond"/>
                <w:sz w:val="16"/>
                <w:szCs w:val="16"/>
              </w:rPr>
            </w:pPr>
          </w:p>
          <w:p w:rsidR="0048417A" w:rsidRPr="004D57B3" w:rsidRDefault="0048417A" w:rsidP="00836B55">
            <w:pPr>
              <w:keepNext/>
              <w:autoSpaceDE w:val="0"/>
              <w:autoSpaceDN w:val="0"/>
              <w:adjustRightInd w:val="0"/>
              <w:spacing w:after="0"/>
              <w:ind w:left="57" w:right="57"/>
              <w:rPr>
                <w:rFonts w:ascii="Arial Narrow" w:hAnsi="Arial Narrow" w:cs="Garamond"/>
                <w:sz w:val="16"/>
                <w:szCs w:val="16"/>
              </w:rPr>
            </w:pPr>
          </w:p>
          <w:p w:rsidR="0048417A" w:rsidRPr="004D57B3" w:rsidRDefault="0048417A" w:rsidP="00836B55">
            <w:pPr>
              <w:keepNext/>
              <w:autoSpaceDE w:val="0"/>
              <w:autoSpaceDN w:val="0"/>
              <w:adjustRightInd w:val="0"/>
              <w:spacing w:after="0"/>
              <w:ind w:left="57" w:right="57"/>
              <w:rPr>
                <w:rFonts w:ascii="Arial Narrow" w:hAnsi="Arial Narrow" w:cs="Arial"/>
                <w:sz w:val="18"/>
                <w:szCs w:val="18"/>
              </w:rPr>
            </w:pPr>
            <w:r w:rsidRPr="004D57B3">
              <w:rPr>
                <w:rFonts w:ascii="Arial Narrow" w:hAnsi="Arial Narrow" w:cs="Arial"/>
                <w:sz w:val="18"/>
                <w:szCs w:val="18"/>
              </w:rPr>
              <w:t>Sensitivity: 1.00 (95% CI 0.72-1.00)</w:t>
            </w:r>
          </w:p>
          <w:p w:rsidR="0048417A" w:rsidRPr="004D57B3" w:rsidRDefault="0048417A" w:rsidP="00836B55">
            <w:pPr>
              <w:keepNext/>
              <w:autoSpaceDE w:val="0"/>
              <w:autoSpaceDN w:val="0"/>
              <w:adjustRightInd w:val="0"/>
              <w:spacing w:after="0"/>
              <w:ind w:left="57" w:right="57"/>
              <w:rPr>
                <w:rFonts w:ascii="Arial Narrow" w:hAnsi="Arial Narrow" w:cs="Arial"/>
                <w:sz w:val="18"/>
                <w:szCs w:val="18"/>
              </w:rPr>
            </w:pPr>
            <w:r w:rsidRPr="004D57B3">
              <w:rPr>
                <w:rFonts w:ascii="Arial Narrow" w:hAnsi="Arial Narrow" w:cs="Arial"/>
                <w:sz w:val="18"/>
                <w:szCs w:val="18"/>
              </w:rPr>
              <w:t>Specificity: 0.92 (95% CI 0.73-</w:t>
            </w:r>
            <w:r w:rsidRPr="004D57B3">
              <w:rPr>
                <w:rFonts w:ascii="Arial Narrow" w:hAnsi="Arial Narrow" w:cs="Arial"/>
                <w:sz w:val="18"/>
                <w:szCs w:val="18"/>
              </w:rPr>
              <w:lastRenderedPageBreak/>
              <w:t>0.99)</w:t>
            </w:r>
          </w:p>
          <w:p w:rsidR="0048417A" w:rsidRPr="004D57B3" w:rsidRDefault="0048417A" w:rsidP="00836B55">
            <w:pPr>
              <w:keepNext/>
              <w:autoSpaceDE w:val="0"/>
              <w:autoSpaceDN w:val="0"/>
              <w:adjustRightInd w:val="0"/>
              <w:spacing w:after="0"/>
              <w:ind w:left="57" w:right="57"/>
              <w:rPr>
                <w:rFonts w:ascii="Arial Narrow" w:hAnsi="Arial Narrow" w:cs="Arial"/>
                <w:sz w:val="18"/>
                <w:szCs w:val="18"/>
              </w:rPr>
            </w:pPr>
            <w:r w:rsidRPr="004D57B3">
              <w:rPr>
                <w:rFonts w:ascii="Arial Narrow" w:hAnsi="Arial Narrow" w:cs="Arial"/>
                <w:sz w:val="18"/>
                <w:szCs w:val="18"/>
              </w:rPr>
              <w:t>PPV: 0.85 (95% CI 0.54-0.97)</w:t>
            </w:r>
          </w:p>
          <w:p w:rsidR="0048417A" w:rsidRPr="004D57B3" w:rsidRDefault="0048417A" w:rsidP="00836B55">
            <w:pPr>
              <w:keepNext/>
              <w:autoSpaceDE w:val="0"/>
              <w:autoSpaceDN w:val="0"/>
              <w:adjustRightInd w:val="0"/>
              <w:spacing w:after="0"/>
              <w:ind w:left="57" w:right="57"/>
              <w:rPr>
                <w:rFonts w:ascii="Arial Narrow" w:hAnsi="Arial Narrow" w:cs="Arial"/>
                <w:sz w:val="18"/>
                <w:szCs w:val="18"/>
              </w:rPr>
            </w:pPr>
            <w:r w:rsidRPr="004D57B3">
              <w:rPr>
                <w:rFonts w:ascii="Arial Narrow" w:hAnsi="Arial Narrow" w:cs="Arial"/>
                <w:sz w:val="18"/>
                <w:szCs w:val="18"/>
              </w:rPr>
              <w:t>NPV: 1.00 (95% CI 0.86-1.00)</w:t>
            </w:r>
          </w:p>
          <w:p w:rsidR="0048417A" w:rsidRPr="004D57B3" w:rsidRDefault="0048417A" w:rsidP="00836B55">
            <w:pPr>
              <w:keepNext/>
              <w:autoSpaceDE w:val="0"/>
              <w:autoSpaceDN w:val="0"/>
              <w:adjustRightInd w:val="0"/>
              <w:spacing w:after="0"/>
              <w:ind w:left="57" w:right="57"/>
              <w:rPr>
                <w:rFonts w:ascii="Arial Narrow" w:hAnsi="Arial Narrow" w:cs="Arial"/>
                <w:sz w:val="18"/>
                <w:szCs w:val="18"/>
              </w:rPr>
            </w:pPr>
            <w:r w:rsidRPr="004D57B3">
              <w:rPr>
                <w:rFonts w:ascii="Arial Narrow" w:hAnsi="Arial Narrow" w:cs="Arial"/>
                <w:sz w:val="18"/>
                <w:szCs w:val="18"/>
              </w:rPr>
              <w:t>LR+: 13</w:t>
            </w:r>
          </w:p>
          <w:p w:rsidR="0048417A" w:rsidRPr="004D57B3" w:rsidRDefault="0048417A" w:rsidP="00836B55">
            <w:pPr>
              <w:keepNext/>
              <w:autoSpaceDE w:val="0"/>
              <w:autoSpaceDN w:val="0"/>
              <w:adjustRightInd w:val="0"/>
              <w:spacing w:after="0"/>
              <w:ind w:left="57" w:right="57"/>
              <w:rPr>
                <w:rFonts w:ascii="Arial Narrow" w:hAnsi="Arial Narrow" w:cs="Arial"/>
                <w:sz w:val="18"/>
                <w:szCs w:val="18"/>
              </w:rPr>
            </w:pPr>
            <w:r w:rsidRPr="004D57B3">
              <w:rPr>
                <w:rFonts w:ascii="Arial Narrow" w:hAnsi="Arial Narrow" w:cs="Arial"/>
                <w:sz w:val="18"/>
                <w:szCs w:val="18"/>
              </w:rPr>
              <w:t>LR</w:t>
            </w:r>
            <w:r>
              <w:rPr>
                <w:rFonts w:ascii="Arial Narrow" w:hAnsi="Arial Narrow" w:cs="Arial"/>
                <w:sz w:val="18"/>
                <w:szCs w:val="18"/>
              </w:rPr>
              <w:t>–</w:t>
            </w:r>
            <w:r w:rsidRPr="004D57B3">
              <w:rPr>
                <w:rFonts w:ascii="Arial Narrow" w:hAnsi="Arial Narrow" w:cs="Arial"/>
                <w:sz w:val="18"/>
                <w:szCs w:val="18"/>
              </w:rPr>
              <w:t>: 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Patients excluded from above due to parents’ refusal (</w:t>
            </w:r>
            <w:r>
              <w:rPr>
                <w:rFonts w:ascii="Arial Narrow" w:hAnsi="Arial Narrow" w:cs="Garamond"/>
                <w:sz w:val="18"/>
                <w:szCs w:val="18"/>
              </w:rPr>
              <w:t>n</w:t>
            </w:r>
            <w:r w:rsidRPr="004D57B3">
              <w:rPr>
                <w:rFonts w:ascii="Arial Narrow" w:hAnsi="Arial Narrow" w:cs="Garamond"/>
                <w:sz w:val="18"/>
                <w:szCs w:val="18"/>
              </w:rPr>
              <w:t xml:space="preserve">=7), </w:t>
            </w:r>
            <w:proofErr w:type="spellStart"/>
            <w:r w:rsidRPr="004D57B3">
              <w:rPr>
                <w:rFonts w:ascii="Arial Narrow" w:hAnsi="Arial Narrow" w:cs="Garamond"/>
                <w:sz w:val="18"/>
                <w:szCs w:val="18"/>
              </w:rPr>
              <w:t>extraintestinal</w:t>
            </w:r>
            <w:proofErr w:type="spellEnd"/>
            <w:r w:rsidRPr="004D57B3">
              <w:rPr>
                <w:rFonts w:ascii="Arial Narrow" w:hAnsi="Arial Narrow" w:cs="Garamond"/>
                <w:sz w:val="18"/>
                <w:szCs w:val="18"/>
              </w:rPr>
              <w:t xml:space="preserve"> findings detected by MRE (</w:t>
            </w:r>
            <w:r>
              <w:rPr>
                <w:rFonts w:ascii="Arial Narrow" w:hAnsi="Arial Narrow" w:cs="Garamond"/>
                <w:sz w:val="18"/>
                <w:szCs w:val="18"/>
              </w:rPr>
              <w:t>n</w:t>
            </w:r>
            <w:r w:rsidRPr="004D57B3">
              <w:rPr>
                <w:rFonts w:ascii="Arial Narrow" w:hAnsi="Arial Narrow" w:cs="Garamond"/>
                <w:sz w:val="18"/>
                <w:szCs w:val="18"/>
              </w:rPr>
              <w:t>=11) or strictures (</w:t>
            </w:r>
            <w:r>
              <w:rPr>
                <w:rFonts w:ascii="Arial Narrow" w:hAnsi="Arial Narrow" w:cs="Garamond"/>
                <w:sz w:val="18"/>
                <w:szCs w:val="18"/>
              </w:rPr>
              <w:t>n</w:t>
            </w:r>
            <w:r w:rsidRPr="004D57B3">
              <w:rPr>
                <w:rFonts w:ascii="Arial Narrow" w:hAnsi="Arial Narrow" w:cs="Garamond"/>
                <w:sz w:val="18"/>
                <w:szCs w:val="18"/>
              </w:rPr>
              <w:t xml:space="preserve">=5).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MRE: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1"/>
              <w:gridCol w:w="460"/>
              <w:gridCol w:w="475"/>
              <w:gridCol w:w="407"/>
              <w:gridCol w:w="441"/>
            </w:tblGrid>
            <w:tr w:rsidR="0048417A" w:rsidRPr="004D57B3" w:rsidTr="00836B55">
              <w:trPr>
                <w:trHeight w:val="268"/>
              </w:trPr>
              <w:tc>
                <w:tcPr>
                  <w:tcW w:w="44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327" w:type="dxa"/>
                  <w:gridSpan w:val="3"/>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Reference standard</w:t>
                  </w:r>
                  <w:r>
                    <w:t xml:space="preserve"> –</w:t>
                  </w:r>
                </w:p>
                <w:p w:rsidR="0048417A" w:rsidRPr="004D57B3" w:rsidRDefault="0048417A" w:rsidP="00836B55">
                  <w:pPr>
                    <w:pStyle w:val="TableText"/>
                  </w:pPr>
                  <w:r>
                    <w:t>Follow-up</w:t>
                  </w:r>
                </w:p>
              </w:tc>
            </w:tr>
            <w:tr w:rsidR="0048417A" w:rsidRPr="004D57B3" w:rsidTr="00836B55">
              <w:trPr>
                <w:trHeight w:val="292"/>
              </w:trPr>
              <w:tc>
                <w:tcPr>
                  <w:tcW w:w="44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7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40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441"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MRE</w:t>
                  </w:r>
                </w:p>
              </w:tc>
              <w:tc>
                <w:tcPr>
                  <w:tcW w:w="46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47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19</w:t>
                  </w:r>
                </w:p>
              </w:tc>
              <w:tc>
                <w:tcPr>
                  <w:tcW w:w="40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20</w:t>
                  </w:r>
                </w:p>
              </w:tc>
            </w:tr>
            <w:tr w:rsidR="0048417A" w:rsidRPr="004D57B3" w:rsidTr="00836B55">
              <w:trPr>
                <w:trHeight w:val="143"/>
              </w:trPr>
              <w:tc>
                <w:tcPr>
                  <w:tcW w:w="441"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47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0</w:t>
                  </w:r>
                </w:p>
              </w:tc>
              <w:tc>
                <w:tcPr>
                  <w:tcW w:w="40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40</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40</w:t>
                  </w:r>
                </w:p>
              </w:tc>
            </w:tr>
            <w:tr w:rsidR="0048417A" w:rsidRPr="004D57B3" w:rsidTr="00836B55">
              <w:trPr>
                <w:trHeight w:val="143"/>
              </w:trPr>
              <w:tc>
                <w:tcPr>
                  <w:tcW w:w="441"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47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19</w:t>
                  </w:r>
                </w:p>
              </w:tc>
              <w:tc>
                <w:tcPr>
                  <w:tcW w:w="40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41</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60</w:t>
                  </w:r>
                </w:p>
              </w:tc>
            </w:tr>
          </w:tbl>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1.00 (95% CI = 0.82</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0.98 (95% CI = 0.87</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PPV: 0.95 (95% CI = 0.75</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NPV: 1.00 (95% CI = 0.91</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 41.00</w:t>
            </w:r>
          </w:p>
          <w:p w:rsidR="000E4781"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0.00</w:t>
            </w:r>
          </w:p>
          <w:p w:rsidR="000E4781" w:rsidRPr="000E4781" w:rsidRDefault="000E4781" w:rsidP="00836B55">
            <w:pPr>
              <w:keepNext/>
              <w:autoSpaceDE w:val="0"/>
              <w:autoSpaceDN w:val="0"/>
              <w:adjustRightInd w:val="0"/>
              <w:spacing w:after="0"/>
              <w:ind w:left="57" w:right="57"/>
              <w:rPr>
                <w:rFonts w:ascii="Arial Narrow" w:hAnsi="Arial Narrow" w:cs="Garamond"/>
                <w:sz w:val="96"/>
                <w:szCs w:val="96"/>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Diagnostic and suggestive: 35% (13/37) (95% CI 21</w:t>
            </w:r>
            <w:r>
              <w:rPr>
                <w:rFonts w:ascii="Arial Narrow" w:hAnsi="Arial Narrow" w:cs="Garamond"/>
                <w:sz w:val="18"/>
                <w:szCs w:val="18"/>
              </w:rPr>
              <w:t>-</w:t>
            </w:r>
            <w:r w:rsidRPr="004D57B3">
              <w:rPr>
                <w:rFonts w:ascii="Arial Narrow" w:hAnsi="Arial Narrow" w:cs="Garamond"/>
                <w:sz w:val="18"/>
                <w:szCs w:val="18"/>
              </w:rPr>
              <w:t>53%)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lastRenderedPageBreak/>
              <w:t>Diagnostic: 27% (10/37) (95% CI 14</w:t>
            </w:r>
            <w:r>
              <w:rPr>
                <w:rFonts w:ascii="Arial Narrow" w:hAnsi="Arial Narrow" w:cs="Garamond"/>
                <w:sz w:val="18"/>
                <w:szCs w:val="18"/>
              </w:rPr>
              <w:t>-</w:t>
            </w:r>
            <w:r w:rsidRPr="004D57B3">
              <w:rPr>
                <w:rFonts w:ascii="Arial Narrow" w:hAnsi="Arial Narrow" w:cs="Garamond"/>
                <w:sz w:val="18"/>
                <w:szCs w:val="18"/>
              </w:rPr>
              <w:t>44%)</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MRE: 33.3% (20/60) (95% CI = 23</w:t>
            </w:r>
            <w:r>
              <w:rPr>
                <w:rFonts w:ascii="Arial Narrow" w:hAnsi="Arial Narrow" w:cs="Garamond"/>
                <w:sz w:val="18"/>
                <w:szCs w:val="18"/>
              </w:rPr>
              <w:t>-</w:t>
            </w:r>
            <w:r w:rsidRPr="004D57B3">
              <w:rPr>
                <w:rFonts w:ascii="Arial Narrow" w:hAnsi="Arial Narrow" w:cs="Garamond"/>
                <w:sz w:val="18"/>
                <w:szCs w:val="18"/>
              </w:rPr>
              <w:t>46%)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Adverse events: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Complete CE (capsule reached caecum within the CE test time): 86% (32/37)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reached distal ileum 14% (5/37)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retention not reported</w:t>
            </w:r>
          </w:p>
        </w:tc>
        <w:tc>
          <w:tcPr>
            <w:tcW w:w="3485"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III-2</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FAIR Q2</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C1: </w:t>
            </w:r>
            <w:r w:rsidRPr="004D57B3">
              <w:rPr>
                <w:rFonts w:ascii="Arial Narrow" w:hAnsi="Arial Narrow" w:cs="Garamond"/>
                <w:sz w:val="18"/>
                <w:szCs w:val="18"/>
              </w:rPr>
              <w:t>for MRE</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CX:</w:t>
            </w:r>
            <w:r w:rsidRPr="004D57B3">
              <w:rPr>
                <w:rFonts w:ascii="Arial Narrow" w:hAnsi="Arial Narrow" w:cs="Garamond"/>
                <w:sz w:val="18"/>
                <w:szCs w:val="18"/>
              </w:rPr>
              <w:t xml:space="preserve"> 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Diagnosis at follow</w:t>
            </w:r>
            <w:r>
              <w:rPr>
                <w:rFonts w:ascii="Arial Narrow" w:hAnsi="Arial Narrow" w:cs="Garamond"/>
                <w:sz w:val="18"/>
                <w:szCs w:val="18"/>
              </w:rPr>
              <w:t>-</w:t>
            </w:r>
            <w:r w:rsidRPr="004D57B3">
              <w:rPr>
                <w:rFonts w:ascii="Arial Narrow" w:hAnsi="Arial Narrow" w:cs="Garamond"/>
                <w:sz w:val="18"/>
                <w:szCs w:val="18"/>
              </w:rPr>
              <w:t>up</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Comparator: MRE was conducted prior to CE. CE was conducted within </w:t>
            </w:r>
            <w:r>
              <w:rPr>
                <w:rFonts w:ascii="Arial Narrow" w:hAnsi="Arial Narrow" w:cs="Garamond"/>
                <w:sz w:val="18"/>
                <w:szCs w:val="18"/>
              </w:rPr>
              <w:t>1</w:t>
            </w:r>
            <w:r w:rsidRPr="004D57B3">
              <w:rPr>
                <w:rFonts w:ascii="Arial Narrow" w:hAnsi="Arial Narrow" w:cs="Garamond"/>
                <w:sz w:val="18"/>
                <w:szCs w:val="18"/>
              </w:rPr>
              <w:t xml:space="preserve"> week of MRE.</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diagnosis at follow</w:t>
            </w:r>
            <w:r>
              <w:rPr>
                <w:rFonts w:ascii="Arial Narrow" w:hAnsi="Arial Narrow" w:cs="Garamond"/>
                <w:sz w:val="18"/>
                <w:szCs w:val="18"/>
              </w:rPr>
              <w:t>-</w:t>
            </w:r>
            <w:r w:rsidRPr="004D57B3">
              <w:rPr>
                <w:rFonts w:ascii="Arial Narrow" w:hAnsi="Arial Narrow" w:cs="Garamond"/>
                <w:sz w:val="18"/>
                <w:szCs w:val="18"/>
              </w:rPr>
              <w:t>up 12</w:t>
            </w:r>
            <w:r>
              <w:rPr>
                <w:rFonts w:ascii="Arial Narrow" w:hAnsi="Arial Narrow" w:cs="Garamond"/>
                <w:sz w:val="18"/>
                <w:szCs w:val="18"/>
              </w:rPr>
              <w:t>-</w:t>
            </w:r>
            <w:r w:rsidRPr="004D57B3">
              <w:rPr>
                <w:rFonts w:ascii="Arial Narrow" w:hAnsi="Arial Narrow" w:cs="Garamond"/>
                <w:sz w:val="18"/>
                <w:szCs w:val="18"/>
              </w:rPr>
              <w:t>14 months.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partially</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Partially</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unclear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Applicable comparator:</w:t>
            </w:r>
            <w:r w:rsidRPr="004D57B3">
              <w:rPr>
                <w:rFonts w:ascii="Arial Narrow" w:hAnsi="Arial Narrow" w:cs="Garamond"/>
                <w:sz w:val="18"/>
                <w:szCs w:val="18"/>
              </w:rPr>
              <w:t xml:space="preserve">  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B81800">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286"/>
        <w:gridCol w:w="3696"/>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bookmarkStart w:id="265" w:name="_Toc183415153"/>
            <w:bookmarkStart w:id="266" w:name="_Toc269214140"/>
            <w:bookmarkStart w:id="267" w:name="_Toc269214253"/>
            <w:bookmarkStart w:id="268" w:name="_Toc269214386"/>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547DED" w:rsidRDefault="0048417A" w:rsidP="00836B55">
            <w:pPr>
              <w:keepNext/>
              <w:spacing w:after="0"/>
              <w:ind w:left="57" w:right="57"/>
              <w:rPr>
                <w:rFonts w:ascii="Arial Narrow" w:hAnsi="Arial Narrow"/>
                <w:b/>
                <w:bCs/>
                <w:sz w:val="18"/>
                <w:szCs w:val="18"/>
              </w:rPr>
            </w:pPr>
            <w:r w:rsidRPr="00547DED">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286"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696"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3960"/>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Figueiredo</w:t>
            </w:r>
            <w:proofErr w:type="spellEnd"/>
            <w:r w:rsidRPr="004D57B3">
              <w:rPr>
                <w:rFonts w:ascii="Arial Narrow" w:hAnsi="Arial Narrow" w:cs="Garamond"/>
                <w:sz w:val="18"/>
                <w:szCs w:val="18"/>
              </w:rPr>
              <w:t xml:space="preserve"> et al (2010)</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Portugal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Single tertiary care centre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January 2001</w:t>
            </w:r>
            <w:r>
              <w:rPr>
                <w:rFonts w:ascii="Arial Narrow" w:hAnsi="Arial Narrow" w:cs="Garamond"/>
                <w:sz w:val="18"/>
                <w:szCs w:val="18"/>
              </w:rPr>
              <w:t>-</w:t>
            </w:r>
            <w:r w:rsidRPr="004D57B3">
              <w:rPr>
                <w:rFonts w:ascii="Arial Narrow" w:hAnsi="Arial Narrow" w:cs="Garamond"/>
                <w:sz w:val="18"/>
                <w:szCs w:val="18"/>
              </w:rPr>
              <w:t>December 2007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 xml:space="preserve">=95 enrolled patients  (78 for analysis: 14 excluded due to NSAID use in previous 30 days, 3 excluded due to inadequate </w:t>
            </w:r>
            <w:r>
              <w:rPr>
                <w:rFonts w:ascii="Arial Narrow" w:hAnsi="Arial Narrow" w:cs="Garamond"/>
                <w:sz w:val="18"/>
                <w:szCs w:val="18"/>
              </w:rPr>
              <w:t>follow up</w:t>
            </w:r>
            <w:r w:rsidRPr="004D57B3">
              <w:rPr>
                <w:rFonts w:ascii="Arial Narrow" w:hAnsi="Arial Narrow" w:cs="Garamond"/>
                <w:sz w:val="18"/>
                <w:szCs w:val="18"/>
              </w:rPr>
              <w:t xml:space="preserve">; of the 78 included in the analysis,  64 had complete capsule endoscopies, 72  had either complete capsule endoscopies or incomplete endoscopies in which lesions were nonetheless detected)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Follow-up</w:t>
            </w:r>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Average 28.8 months ±13.3 (SD) (range 6-65)</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assess the value of capsule endoscopy in the diagnosis of patients with suspected Crohn’s disease and the complications associated with this technique.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Retrospective diagnostic accuracy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Diagnosis at </w:t>
            </w:r>
            <w:r>
              <w:rPr>
                <w:rFonts w:ascii="Arial Narrow" w:hAnsi="Arial Narrow" w:cs="Garamond"/>
                <w:sz w:val="18"/>
                <w:szCs w:val="18"/>
              </w:rPr>
              <w:t>follow-up</w:t>
            </w:r>
            <w:r w:rsidRPr="004D57B3">
              <w:rPr>
                <w:rFonts w:ascii="Arial Narrow" w:hAnsi="Arial Narrow" w:cs="Garamond"/>
                <w:sz w:val="18"/>
                <w:szCs w:val="18"/>
              </w:rPr>
              <w:t xml:space="preserve"> (&gt;6 months), based on contact with the referring physician.</w:t>
            </w:r>
            <w:r w:rsidRPr="004D57B3" w:rsidDel="00BB0DDE">
              <w:rPr>
                <w:rFonts w:ascii="Arial Narrow" w:hAnsi="Arial Narrow" w:cs="Garamond"/>
                <w:sz w:val="18"/>
                <w:szCs w:val="18"/>
              </w:rPr>
              <w:t xml:space="preserve"> </w:t>
            </w: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Patients undergoing capsule endoscopy for clinically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Use of NSAID</w:t>
            </w:r>
            <w:r>
              <w:rPr>
                <w:rFonts w:ascii="Arial Narrow" w:hAnsi="Arial Narrow" w:cs="Garamond"/>
                <w:sz w:val="18"/>
                <w:szCs w:val="18"/>
              </w:rPr>
              <w:t>s</w:t>
            </w:r>
            <w:r w:rsidRPr="004D57B3">
              <w:rPr>
                <w:rFonts w:ascii="Arial Narrow" w:hAnsi="Arial Narrow" w:cs="Garamond"/>
                <w:sz w:val="18"/>
                <w:szCs w:val="18"/>
              </w:rPr>
              <w:t xml:space="preserve"> in the </w:t>
            </w:r>
            <w:r>
              <w:rPr>
                <w:rFonts w:ascii="Arial Narrow" w:hAnsi="Arial Narrow" w:cs="Garamond"/>
                <w:sz w:val="18"/>
                <w:szCs w:val="18"/>
              </w:rPr>
              <w:t xml:space="preserve">30 </w:t>
            </w:r>
            <w:r w:rsidRPr="004D57B3">
              <w:rPr>
                <w:rFonts w:ascii="Arial Narrow" w:hAnsi="Arial Narrow" w:cs="Garamond"/>
                <w:sz w:val="18"/>
                <w:szCs w:val="18"/>
              </w:rPr>
              <w:t xml:space="preserve">days preceding the examination (as indicated by references in the medical file). </w:t>
            </w:r>
            <w:r>
              <w:rPr>
                <w:rFonts w:ascii="Arial Narrow" w:hAnsi="Arial Narrow" w:cs="Garamond"/>
                <w:sz w:val="18"/>
                <w:szCs w:val="18"/>
              </w:rPr>
              <w:t>Follow-up</w:t>
            </w:r>
            <w:r w:rsidRPr="004D57B3">
              <w:rPr>
                <w:rFonts w:ascii="Arial Narrow" w:hAnsi="Arial Narrow" w:cs="Garamond"/>
                <w:sz w:val="18"/>
                <w:szCs w:val="18"/>
              </w:rPr>
              <w:t xml:space="preserve"> period &lt;</w:t>
            </w:r>
            <w:r>
              <w:rPr>
                <w:rFonts w:ascii="Arial Narrow" w:hAnsi="Arial Narrow" w:cs="Garamond"/>
                <w:sz w:val="18"/>
                <w:szCs w:val="18"/>
              </w:rPr>
              <w:t>6</w:t>
            </w:r>
            <w:r w:rsidRPr="004D57B3">
              <w:rPr>
                <w:rFonts w:ascii="Arial Narrow" w:hAnsi="Arial Narrow" w:cs="Garamond"/>
                <w:sz w:val="18"/>
                <w:szCs w:val="18"/>
              </w:rPr>
              <w:t xml:space="preserve"> months after the date of the examination. Clinical or imaging study indicating stenosis of the small intestine.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Patient characteristics (</w:t>
            </w:r>
            <w:r>
              <w:rPr>
                <w:rFonts w:ascii="Arial Narrow" w:hAnsi="Arial Narrow" w:cs="Garamond"/>
                <w:b/>
                <w:sz w:val="18"/>
                <w:szCs w:val="18"/>
              </w:rPr>
              <w:t>n</w:t>
            </w:r>
            <w:r w:rsidRPr="004D57B3">
              <w:rPr>
                <w:rFonts w:ascii="Arial Narrow" w:hAnsi="Arial Narrow" w:cs="Garamond"/>
                <w:b/>
                <w:sz w:val="18"/>
                <w:szCs w:val="18"/>
              </w:rPr>
              <w:t>=78):</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Mean age 37.2 years</w:t>
            </w:r>
            <w:r>
              <w:rPr>
                <w:rFonts w:ascii="Arial Narrow" w:hAnsi="Arial Narrow" w:cs="Garamond"/>
                <w:sz w:val="18"/>
                <w:szCs w:val="18"/>
              </w:rPr>
              <w:t xml:space="preserve"> </w:t>
            </w:r>
            <w:r w:rsidRPr="004D57B3">
              <w:rPr>
                <w:rFonts w:ascii="Arial Narrow" w:hAnsi="Arial Narrow" w:cs="Garamond"/>
                <w:sz w:val="18"/>
                <w:szCs w:val="18"/>
              </w:rPr>
              <w:t>±16.4 (SD)</w:t>
            </w:r>
            <w:r w:rsidRPr="004D57B3">
              <w:rPr>
                <w:rFonts w:ascii="Arial Narrow" w:hAnsi="Arial Narrow" w:cs="Garamond"/>
                <w:i/>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53 female/25 male</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r w:rsidRPr="004D57B3">
              <w:rPr>
                <w:rFonts w:ascii="Arial Narrow" w:hAnsi="Arial Narrow" w:cs="Garamond"/>
                <w:sz w:val="18"/>
                <w:szCs w:val="18"/>
              </w:rPr>
              <w:t xml:space="preserve"> (</w:t>
            </w:r>
            <w:r>
              <w:rPr>
                <w:rFonts w:ascii="Arial Narrow" w:hAnsi="Arial Narrow" w:cs="Garamond"/>
                <w:sz w:val="18"/>
                <w:szCs w:val="18"/>
              </w:rPr>
              <w:t>n</w:t>
            </w:r>
            <w:r w:rsidRPr="004D57B3">
              <w:rPr>
                <w:rFonts w:ascii="Arial Narrow" w:hAnsi="Arial Narrow" w:cs="Garamond"/>
                <w:sz w:val="18"/>
                <w:szCs w:val="18"/>
              </w:rPr>
              <w:t>=78)</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Colonoscopy 100% (78/78)</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 xml:space="preserve">Retrograde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with biopsy 60.3% (47/78), with slightly congested mucosa in 7 cases</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 xml:space="preserve">Unsuccessful intubation of the terminal ileum 39.7% (31/78) Small bowel series </w:t>
            </w:r>
            <w:r>
              <w:rPr>
                <w:rFonts w:ascii="Arial Narrow" w:hAnsi="Arial Narrow" w:cs="Garamond"/>
                <w:sz w:val="18"/>
                <w:szCs w:val="18"/>
              </w:rPr>
              <w:t xml:space="preserve">-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 xml:space="preserve"> (19/78)</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 xml:space="preserve">Lesions seen on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 xml:space="preserve"> (5/19) </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Pr>
                <w:rFonts w:ascii="Arial Narrow" w:hAnsi="Arial Narrow" w:cs="Garamond"/>
                <w:sz w:val="18"/>
                <w:szCs w:val="18"/>
              </w:rPr>
              <w:t>SBFT</w:t>
            </w:r>
            <w:r w:rsidRPr="004D57B3">
              <w:rPr>
                <w:rFonts w:ascii="Arial Narrow" w:hAnsi="Arial Narrow" w:cs="Garamond"/>
                <w:sz w:val="18"/>
                <w:szCs w:val="18"/>
              </w:rPr>
              <w:t xml:space="preserve"> (47/78)</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 xml:space="preserve">Lesions seen on </w:t>
            </w:r>
            <w:r>
              <w:rPr>
                <w:rFonts w:ascii="Arial Narrow" w:hAnsi="Arial Narrow" w:cs="Garamond"/>
                <w:sz w:val="18"/>
                <w:szCs w:val="18"/>
              </w:rPr>
              <w:t>SBFT</w:t>
            </w:r>
            <w:r w:rsidRPr="004D57B3">
              <w:rPr>
                <w:rFonts w:ascii="Arial Narrow" w:hAnsi="Arial Narrow" w:cs="Garamond"/>
                <w:sz w:val="18"/>
                <w:szCs w:val="18"/>
              </w:rPr>
              <w:t xml:space="preserve"> (5/47)</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CT (37/78)</w:t>
            </w:r>
          </w:p>
          <w:p w:rsidR="0048417A" w:rsidRPr="004D57B3" w:rsidRDefault="0048417A" w:rsidP="00836B55">
            <w:pPr>
              <w:keepNext/>
              <w:numPr>
                <w:ilvl w:val="0"/>
                <w:numId w:val="56"/>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Lesions seen on CT (14/37).</w:t>
            </w:r>
          </w:p>
          <w:p w:rsidR="0048417A"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lastRenderedPageBreak/>
              <w:t>Clinical characteristics</w:t>
            </w:r>
            <w:r>
              <w:rPr>
                <w:rFonts w:ascii="Arial Narrow" w:hAnsi="Arial Narrow" w:cs="Garamond"/>
                <w:i/>
                <w:sz w:val="18"/>
                <w:szCs w:val="18"/>
              </w:rPr>
              <w:t>:</w:t>
            </w:r>
            <w:r w:rsidRPr="004D57B3">
              <w:rPr>
                <w:rFonts w:ascii="Arial Narrow" w:hAnsi="Arial Narrow" w:cs="Garamond"/>
                <w:sz w:val="18"/>
                <w:szCs w:val="18"/>
              </w:rPr>
              <w:t xml:space="preserve"> (</w:t>
            </w:r>
            <w:r>
              <w:rPr>
                <w:rFonts w:ascii="Arial Narrow" w:hAnsi="Arial Narrow" w:cs="Garamond"/>
                <w:sz w:val="18"/>
                <w:szCs w:val="18"/>
              </w:rPr>
              <w:t>n</w:t>
            </w:r>
            <w:r w:rsidRPr="004D57B3">
              <w:rPr>
                <w:rFonts w:ascii="Arial Narrow" w:hAnsi="Arial Narrow" w:cs="Garamond"/>
                <w:sz w:val="18"/>
                <w:szCs w:val="18"/>
              </w:rPr>
              <w:t>=78)</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r w:rsidRPr="004D57B3">
              <w:rPr>
                <w:rFonts w:ascii="Arial Narrow" w:hAnsi="Arial Narrow" w:cs="Garamond"/>
                <w:sz w:val="18"/>
                <w:szCs w:val="18"/>
              </w:rPr>
              <w:t>Abdominal pain 79.5%  (62/78)</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r w:rsidRPr="004D57B3">
              <w:rPr>
                <w:rFonts w:ascii="Arial Narrow" w:hAnsi="Arial Narrow" w:cs="Garamond"/>
                <w:sz w:val="18"/>
                <w:szCs w:val="18"/>
              </w:rPr>
              <w:t>Diarrhoea 60.3% (47/78)</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r w:rsidRPr="004D57B3">
              <w:rPr>
                <w:rFonts w:ascii="Arial Narrow" w:hAnsi="Arial Narrow" w:cs="Garamond"/>
                <w:sz w:val="18"/>
                <w:szCs w:val="18"/>
              </w:rPr>
              <w:t>Weight loss 34.6% (27/78)</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proofErr w:type="spellStart"/>
            <w:r w:rsidRPr="004D57B3">
              <w:rPr>
                <w:rFonts w:ascii="Arial Narrow" w:hAnsi="Arial Narrow" w:cs="Garamond"/>
                <w:sz w:val="18"/>
                <w:szCs w:val="18"/>
              </w:rPr>
              <w:t>Arthralgias</w:t>
            </w:r>
            <w:proofErr w:type="spellEnd"/>
            <w:r w:rsidRPr="004D57B3">
              <w:rPr>
                <w:rFonts w:ascii="Arial Narrow" w:hAnsi="Arial Narrow" w:cs="Garamond"/>
                <w:sz w:val="18"/>
                <w:szCs w:val="18"/>
              </w:rPr>
              <w:t xml:space="preserve"> 34.6% (27/78)</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r w:rsidRPr="004D57B3">
              <w:rPr>
                <w:rFonts w:ascii="Arial Narrow" w:hAnsi="Arial Narrow" w:cs="Garamond"/>
                <w:sz w:val="18"/>
                <w:szCs w:val="18"/>
              </w:rPr>
              <w:t>Fever 14.1% (11/78)</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r w:rsidRPr="004D57B3">
              <w:rPr>
                <w:rFonts w:ascii="Arial Narrow" w:hAnsi="Arial Narrow" w:cs="Garamond"/>
                <w:sz w:val="18"/>
                <w:szCs w:val="18"/>
              </w:rPr>
              <w:t>Duration of symptoms 22.3</w:t>
            </w:r>
            <w:r>
              <w:rPr>
                <w:rFonts w:ascii="Arial Narrow" w:hAnsi="Arial Narrow" w:cs="Garamond"/>
                <w:sz w:val="18"/>
                <w:szCs w:val="18"/>
              </w:rPr>
              <w:t xml:space="preserve"> </w:t>
            </w:r>
            <w:r w:rsidRPr="004D57B3">
              <w:rPr>
                <w:rFonts w:ascii="Arial Narrow" w:hAnsi="Arial Narrow" w:cs="Garamond"/>
                <w:sz w:val="18"/>
                <w:szCs w:val="18"/>
              </w:rPr>
              <w:t>±26.2 months (mean ± SD)</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r w:rsidRPr="004D57B3">
              <w:rPr>
                <w:rFonts w:ascii="Arial Narrow" w:hAnsi="Arial Narrow" w:cs="Garamond"/>
                <w:sz w:val="18"/>
                <w:szCs w:val="18"/>
              </w:rPr>
              <w:t>Anaemia 53.8% (42/78)</w:t>
            </w:r>
          </w:p>
          <w:p w:rsidR="0048417A" w:rsidRPr="004D57B3" w:rsidRDefault="0048417A" w:rsidP="00836B55">
            <w:pPr>
              <w:keepNext/>
              <w:numPr>
                <w:ilvl w:val="0"/>
                <w:numId w:val="55"/>
              </w:numPr>
              <w:autoSpaceDE w:val="0"/>
              <w:autoSpaceDN w:val="0"/>
              <w:adjustRightInd w:val="0"/>
              <w:spacing w:after="0"/>
              <w:ind w:left="136" w:right="57" w:hanging="136"/>
              <w:rPr>
                <w:rFonts w:ascii="Arial Narrow" w:hAnsi="Arial Narrow" w:cs="Garamond"/>
                <w:sz w:val="18"/>
                <w:szCs w:val="18"/>
              </w:rPr>
            </w:pPr>
            <w:r w:rsidRPr="004D57B3">
              <w:rPr>
                <w:rFonts w:ascii="Arial Narrow" w:hAnsi="Arial Narrow" w:cs="Garamond"/>
                <w:sz w:val="18"/>
                <w:szCs w:val="18"/>
              </w:rPr>
              <w:t>Elevated C-reactive protein 35.9% (28/78)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Erosions, ulcers, ulcerated stenosis and villous atrophy were considered suggestive of Crohn’s disease regardless of the number of lesions found. </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tc>
        <w:tc>
          <w:tcPr>
            <w:tcW w:w="2286"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accuracy</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Excluding patients with an incomplete endoscopy where it was not possible to tell if they had findings suggestive of Crohn’s disease  (</w:t>
            </w:r>
            <w:r>
              <w:rPr>
                <w:rFonts w:ascii="Arial Narrow" w:hAnsi="Arial Narrow" w:cs="Garamond"/>
                <w:sz w:val="18"/>
                <w:szCs w:val="18"/>
              </w:rPr>
              <w:t>n</w:t>
            </w:r>
            <w:r w:rsidRPr="004D57B3">
              <w:rPr>
                <w:rFonts w:ascii="Arial Narrow" w:hAnsi="Arial Narrow" w:cs="Garamond"/>
                <w:sz w:val="18"/>
                <w:szCs w:val="18"/>
              </w:rPr>
              <w:t>=6):</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1"/>
              <w:gridCol w:w="441"/>
              <w:gridCol w:w="354"/>
              <w:gridCol w:w="346"/>
              <w:gridCol w:w="441"/>
            </w:tblGrid>
            <w:tr w:rsidR="0048417A" w:rsidRPr="004D57B3" w:rsidTr="00836B55">
              <w:trPr>
                <w:trHeight w:val="268"/>
              </w:trPr>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144" w:type="dxa"/>
                  <w:gridSpan w:val="3"/>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Reference standard</w:t>
                  </w:r>
                  <w:r>
                    <w:t xml:space="preserve"> –</w:t>
                  </w:r>
                </w:p>
                <w:p w:rsidR="0048417A" w:rsidRPr="004D57B3" w:rsidRDefault="0048417A" w:rsidP="00836B55">
                  <w:pPr>
                    <w:pStyle w:val="TableText"/>
                  </w:pPr>
                  <w:r>
                    <w:t>Follow-up</w:t>
                  </w:r>
                </w:p>
              </w:tc>
            </w:tr>
            <w:tr w:rsidR="0048417A" w:rsidRPr="004D57B3" w:rsidTr="00836B55">
              <w:trPr>
                <w:trHeight w:val="292"/>
              </w:trPr>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3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34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442"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CE</w:t>
                  </w:r>
                </w:p>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3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29</w:t>
                  </w:r>
                </w:p>
              </w:tc>
              <w:tc>
                <w:tcPr>
                  <w:tcW w:w="34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37</w:t>
                  </w:r>
                </w:p>
              </w:tc>
            </w:tr>
            <w:tr w:rsidR="0048417A" w:rsidRPr="004D57B3" w:rsidTr="00836B55">
              <w:trPr>
                <w:trHeight w:val="143"/>
              </w:trPr>
              <w:tc>
                <w:tcPr>
                  <w:tcW w:w="442"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3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w:t>
                  </w:r>
                </w:p>
              </w:tc>
              <w:tc>
                <w:tcPr>
                  <w:tcW w:w="34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33</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35</w:t>
                  </w:r>
                </w:p>
              </w:tc>
            </w:tr>
            <w:tr w:rsidR="0048417A" w:rsidRPr="004D57B3" w:rsidTr="00836B55">
              <w:trPr>
                <w:trHeight w:val="143"/>
              </w:trPr>
              <w:tc>
                <w:tcPr>
                  <w:tcW w:w="442"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35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31</w:t>
                  </w:r>
                </w:p>
              </w:tc>
              <w:tc>
                <w:tcPr>
                  <w:tcW w:w="34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41</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72</w:t>
                  </w:r>
                </w:p>
              </w:tc>
            </w:tr>
          </w:tbl>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0.94 (95% CI = 0.79</w:t>
            </w:r>
            <w:r>
              <w:rPr>
                <w:rFonts w:ascii="Arial Narrow" w:hAnsi="Arial Narrow" w:cs="Garamond"/>
                <w:sz w:val="18"/>
                <w:szCs w:val="18"/>
              </w:rPr>
              <w:t>-</w:t>
            </w:r>
            <w:r w:rsidRPr="004D57B3">
              <w:rPr>
                <w:rFonts w:ascii="Arial Narrow" w:hAnsi="Arial Narrow" w:cs="Garamond"/>
                <w:sz w:val="18"/>
                <w:szCs w:val="18"/>
              </w:rPr>
              <w:t xml:space="preserve"> 0.98)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0.80 (95% CI = 0.66</w:t>
            </w:r>
            <w:r>
              <w:rPr>
                <w:rFonts w:ascii="Arial Narrow" w:hAnsi="Arial Narrow" w:cs="Garamond"/>
                <w:sz w:val="18"/>
                <w:szCs w:val="18"/>
              </w:rPr>
              <w:t>-</w:t>
            </w:r>
            <w:r w:rsidRPr="004D57B3">
              <w:rPr>
                <w:rFonts w:ascii="Arial Narrow" w:hAnsi="Arial Narrow" w:cs="Garamond"/>
                <w:sz w:val="18"/>
                <w:szCs w:val="18"/>
              </w:rPr>
              <w:t>0.90)</w:t>
            </w:r>
          </w:p>
          <w:p w:rsidR="0048417A" w:rsidRPr="004D57B3" w:rsidRDefault="0048417A" w:rsidP="00836B55">
            <w:pPr>
              <w:keepNext/>
              <w:tabs>
                <w:tab w:val="center" w:pos="1135"/>
              </w:tabs>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PPV: 0.78 (95% CI = 0.63</w:t>
            </w:r>
            <w:r>
              <w:rPr>
                <w:rFonts w:ascii="Arial Narrow" w:hAnsi="Arial Narrow" w:cs="Garamond"/>
                <w:sz w:val="18"/>
                <w:szCs w:val="18"/>
              </w:rPr>
              <w:t>-</w:t>
            </w:r>
            <w:r w:rsidRPr="004D57B3">
              <w:rPr>
                <w:rFonts w:ascii="Arial Narrow" w:hAnsi="Arial Narrow" w:cs="Garamond"/>
                <w:sz w:val="18"/>
                <w:szCs w:val="18"/>
              </w:rPr>
              <w:t>0.89)</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NPV: 0.94 (95% CI = 0.81</w:t>
            </w:r>
            <w:r>
              <w:rPr>
                <w:rFonts w:ascii="Arial Narrow" w:hAnsi="Arial Narrow" w:cs="Garamond"/>
                <w:sz w:val="18"/>
                <w:szCs w:val="18"/>
              </w:rPr>
              <w:t>-</w:t>
            </w:r>
            <w:r w:rsidRPr="004D57B3">
              <w:rPr>
                <w:rFonts w:ascii="Arial Narrow" w:hAnsi="Arial Narrow" w:cs="Garamond"/>
                <w:sz w:val="18"/>
                <w:szCs w:val="18"/>
              </w:rPr>
              <w:t>0.98)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LR+: 4.8 </w:t>
            </w:r>
          </w:p>
          <w:p w:rsidR="0048417A" w:rsidRDefault="0048417A" w:rsidP="000E4781">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0.08</w:t>
            </w:r>
            <w:r w:rsidR="000E4781">
              <w:rPr>
                <w:rFonts w:ascii="Arial Narrow" w:hAnsi="Arial Narrow" w:cs="Garamond"/>
                <w:sz w:val="18"/>
                <w:szCs w:val="18"/>
              </w:rPr>
              <w:t xml:space="preserve"> </w:t>
            </w:r>
          </w:p>
          <w:p w:rsidR="0048417A" w:rsidRPr="000E4781" w:rsidRDefault="0048417A" w:rsidP="00836B55">
            <w:pPr>
              <w:keepNext/>
              <w:autoSpaceDE w:val="0"/>
              <w:autoSpaceDN w:val="0"/>
              <w:adjustRightInd w:val="0"/>
              <w:spacing w:after="0"/>
              <w:ind w:left="57" w:right="57"/>
              <w:rPr>
                <w:rFonts w:ascii="Arial Narrow" w:hAnsi="Arial Narrow" w:cs="Garamond"/>
                <w:sz w:val="196"/>
                <w:szCs w:val="196"/>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lastRenderedPageBreak/>
              <w:t xml:space="preserve">In patients for whom retrograde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was (</w:t>
            </w:r>
            <w:proofErr w:type="spellStart"/>
            <w:r w:rsidRPr="004D57B3">
              <w:rPr>
                <w:rFonts w:ascii="Arial Narrow" w:hAnsi="Arial Narrow" w:cs="Garamond"/>
                <w:sz w:val="18"/>
                <w:szCs w:val="18"/>
              </w:rPr>
              <w:t>i</w:t>
            </w:r>
            <w:proofErr w:type="spellEnd"/>
            <w:r w:rsidRPr="004D57B3">
              <w:rPr>
                <w:rFonts w:ascii="Arial Narrow" w:hAnsi="Arial Narrow" w:cs="Garamond"/>
                <w:sz w:val="18"/>
                <w:szCs w:val="18"/>
              </w:rPr>
              <w:t>) achieved, and (ii) negative (</w:t>
            </w:r>
            <w:r>
              <w:rPr>
                <w:rFonts w:ascii="Arial Narrow" w:hAnsi="Arial Narrow" w:cs="Garamond"/>
                <w:sz w:val="18"/>
                <w:szCs w:val="18"/>
              </w:rPr>
              <w:t>n</w:t>
            </w:r>
            <w:r w:rsidRPr="004D57B3">
              <w:rPr>
                <w:rFonts w:ascii="Arial Narrow" w:hAnsi="Arial Narrow" w:cs="Garamond"/>
                <w:sz w:val="18"/>
                <w:szCs w:val="18"/>
              </w:rPr>
              <w:t>=43):</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8"/>
              <w:gridCol w:w="467"/>
              <w:gridCol w:w="432"/>
              <w:gridCol w:w="365"/>
              <w:gridCol w:w="441"/>
            </w:tblGrid>
            <w:tr w:rsidR="0048417A" w:rsidRPr="004D57B3" w:rsidTr="00836B55">
              <w:trPr>
                <w:trHeight w:val="268"/>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242" w:type="dxa"/>
                  <w:gridSpan w:val="3"/>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Reference standard</w:t>
                  </w:r>
                  <w:r>
                    <w:t xml:space="preserve"> –</w:t>
                  </w:r>
                </w:p>
                <w:p w:rsidR="0048417A" w:rsidRPr="004D57B3" w:rsidRDefault="0048417A" w:rsidP="00836B55">
                  <w:pPr>
                    <w:pStyle w:val="TableText"/>
                  </w:pPr>
                  <w:r>
                    <w:t>Follow-up</w:t>
                  </w:r>
                </w:p>
              </w:tc>
            </w:tr>
            <w:tr w:rsidR="0048417A" w:rsidRPr="004D57B3" w:rsidTr="00836B55">
              <w:trPr>
                <w:trHeight w:val="292"/>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3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36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318"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CE</w:t>
                  </w:r>
                </w:p>
              </w:tc>
              <w:tc>
                <w:tcPr>
                  <w:tcW w:w="4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43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21</w:t>
                  </w:r>
                </w:p>
              </w:tc>
              <w:tc>
                <w:tcPr>
                  <w:tcW w:w="36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24</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43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w:t>
                  </w:r>
                </w:p>
              </w:tc>
              <w:tc>
                <w:tcPr>
                  <w:tcW w:w="36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18</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19</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43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22</w:t>
                  </w:r>
                </w:p>
              </w:tc>
              <w:tc>
                <w:tcPr>
                  <w:tcW w:w="36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21</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43</w:t>
                  </w:r>
                </w:p>
              </w:tc>
            </w:tr>
          </w:tbl>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0.96 (95% CI = 0.77</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0.86 (95% CI = 0.63</w:t>
            </w:r>
            <w:r>
              <w:rPr>
                <w:rFonts w:ascii="Arial Narrow" w:hAnsi="Arial Narrow" w:cs="Garamond"/>
                <w:sz w:val="18"/>
                <w:szCs w:val="18"/>
              </w:rPr>
              <w:t>-</w:t>
            </w:r>
            <w:r w:rsidRPr="004D57B3">
              <w:rPr>
                <w:rFonts w:ascii="Arial Narrow" w:hAnsi="Arial Narrow" w:cs="Garamond"/>
                <w:sz w:val="18"/>
                <w:szCs w:val="18"/>
              </w:rPr>
              <w:t>0.96)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PPV: 0.88 (95% CI = 0.67</w:t>
            </w:r>
            <w:r>
              <w:rPr>
                <w:rFonts w:ascii="Arial Narrow" w:hAnsi="Arial Narrow" w:cs="Garamond"/>
                <w:sz w:val="18"/>
                <w:szCs w:val="18"/>
              </w:rPr>
              <w:t>-</w:t>
            </w:r>
            <w:r w:rsidRPr="004D57B3">
              <w:rPr>
                <w:rFonts w:ascii="Arial Narrow" w:hAnsi="Arial Narrow" w:cs="Garamond"/>
                <w:sz w:val="18"/>
                <w:szCs w:val="18"/>
              </w:rPr>
              <w:t>0.97)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NPV: 0.95 (95% CI = 0.74</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 6.68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0.05</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 xml:space="preserve">Diagnostic yield </w:t>
            </w:r>
            <w:r w:rsidRPr="004D57B3">
              <w:rPr>
                <w:rFonts w:ascii="Arial Narrow" w:hAnsi="Arial Narrow" w:cs="Garamond"/>
                <w:sz w:val="18"/>
                <w:szCs w:val="18"/>
              </w:rPr>
              <w:t>–</w:t>
            </w:r>
            <w:r w:rsidRPr="004D57B3">
              <w:rPr>
                <w:rFonts w:ascii="Arial Narrow" w:hAnsi="Arial Narrow" w:cs="Garamond"/>
                <w:b/>
                <w:sz w:val="18"/>
                <w:szCs w:val="18"/>
              </w:rPr>
              <w:t xml:space="preserve"> CE: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47.4% (37/78) in all patients (95% CI = 37</w:t>
            </w:r>
            <w:r>
              <w:rPr>
                <w:rFonts w:ascii="Arial Narrow" w:hAnsi="Arial Narrow" w:cs="Garamond"/>
                <w:sz w:val="18"/>
                <w:szCs w:val="18"/>
              </w:rPr>
              <w:t>-</w:t>
            </w:r>
            <w:r w:rsidRPr="004D57B3">
              <w:rPr>
                <w:rFonts w:ascii="Arial Narrow" w:hAnsi="Arial Narrow" w:cs="Garamond"/>
                <w:sz w:val="18"/>
                <w:szCs w:val="18"/>
              </w:rPr>
              <w:t>58%)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56% (24/43) in patients with a negative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(95% CI 40</w:t>
            </w:r>
            <w:r>
              <w:rPr>
                <w:rFonts w:ascii="Arial Narrow" w:hAnsi="Arial Narrow" w:cs="Garamond"/>
                <w:sz w:val="18"/>
                <w:szCs w:val="18"/>
              </w:rPr>
              <w:t>-</w:t>
            </w:r>
            <w:r w:rsidRPr="004D57B3">
              <w:rPr>
                <w:rFonts w:ascii="Arial Narrow" w:hAnsi="Arial Narrow" w:cs="Garamond"/>
                <w:sz w:val="18"/>
                <w:szCs w:val="18"/>
              </w:rPr>
              <w:t>71%)</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 xml:space="preserve">Diagnostic yield </w:t>
            </w:r>
            <w:r w:rsidRPr="004D57B3">
              <w:rPr>
                <w:rFonts w:ascii="Arial Narrow" w:hAnsi="Arial Narrow" w:cs="Garamond"/>
                <w:sz w:val="18"/>
                <w:szCs w:val="18"/>
              </w:rPr>
              <w:t>–</w:t>
            </w:r>
            <w:r w:rsidRPr="004D57B3">
              <w:rPr>
                <w:rFonts w:ascii="Arial Narrow" w:hAnsi="Arial Narrow" w:cs="Garamond"/>
                <w:b/>
                <w:sz w:val="18"/>
                <w:szCs w:val="18"/>
              </w:rPr>
              <w:t xml:space="preserve"> CT: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38% (14/37) in patients who underwent CT (95% CI = 23</w:t>
            </w:r>
            <w:r>
              <w:rPr>
                <w:rFonts w:ascii="Arial Narrow" w:hAnsi="Arial Narrow" w:cs="Garamond"/>
                <w:sz w:val="18"/>
                <w:szCs w:val="18"/>
              </w:rPr>
              <w:t>-</w:t>
            </w:r>
            <w:r w:rsidRPr="004D57B3">
              <w:rPr>
                <w:rFonts w:ascii="Arial Narrow" w:hAnsi="Arial Narrow" w:cs="Garamond"/>
                <w:sz w:val="18"/>
                <w:szCs w:val="18"/>
              </w:rPr>
              <w:t xml:space="preserve"> 55%)</w:t>
            </w:r>
          </w:p>
          <w:p w:rsidR="0048417A" w:rsidRPr="004D57B3" w:rsidRDefault="0048417A" w:rsidP="00836B55">
            <w:pPr>
              <w:pStyle w:val="TableText"/>
              <w:ind w:left="57" w:right="-250"/>
              <w:rPr>
                <w:rFonts w:cs="Garamond"/>
                <w:szCs w:val="18"/>
              </w:rPr>
            </w:pPr>
            <w:r w:rsidRPr="004D57B3">
              <w:t>CT was not a comparator in this study however yield data was provided for 37 patients who underwent CT.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Adverse events</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Incomplete CE: 17.9% (14/78)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Capsule retention: 5.1% (4/78). None developed signs or symptoms of intestinal occlusion. </w:t>
            </w:r>
            <w:r>
              <w:rPr>
                <w:rFonts w:ascii="Arial Narrow" w:hAnsi="Arial Narrow" w:cs="Garamond"/>
                <w:sz w:val="18"/>
                <w:szCs w:val="18"/>
              </w:rPr>
              <w:t>2</w:t>
            </w:r>
            <w:r w:rsidRPr="004D57B3">
              <w:rPr>
                <w:rFonts w:ascii="Arial Narrow" w:hAnsi="Arial Narrow" w:cs="Garamond"/>
                <w:sz w:val="18"/>
                <w:szCs w:val="18"/>
              </w:rPr>
              <w:t xml:space="preserve"> underwent surgery and </w:t>
            </w:r>
            <w:r>
              <w:rPr>
                <w:rFonts w:ascii="Arial Narrow" w:hAnsi="Arial Narrow" w:cs="Garamond"/>
                <w:sz w:val="18"/>
                <w:szCs w:val="18"/>
              </w:rPr>
              <w:t>2</w:t>
            </w:r>
            <w:r w:rsidRPr="004D57B3">
              <w:rPr>
                <w:rFonts w:ascii="Arial Narrow" w:hAnsi="Arial Narrow" w:cs="Garamond"/>
                <w:sz w:val="18"/>
                <w:szCs w:val="18"/>
              </w:rPr>
              <w:t xml:space="preserve"> expelled the capsule following medical treatment (note: the latter were twins).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sz w:val="18"/>
                <w:szCs w:val="18"/>
              </w:rPr>
              <w:t xml:space="preserve">No other complications were reported. </w:t>
            </w:r>
          </w:p>
        </w:tc>
        <w:tc>
          <w:tcPr>
            <w:tcW w:w="3696"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III-2</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no</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Diagnosis at </w:t>
            </w:r>
            <w:r>
              <w:rPr>
                <w:rFonts w:ascii="Arial Narrow" w:hAnsi="Arial Narrow" w:cs="Garamond"/>
                <w:sz w:val="18"/>
                <w:szCs w:val="18"/>
              </w:rPr>
              <w:t>follow-up</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Applied to all participants: no </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28.8 months (mean)  ±13.3 months (SD) after CE</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 (blood tests, radiology, MACCS criteria)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bookmarkEnd w:id="265"/>
      <w:bookmarkEnd w:id="266"/>
      <w:bookmarkEnd w:id="267"/>
      <w:bookmarkEnd w:id="268"/>
    </w:tbl>
    <w:p w:rsidR="0048417A" w:rsidRPr="004D57B3" w:rsidRDefault="0048417A" w:rsidP="000E4781">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00"/>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547DED" w:rsidRDefault="0048417A" w:rsidP="00836B55">
            <w:pPr>
              <w:keepNext/>
              <w:spacing w:after="0"/>
              <w:ind w:left="57" w:right="57"/>
              <w:rPr>
                <w:rFonts w:ascii="Arial Narrow" w:hAnsi="Arial Narrow"/>
                <w:b/>
                <w:bCs/>
                <w:sz w:val="18"/>
                <w:szCs w:val="18"/>
              </w:rPr>
            </w:pPr>
            <w:r w:rsidRPr="00547DED">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00"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1833"/>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Girelli</w:t>
            </w:r>
            <w:proofErr w:type="spellEnd"/>
            <w:r w:rsidRPr="004D57B3">
              <w:rPr>
                <w:rFonts w:ascii="Arial Narrow" w:hAnsi="Arial Narrow" w:cs="Garamond"/>
                <w:sz w:val="18"/>
                <w:szCs w:val="18"/>
              </w:rPr>
              <w:t xml:space="preserve"> et al </w:t>
            </w:r>
            <w:r>
              <w:rPr>
                <w:rFonts w:ascii="Arial Narrow" w:hAnsi="Arial Narrow" w:cs="Garamond"/>
                <w:sz w:val="18"/>
                <w:szCs w:val="18"/>
              </w:rPr>
              <w:t>(</w:t>
            </w:r>
            <w:r w:rsidRPr="004D57B3">
              <w:rPr>
                <w:rFonts w:ascii="Arial Narrow" w:hAnsi="Arial Narrow" w:cs="Garamond"/>
                <w:sz w:val="18"/>
                <w:szCs w:val="18"/>
              </w:rPr>
              <w:t>2007</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Italy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Single centre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April 2002</w:t>
            </w:r>
            <w:r>
              <w:rPr>
                <w:rFonts w:ascii="Arial Narrow" w:hAnsi="Arial Narrow" w:cs="Garamond"/>
                <w:sz w:val="18"/>
                <w:szCs w:val="18"/>
              </w:rPr>
              <w:t>-</w:t>
            </w:r>
            <w:r w:rsidRPr="004D57B3">
              <w:rPr>
                <w:rFonts w:ascii="Arial Narrow" w:hAnsi="Arial Narrow" w:cs="Garamond"/>
                <w:sz w:val="18"/>
                <w:szCs w:val="18"/>
              </w:rPr>
              <w:t>March 2005</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=27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verify the accuracy and clinical impact of capsule endoscopy in a cohort of patients with suspected small bowel Crohn’s disease, taking as the gold standard the final diagnosis made after a long</w:t>
            </w:r>
            <w:r>
              <w:rPr>
                <w:rFonts w:ascii="Arial Narrow" w:hAnsi="Arial Narrow" w:cs="Garamond"/>
                <w:sz w:val="18"/>
                <w:szCs w:val="18"/>
              </w:rPr>
              <w:t xml:space="preserve"> follow-up</w:t>
            </w:r>
            <w:r w:rsidRPr="004D57B3">
              <w:rPr>
                <w:rFonts w:ascii="Arial Narrow" w:hAnsi="Arial Narrow" w:cs="Garamond"/>
                <w:sz w:val="18"/>
                <w:szCs w:val="18"/>
              </w:rPr>
              <w:t>. To check the safety of capsule endoscopy and seek clinical variables predictive of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 consecutive diagnostic accuracy study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Final diagnosis after long</w:t>
            </w:r>
            <w:r>
              <w:rPr>
                <w:rFonts w:ascii="Arial Narrow" w:hAnsi="Arial Narrow" w:cs="Garamond"/>
                <w:sz w:val="18"/>
                <w:szCs w:val="18"/>
              </w:rPr>
              <w:t>-</w:t>
            </w:r>
            <w:r w:rsidRPr="004D57B3">
              <w:rPr>
                <w:rFonts w:ascii="Arial Narrow" w:hAnsi="Arial Narrow" w:cs="Garamond"/>
                <w:sz w:val="18"/>
                <w:szCs w:val="18"/>
              </w:rPr>
              <w:t xml:space="preserve">term </w:t>
            </w:r>
            <w:r>
              <w:rPr>
                <w:rFonts w:ascii="Arial Narrow" w:hAnsi="Arial Narrow" w:cs="Garamond"/>
                <w:sz w:val="18"/>
                <w:szCs w:val="18"/>
              </w:rPr>
              <w:t>follow-up</w:t>
            </w:r>
            <w:r w:rsidRPr="004D57B3">
              <w:rPr>
                <w:rFonts w:ascii="Arial Narrow" w:hAnsi="Arial Narrow" w:cs="Garamond"/>
                <w:sz w:val="18"/>
                <w:szCs w:val="18"/>
              </w:rPr>
              <w:t xml:space="preserve"> (median 21 months, range 15</w:t>
            </w:r>
            <w:r>
              <w:rPr>
                <w:rFonts w:ascii="Arial Narrow" w:hAnsi="Arial Narrow" w:cs="Garamond"/>
                <w:sz w:val="18"/>
                <w:szCs w:val="18"/>
              </w:rPr>
              <w:t>-</w:t>
            </w:r>
            <w:r w:rsidRPr="004D57B3">
              <w:rPr>
                <w:rFonts w:ascii="Arial Narrow" w:hAnsi="Arial Narrow" w:cs="Garamond"/>
                <w:sz w:val="18"/>
                <w:szCs w:val="18"/>
              </w:rPr>
              <w:t xml:space="preserve">29 months), including histological confirmation of surgical and </w:t>
            </w:r>
            <w:proofErr w:type="spellStart"/>
            <w:r w:rsidRPr="004D57B3">
              <w:rPr>
                <w:rFonts w:ascii="Arial Narrow" w:hAnsi="Arial Narrow" w:cs="Garamond"/>
                <w:sz w:val="18"/>
                <w:szCs w:val="18"/>
              </w:rPr>
              <w:t>enteroscopic</w:t>
            </w:r>
            <w:proofErr w:type="spellEnd"/>
            <w:r w:rsidRPr="004D57B3">
              <w:rPr>
                <w:rFonts w:ascii="Arial Narrow" w:hAnsi="Arial Narrow" w:cs="Garamond"/>
                <w:sz w:val="18"/>
                <w:szCs w:val="18"/>
              </w:rPr>
              <w:t xml:space="preserve"> tissue samples when available. </w:t>
            </w:r>
            <w:r>
              <w:rPr>
                <w:rFonts w:ascii="Arial Narrow" w:hAnsi="Arial Narrow" w:cs="Garamond"/>
                <w:sz w:val="18"/>
                <w:szCs w:val="18"/>
              </w:rPr>
              <w:t>Follow-up</w:t>
            </w:r>
            <w:r w:rsidRPr="004D57B3">
              <w:rPr>
                <w:rFonts w:ascii="Arial Narrow" w:hAnsi="Arial Narrow" w:cs="Garamond"/>
                <w:sz w:val="18"/>
                <w:szCs w:val="18"/>
              </w:rPr>
              <w:t xml:space="preserve"> comprised clinical evaluation and a complete chemistry panel every </w:t>
            </w:r>
            <w:r>
              <w:rPr>
                <w:rFonts w:ascii="Arial Narrow" w:hAnsi="Arial Narrow" w:cs="Garamond"/>
                <w:sz w:val="18"/>
                <w:szCs w:val="18"/>
              </w:rPr>
              <w:t>3</w:t>
            </w:r>
            <w:r w:rsidRPr="004D57B3">
              <w:rPr>
                <w:rFonts w:ascii="Arial Narrow" w:hAnsi="Arial Narrow" w:cs="Garamond"/>
                <w:sz w:val="18"/>
                <w:szCs w:val="18"/>
              </w:rPr>
              <w:t xml:space="preserve"> months or less if red flag symptoms appeared.</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All patients referred for continuous or recurrent abdominal pain and diarrhoea of at least </w:t>
            </w:r>
            <w:r>
              <w:rPr>
                <w:rFonts w:ascii="Arial Narrow" w:hAnsi="Arial Narrow" w:cs="Garamond"/>
                <w:sz w:val="18"/>
                <w:szCs w:val="18"/>
              </w:rPr>
              <w:t>3</w:t>
            </w:r>
            <w:r w:rsidRPr="004D57B3">
              <w:rPr>
                <w:rFonts w:ascii="Arial Narrow" w:hAnsi="Arial Narrow" w:cs="Garamond"/>
                <w:sz w:val="18"/>
                <w:szCs w:val="18"/>
              </w:rPr>
              <w:t xml:space="preserve"> months and at least </w:t>
            </w:r>
            <w:r>
              <w:rPr>
                <w:rFonts w:ascii="Arial Narrow" w:hAnsi="Arial Narrow" w:cs="Garamond"/>
                <w:sz w:val="18"/>
                <w:szCs w:val="18"/>
              </w:rPr>
              <w:t>1</w:t>
            </w:r>
            <w:r w:rsidRPr="004D57B3">
              <w:rPr>
                <w:rFonts w:ascii="Arial Narrow" w:hAnsi="Arial Narrow" w:cs="Garamond"/>
                <w:sz w:val="18"/>
                <w:szCs w:val="18"/>
              </w:rPr>
              <w:t xml:space="preserve"> additional symptom (either iron deficiency anaemia, weight loss more than 10% of usual body weight, fever or unexplained arthritis or other extra-intestinal manifestations of inflammatory bowel disease). Negative or inconclusive findings on stool cultures, colonoscopy up to the caecum, routine chemistry panel, blood tests, small bowel series and/or ultrasound and/or CT.</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Age &lt;18 years, history of NSAID intake, presence of pacemakers for patients enrolled before May 2004, intra-cardiac defibrillator, previous intestinal surgery of irradiation, intestinal obstruction, dysphagia, pregnancy or inability to fully understand the CE procedure.</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Mean age 40 years ±SD 18 years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13 female/14 male</w:t>
            </w:r>
          </w:p>
          <w:p w:rsidR="0048417A" w:rsidRPr="00260BB3" w:rsidRDefault="0048417A" w:rsidP="00260BB3">
            <w:pPr>
              <w:keepNext/>
              <w:autoSpaceDE w:val="0"/>
              <w:autoSpaceDN w:val="0"/>
              <w:adjustRightInd w:val="0"/>
              <w:spacing w:after="0"/>
              <w:ind w:left="0" w:right="57"/>
              <w:jc w:val="both"/>
              <w:rPr>
                <w:rFonts w:ascii="Arial Narrow" w:hAnsi="Arial Narrow" w:cs="Garamond"/>
                <w:i/>
                <w:sz w:val="72"/>
                <w:szCs w:val="72"/>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lastRenderedPageBreak/>
              <w:t>Prior tests</w:t>
            </w:r>
            <w:r>
              <w:rPr>
                <w:rFonts w:ascii="Arial Narrow" w:hAnsi="Arial Narrow" w:cs="Garamond"/>
                <w:i/>
                <w:sz w:val="18"/>
                <w:szCs w:val="18"/>
              </w:rPr>
              <w:t>:</w:t>
            </w:r>
          </w:p>
          <w:p w:rsidR="0048417A" w:rsidRDefault="0048417A" w:rsidP="00836B55">
            <w:pPr>
              <w:keepNext/>
              <w:numPr>
                <w:ilvl w:val="0"/>
                <w:numId w:val="43"/>
              </w:numPr>
              <w:autoSpaceDE w:val="0"/>
              <w:autoSpaceDN w:val="0"/>
              <w:adjustRightInd w:val="0"/>
              <w:spacing w:after="0"/>
              <w:ind w:left="234" w:right="57" w:hanging="182"/>
              <w:rPr>
                <w:rFonts w:ascii="Arial Narrow" w:hAnsi="Arial Narrow" w:cs="Garamond"/>
                <w:sz w:val="18"/>
                <w:szCs w:val="18"/>
              </w:rPr>
            </w:pPr>
            <w:r w:rsidRPr="004D57B3">
              <w:rPr>
                <w:rFonts w:ascii="Arial Narrow" w:hAnsi="Arial Narrow" w:cs="Garamond"/>
                <w:sz w:val="18"/>
                <w:szCs w:val="18"/>
              </w:rPr>
              <w:t xml:space="preserve">Previous </w:t>
            </w:r>
            <w:r>
              <w:rPr>
                <w:rFonts w:ascii="Arial Narrow" w:hAnsi="Arial Narrow" w:cs="Garamond"/>
                <w:sz w:val="18"/>
                <w:szCs w:val="18"/>
              </w:rPr>
              <w:t xml:space="preserve">small bowel </w:t>
            </w:r>
          </w:p>
          <w:p w:rsidR="0048417A" w:rsidRPr="004D57B3" w:rsidRDefault="0048417A" w:rsidP="00836B55">
            <w:pPr>
              <w:keepNext/>
              <w:numPr>
                <w:ilvl w:val="0"/>
                <w:numId w:val="43"/>
              </w:numPr>
              <w:autoSpaceDE w:val="0"/>
              <w:autoSpaceDN w:val="0"/>
              <w:adjustRightInd w:val="0"/>
              <w:spacing w:after="0"/>
              <w:ind w:left="234" w:right="57" w:hanging="182"/>
              <w:rPr>
                <w:rFonts w:ascii="Arial Narrow" w:hAnsi="Arial Narrow" w:cs="Garamond"/>
                <w:sz w:val="18"/>
                <w:szCs w:val="18"/>
              </w:rPr>
            </w:pPr>
            <w:r>
              <w:rPr>
                <w:rFonts w:ascii="Arial Narrow" w:hAnsi="Arial Narrow" w:cs="Garamond"/>
                <w:sz w:val="18"/>
                <w:szCs w:val="18"/>
              </w:rPr>
              <w:t>follow-through</w:t>
            </w:r>
            <w:r w:rsidRPr="004D57B3">
              <w:rPr>
                <w:rFonts w:ascii="Arial Narrow" w:hAnsi="Arial Narrow" w:cs="Garamond"/>
                <w:sz w:val="18"/>
                <w:szCs w:val="18"/>
              </w:rPr>
              <w:t xml:space="preserve"> 37% (10/27)</w:t>
            </w:r>
          </w:p>
          <w:p w:rsidR="0048417A" w:rsidRPr="004D57B3" w:rsidRDefault="0048417A" w:rsidP="00836B55">
            <w:pPr>
              <w:keepNext/>
              <w:numPr>
                <w:ilvl w:val="0"/>
                <w:numId w:val="43"/>
              </w:numPr>
              <w:autoSpaceDE w:val="0"/>
              <w:autoSpaceDN w:val="0"/>
              <w:adjustRightInd w:val="0"/>
              <w:spacing w:after="0"/>
              <w:ind w:left="234" w:right="57" w:hanging="182"/>
              <w:jc w:val="both"/>
              <w:rPr>
                <w:rFonts w:ascii="Arial Narrow" w:hAnsi="Arial Narrow" w:cs="Garamond"/>
                <w:sz w:val="18"/>
                <w:szCs w:val="18"/>
              </w:rPr>
            </w:pPr>
            <w:r w:rsidRPr="004D57B3">
              <w:rPr>
                <w:rFonts w:ascii="Arial Narrow" w:hAnsi="Arial Narrow" w:cs="Garamond"/>
                <w:sz w:val="18"/>
                <w:szCs w:val="18"/>
              </w:rPr>
              <w:t>Previous CT 26% (7/27)</w:t>
            </w:r>
          </w:p>
          <w:p w:rsidR="0048417A" w:rsidRPr="004D57B3" w:rsidRDefault="0048417A" w:rsidP="00836B55">
            <w:pPr>
              <w:keepNext/>
              <w:numPr>
                <w:ilvl w:val="0"/>
                <w:numId w:val="43"/>
              </w:numPr>
              <w:autoSpaceDE w:val="0"/>
              <w:autoSpaceDN w:val="0"/>
              <w:adjustRightInd w:val="0"/>
              <w:spacing w:after="0"/>
              <w:ind w:left="234" w:right="57" w:hanging="182"/>
              <w:jc w:val="both"/>
              <w:rPr>
                <w:rFonts w:ascii="Arial Narrow" w:hAnsi="Arial Narrow" w:cs="Garamond"/>
                <w:sz w:val="18"/>
                <w:szCs w:val="18"/>
              </w:rPr>
            </w:pPr>
            <w:r w:rsidRPr="004D57B3">
              <w:rPr>
                <w:rFonts w:ascii="Arial Narrow" w:hAnsi="Arial Narrow" w:cs="Garamond"/>
                <w:sz w:val="18"/>
                <w:szCs w:val="18"/>
              </w:rPr>
              <w:t>Previous ultrasound 67% (18/27)</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44"/>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Abdominal pain and diarrhoea mean duration 19 weeks ±SD 6 weeks</w:t>
            </w:r>
          </w:p>
          <w:p w:rsidR="0048417A" w:rsidRPr="004D57B3" w:rsidRDefault="0048417A" w:rsidP="00836B55">
            <w:pPr>
              <w:keepNext/>
              <w:numPr>
                <w:ilvl w:val="0"/>
                <w:numId w:val="44"/>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Anaemia 33% (9/27)</w:t>
            </w:r>
          </w:p>
          <w:p w:rsidR="0048417A" w:rsidRPr="004D57B3" w:rsidRDefault="0048417A" w:rsidP="00836B55">
            <w:pPr>
              <w:keepNext/>
              <w:numPr>
                <w:ilvl w:val="0"/>
                <w:numId w:val="44"/>
              </w:numPr>
              <w:autoSpaceDE w:val="0"/>
              <w:autoSpaceDN w:val="0"/>
              <w:adjustRightInd w:val="0"/>
              <w:spacing w:after="0"/>
              <w:ind w:left="262" w:right="57" w:hanging="205"/>
              <w:jc w:val="both"/>
              <w:rPr>
                <w:rFonts w:ascii="Arial Narrow" w:hAnsi="Arial Narrow" w:cs="Garamond"/>
                <w:sz w:val="18"/>
                <w:szCs w:val="18"/>
              </w:rPr>
            </w:pPr>
            <w:r w:rsidRPr="004D57B3">
              <w:rPr>
                <w:rFonts w:ascii="Arial Narrow" w:hAnsi="Arial Narrow" w:cs="Garamond"/>
                <w:sz w:val="18"/>
                <w:szCs w:val="18"/>
              </w:rPr>
              <w:t>Fever 18% (5/27)</w:t>
            </w:r>
          </w:p>
          <w:p w:rsidR="0048417A" w:rsidRPr="004D57B3" w:rsidRDefault="0048417A" w:rsidP="00836B55">
            <w:pPr>
              <w:keepNext/>
              <w:numPr>
                <w:ilvl w:val="0"/>
                <w:numId w:val="44"/>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Weight loss 33% (9/27)</w:t>
            </w:r>
          </w:p>
          <w:p w:rsidR="0048417A" w:rsidRPr="004D57B3" w:rsidRDefault="0048417A" w:rsidP="00836B55">
            <w:pPr>
              <w:keepNext/>
              <w:numPr>
                <w:ilvl w:val="0"/>
                <w:numId w:val="44"/>
              </w:numPr>
              <w:autoSpaceDE w:val="0"/>
              <w:autoSpaceDN w:val="0"/>
              <w:adjustRightInd w:val="0"/>
              <w:spacing w:after="0"/>
              <w:ind w:left="248" w:right="57" w:hanging="191"/>
              <w:rPr>
                <w:rFonts w:ascii="Arial Narrow" w:hAnsi="Arial Narrow" w:cs="Garamond"/>
                <w:sz w:val="18"/>
                <w:szCs w:val="18"/>
              </w:rPr>
            </w:pPr>
            <w:r w:rsidRPr="004D57B3">
              <w:rPr>
                <w:rFonts w:ascii="Arial Narrow" w:hAnsi="Arial Narrow" w:cs="Garamond"/>
                <w:sz w:val="18"/>
                <w:szCs w:val="18"/>
              </w:rPr>
              <w:t>Arthritis or extra-intestinal manifestations 22% (6/27)</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Subjects were assigned to </w:t>
            </w:r>
            <w:r>
              <w:rPr>
                <w:rFonts w:ascii="Arial Narrow" w:hAnsi="Arial Narrow" w:cs="Garamond"/>
                <w:sz w:val="18"/>
                <w:szCs w:val="18"/>
              </w:rPr>
              <w:t>1</w:t>
            </w:r>
            <w:r w:rsidRPr="004D57B3">
              <w:rPr>
                <w:rFonts w:ascii="Arial Narrow" w:hAnsi="Arial Narrow" w:cs="Garamond"/>
                <w:sz w:val="18"/>
                <w:szCs w:val="18"/>
              </w:rPr>
              <w:t xml:space="preserve"> of </w:t>
            </w:r>
            <w:r>
              <w:rPr>
                <w:rFonts w:ascii="Arial Narrow" w:hAnsi="Arial Narrow" w:cs="Garamond"/>
                <w:sz w:val="18"/>
                <w:szCs w:val="18"/>
              </w:rPr>
              <w:t xml:space="preserve">3 </w:t>
            </w:r>
            <w:r w:rsidRPr="004D57B3">
              <w:rPr>
                <w:rFonts w:ascii="Arial Narrow" w:hAnsi="Arial Narrow" w:cs="Garamond"/>
                <w:sz w:val="18"/>
                <w:szCs w:val="18"/>
              </w:rPr>
              <w:t>groups based on capsule endoscopy findings</w:t>
            </w:r>
            <w:r>
              <w:rPr>
                <w:rFonts w:ascii="Arial Narrow" w:hAnsi="Arial Narrow" w:cs="Garamond"/>
                <w:sz w:val="18"/>
                <w:szCs w:val="18"/>
              </w:rPr>
              <w:t>:</w:t>
            </w:r>
            <w:r w:rsidRPr="004D57B3">
              <w:rPr>
                <w:rFonts w:ascii="Arial Narrow" w:hAnsi="Arial Narrow" w:cs="Garamond"/>
                <w:sz w:val="18"/>
                <w:szCs w:val="18"/>
              </w:rPr>
              <w:t xml:space="preserve"> </w:t>
            </w:r>
          </w:p>
          <w:p w:rsidR="0048417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Group </w:t>
            </w:r>
            <w:proofErr w:type="gramStart"/>
            <w:r w:rsidRPr="004D57B3">
              <w:rPr>
                <w:rFonts w:ascii="Arial Narrow" w:hAnsi="Arial Narrow" w:cs="Garamond"/>
                <w:sz w:val="18"/>
                <w:szCs w:val="18"/>
              </w:rPr>
              <w:t>A</w:t>
            </w:r>
            <w:proofErr w:type="gramEnd"/>
            <w:r w:rsidRPr="004D57B3">
              <w:rPr>
                <w:rFonts w:ascii="Arial Narrow" w:hAnsi="Arial Narrow" w:cs="Garamond"/>
                <w:sz w:val="18"/>
                <w:szCs w:val="18"/>
              </w:rPr>
              <w:t xml:space="preserve"> involved capsule retention for severe </w:t>
            </w:r>
            <w:proofErr w:type="spellStart"/>
            <w:r w:rsidRPr="004D57B3">
              <w:rPr>
                <w:rFonts w:ascii="Arial Narrow" w:hAnsi="Arial Narrow" w:cs="Garamond"/>
                <w:sz w:val="18"/>
                <w:szCs w:val="18"/>
              </w:rPr>
              <w:t>stricturing</w:t>
            </w:r>
            <w:proofErr w:type="spellEnd"/>
            <w:r w:rsidRPr="004D57B3">
              <w:rPr>
                <w:rFonts w:ascii="Arial Narrow" w:hAnsi="Arial Narrow" w:cs="Garamond"/>
                <w:sz w:val="18"/>
                <w:szCs w:val="18"/>
              </w:rPr>
              <w:t xml:space="preserve"> disease necessitating surgery. Group B involved moderate inflammatory disease based on &gt;2 ulcers or cobblestone or skip lesions without lumen narrowing, requiring further invasive investigations. </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sz w:val="18"/>
                <w:szCs w:val="18"/>
              </w:rPr>
              <w:t xml:space="preserve">Group C involved minimal change lesions (≤2 ulcers, </w:t>
            </w:r>
            <w:proofErr w:type="spellStart"/>
            <w:r w:rsidRPr="004D57B3">
              <w:rPr>
                <w:rFonts w:ascii="Arial Narrow" w:hAnsi="Arial Narrow" w:cs="Garamond"/>
                <w:sz w:val="18"/>
                <w:szCs w:val="18"/>
              </w:rPr>
              <w:t>apthae</w:t>
            </w:r>
            <w:proofErr w:type="spellEnd"/>
            <w:r w:rsidRPr="004D57B3">
              <w:rPr>
                <w:rFonts w:ascii="Arial Narrow" w:hAnsi="Arial Narrow" w:cs="Garamond"/>
                <w:sz w:val="18"/>
                <w:szCs w:val="18"/>
              </w:rPr>
              <w:t xml:space="preserve">, erosions, focal erythema, </w:t>
            </w:r>
            <w:proofErr w:type="gramStart"/>
            <w:r w:rsidRPr="004D57B3">
              <w:rPr>
                <w:rFonts w:ascii="Arial Narrow" w:hAnsi="Arial Narrow" w:cs="Garamond"/>
                <w:sz w:val="18"/>
                <w:szCs w:val="18"/>
              </w:rPr>
              <w:t>focal</w:t>
            </w:r>
            <w:proofErr w:type="gramEnd"/>
            <w:r w:rsidRPr="004D57B3">
              <w:rPr>
                <w:rFonts w:ascii="Arial Narrow" w:hAnsi="Arial Narrow" w:cs="Garamond"/>
                <w:sz w:val="18"/>
                <w:szCs w:val="18"/>
              </w:rPr>
              <w:t xml:space="preserve"> villi denudation) or normal CE findings or nodularity of terminal ileum interpreted as lymphoid hyperplasia. </w:t>
            </w: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accuracy</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 xml:space="preserve">Threshold </w:t>
            </w:r>
            <w:r>
              <w:rPr>
                <w:rFonts w:ascii="Arial Narrow" w:hAnsi="Arial Narrow" w:cs="Garamond"/>
                <w:sz w:val="18"/>
                <w:szCs w:val="18"/>
              </w:rPr>
              <w:t>g</w:t>
            </w:r>
            <w:r w:rsidRPr="004D57B3">
              <w:rPr>
                <w:rFonts w:ascii="Arial Narrow" w:hAnsi="Arial Narrow" w:cs="Garamond"/>
                <w:sz w:val="18"/>
                <w:szCs w:val="18"/>
              </w:rPr>
              <w:t>roup A/B:</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8"/>
              <w:gridCol w:w="527"/>
              <w:gridCol w:w="532"/>
              <w:gridCol w:w="462"/>
              <w:gridCol w:w="385"/>
            </w:tblGrid>
            <w:tr w:rsidR="0048417A" w:rsidRPr="004D57B3" w:rsidTr="00836B55">
              <w:trPr>
                <w:trHeight w:val="268"/>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1382" w:type="dxa"/>
                  <w:gridSpan w:val="3"/>
                  <w:tcBorders>
                    <w:top w:val="single" w:sz="4" w:space="0" w:color="auto"/>
                    <w:left w:val="single" w:sz="4" w:space="0" w:color="auto"/>
                    <w:bottom w:val="single" w:sz="4" w:space="0" w:color="auto"/>
                    <w:right w:val="single" w:sz="4" w:space="0" w:color="auto"/>
                  </w:tcBorders>
                </w:tcPr>
                <w:p w:rsidR="0048417A" w:rsidRDefault="0048417A" w:rsidP="00836B55">
                  <w:pPr>
                    <w:pStyle w:val="TableText"/>
                    <w:spacing w:before="0" w:after="0"/>
                  </w:pPr>
                  <w:r w:rsidRPr="004D57B3">
                    <w:t xml:space="preserve">Reference </w:t>
                  </w:r>
                </w:p>
                <w:p w:rsidR="0048417A" w:rsidRPr="004D57B3" w:rsidRDefault="0048417A" w:rsidP="00836B55">
                  <w:pPr>
                    <w:pStyle w:val="TableText"/>
                    <w:spacing w:before="0" w:after="0"/>
                  </w:pPr>
                  <w:r w:rsidRPr="004D57B3">
                    <w:t>standard</w:t>
                  </w:r>
                  <w:r>
                    <w:t xml:space="preserve"> –</w:t>
                  </w:r>
                </w:p>
                <w:p w:rsidR="0048417A" w:rsidRPr="004D57B3" w:rsidRDefault="0048417A" w:rsidP="00836B55">
                  <w:pPr>
                    <w:pStyle w:val="TableText"/>
                    <w:spacing w:before="0" w:after="0"/>
                  </w:pPr>
                  <w:r>
                    <w:t>Follow-up</w:t>
                  </w:r>
                </w:p>
              </w:tc>
            </w:tr>
            <w:tr w:rsidR="0048417A" w:rsidRPr="004D57B3" w:rsidTr="00836B55">
              <w:trPr>
                <w:trHeight w:val="292"/>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CD</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No CD</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Total</w:t>
                  </w:r>
                </w:p>
              </w:tc>
            </w:tr>
            <w:tr w:rsidR="0048417A" w:rsidRPr="004D57B3" w:rsidTr="00836B55">
              <w:trPr>
                <w:trHeight w:val="253"/>
              </w:trPr>
              <w:tc>
                <w:tcPr>
                  <w:tcW w:w="318"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CE</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w:t>
                  </w: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7</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8</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t>–</w:t>
                  </w: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8</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11</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19</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Total</w:t>
                  </w: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15</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12</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27</w:t>
                  </w:r>
                </w:p>
              </w:tc>
            </w:tr>
          </w:tbl>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Sensitivity: 0.47 (95% CI 0.22-0.73)</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Specificity: 0.92 (95% CI 0.60-1.00)</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PPV: 0.88 (95% CI 0.47-0.99)</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NPV: 0.58 (95% CI 0.34-0.79)</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LR+:  5.60</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0.58</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Any small bowel mucosal abnormalities: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18"/>
              <w:gridCol w:w="527"/>
              <w:gridCol w:w="532"/>
              <w:gridCol w:w="462"/>
              <w:gridCol w:w="385"/>
            </w:tblGrid>
            <w:tr w:rsidR="0048417A" w:rsidRPr="004D57B3" w:rsidTr="00836B55">
              <w:trPr>
                <w:trHeight w:val="268"/>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1382" w:type="dxa"/>
                  <w:gridSpan w:val="3"/>
                  <w:tcBorders>
                    <w:top w:val="single" w:sz="4" w:space="0" w:color="auto"/>
                    <w:left w:val="single" w:sz="4" w:space="0" w:color="auto"/>
                    <w:bottom w:val="single" w:sz="4" w:space="0" w:color="auto"/>
                    <w:right w:val="single" w:sz="4" w:space="0" w:color="auto"/>
                  </w:tcBorders>
                </w:tcPr>
                <w:p w:rsidR="0048417A" w:rsidRDefault="0048417A" w:rsidP="00836B55">
                  <w:pPr>
                    <w:pStyle w:val="TableText"/>
                    <w:spacing w:before="0" w:after="0"/>
                  </w:pPr>
                  <w:r w:rsidRPr="004D57B3">
                    <w:t xml:space="preserve">Reference </w:t>
                  </w:r>
                </w:p>
                <w:p w:rsidR="0048417A" w:rsidRPr="004D57B3" w:rsidRDefault="0048417A" w:rsidP="00836B55">
                  <w:pPr>
                    <w:pStyle w:val="TableText"/>
                    <w:spacing w:before="0" w:after="0"/>
                  </w:pPr>
                  <w:r w:rsidRPr="004D57B3">
                    <w:t>standard</w:t>
                  </w:r>
                  <w:r>
                    <w:t xml:space="preserve"> –</w:t>
                  </w:r>
                </w:p>
                <w:p w:rsidR="0048417A" w:rsidRPr="004D57B3" w:rsidRDefault="0048417A" w:rsidP="00836B55">
                  <w:pPr>
                    <w:pStyle w:val="TableText"/>
                    <w:spacing w:before="0" w:after="0"/>
                  </w:pPr>
                  <w:r>
                    <w:t>Follow-up</w:t>
                  </w:r>
                </w:p>
              </w:tc>
            </w:tr>
            <w:tr w:rsidR="0048417A" w:rsidRPr="004D57B3" w:rsidTr="00836B55">
              <w:trPr>
                <w:trHeight w:val="292"/>
              </w:trPr>
              <w:tc>
                <w:tcPr>
                  <w:tcW w:w="3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CD</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No CD</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Total</w:t>
                  </w:r>
                </w:p>
              </w:tc>
            </w:tr>
            <w:tr w:rsidR="0048417A" w:rsidRPr="004D57B3" w:rsidTr="00836B55">
              <w:trPr>
                <w:trHeight w:val="253"/>
              </w:trPr>
              <w:tc>
                <w:tcPr>
                  <w:tcW w:w="318"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CE</w:t>
                  </w: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w:t>
                  </w: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14</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2</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16</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t>–</w:t>
                  </w: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10</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11</w:t>
                  </w:r>
                </w:p>
              </w:tc>
            </w:tr>
            <w:tr w:rsidR="0048417A" w:rsidRPr="004D57B3" w:rsidTr="00836B55">
              <w:trPr>
                <w:trHeight w:val="143"/>
              </w:trPr>
              <w:tc>
                <w:tcPr>
                  <w:tcW w:w="3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p>
              </w:tc>
              <w:tc>
                <w:tcPr>
                  <w:tcW w:w="529"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Total</w:t>
                  </w:r>
                </w:p>
              </w:tc>
              <w:tc>
                <w:tcPr>
                  <w:tcW w:w="536"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15</w:t>
                  </w:r>
                </w:p>
              </w:tc>
              <w:tc>
                <w:tcPr>
                  <w:tcW w:w="465"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12</w:t>
                  </w:r>
                </w:p>
              </w:tc>
              <w:tc>
                <w:tcPr>
                  <w:tcW w:w="381"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spacing w:before="0" w:after="0"/>
                  </w:pPr>
                  <w:r w:rsidRPr="004D57B3">
                    <w:t>27</w:t>
                  </w:r>
                </w:p>
              </w:tc>
            </w:tr>
          </w:tbl>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Sensitivity: 0.93 (95% CI = 0.66</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Specificity 0.83 (95% CI = 0.51</w:t>
            </w:r>
            <w:r>
              <w:rPr>
                <w:rFonts w:ascii="Arial Narrow" w:hAnsi="Arial Narrow" w:cs="Garamond"/>
                <w:sz w:val="18"/>
                <w:szCs w:val="18"/>
              </w:rPr>
              <w:t>-</w:t>
            </w:r>
            <w:r w:rsidRPr="004D57B3">
              <w:rPr>
                <w:rFonts w:ascii="Arial Narrow" w:hAnsi="Arial Narrow" w:cs="Garamond"/>
                <w:sz w:val="18"/>
                <w:szCs w:val="18"/>
              </w:rPr>
              <w:t>0.97)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PPV: 0.88 (95% CI = 0.60</w:t>
            </w:r>
            <w:r>
              <w:rPr>
                <w:rFonts w:ascii="Arial Narrow" w:hAnsi="Arial Narrow" w:cs="Garamond"/>
                <w:sz w:val="18"/>
                <w:szCs w:val="18"/>
              </w:rPr>
              <w:t>-</w:t>
            </w:r>
            <w:r w:rsidRPr="004D57B3">
              <w:rPr>
                <w:rFonts w:ascii="Arial Narrow" w:hAnsi="Arial Narrow" w:cs="Garamond"/>
                <w:sz w:val="18"/>
                <w:szCs w:val="18"/>
              </w:rPr>
              <w:t>0.98)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lastRenderedPageBreak/>
              <w:t>NPV: 0.91 (95% CI = 0.57</w:t>
            </w:r>
            <w:r>
              <w:rPr>
                <w:rFonts w:ascii="Arial Narrow" w:hAnsi="Arial Narrow" w:cs="Garamond"/>
                <w:sz w:val="18"/>
                <w:szCs w:val="18"/>
              </w:rPr>
              <w:t>-</w:t>
            </w:r>
            <w:r w:rsidRPr="004D57B3">
              <w:rPr>
                <w:rFonts w:ascii="Arial Narrow" w:hAnsi="Arial Narrow" w:cs="Garamond"/>
                <w:sz w:val="18"/>
                <w:szCs w:val="18"/>
              </w:rPr>
              <w:t>1.00)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 5.60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0.08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Diagnostic yield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Any small bowel mucosal abnormalities consistent with inflammatory changes: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59%</w:t>
            </w:r>
            <w:r w:rsidRPr="004D57B3">
              <w:rPr>
                <w:rFonts w:ascii="Arial Narrow" w:hAnsi="Arial Narrow" w:cs="Garamond"/>
                <w:b/>
                <w:sz w:val="18"/>
                <w:szCs w:val="18"/>
              </w:rPr>
              <w:t xml:space="preserve"> </w:t>
            </w:r>
            <w:r w:rsidRPr="004D57B3">
              <w:rPr>
                <w:rFonts w:ascii="Arial Narrow" w:hAnsi="Arial Narrow" w:cs="Garamond"/>
                <w:sz w:val="18"/>
                <w:szCs w:val="18"/>
              </w:rPr>
              <w:t>(16/27) (95% CI = 39</w:t>
            </w:r>
            <w:r>
              <w:rPr>
                <w:rFonts w:ascii="Arial Narrow" w:hAnsi="Arial Narrow" w:cs="Garamond"/>
                <w:sz w:val="18"/>
                <w:szCs w:val="18"/>
              </w:rPr>
              <w:t>-</w:t>
            </w:r>
            <w:r w:rsidRPr="004D57B3">
              <w:rPr>
                <w:rFonts w:ascii="Arial Narrow" w:hAnsi="Arial Narrow" w:cs="Garamond"/>
                <w:sz w:val="18"/>
                <w:szCs w:val="18"/>
              </w:rPr>
              <w:t>77%)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Yield for &gt;2 ulcers or stricture: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sz w:val="18"/>
                <w:szCs w:val="18"/>
              </w:rPr>
              <w:t>30% (8/27) (95% CI = 15</w:t>
            </w:r>
            <w:r>
              <w:rPr>
                <w:rFonts w:ascii="Arial Narrow" w:hAnsi="Arial Narrow" w:cs="Garamond"/>
                <w:sz w:val="18"/>
                <w:szCs w:val="18"/>
              </w:rPr>
              <w:t>-</w:t>
            </w:r>
            <w:r w:rsidRPr="004D57B3">
              <w:rPr>
                <w:rFonts w:ascii="Arial Narrow" w:hAnsi="Arial Narrow" w:cs="Garamond"/>
                <w:sz w:val="18"/>
                <w:szCs w:val="18"/>
              </w:rPr>
              <w:t>50%)</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Failure to reach caecum: 15% (4/27). </w:t>
            </w:r>
            <w:r>
              <w:rPr>
                <w:rFonts w:ascii="Arial Narrow" w:hAnsi="Arial Narrow" w:cs="Garamond"/>
                <w:sz w:val="18"/>
                <w:szCs w:val="18"/>
              </w:rPr>
              <w:t>1</w:t>
            </w:r>
            <w:r w:rsidRPr="004D57B3">
              <w:rPr>
                <w:rFonts w:ascii="Arial Narrow" w:hAnsi="Arial Narrow" w:cs="Garamond"/>
                <w:sz w:val="18"/>
                <w:szCs w:val="18"/>
              </w:rPr>
              <w:t xml:space="preserve"> was due to slow gastric emptying, </w:t>
            </w:r>
            <w:r>
              <w:rPr>
                <w:rFonts w:ascii="Arial Narrow" w:hAnsi="Arial Narrow" w:cs="Garamond"/>
                <w:sz w:val="18"/>
                <w:szCs w:val="18"/>
              </w:rPr>
              <w:t>3</w:t>
            </w:r>
            <w:r w:rsidRPr="004D57B3">
              <w:rPr>
                <w:rFonts w:ascii="Arial Narrow" w:hAnsi="Arial Narrow" w:cs="Garamond"/>
                <w:sz w:val="18"/>
                <w:szCs w:val="18"/>
              </w:rPr>
              <w:t xml:space="preserve"> retained the capsule due to an impacted stricture (11%). Of the </w:t>
            </w:r>
            <w:r>
              <w:rPr>
                <w:rFonts w:ascii="Arial Narrow" w:hAnsi="Arial Narrow" w:cs="Garamond"/>
                <w:sz w:val="18"/>
                <w:szCs w:val="18"/>
              </w:rPr>
              <w:t>3</w:t>
            </w:r>
            <w:r w:rsidRPr="004D57B3">
              <w:rPr>
                <w:rFonts w:ascii="Arial Narrow" w:hAnsi="Arial Narrow" w:cs="Garamond"/>
                <w:sz w:val="18"/>
                <w:szCs w:val="18"/>
              </w:rPr>
              <w:t xml:space="preserve"> retained capsules, </w:t>
            </w:r>
            <w:r>
              <w:rPr>
                <w:rFonts w:ascii="Arial Narrow" w:hAnsi="Arial Narrow" w:cs="Garamond"/>
                <w:sz w:val="18"/>
                <w:szCs w:val="18"/>
              </w:rPr>
              <w:t>2</w:t>
            </w:r>
            <w:r w:rsidRPr="004D57B3">
              <w:rPr>
                <w:rFonts w:ascii="Arial Narrow" w:hAnsi="Arial Narrow" w:cs="Garamond"/>
                <w:sz w:val="18"/>
                <w:szCs w:val="18"/>
              </w:rPr>
              <w:t xml:space="preserve"> were surgically removed and </w:t>
            </w:r>
            <w:r>
              <w:rPr>
                <w:rFonts w:ascii="Arial Narrow" w:hAnsi="Arial Narrow" w:cs="Garamond"/>
                <w:sz w:val="18"/>
                <w:szCs w:val="18"/>
              </w:rPr>
              <w:t>1</w:t>
            </w:r>
            <w:r w:rsidRPr="004D57B3">
              <w:rPr>
                <w:rFonts w:ascii="Arial Narrow" w:hAnsi="Arial Narrow" w:cs="Garamond"/>
                <w:sz w:val="18"/>
                <w:szCs w:val="18"/>
              </w:rPr>
              <w:t xml:space="preserve"> was excreted following </w:t>
            </w:r>
            <w:r>
              <w:rPr>
                <w:rFonts w:ascii="Arial Narrow" w:hAnsi="Arial Narrow" w:cs="Garamond"/>
                <w:sz w:val="18"/>
                <w:szCs w:val="18"/>
              </w:rPr>
              <w:t>1</w:t>
            </w:r>
            <w:r w:rsidRPr="004D57B3">
              <w:rPr>
                <w:rFonts w:ascii="Arial Narrow" w:hAnsi="Arial Narrow" w:cs="Garamond"/>
                <w:sz w:val="18"/>
                <w:szCs w:val="18"/>
              </w:rPr>
              <w:t xml:space="preserve"> week of corticosteroids.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other adverse events were found during or after the procedure. No technical failures.</w:t>
            </w:r>
          </w:p>
          <w:p w:rsidR="0048417A" w:rsidRPr="004D57B3" w:rsidRDefault="0048417A" w:rsidP="00836B55">
            <w:pPr>
              <w:spacing w:after="0"/>
              <w:rPr>
                <w:rFonts w:ascii="Arial Narrow" w:hAnsi="Arial Narrow" w:cs="Garamond"/>
                <w:sz w:val="18"/>
                <w:szCs w:val="18"/>
              </w:rPr>
            </w:pPr>
          </w:p>
          <w:p w:rsidR="0048417A" w:rsidRPr="004D57B3" w:rsidRDefault="0048417A" w:rsidP="00836B55">
            <w:pPr>
              <w:spacing w:after="0"/>
              <w:rPr>
                <w:rFonts w:ascii="Arial Narrow" w:hAnsi="Arial Narrow" w:cs="Garamond"/>
                <w:sz w:val="18"/>
                <w:szCs w:val="18"/>
              </w:rPr>
            </w:pPr>
          </w:p>
        </w:tc>
        <w:tc>
          <w:tcPr>
            <w:tcW w:w="3500"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III-2</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FAIR Q2</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Reference standard:</w:t>
            </w:r>
          </w:p>
          <w:p w:rsidR="0048417A" w:rsidRPr="004D57B3" w:rsidRDefault="0048417A" w:rsidP="00836B55">
            <w:pPr>
              <w:keepNext/>
              <w:autoSpaceDE w:val="0"/>
              <w:autoSpaceDN w:val="0"/>
              <w:adjustRightInd w:val="0"/>
              <w:spacing w:after="0"/>
              <w:ind w:left="33" w:right="57"/>
              <w:rPr>
                <w:rFonts w:ascii="Arial Narrow" w:hAnsi="Arial Narrow" w:cs="Garamond"/>
                <w:sz w:val="18"/>
                <w:szCs w:val="18"/>
              </w:rPr>
            </w:pPr>
            <w:r w:rsidRPr="004D57B3">
              <w:rPr>
                <w:rFonts w:ascii="Arial Narrow" w:hAnsi="Arial Narrow" w:cs="Garamond"/>
                <w:sz w:val="18"/>
                <w:szCs w:val="18"/>
              </w:rPr>
              <w:t>Final diagnosis after long</w:t>
            </w:r>
            <w:r>
              <w:rPr>
                <w:rFonts w:ascii="Arial Narrow" w:hAnsi="Arial Narrow" w:cs="Garamond"/>
                <w:sz w:val="18"/>
                <w:szCs w:val="18"/>
              </w:rPr>
              <w:t>-</w:t>
            </w:r>
            <w:r w:rsidRPr="004D57B3">
              <w:rPr>
                <w:rFonts w:ascii="Arial Narrow" w:hAnsi="Arial Narrow" w:cs="Garamond"/>
                <w:sz w:val="18"/>
                <w:szCs w:val="18"/>
              </w:rPr>
              <w:t xml:space="preserve">term </w:t>
            </w:r>
            <w:r>
              <w:rPr>
                <w:rFonts w:ascii="Arial Narrow" w:hAnsi="Arial Narrow" w:cs="Garamond"/>
                <w:sz w:val="18"/>
                <w:szCs w:val="18"/>
              </w:rPr>
              <w:t>follow-up</w:t>
            </w:r>
            <w:r w:rsidRPr="004D57B3">
              <w:rPr>
                <w:rFonts w:ascii="Arial Narrow" w:hAnsi="Arial Narrow" w:cs="Garamond"/>
                <w:sz w:val="18"/>
                <w:szCs w:val="18"/>
              </w:rPr>
              <w:t xml:space="preserve"> </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median 21 months, range 15</w:t>
            </w:r>
            <w:r>
              <w:rPr>
                <w:rFonts w:ascii="Arial Narrow" w:hAnsi="Arial Narrow" w:cs="Garamond"/>
                <w:sz w:val="18"/>
                <w:szCs w:val="18"/>
              </w:rPr>
              <w:t>-</w:t>
            </w:r>
            <w:r w:rsidRPr="004D57B3">
              <w:rPr>
                <w:rFonts w:ascii="Arial Narrow" w:hAnsi="Arial Narrow" w:cs="Garamond"/>
                <w:sz w:val="18"/>
                <w:szCs w:val="18"/>
              </w:rPr>
              <w:t>29 months.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 (lack of prior tests esp. C+IL, age, small bowel radiology)</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836B55"/>
    <w:p w:rsidR="0048417A" w:rsidRPr="004D57B3" w:rsidRDefault="0048417A" w:rsidP="00836B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00"/>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547DED" w:rsidRDefault="0048417A" w:rsidP="00836B55">
            <w:pPr>
              <w:keepNext/>
              <w:spacing w:after="0"/>
              <w:ind w:left="57" w:right="57"/>
              <w:rPr>
                <w:rFonts w:ascii="Arial Narrow" w:hAnsi="Arial Narrow"/>
                <w:b/>
                <w:bCs/>
                <w:sz w:val="18"/>
                <w:szCs w:val="18"/>
              </w:rPr>
            </w:pPr>
            <w:r w:rsidRPr="00547DED">
              <w:rPr>
                <w:rFonts w:ascii="Arial Narrow" w:hAnsi="Arial Narrow"/>
                <w:b/>
                <w:bCs/>
                <w:sz w:val="18"/>
                <w:szCs w:val="18"/>
              </w:rPr>
              <w:t>n</w:t>
            </w:r>
          </w:p>
        </w:tc>
        <w:tc>
          <w:tcPr>
            <w:tcW w:w="2487"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Results</w:t>
            </w:r>
          </w:p>
        </w:tc>
        <w:tc>
          <w:tcPr>
            <w:tcW w:w="3500"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Tukey</w:t>
            </w:r>
            <w:proofErr w:type="spellEnd"/>
            <w:r w:rsidRPr="004D57B3">
              <w:rPr>
                <w:rFonts w:ascii="Arial Narrow" w:hAnsi="Arial Narrow" w:cs="Garamond"/>
                <w:sz w:val="18"/>
                <w:szCs w:val="18"/>
              </w:rPr>
              <w:t xml:space="preserve"> et al </w:t>
            </w:r>
            <w:r>
              <w:rPr>
                <w:rFonts w:ascii="Arial Narrow" w:hAnsi="Arial Narrow" w:cs="Garamond"/>
                <w:sz w:val="18"/>
                <w:szCs w:val="18"/>
              </w:rPr>
              <w:t>(</w:t>
            </w:r>
            <w:r w:rsidRPr="004D57B3">
              <w:rPr>
                <w:rFonts w:ascii="Arial Narrow" w:hAnsi="Arial Narrow" w:cs="Garamond"/>
                <w:sz w:val="18"/>
                <w:szCs w:val="18"/>
              </w:rPr>
              <w:t>2009</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USA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Single tertiary care centre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Patients who underwent capsule endoscopy before May 2007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 xml:space="preserve">=102 patients with suspected CD (excluding 3 patients without </w:t>
            </w:r>
            <w:r>
              <w:rPr>
                <w:rFonts w:ascii="Arial Narrow" w:hAnsi="Arial Narrow" w:cs="Garamond"/>
                <w:sz w:val="18"/>
                <w:szCs w:val="18"/>
              </w:rPr>
              <w:t>12</w:t>
            </w:r>
            <w:r w:rsidRPr="004D57B3">
              <w:rPr>
                <w:rFonts w:ascii="Arial Narrow" w:hAnsi="Arial Narrow" w:cs="Garamond"/>
                <w:sz w:val="18"/>
                <w:szCs w:val="18"/>
              </w:rPr>
              <w:t xml:space="preserve"> month </w:t>
            </w:r>
            <w:r>
              <w:rPr>
                <w:rFonts w:ascii="Arial Narrow" w:hAnsi="Arial Narrow" w:cs="Garamond"/>
                <w:sz w:val="18"/>
                <w:szCs w:val="18"/>
              </w:rPr>
              <w:t>follow-up</w:t>
            </w:r>
            <w:r w:rsidRPr="004D57B3">
              <w:rPr>
                <w:rFonts w:ascii="Arial Narrow" w:hAnsi="Arial Narrow" w:cs="Garamond"/>
                <w:sz w:val="18"/>
                <w:szCs w:val="18"/>
              </w:rPr>
              <w:t xml:space="preserve"> data)</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determine the utility and test characteristics of capsule endoscopy for the subsequent diagnosis of Crohn’s disease in a cohort of patients suspected of this condition.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Retrospective diagnostic accuracy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Diagnosis at </w:t>
            </w:r>
            <w:r>
              <w:rPr>
                <w:rFonts w:ascii="Arial Narrow" w:hAnsi="Arial Narrow" w:cs="Garamond"/>
                <w:sz w:val="18"/>
                <w:szCs w:val="18"/>
              </w:rPr>
              <w:t xml:space="preserve">12 </w:t>
            </w:r>
            <w:r w:rsidRPr="004D57B3">
              <w:rPr>
                <w:rFonts w:ascii="Arial Narrow" w:hAnsi="Arial Narrow" w:cs="Garamond"/>
                <w:sz w:val="18"/>
                <w:szCs w:val="18"/>
              </w:rPr>
              <w:t xml:space="preserve">months </w:t>
            </w:r>
            <w:r>
              <w:rPr>
                <w:rFonts w:ascii="Arial Narrow" w:hAnsi="Arial Narrow" w:cs="Garamond"/>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gramStart"/>
            <w:r>
              <w:rPr>
                <w:rFonts w:ascii="Arial Narrow" w:hAnsi="Arial Narrow" w:cs="Garamond"/>
                <w:sz w:val="18"/>
                <w:szCs w:val="18"/>
              </w:rPr>
              <w:t>r</w:t>
            </w:r>
            <w:r w:rsidRPr="004D57B3">
              <w:rPr>
                <w:rFonts w:ascii="Arial Narrow" w:hAnsi="Arial Narrow" w:cs="Garamond"/>
                <w:sz w:val="18"/>
                <w:szCs w:val="18"/>
              </w:rPr>
              <w:t>adiological</w:t>
            </w:r>
            <w:proofErr w:type="gramEnd"/>
            <w:r w:rsidRPr="004D57B3">
              <w:rPr>
                <w:rFonts w:ascii="Arial Narrow" w:hAnsi="Arial Narrow" w:cs="Garamond"/>
                <w:sz w:val="18"/>
                <w:szCs w:val="18"/>
              </w:rPr>
              <w:t>, histological or endoscopic abnormalities consistent with Crohn’s disease or treated for Crohn’s disease on the basis of symptoms and additional objective findings.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Adult patients who underwent CE before May 2007 for the evaluation of suspected Crohn’s disease and had undergone other investigations that were normal or equivocal. </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Previous diagnosis of Crohn’s disease, actively being treated for a malignancy. </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Pr>
                <w:rFonts w:ascii="Arial Narrow" w:hAnsi="Arial Narrow" w:cs="Garamond"/>
                <w:b/>
                <w:sz w:val="18"/>
                <w:szCs w:val="18"/>
              </w:rPr>
              <w:t>Patient characteristics (n</w:t>
            </w:r>
            <w:r w:rsidRPr="004D57B3">
              <w:rPr>
                <w:rFonts w:ascii="Arial Narrow" w:hAnsi="Arial Narrow" w:cs="Garamond"/>
                <w:b/>
                <w:sz w:val="18"/>
                <w:szCs w:val="18"/>
              </w:rPr>
              <w:t>=105):</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Mean age 49.5 years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&lt;30 years 12% (13/105)</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69 female/36 male</w:t>
            </w:r>
            <w:r w:rsidRPr="004D57B3">
              <w:rPr>
                <w:rFonts w:ascii="Arial Narrow" w:hAnsi="Arial Narrow" w:cs="Garamond"/>
                <w:i/>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Prior tests:</w:t>
            </w:r>
          </w:p>
          <w:p w:rsidR="0048417A" w:rsidRPr="004D57B3" w:rsidRDefault="0048417A" w:rsidP="00836B55">
            <w:pPr>
              <w:keepNext/>
              <w:numPr>
                <w:ilvl w:val="0"/>
                <w:numId w:val="45"/>
              </w:numPr>
              <w:autoSpaceDE w:val="0"/>
              <w:autoSpaceDN w:val="0"/>
              <w:adjustRightInd w:val="0"/>
              <w:spacing w:after="0"/>
              <w:ind w:left="220" w:right="57" w:hanging="182"/>
              <w:rPr>
                <w:rFonts w:ascii="Arial Narrow" w:hAnsi="Arial Narrow" w:cs="Garamond"/>
                <w:sz w:val="18"/>
                <w:szCs w:val="18"/>
              </w:rPr>
            </w:pPr>
            <w:r w:rsidRPr="004D57B3">
              <w:rPr>
                <w:rFonts w:ascii="Arial Narrow" w:hAnsi="Arial Narrow" w:cs="Garamond"/>
                <w:sz w:val="18"/>
                <w:szCs w:val="18"/>
              </w:rPr>
              <w:t xml:space="preserve">Colonoscopy 99% </w:t>
            </w:r>
          </w:p>
          <w:p w:rsidR="0048417A" w:rsidRPr="004D57B3" w:rsidRDefault="0048417A" w:rsidP="00836B55">
            <w:pPr>
              <w:keepNext/>
              <w:numPr>
                <w:ilvl w:val="0"/>
                <w:numId w:val="45"/>
              </w:numPr>
              <w:autoSpaceDE w:val="0"/>
              <w:autoSpaceDN w:val="0"/>
              <w:adjustRightInd w:val="0"/>
              <w:spacing w:after="0"/>
              <w:ind w:left="220" w:right="57" w:hanging="182"/>
              <w:rPr>
                <w:rFonts w:ascii="Arial Narrow" w:hAnsi="Arial Narrow" w:cs="Garamond"/>
                <w:sz w:val="18"/>
                <w:szCs w:val="18"/>
              </w:rPr>
            </w:pPr>
            <w:r w:rsidRPr="004D57B3">
              <w:rPr>
                <w:rFonts w:ascii="Arial Narrow" w:hAnsi="Arial Narrow" w:cs="Garamond"/>
                <w:sz w:val="18"/>
                <w:szCs w:val="18"/>
              </w:rPr>
              <w:t xml:space="preserve">Radiological small bowel imaging by </w:t>
            </w:r>
            <w:r>
              <w:rPr>
                <w:rFonts w:ascii="Arial Narrow" w:hAnsi="Arial Narrow" w:cs="Garamond"/>
                <w:sz w:val="18"/>
                <w:szCs w:val="18"/>
              </w:rPr>
              <w:t>SBFT</w:t>
            </w:r>
            <w:r w:rsidRPr="004D57B3">
              <w:rPr>
                <w:rFonts w:ascii="Arial Narrow" w:hAnsi="Arial Narrow" w:cs="Garamond"/>
                <w:sz w:val="18"/>
                <w:szCs w:val="18"/>
              </w:rPr>
              <w:t xml:space="preserve"> or CT 95% </w:t>
            </w:r>
          </w:p>
          <w:p w:rsidR="0048417A" w:rsidRPr="004D57B3" w:rsidRDefault="0048417A" w:rsidP="00836B55">
            <w:pPr>
              <w:keepNext/>
              <w:numPr>
                <w:ilvl w:val="0"/>
                <w:numId w:val="45"/>
              </w:numPr>
              <w:autoSpaceDE w:val="0"/>
              <w:autoSpaceDN w:val="0"/>
              <w:adjustRightInd w:val="0"/>
              <w:spacing w:after="0"/>
              <w:ind w:left="220" w:right="57" w:hanging="182"/>
              <w:rPr>
                <w:rFonts w:ascii="Arial Narrow" w:hAnsi="Arial Narrow" w:cs="Garamond"/>
                <w:sz w:val="18"/>
                <w:szCs w:val="18"/>
              </w:rPr>
            </w:pPr>
            <w:r w:rsidRPr="004D57B3">
              <w:rPr>
                <w:rFonts w:ascii="Arial Narrow" w:hAnsi="Arial Narrow" w:cs="Garamond"/>
                <w:sz w:val="18"/>
                <w:szCs w:val="18"/>
              </w:rPr>
              <w:t xml:space="preserve">Successful </w:t>
            </w:r>
            <w:proofErr w:type="spellStart"/>
            <w:r w:rsidRPr="004D57B3">
              <w:rPr>
                <w:rFonts w:ascii="Arial Narrow" w:hAnsi="Arial Narrow" w:cs="Garamond"/>
                <w:sz w:val="18"/>
                <w:szCs w:val="18"/>
              </w:rPr>
              <w:t>ileal</w:t>
            </w:r>
            <w:proofErr w:type="spellEnd"/>
            <w:r w:rsidRPr="004D57B3">
              <w:rPr>
                <w:rFonts w:ascii="Arial Narrow" w:hAnsi="Arial Narrow" w:cs="Garamond"/>
                <w:sz w:val="18"/>
                <w:szCs w:val="18"/>
              </w:rPr>
              <w:t xml:space="preserve"> intubation 64% of colonoscopies</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NSAIDs user 27%</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Abdominal pain only 41%</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Diarrhoea only 14%</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Pain and diarrhoea 41%</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Met ICCE criteria for suspected CD 75%</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Normal CT or SBFT 80%</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Abnormal CT or SBFT 20%</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Normal colonoscopy 87%</w:t>
            </w:r>
          </w:p>
          <w:p w:rsidR="0048417A" w:rsidRPr="004D57B3" w:rsidRDefault="0048417A" w:rsidP="00836B55">
            <w:pPr>
              <w:keepNext/>
              <w:numPr>
                <w:ilvl w:val="0"/>
                <w:numId w:val="46"/>
              </w:numPr>
              <w:autoSpaceDE w:val="0"/>
              <w:autoSpaceDN w:val="0"/>
              <w:adjustRightInd w:val="0"/>
              <w:spacing w:after="0"/>
              <w:ind w:left="276" w:right="57" w:hanging="219"/>
              <w:jc w:val="both"/>
              <w:rPr>
                <w:rFonts w:ascii="Arial Narrow" w:hAnsi="Arial Narrow" w:cs="Garamond"/>
                <w:sz w:val="18"/>
                <w:szCs w:val="18"/>
              </w:rPr>
            </w:pPr>
            <w:r w:rsidRPr="004D57B3">
              <w:rPr>
                <w:rFonts w:ascii="Arial Narrow" w:hAnsi="Arial Narrow" w:cs="Garamond"/>
                <w:sz w:val="18"/>
                <w:szCs w:val="18"/>
              </w:rPr>
              <w:t>Abnormal colonoscopy 13%</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Abnormal capsule endoscopy: Any ulcers in the small bowel detected by capsule endoscopy, classified as: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numPr>
                <w:ilvl w:val="0"/>
                <w:numId w:val="23"/>
              </w:numPr>
              <w:autoSpaceDE w:val="0"/>
              <w:autoSpaceDN w:val="0"/>
              <w:adjustRightInd w:val="0"/>
              <w:spacing w:after="0"/>
              <w:ind w:left="248" w:right="57" w:hanging="191"/>
              <w:rPr>
                <w:rFonts w:ascii="Arial Narrow" w:hAnsi="Arial Narrow" w:cs="Garamond"/>
                <w:sz w:val="18"/>
                <w:szCs w:val="18"/>
              </w:rPr>
            </w:pPr>
            <w:r w:rsidRPr="004D57B3">
              <w:rPr>
                <w:rFonts w:ascii="Arial Narrow" w:hAnsi="Arial Narrow" w:cs="Garamond"/>
                <w:sz w:val="18"/>
                <w:szCs w:val="18"/>
              </w:rPr>
              <w:t>grade A (&gt;3 small bowel ulcers)</w:t>
            </w:r>
          </w:p>
          <w:p w:rsidR="0048417A" w:rsidRPr="004D57B3" w:rsidRDefault="0048417A" w:rsidP="00836B55">
            <w:pPr>
              <w:keepNext/>
              <w:numPr>
                <w:ilvl w:val="0"/>
                <w:numId w:val="23"/>
              </w:numPr>
              <w:autoSpaceDE w:val="0"/>
              <w:autoSpaceDN w:val="0"/>
              <w:adjustRightInd w:val="0"/>
              <w:spacing w:after="0"/>
              <w:ind w:left="248" w:right="57" w:hanging="191"/>
              <w:rPr>
                <w:rFonts w:ascii="Arial Narrow" w:hAnsi="Arial Narrow" w:cs="Garamond"/>
                <w:sz w:val="18"/>
                <w:szCs w:val="18"/>
              </w:rPr>
            </w:pPr>
            <w:r w:rsidRPr="004D57B3">
              <w:rPr>
                <w:rFonts w:ascii="Arial Narrow" w:hAnsi="Arial Narrow" w:cs="Garamond"/>
                <w:sz w:val="18"/>
                <w:szCs w:val="18"/>
              </w:rPr>
              <w:t>grade B (1-3 small bowel ulcers)</w:t>
            </w:r>
            <w:r>
              <w:rPr>
                <w:rFonts w:ascii="Arial Narrow" w:hAnsi="Arial Narrow" w:cs="Garamond"/>
                <w:sz w:val="18"/>
                <w:szCs w:val="18"/>
              </w:rPr>
              <w:t>,</w:t>
            </w:r>
            <w:r w:rsidRPr="004D57B3">
              <w:rPr>
                <w:rFonts w:ascii="Arial Narrow" w:hAnsi="Arial Narrow" w:cs="Garamond"/>
                <w:sz w:val="18"/>
                <w:szCs w:val="18"/>
              </w:rPr>
              <w:t xml:space="preserve"> or </w:t>
            </w:r>
          </w:p>
          <w:p w:rsidR="0048417A" w:rsidRPr="004D57B3" w:rsidRDefault="0048417A" w:rsidP="00836B55">
            <w:pPr>
              <w:keepNext/>
              <w:numPr>
                <w:ilvl w:val="0"/>
                <w:numId w:val="23"/>
              </w:numPr>
              <w:autoSpaceDE w:val="0"/>
              <w:autoSpaceDN w:val="0"/>
              <w:adjustRightInd w:val="0"/>
              <w:spacing w:after="0"/>
              <w:ind w:left="248" w:right="57" w:hanging="191"/>
              <w:rPr>
                <w:rFonts w:ascii="Arial Narrow" w:hAnsi="Arial Narrow" w:cs="Garamond"/>
                <w:sz w:val="18"/>
                <w:szCs w:val="18"/>
              </w:rPr>
            </w:pPr>
            <w:proofErr w:type="gramStart"/>
            <w:r w:rsidRPr="004D57B3">
              <w:rPr>
                <w:rFonts w:ascii="Arial Narrow" w:hAnsi="Arial Narrow" w:cs="Garamond"/>
                <w:sz w:val="18"/>
                <w:szCs w:val="18"/>
              </w:rPr>
              <w:t>grade</w:t>
            </w:r>
            <w:proofErr w:type="gramEnd"/>
            <w:r w:rsidRPr="004D57B3">
              <w:rPr>
                <w:rFonts w:ascii="Arial Narrow" w:hAnsi="Arial Narrow" w:cs="Garamond"/>
                <w:sz w:val="18"/>
                <w:szCs w:val="18"/>
              </w:rPr>
              <w:t xml:space="preserve"> C (small bowel inflammation without ulcers).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accuracy</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Any small bowel ulcers: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73"/>
              <w:gridCol w:w="437"/>
              <w:gridCol w:w="355"/>
              <w:gridCol w:w="322"/>
              <w:gridCol w:w="437"/>
            </w:tblGrid>
            <w:tr w:rsidR="0048417A" w:rsidRPr="004D57B3" w:rsidTr="00836B55">
              <w:trPr>
                <w:trHeight w:val="292"/>
              </w:trPr>
              <w:tc>
                <w:tcPr>
                  <w:tcW w:w="7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133" w:type="dxa"/>
                  <w:gridSpan w:val="3"/>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Reference standard</w:t>
                  </w:r>
                  <w:r>
                    <w:t xml:space="preserve"> –</w:t>
                  </w:r>
                </w:p>
                <w:p w:rsidR="0048417A" w:rsidRPr="004D57B3" w:rsidRDefault="0048417A" w:rsidP="00836B55">
                  <w:pPr>
                    <w:pStyle w:val="TableText"/>
                  </w:pPr>
                  <w:r>
                    <w:t>Follow-up</w:t>
                  </w:r>
                </w:p>
              </w:tc>
            </w:tr>
            <w:tr w:rsidR="0048417A" w:rsidRPr="004D57B3" w:rsidTr="00836B55">
              <w:trPr>
                <w:trHeight w:val="292"/>
              </w:trPr>
              <w:tc>
                <w:tcPr>
                  <w:tcW w:w="7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36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CD</w:t>
                  </w:r>
                </w:p>
              </w:tc>
              <w:tc>
                <w:tcPr>
                  <w:tcW w:w="3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 CD</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718"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CE</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36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11</w:t>
                  </w:r>
                </w:p>
              </w:tc>
              <w:tc>
                <w:tcPr>
                  <w:tcW w:w="3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23</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34</w:t>
                  </w:r>
                </w:p>
              </w:tc>
            </w:tr>
            <w:tr w:rsidR="0048417A" w:rsidRPr="004D57B3" w:rsidTr="00836B55">
              <w:trPr>
                <w:trHeight w:val="143"/>
              </w:trPr>
              <w:tc>
                <w:tcPr>
                  <w:tcW w:w="7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36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w:t>
                  </w:r>
                </w:p>
              </w:tc>
              <w:tc>
                <w:tcPr>
                  <w:tcW w:w="3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66</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68</w:t>
                  </w:r>
                </w:p>
              </w:tc>
            </w:tr>
            <w:tr w:rsidR="0048417A" w:rsidRPr="004D57B3" w:rsidTr="00836B55">
              <w:trPr>
                <w:trHeight w:val="143"/>
              </w:trPr>
              <w:tc>
                <w:tcPr>
                  <w:tcW w:w="7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364"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13</w:t>
                  </w:r>
                </w:p>
              </w:tc>
              <w:tc>
                <w:tcPr>
                  <w:tcW w:w="32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89</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102</w:t>
                  </w:r>
                </w:p>
              </w:tc>
            </w:tr>
          </w:tbl>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Sensitivity: 0.85 (95% CI 0.58-0.96)</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Specificity: 0.74 (95% CI 0.64-0.82)</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PPV: 0.32 (95% CI 0.19</w:t>
            </w:r>
            <w:r>
              <w:rPr>
                <w:rFonts w:ascii="Arial Narrow" w:hAnsi="Arial Narrow" w:cs="Garamond"/>
                <w:sz w:val="18"/>
                <w:szCs w:val="18"/>
              </w:rPr>
              <w:t>-</w:t>
            </w:r>
            <w:r w:rsidRPr="004D57B3">
              <w:rPr>
                <w:rFonts w:ascii="Arial Narrow" w:hAnsi="Arial Narrow" w:cs="Garamond"/>
                <w:sz w:val="18"/>
                <w:szCs w:val="18"/>
              </w:rPr>
              <w:t>0.49)</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NPV: 0.97 (95% CI 0.90</w:t>
            </w:r>
            <w:r>
              <w:rPr>
                <w:rFonts w:ascii="Arial Narrow" w:hAnsi="Arial Narrow" w:cs="Garamond"/>
                <w:sz w:val="18"/>
                <w:szCs w:val="18"/>
              </w:rPr>
              <w:t>-</w:t>
            </w:r>
            <w:r w:rsidRPr="004D57B3">
              <w:rPr>
                <w:rFonts w:ascii="Arial Narrow" w:hAnsi="Arial Narrow" w:cs="Garamond"/>
                <w:sz w:val="18"/>
                <w:szCs w:val="18"/>
              </w:rPr>
              <w:t>0.99)</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LR+: 3.27</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LR</w:t>
            </w:r>
            <w:r>
              <w:rPr>
                <w:rFonts w:ascii="Arial Narrow" w:hAnsi="Arial Narrow" w:cs="Garamond"/>
                <w:sz w:val="18"/>
                <w:szCs w:val="18"/>
              </w:rPr>
              <w:t>–</w:t>
            </w:r>
            <w:r w:rsidRPr="004D57B3">
              <w:rPr>
                <w:rFonts w:ascii="Arial Narrow" w:hAnsi="Arial Narrow" w:cs="Garamond"/>
                <w:sz w:val="18"/>
                <w:szCs w:val="18"/>
              </w:rPr>
              <w:t>: 0.21</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&gt;3 ulcers: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9"/>
              <w:gridCol w:w="421"/>
              <w:gridCol w:w="347"/>
              <w:gridCol w:w="281"/>
              <w:gridCol w:w="205"/>
              <w:gridCol w:w="421"/>
            </w:tblGrid>
            <w:tr w:rsidR="0048417A" w:rsidRPr="004D57B3" w:rsidTr="00836B55">
              <w:trPr>
                <w:trHeight w:val="268"/>
              </w:trPr>
              <w:tc>
                <w:tcPr>
                  <w:tcW w:w="7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1355" w:type="dxa"/>
                  <w:gridSpan w:val="4"/>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Reference standard</w:t>
                  </w:r>
                  <w:r>
                    <w:t xml:space="preserve"> –</w:t>
                  </w:r>
                </w:p>
                <w:p w:rsidR="0048417A" w:rsidRPr="004D57B3" w:rsidRDefault="0048417A" w:rsidP="00836B55">
                  <w:pPr>
                    <w:pStyle w:val="TableText"/>
                  </w:pPr>
                  <w:r>
                    <w:t>Follow-up</w:t>
                  </w:r>
                </w:p>
              </w:tc>
            </w:tr>
            <w:tr w:rsidR="0048417A" w:rsidRPr="004D57B3" w:rsidTr="00836B55">
              <w:trPr>
                <w:trHeight w:val="292"/>
              </w:trPr>
              <w:tc>
                <w:tcPr>
                  <w:tcW w:w="71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3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Yes</w:t>
                  </w:r>
                </w:p>
              </w:tc>
              <w:tc>
                <w:tcPr>
                  <w:tcW w:w="30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w:t>
                  </w:r>
                </w:p>
              </w:tc>
              <w:tc>
                <w:tcPr>
                  <w:tcW w:w="24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r>
            <w:tr w:rsidR="0048417A" w:rsidRPr="004D57B3" w:rsidTr="00836B55">
              <w:trPr>
                <w:trHeight w:val="253"/>
              </w:trPr>
              <w:tc>
                <w:tcPr>
                  <w:tcW w:w="718" w:type="dxa"/>
                  <w:vMerge w:val="restart"/>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CE</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t>
                  </w:r>
                </w:p>
              </w:tc>
              <w:tc>
                <w:tcPr>
                  <w:tcW w:w="3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w:t>
                  </w:r>
                </w:p>
              </w:tc>
              <w:tc>
                <w:tcPr>
                  <w:tcW w:w="30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w:t>
                  </w:r>
                </w:p>
              </w:tc>
              <w:tc>
                <w:tcPr>
                  <w:tcW w:w="24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0</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20</w:t>
                  </w:r>
                </w:p>
              </w:tc>
            </w:tr>
            <w:tr w:rsidR="0048417A" w:rsidRPr="004D57B3" w:rsidTr="00836B55">
              <w:trPr>
                <w:trHeight w:val="143"/>
              </w:trPr>
              <w:tc>
                <w:tcPr>
                  <w:tcW w:w="7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w:t>
                  </w:r>
                </w:p>
              </w:tc>
              <w:tc>
                <w:tcPr>
                  <w:tcW w:w="3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w:t>
                  </w:r>
                </w:p>
              </w:tc>
              <w:tc>
                <w:tcPr>
                  <w:tcW w:w="30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79</w:t>
                  </w:r>
                </w:p>
              </w:tc>
              <w:tc>
                <w:tcPr>
                  <w:tcW w:w="24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85</w:t>
                  </w:r>
                </w:p>
              </w:tc>
            </w:tr>
            <w:tr w:rsidR="0048417A" w:rsidRPr="004D57B3" w:rsidTr="00836B55">
              <w:trPr>
                <w:trHeight w:val="143"/>
              </w:trPr>
              <w:tc>
                <w:tcPr>
                  <w:tcW w:w="718" w:type="dxa"/>
                  <w:vMerge/>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368"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13</w:t>
                  </w:r>
                </w:p>
              </w:tc>
              <w:tc>
                <w:tcPr>
                  <w:tcW w:w="30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89</w:t>
                  </w:r>
                </w:p>
              </w:tc>
              <w:tc>
                <w:tcPr>
                  <w:tcW w:w="24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w:t>
                  </w:r>
                </w:p>
              </w:tc>
              <w:tc>
                <w:tcPr>
                  <w:tcW w:w="44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105</w:t>
                  </w:r>
                </w:p>
              </w:tc>
            </w:tr>
          </w:tbl>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 12 month FU data unavailable.</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6"/>
                <w:szCs w:val="16"/>
              </w:rPr>
            </w:pPr>
            <w:r w:rsidRPr="004D57B3">
              <w:rPr>
                <w:rFonts w:ascii="Arial Narrow" w:hAnsi="Arial Narrow" w:cs="Garamond"/>
                <w:sz w:val="16"/>
                <w:szCs w:val="16"/>
              </w:rPr>
              <w:lastRenderedPageBreak/>
              <w:t>2x2 tables obtained via personal correspondence with authors.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Sensitivity: 0.77 (95% CI 0.50-0.92)</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Specificity: 0.89 (95% CI 0.81-0.94)</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PPV: 0.50 (95% CI 0.30-0.70)</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lang w:val="nl-NL"/>
              </w:rPr>
            </w:pPr>
            <w:r w:rsidRPr="004D57B3">
              <w:rPr>
                <w:rFonts w:ascii="Arial Narrow" w:hAnsi="Arial Narrow" w:cs="Garamond"/>
                <w:sz w:val="18"/>
                <w:szCs w:val="18"/>
                <w:lang w:val="nl-NL"/>
              </w:rPr>
              <w:t>NPV: 0.96 (95% CI 0.90-0.99)</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lang w:val="nl-NL"/>
              </w:rPr>
            </w:pPr>
            <w:r w:rsidRPr="004D57B3">
              <w:rPr>
                <w:rFonts w:ascii="Arial Narrow" w:hAnsi="Arial Narrow" w:cs="Garamond"/>
                <w:sz w:val="18"/>
                <w:szCs w:val="18"/>
                <w:lang w:val="nl-NL"/>
              </w:rPr>
              <w:t>LR+: 6.85</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lang w:val="nl-NL"/>
              </w:rPr>
            </w:pPr>
            <w:r w:rsidRPr="004D57B3">
              <w:rPr>
                <w:rFonts w:ascii="Arial Narrow" w:hAnsi="Arial Narrow" w:cs="Garamond"/>
                <w:sz w:val="18"/>
                <w:szCs w:val="18"/>
                <w:lang w:val="nl-NL"/>
              </w:rPr>
              <w:t>LR</w:t>
            </w:r>
            <w:r>
              <w:rPr>
                <w:rFonts w:ascii="Arial Narrow" w:hAnsi="Arial Narrow" w:cs="Garamond"/>
                <w:sz w:val="18"/>
                <w:szCs w:val="18"/>
                <w:lang w:val="nl-NL"/>
              </w:rPr>
              <w:t>–</w:t>
            </w:r>
            <w:r w:rsidRPr="004D57B3">
              <w:rPr>
                <w:rFonts w:ascii="Arial Narrow" w:hAnsi="Arial Narrow" w:cs="Garamond"/>
                <w:sz w:val="18"/>
                <w:szCs w:val="18"/>
                <w:lang w:val="nl-NL"/>
              </w:rPr>
              <w:t>: 0.26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lang w:val="nl-NL"/>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lang w:val="nl-NL"/>
              </w:rPr>
            </w:pPr>
            <w:r w:rsidRPr="004D57B3">
              <w:rPr>
                <w:rFonts w:ascii="Arial Narrow" w:hAnsi="Arial Narrow" w:cs="Garamond"/>
                <w:b/>
                <w:sz w:val="18"/>
                <w:szCs w:val="18"/>
                <w:lang w:val="nl-NL"/>
              </w:rPr>
              <w:t>Diagnostic yield</w:t>
            </w:r>
            <w:r>
              <w:rPr>
                <w:rFonts w:ascii="Arial Narrow" w:hAnsi="Arial Narrow" w:cs="Garamond"/>
                <w:b/>
                <w:sz w:val="18"/>
                <w:szCs w:val="18"/>
                <w:lang w:val="nl-NL"/>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Any small bowel ulcers: 37% (39/105) (95% CI = 29</w:t>
            </w:r>
            <w:r>
              <w:rPr>
                <w:rFonts w:ascii="Arial Narrow" w:hAnsi="Arial Narrow" w:cs="Garamond"/>
                <w:sz w:val="18"/>
                <w:szCs w:val="18"/>
              </w:rPr>
              <w:t>-</w:t>
            </w:r>
            <w:r w:rsidRPr="004D57B3">
              <w:rPr>
                <w:rFonts w:ascii="Arial Narrow" w:hAnsi="Arial Narrow" w:cs="Garamond"/>
                <w:sz w:val="18"/>
                <w:szCs w:val="18"/>
              </w:rPr>
              <w:t>47%)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sym w:font="Symbol" w:char="F03E"/>
            </w:r>
            <w:r w:rsidRPr="004D57B3">
              <w:rPr>
                <w:rFonts w:ascii="Arial Narrow" w:hAnsi="Arial Narrow" w:cs="Garamond"/>
                <w:sz w:val="18"/>
                <w:szCs w:val="18"/>
              </w:rPr>
              <w:t>3 small bowel ulcers: 19% (20/105) (95% CI = 13</w:t>
            </w:r>
            <w:r>
              <w:rPr>
                <w:rFonts w:ascii="Arial Narrow" w:hAnsi="Arial Narrow" w:cs="Garamond"/>
                <w:sz w:val="18"/>
                <w:szCs w:val="18"/>
              </w:rPr>
              <w:t>-</w:t>
            </w:r>
            <w:r w:rsidRPr="004D57B3">
              <w:rPr>
                <w:rFonts w:ascii="Arial Narrow" w:hAnsi="Arial Narrow" w:cs="Garamond"/>
                <w:sz w:val="18"/>
                <w:szCs w:val="18"/>
              </w:rPr>
              <w:t>28%)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patients had an incomplete study because of the obstruction of the capsule in the small intestine. The study was repeated if the capsule failed to reach the caecum (number not reported).</w:t>
            </w:r>
          </w:p>
        </w:tc>
        <w:tc>
          <w:tcPr>
            <w:tcW w:w="3500"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III-2</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FAIR Q2</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CX:</w:t>
            </w:r>
            <w:r w:rsidRPr="004D57B3">
              <w:rPr>
                <w:rFonts w:ascii="Arial Narrow" w:hAnsi="Arial Narrow" w:cs="Garamond"/>
                <w:sz w:val="18"/>
                <w:szCs w:val="18"/>
              </w:rPr>
              <w:t xml:space="preserve"> 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Reference standard:</w:t>
            </w:r>
          </w:p>
          <w:p w:rsidR="0048417A" w:rsidRPr="004D57B3" w:rsidRDefault="0048417A" w:rsidP="00836B55">
            <w:pPr>
              <w:keepNext/>
              <w:autoSpaceDE w:val="0"/>
              <w:autoSpaceDN w:val="0"/>
              <w:adjustRightInd w:val="0"/>
              <w:spacing w:after="0"/>
              <w:ind w:left="33" w:right="57"/>
              <w:rPr>
                <w:rFonts w:ascii="Arial Narrow" w:hAnsi="Arial Narrow" w:cs="Garamond"/>
                <w:sz w:val="18"/>
                <w:szCs w:val="18"/>
              </w:rPr>
            </w:pPr>
            <w:r w:rsidRPr="004D57B3">
              <w:rPr>
                <w:rFonts w:ascii="Arial Narrow" w:hAnsi="Arial Narrow" w:cs="Garamond"/>
                <w:sz w:val="18"/>
                <w:szCs w:val="18"/>
              </w:rPr>
              <w:t xml:space="preserve">Diagnosis at </w:t>
            </w:r>
            <w:r>
              <w:rPr>
                <w:rFonts w:ascii="Arial Narrow" w:hAnsi="Arial Narrow" w:cs="Garamond"/>
                <w:sz w:val="18"/>
                <w:szCs w:val="18"/>
              </w:rPr>
              <w:t>12</w:t>
            </w:r>
            <w:r w:rsidRPr="004D57B3">
              <w:rPr>
                <w:rFonts w:ascii="Arial Narrow" w:hAnsi="Arial Narrow" w:cs="Garamond"/>
                <w:sz w:val="18"/>
                <w:szCs w:val="18"/>
              </w:rPr>
              <w:t xml:space="preserve"> months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Test interval in days/weeks: </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no</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260BB3">
      <w:pPr>
        <w:ind w:left="0"/>
      </w:pPr>
    </w:p>
    <w:p w:rsidR="0048417A" w:rsidRPr="004D57B3" w:rsidRDefault="0048417A" w:rsidP="00836B55">
      <w:pPr>
        <w:pStyle w:val="Heading2"/>
        <w:rPr>
          <w:bCs/>
        </w:rPr>
      </w:pPr>
      <w:bookmarkStart w:id="269" w:name="_Toc296517910"/>
      <w:r w:rsidRPr="004D57B3">
        <w:rPr>
          <w:bCs/>
        </w:rPr>
        <w:lastRenderedPageBreak/>
        <w:t>Study profiles of included studies on diagnostic yield</w:t>
      </w:r>
      <w:bookmarkEnd w:id="2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14"/>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547DED" w:rsidRDefault="0048417A" w:rsidP="00836B55">
            <w:pPr>
              <w:keepNext/>
              <w:spacing w:after="0"/>
              <w:ind w:left="57" w:right="57"/>
              <w:rPr>
                <w:rFonts w:ascii="Arial Narrow" w:hAnsi="Arial Narrow"/>
                <w:b/>
                <w:bCs/>
                <w:sz w:val="18"/>
                <w:szCs w:val="18"/>
              </w:rPr>
            </w:pPr>
            <w:r w:rsidRPr="00547DED">
              <w:rPr>
                <w:rFonts w:ascii="Arial Narrow" w:hAnsi="Arial Narrow"/>
                <w:b/>
                <w:bCs/>
                <w:sz w:val="18"/>
                <w:szCs w:val="18"/>
              </w:rPr>
              <w:t>n</w:t>
            </w:r>
          </w:p>
        </w:tc>
        <w:tc>
          <w:tcPr>
            <w:tcW w:w="2487"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Results</w:t>
            </w:r>
          </w:p>
        </w:tc>
        <w:tc>
          <w:tcPr>
            <w:tcW w:w="3514" w:type="dxa"/>
          </w:tcPr>
          <w:p w:rsidR="0048417A" w:rsidRPr="004D57B3" w:rsidRDefault="0048417A" w:rsidP="00836B55">
            <w:pPr>
              <w:keepNext/>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Chong et al </w:t>
            </w:r>
            <w:r>
              <w:rPr>
                <w:rFonts w:ascii="Arial Narrow" w:hAnsi="Arial Narrow" w:cs="Garamond"/>
                <w:sz w:val="18"/>
                <w:szCs w:val="18"/>
              </w:rPr>
              <w:t>(</w:t>
            </w:r>
            <w:r w:rsidRPr="004D57B3">
              <w:rPr>
                <w:rFonts w:ascii="Arial Narrow" w:hAnsi="Arial Narrow" w:cs="Garamond"/>
                <w:sz w:val="18"/>
                <w:szCs w:val="18"/>
              </w:rPr>
              <w:t>2005</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Australia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Single tertiary hospital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May 2002</w:t>
            </w:r>
            <w:r>
              <w:rPr>
                <w:rFonts w:ascii="Arial Narrow" w:hAnsi="Arial Narrow" w:cs="Garamond"/>
                <w:sz w:val="18"/>
                <w:szCs w:val="18"/>
              </w:rPr>
              <w:t>-</w:t>
            </w:r>
            <w:r w:rsidRPr="004D57B3">
              <w:rPr>
                <w:rFonts w:ascii="Arial Narrow" w:hAnsi="Arial Narrow" w:cs="Garamond"/>
                <w:sz w:val="18"/>
                <w:szCs w:val="18"/>
              </w:rPr>
              <w:t>November 2003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=43 patients – 21 with suspected Crohn’s disease, 22 with known (non</w:t>
            </w:r>
            <w:r>
              <w:rPr>
                <w:rFonts w:ascii="Arial Narrow" w:hAnsi="Arial Narrow" w:cs="Garamond"/>
                <w:sz w:val="18"/>
                <w:szCs w:val="18"/>
              </w:rPr>
              <w:t>-</w:t>
            </w:r>
            <w:r w:rsidRPr="004D57B3">
              <w:rPr>
                <w:rFonts w:ascii="Arial Narrow" w:hAnsi="Arial Narrow" w:cs="Garamond"/>
                <w:sz w:val="18"/>
                <w:szCs w:val="18"/>
              </w:rPr>
              <w:t xml:space="preserve">small bowel) Crohn’s disease.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Results presented for suspected Crohn’s disease only.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Follow-up</w:t>
            </w:r>
            <w:r w:rsidRPr="004D57B3">
              <w:rPr>
                <w:rFonts w:ascii="Arial Narrow" w:hAnsi="Arial Narrow" w:cs="Garamond"/>
                <w:sz w:val="18"/>
                <w:szCs w:val="18"/>
              </w:rPr>
              <w:t xml:space="preserve"> (Group 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Mean 8.4 months (range 3-15).</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evaluate the diagnostic yield of capsule endoscopy compared with push </w:t>
            </w:r>
            <w:proofErr w:type="spellStart"/>
            <w:r w:rsidRPr="004D57B3">
              <w:rPr>
                <w:rFonts w:ascii="Arial Narrow" w:hAnsi="Arial Narrow" w:cs="Garamond"/>
                <w:sz w:val="18"/>
                <w:szCs w:val="18"/>
              </w:rPr>
              <w:t>enteroscopy</w:t>
            </w:r>
            <w:proofErr w:type="spellEnd"/>
            <w:r w:rsidRPr="004D57B3">
              <w:rPr>
                <w:rFonts w:ascii="Arial Narrow" w:hAnsi="Arial Narrow" w:cs="Garamond"/>
                <w:sz w:val="18"/>
                <w:szCs w:val="18"/>
              </w:rPr>
              <w:t xml:space="preserve"> and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 xml:space="preserve"> in the detection of suspected small bowel Crohn’s disease in patients with no prior diagnosis of Crohn’s disease or with known Crohn’s disease with suspected recurrence or more extensive small bowel disease than identified by other investigations. To determine the effect of capsule endoscopy on management and patient outcomes. </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 non</w:t>
            </w:r>
            <w:r>
              <w:rPr>
                <w:rFonts w:ascii="Arial Narrow" w:hAnsi="Arial Narrow" w:cs="Garamond"/>
                <w:sz w:val="18"/>
                <w:szCs w:val="18"/>
              </w:rPr>
              <w:t>-</w:t>
            </w:r>
            <w:r w:rsidRPr="004D57B3">
              <w:rPr>
                <w:rFonts w:ascii="Arial Narrow" w:hAnsi="Arial Narrow" w:cs="Garamond"/>
                <w:sz w:val="18"/>
                <w:szCs w:val="18"/>
              </w:rPr>
              <w:t>consecutive, blinded diagnostic yield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 xml:space="preserve">Push </w:t>
            </w:r>
            <w:proofErr w:type="spellStart"/>
            <w:r w:rsidRPr="004D57B3">
              <w:rPr>
                <w:rFonts w:ascii="Arial Narrow" w:hAnsi="Arial Narrow" w:cs="Garamond"/>
                <w:sz w:val="18"/>
                <w:szCs w:val="18"/>
              </w:rPr>
              <w:t>enteroscopy</w:t>
            </w:r>
            <w:proofErr w:type="spellEnd"/>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 xml:space="preserve"> (double contrast </w:t>
            </w:r>
            <w:r>
              <w:rPr>
                <w:rFonts w:ascii="Arial Narrow" w:hAnsi="Arial Narrow" w:cs="Garamond"/>
                <w:sz w:val="18"/>
                <w:szCs w:val="18"/>
              </w:rPr>
              <w:t>SBFT</w:t>
            </w:r>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for the suspected Crohn’s disease sub-group (</w:t>
            </w:r>
            <w:r>
              <w:rPr>
                <w:rFonts w:ascii="Arial Narrow" w:hAnsi="Arial Narrow" w:cs="Garamond"/>
                <w:b/>
                <w:sz w:val="18"/>
                <w:szCs w:val="18"/>
              </w:rPr>
              <w:t>n</w:t>
            </w:r>
            <w:r w:rsidRPr="004D57B3">
              <w:rPr>
                <w:rFonts w:ascii="Arial Narrow" w:hAnsi="Arial Narrow" w:cs="Garamond"/>
                <w:b/>
                <w:sz w:val="18"/>
                <w:szCs w:val="18"/>
              </w:rPr>
              <w:t>=21):</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Patients without a prior diagnosis of Crohn’s disease suspected to have small bowel Crohn’s disease based on symptoms ± biochemical markers or radiography.</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Age &lt;14 years, pregnancy, dysphagia, NSAIDs, presence of a pacemaker. Patients did not undergo capsule endoscopy if strictures were identified via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Mean age 35 years, range 20</w:t>
            </w:r>
            <w:r>
              <w:rPr>
                <w:rFonts w:ascii="Arial Narrow" w:hAnsi="Arial Narrow" w:cs="Garamond"/>
                <w:sz w:val="18"/>
                <w:szCs w:val="18"/>
              </w:rPr>
              <w:t>-</w:t>
            </w:r>
            <w:r w:rsidRPr="004D57B3">
              <w:rPr>
                <w:rFonts w:ascii="Arial Narrow" w:hAnsi="Arial Narrow" w:cs="Garamond"/>
                <w:sz w:val="18"/>
                <w:szCs w:val="18"/>
              </w:rPr>
              <w:t>80 years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11 female/10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Prior tests deemed appropriate by the gastroenterologist, including endoscopy, barium contrast radiography of the small bowel, abdomen CT and nuclear </w:t>
            </w:r>
            <w:proofErr w:type="spellStart"/>
            <w:r w:rsidRPr="004D57B3">
              <w:rPr>
                <w:rFonts w:ascii="Arial Narrow" w:hAnsi="Arial Narrow" w:cs="Garamond"/>
                <w:sz w:val="18"/>
                <w:szCs w:val="18"/>
              </w:rPr>
              <w:t>scintigraphy</w:t>
            </w:r>
            <w:proofErr w:type="spellEnd"/>
            <w:r w:rsidRPr="004D57B3">
              <w:rPr>
                <w:rFonts w:ascii="Arial Narrow" w:hAnsi="Arial Narrow" w:cs="Garamond"/>
                <w:sz w:val="18"/>
                <w:szCs w:val="18"/>
              </w:rPr>
              <w:t xml:space="preserve"> (indium-label</w:t>
            </w:r>
            <w:r>
              <w:rPr>
                <w:rFonts w:ascii="Arial Narrow" w:hAnsi="Arial Narrow" w:cs="Garamond"/>
                <w:sz w:val="18"/>
                <w:szCs w:val="18"/>
              </w:rPr>
              <w:t>l</w:t>
            </w:r>
            <w:r w:rsidRPr="004D57B3">
              <w:rPr>
                <w:rFonts w:ascii="Arial Narrow" w:hAnsi="Arial Narrow" w:cs="Garamond"/>
                <w:sz w:val="18"/>
                <w:szCs w:val="18"/>
              </w:rPr>
              <w:t>ed white cell).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Abnormal radiology 14% (3/21)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A complete blood count, erythrocyte sedimentation rate,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C-reactive protein and iron studies were obtained at enrolment.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48"/>
              </w:numPr>
              <w:autoSpaceDE w:val="0"/>
              <w:autoSpaceDN w:val="0"/>
              <w:adjustRightInd w:val="0"/>
              <w:spacing w:after="0"/>
              <w:ind w:left="262" w:right="57" w:hanging="205"/>
              <w:jc w:val="both"/>
              <w:rPr>
                <w:rFonts w:ascii="Arial Narrow" w:hAnsi="Arial Narrow" w:cs="Garamond"/>
                <w:sz w:val="18"/>
                <w:szCs w:val="18"/>
              </w:rPr>
            </w:pPr>
            <w:r w:rsidRPr="004D57B3">
              <w:rPr>
                <w:rFonts w:ascii="Arial Narrow" w:hAnsi="Arial Narrow" w:cs="Garamond"/>
                <w:sz w:val="18"/>
                <w:szCs w:val="18"/>
              </w:rPr>
              <w:t>Pain 71% (15/21)</w:t>
            </w:r>
          </w:p>
          <w:p w:rsidR="0048417A" w:rsidRPr="004D57B3" w:rsidRDefault="0048417A" w:rsidP="00836B55">
            <w:pPr>
              <w:keepNext/>
              <w:numPr>
                <w:ilvl w:val="0"/>
                <w:numId w:val="48"/>
              </w:numPr>
              <w:autoSpaceDE w:val="0"/>
              <w:autoSpaceDN w:val="0"/>
              <w:adjustRightInd w:val="0"/>
              <w:spacing w:after="0"/>
              <w:ind w:left="262" w:right="57" w:hanging="205"/>
              <w:jc w:val="both"/>
              <w:rPr>
                <w:rFonts w:ascii="Arial Narrow" w:hAnsi="Arial Narrow" w:cs="Garamond"/>
                <w:sz w:val="18"/>
                <w:szCs w:val="18"/>
              </w:rPr>
            </w:pPr>
            <w:r w:rsidRPr="004D57B3">
              <w:rPr>
                <w:rFonts w:ascii="Arial Narrow" w:hAnsi="Arial Narrow" w:cs="Garamond"/>
                <w:sz w:val="18"/>
                <w:szCs w:val="18"/>
              </w:rPr>
              <w:t>Diarrhoea 76% (16/21)</w:t>
            </w:r>
          </w:p>
          <w:p w:rsidR="0048417A" w:rsidRPr="004D57B3" w:rsidRDefault="0048417A" w:rsidP="00836B55">
            <w:pPr>
              <w:keepNext/>
              <w:numPr>
                <w:ilvl w:val="0"/>
                <w:numId w:val="48"/>
              </w:numPr>
              <w:autoSpaceDE w:val="0"/>
              <w:autoSpaceDN w:val="0"/>
              <w:adjustRightInd w:val="0"/>
              <w:spacing w:after="0"/>
              <w:ind w:left="262" w:right="57" w:hanging="205"/>
              <w:jc w:val="both"/>
              <w:rPr>
                <w:rFonts w:ascii="Arial Narrow" w:hAnsi="Arial Narrow" w:cs="Garamond"/>
                <w:sz w:val="18"/>
                <w:szCs w:val="18"/>
              </w:rPr>
            </w:pPr>
            <w:r w:rsidRPr="004D57B3">
              <w:rPr>
                <w:rFonts w:ascii="Arial Narrow" w:hAnsi="Arial Narrow" w:cs="Garamond"/>
                <w:sz w:val="18"/>
                <w:szCs w:val="18"/>
              </w:rPr>
              <w:t>Raised ESR/CRP 33% (7/21)</w:t>
            </w:r>
          </w:p>
          <w:p w:rsidR="0048417A" w:rsidRPr="004D57B3" w:rsidRDefault="0048417A" w:rsidP="00836B55">
            <w:pPr>
              <w:keepNext/>
              <w:numPr>
                <w:ilvl w:val="0"/>
                <w:numId w:val="48"/>
              </w:numPr>
              <w:autoSpaceDE w:val="0"/>
              <w:autoSpaceDN w:val="0"/>
              <w:adjustRightInd w:val="0"/>
              <w:spacing w:after="0"/>
              <w:ind w:left="262" w:right="57" w:hanging="205"/>
              <w:jc w:val="both"/>
              <w:rPr>
                <w:rFonts w:ascii="Arial Narrow" w:hAnsi="Arial Narrow" w:cs="Garamond"/>
                <w:sz w:val="18"/>
                <w:szCs w:val="18"/>
              </w:rPr>
            </w:pPr>
            <w:r w:rsidRPr="004D57B3">
              <w:rPr>
                <w:rFonts w:ascii="Arial Narrow" w:hAnsi="Arial Narrow" w:cs="Garamond"/>
                <w:sz w:val="18"/>
                <w:szCs w:val="18"/>
              </w:rPr>
              <w:t>Iron deficiency 24% (5/21)</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Not explicitly defined, however it appears that yield was calculated based on the presence of any erosions or ulcers.</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Diagnostic yield:</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24% (4/17) (95% CI 8</w:t>
            </w:r>
            <w:r>
              <w:rPr>
                <w:rFonts w:ascii="Arial Narrow" w:hAnsi="Arial Narrow" w:cs="Garamond"/>
                <w:sz w:val="18"/>
                <w:szCs w:val="18"/>
              </w:rPr>
              <w:t>-</w:t>
            </w:r>
            <w:r w:rsidRPr="004D57B3">
              <w:rPr>
                <w:rFonts w:ascii="Arial Narrow" w:hAnsi="Arial Narrow" w:cs="Garamond"/>
                <w:sz w:val="18"/>
                <w:szCs w:val="18"/>
              </w:rPr>
              <w:t>50%)</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 xml:space="preserve">2 TP/2 FP </w:t>
            </w:r>
            <w:r w:rsidRPr="004D57B3">
              <w:rPr>
                <w:rFonts w:ascii="Arial Narrow" w:hAnsi="Arial Narrow" w:cs="Garamond"/>
                <w:sz w:val="18"/>
                <w:szCs w:val="18"/>
              </w:rPr>
              <w:t xml:space="preserve">(on the basis of </w:t>
            </w:r>
            <w:r>
              <w:rPr>
                <w:rFonts w:ascii="Arial Narrow" w:hAnsi="Arial Narrow" w:cs="Garamond"/>
                <w:sz w:val="18"/>
                <w:szCs w:val="18"/>
              </w:rPr>
              <w:t>follow-up</w:t>
            </w:r>
            <w:r w:rsidRPr="004D57B3">
              <w:rPr>
                <w:rFonts w:ascii="Arial Narrow" w:hAnsi="Arial Narrow" w:cs="Garamond"/>
                <w:sz w:val="18"/>
                <w:szCs w:val="18"/>
              </w:rPr>
              <w:t xml:space="preserve"> and prior tests)</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260B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 xml:space="preserve">Assumptions: </w:t>
            </w:r>
            <w:r w:rsidRPr="004D57B3">
              <w:rPr>
                <w:rFonts w:ascii="Arial Narrow" w:hAnsi="Arial Narrow" w:cs="Garamond"/>
                <w:sz w:val="18"/>
                <w:szCs w:val="18"/>
              </w:rPr>
              <w:t>Patients for whom capsule endoscopy failed to reach the caecum were excluded (4 patients).</w:t>
            </w:r>
          </w:p>
          <w:p w:rsidR="00260BB3" w:rsidRDefault="00260BB3"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Impact on management</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4 positive results:</w:t>
            </w:r>
          </w:p>
          <w:p w:rsidR="0048417A" w:rsidRPr="004D57B3" w:rsidRDefault="0048417A" w:rsidP="00836B55">
            <w:pPr>
              <w:keepNext/>
              <w:numPr>
                <w:ilvl w:val="0"/>
                <w:numId w:val="47"/>
              </w:numPr>
              <w:autoSpaceDE w:val="0"/>
              <w:autoSpaceDN w:val="0"/>
              <w:adjustRightInd w:val="0"/>
              <w:spacing w:after="0"/>
              <w:ind w:left="224" w:right="57" w:hanging="196"/>
              <w:rPr>
                <w:rFonts w:ascii="Arial Narrow" w:hAnsi="Arial Narrow" w:cs="Garamond"/>
                <w:sz w:val="18"/>
                <w:szCs w:val="18"/>
              </w:rPr>
            </w:pPr>
            <w:r w:rsidRPr="004D57B3">
              <w:rPr>
                <w:rFonts w:ascii="Arial Narrow" w:hAnsi="Arial Narrow" w:cs="Garamond"/>
                <w:sz w:val="18"/>
                <w:szCs w:val="18"/>
              </w:rPr>
              <w:t>1 lost to FU (CD)</w:t>
            </w:r>
          </w:p>
          <w:p w:rsidR="0048417A" w:rsidRPr="004D57B3" w:rsidRDefault="0048417A" w:rsidP="00836B55">
            <w:pPr>
              <w:keepNext/>
              <w:numPr>
                <w:ilvl w:val="0"/>
                <w:numId w:val="47"/>
              </w:numPr>
              <w:autoSpaceDE w:val="0"/>
              <w:autoSpaceDN w:val="0"/>
              <w:adjustRightInd w:val="0"/>
              <w:spacing w:after="0"/>
              <w:ind w:left="224" w:right="57" w:hanging="196"/>
              <w:rPr>
                <w:rFonts w:ascii="Arial Narrow" w:hAnsi="Arial Narrow" w:cs="Garamond"/>
                <w:sz w:val="18"/>
                <w:szCs w:val="18"/>
              </w:rPr>
            </w:pPr>
            <w:r w:rsidRPr="004D57B3">
              <w:rPr>
                <w:rFonts w:ascii="Arial Narrow" w:hAnsi="Arial Narrow" w:cs="Garamond"/>
                <w:sz w:val="18"/>
                <w:szCs w:val="18"/>
              </w:rPr>
              <w:t>1 corticosteroid (CD)</w:t>
            </w:r>
          </w:p>
          <w:p w:rsidR="0048417A" w:rsidRPr="004D57B3" w:rsidRDefault="0048417A" w:rsidP="00836B55">
            <w:pPr>
              <w:keepNext/>
              <w:numPr>
                <w:ilvl w:val="0"/>
                <w:numId w:val="47"/>
              </w:numPr>
              <w:autoSpaceDE w:val="0"/>
              <w:autoSpaceDN w:val="0"/>
              <w:adjustRightInd w:val="0"/>
              <w:spacing w:after="0"/>
              <w:ind w:left="224" w:right="57" w:hanging="196"/>
              <w:rPr>
                <w:rFonts w:ascii="Arial Narrow" w:hAnsi="Arial Narrow" w:cs="Garamond"/>
                <w:sz w:val="18"/>
                <w:szCs w:val="18"/>
              </w:rPr>
            </w:pPr>
            <w:r w:rsidRPr="004D57B3">
              <w:rPr>
                <w:rFonts w:ascii="Arial Narrow" w:hAnsi="Arial Narrow" w:cs="Garamond"/>
                <w:sz w:val="18"/>
                <w:szCs w:val="18"/>
              </w:rPr>
              <w:t xml:space="preserve">1 </w:t>
            </w:r>
            <w:proofErr w:type="spellStart"/>
            <w:r w:rsidRPr="004D57B3">
              <w:rPr>
                <w:rFonts w:ascii="Arial Narrow" w:hAnsi="Arial Narrow" w:cs="Garamond"/>
                <w:sz w:val="18"/>
                <w:szCs w:val="18"/>
              </w:rPr>
              <w:t>mesalazine</w:t>
            </w:r>
            <w:proofErr w:type="spellEnd"/>
          </w:p>
          <w:p w:rsidR="0048417A" w:rsidRPr="004D57B3" w:rsidRDefault="0048417A" w:rsidP="00836B55">
            <w:pPr>
              <w:keepNext/>
              <w:numPr>
                <w:ilvl w:val="0"/>
                <w:numId w:val="47"/>
              </w:numPr>
              <w:autoSpaceDE w:val="0"/>
              <w:autoSpaceDN w:val="0"/>
              <w:adjustRightInd w:val="0"/>
              <w:spacing w:after="0"/>
              <w:ind w:left="224" w:right="57" w:hanging="196"/>
              <w:rPr>
                <w:rFonts w:ascii="Arial Narrow" w:hAnsi="Arial Narrow" w:cs="Garamond"/>
                <w:sz w:val="18"/>
                <w:szCs w:val="18"/>
              </w:rPr>
            </w:pPr>
            <w:r w:rsidRPr="004D57B3">
              <w:rPr>
                <w:rFonts w:ascii="Arial Narrow" w:hAnsi="Arial Narrow" w:cs="Garamond"/>
                <w:sz w:val="18"/>
                <w:szCs w:val="18"/>
              </w:rPr>
              <w:t>1 surgery</w:t>
            </w:r>
          </w:p>
          <w:p w:rsidR="0048417A" w:rsidRPr="004D57B3" w:rsidRDefault="0048417A" w:rsidP="00836B55">
            <w:pPr>
              <w:keepNext/>
              <w:numPr>
                <w:ilvl w:val="0"/>
                <w:numId w:val="47"/>
              </w:numPr>
              <w:autoSpaceDE w:val="0"/>
              <w:autoSpaceDN w:val="0"/>
              <w:adjustRightInd w:val="0"/>
              <w:spacing w:after="0"/>
              <w:ind w:left="224" w:right="57" w:hanging="196"/>
              <w:rPr>
                <w:rFonts w:ascii="Arial Narrow" w:hAnsi="Arial Narrow" w:cs="Garamond"/>
                <w:sz w:val="18"/>
                <w:szCs w:val="18"/>
              </w:rPr>
            </w:pPr>
            <w:r w:rsidRPr="004D57B3">
              <w:rPr>
                <w:rFonts w:ascii="Arial Narrow" w:hAnsi="Arial Narrow" w:cs="Garamond"/>
                <w:sz w:val="18"/>
                <w:szCs w:val="18"/>
              </w:rPr>
              <w:t>(</w:t>
            </w:r>
            <w:proofErr w:type="gramStart"/>
            <w:r w:rsidRPr="004D57B3">
              <w:rPr>
                <w:rFonts w:ascii="Arial Narrow" w:hAnsi="Arial Narrow" w:cs="Garamond"/>
                <w:sz w:val="18"/>
                <w:szCs w:val="18"/>
              </w:rPr>
              <w:t>pre-CE</w:t>
            </w:r>
            <w:proofErr w:type="gramEnd"/>
            <w:r w:rsidRPr="004D57B3">
              <w:rPr>
                <w:rFonts w:ascii="Arial Narrow" w:hAnsi="Arial Narrow" w:cs="Garamond"/>
                <w:sz w:val="18"/>
                <w:szCs w:val="18"/>
              </w:rPr>
              <w:t xml:space="preserve"> plan not stated).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The impact on management related to the effect of all the investigations (capsule endoscopy, push </w:t>
            </w:r>
            <w:proofErr w:type="spellStart"/>
            <w:r w:rsidRPr="004D57B3">
              <w:rPr>
                <w:rFonts w:ascii="Arial Narrow" w:hAnsi="Arial Narrow" w:cs="Garamond"/>
                <w:sz w:val="18"/>
                <w:szCs w:val="18"/>
              </w:rPr>
              <w:t>enteroscopy</w:t>
            </w:r>
            <w:proofErr w:type="spellEnd"/>
            <w:r w:rsidRPr="004D57B3">
              <w:rPr>
                <w:rFonts w:ascii="Arial Narrow" w:hAnsi="Arial Narrow" w:cs="Garamond"/>
                <w:sz w:val="18"/>
                <w:szCs w:val="18"/>
              </w:rPr>
              <w:t xml:space="preserve">,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 xml:space="preserve">). </w:t>
            </w:r>
          </w:p>
          <w:p w:rsidR="00260B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The management plan was changed for 14/21 patients compared with the pre-CE plan.</w:t>
            </w:r>
          </w:p>
          <w:p w:rsidR="00260BB3" w:rsidRPr="00260BB3" w:rsidRDefault="00260BB3" w:rsidP="00836B55">
            <w:pPr>
              <w:keepNext/>
              <w:autoSpaceDE w:val="0"/>
              <w:autoSpaceDN w:val="0"/>
              <w:adjustRightInd w:val="0"/>
              <w:spacing w:after="0"/>
              <w:ind w:left="57" w:right="57"/>
              <w:rPr>
                <w:rFonts w:ascii="Arial Narrow" w:hAnsi="Arial Narrow" w:cs="Garamond"/>
                <w:sz w:val="110"/>
                <w:szCs w:val="110"/>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lastRenderedPageBreak/>
              <w:t>Patients with a normal CE result did not receive further evaluation for small bowel Crohn’s disease and were treated expectantly or as having irritable bowel syndrome.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Failure to reach caecum: 19% (4/21)</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capsules were retained.</w:t>
            </w:r>
          </w:p>
        </w:tc>
        <w:tc>
          <w:tcPr>
            <w:tcW w:w="3514"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 xml:space="preserve">Comparison: </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Comparator not applicable for this report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w:t>
            </w:r>
            <w:r>
              <w:rPr>
                <w:rFonts w:ascii="Arial Narrow" w:hAnsi="Arial Narrow" w:cs="Garamond"/>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unknown</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no</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260BB3">
      <w:pPr>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14"/>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547DED" w:rsidRDefault="0048417A" w:rsidP="00836B55">
            <w:pPr>
              <w:keepNext/>
              <w:spacing w:after="0"/>
              <w:ind w:left="57" w:right="57"/>
              <w:rPr>
                <w:rFonts w:ascii="Arial Narrow" w:hAnsi="Arial Narrow"/>
                <w:b/>
                <w:bCs/>
                <w:sz w:val="18"/>
                <w:szCs w:val="18"/>
              </w:rPr>
            </w:pPr>
            <w:r w:rsidRPr="00547DED">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14"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De Bona et al </w:t>
            </w:r>
            <w:r>
              <w:rPr>
                <w:rFonts w:ascii="Arial Narrow" w:hAnsi="Arial Narrow" w:cs="Garamond"/>
                <w:sz w:val="18"/>
                <w:szCs w:val="18"/>
              </w:rPr>
              <w:t>(</w:t>
            </w:r>
            <w:r w:rsidRPr="004D57B3">
              <w:rPr>
                <w:rFonts w:ascii="Arial Narrow" w:hAnsi="Arial Narrow" w:cs="Garamond"/>
                <w:sz w:val="18"/>
                <w:szCs w:val="18"/>
              </w:rPr>
              <w:t>2006</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Italy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Clinical setting not reported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Recruitment period not reported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=38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assess the role of capsule endoscopy in the diagnosis of patients with suspected Crohn’s disease.</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 consecutive, diagnostic yield study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Clinical features suggestive of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Patients were divided into </w:t>
            </w:r>
            <w:r>
              <w:rPr>
                <w:rFonts w:ascii="Arial Narrow" w:hAnsi="Arial Narrow" w:cs="Garamond"/>
                <w:sz w:val="18"/>
                <w:szCs w:val="18"/>
              </w:rPr>
              <w:t>2</w:t>
            </w:r>
            <w:r w:rsidRPr="004D57B3">
              <w:rPr>
                <w:rFonts w:ascii="Arial Narrow" w:hAnsi="Arial Narrow" w:cs="Garamond"/>
                <w:sz w:val="18"/>
                <w:szCs w:val="18"/>
              </w:rPr>
              <w:t xml:space="preserve"> groups: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Group 1. Those with ongoing symptoms (weight loss and/or abdominal pain and/or chronic diarrhoea and/or anaemia) (</w:t>
            </w:r>
            <w:r>
              <w:rPr>
                <w:rFonts w:ascii="Arial Narrow" w:hAnsi="Arial Narrow" w:cs="Garamond"/>
                <w:sz w:val="18"/>
                <w:szCs w:val="18"/>
              </w:rPr>
              <w:t>n</w:t>
            </w:r>
            <w:r w:rsidRPr="004D57B3">
              <w:rPr>
                <w:rFonts w:ascii="Arial Narrow" w:hAnsi="Arial Narrow" w:cs="Garamond"/>
                <w:sz w:val="18"/>
                <w:szCs w:val="18"/>
              </w:rPr>
              <w:t>=12)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Group 2.Those with ongoing symptoms and biochemical inflammatory markers (CRP and/or ESR) (</w:t>
            </w:r>
            <w:r>
              <w:rPr>
                <w:rFonts w:ascii="Arial Narrow" w:hAnsi="Arial Narrow" w:cs="Garamond"/>
                <w:sz w:val="18"/>
                <w:szCs w:val="18"/>
              </w:rPr>
              <w:t>n</w:t>
            </w:r>
            <w:r w:rsidRPr="004D57B3">
              <w:rPr>
                <w:rFonts w:ascii="Arial Narrow" w:hAnsi="Arial Narrow" w:cs="Garamond"/>
                <w:sz w:val="18"/>
                <w:szCs w:val="18"/>
              </w:rPr>
              <w:t>=26)</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Pregnancy, swallowing disorders, NSAIDs in the previous </w:t>
            </w:r>
            <w:r>
              <w:rPr>
                <w:rFonts w:ascii="Arial Narrow" w:hAnsi="Arial Narrow" w:cs="Garamond"/>
                <w:sz w:val="18"/>
                <w:szCs w:val="18"/>
              </w:rPr>
              <w:t>4</w:t>
            </w:r>
            <w:r w:rsidRPr="004D57B3">
              <w:rPr>
                <w:rFonts w:ascii="Arial Narrow" w:hAnsi="Arial Narrow" w:cs="Garamond"/>
                <w:sz w:val="18"/>
                <w:szCs w:val="18"/>
              </w:rPr>
              <w:t xml:space="preserve"> weeks and the presence of a pacemaker.</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Mean age 46.2 years, range 17-76 years. </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22 female/16 male</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Negative on conventional imaging (Upper/lower endoscopy, retrograde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and </w:t>
            </w:r>
            <w:r>
              <w:rPr>
                <w:rFonts w:ascii="Arial Narrow" w:hAnsi="Arial Narrow" w:cs="Garamond"/>
                <w:sz w:val="18"/>
                <w:szCs w:val="18"/>
              </w:rPr>
              <w:t>SBFT</w:t>
            </w:r>
            <w:r w:rsidRPr="004D57B3">
              <w:rPr>
                <w:rFonts w:ascii="Arial Narrow" w:hAnsi="Arial Narrow" w:cs="Garamond"/>
                <w:sz w:val="18"/>
                <w:szCs w:val="18"/>
              </w:rPr>
              <w:t>). Before capsule endoscopy, a complete blood count, erythrocyte sedimentation rate, C-reactive protein and iron studies were obtained.</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54"/>
              <w:gridCol w:w="667"/>
              <w:gridCol w:w="667"/>
            </w:tblGrid>
            <w:tr w:rsidR="0048417A" w:rsidRPr="004D57B3" w:rsidTr="00836B55">
              <w:trPr>
                <w:trHeight w:val="257"/>
              </w:trPr>
              <w:tc>
                <w:tcPr>
                  <w:tcW w:w="66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 xml:space="preserve">Group </w:t>
                  </w:r>
                </w:p>
                <w:p w:rsidR="0048417A" w:rsidRPr="004D57B3" w:rsidRDefault="0048417A" w:rsidP="00836B55">
                  <w:pPr>
                    <w:pStyle w:val="TableText"/>
                  </w:pPr>
                  <w:r w:rsidRPr="004D57B3">
                    <w:t>1</w:t>
                  </w:r>
                </w:p>
              </w:tc>
              <w:tc>
                <w:tcPr>
                  <w:tcW w:w="667" w:type="dxa"/>
                  <w:tcBorders>
                    <w:top w:val="single" w:sz="4" w:space="0" w:color="auto"/>
                    <w:left w:val="single" w:sz="4" w:space="0" w:color="auto"/>
                    <w:bottom w:val="single" w:sz="4" w:space="0" w:color="auto"/>
                    <w:right w:val="single" w:sz="4" w:space="0" w:color="auto"/>
                  </w:tcBorders>
                </w:tcPr>
                <w:p w:rsidR="0048417A" w:rsidRDefault="0048417A" w:rsidP="00836B55">
                  <w:pPr>
                    <w:pStyle w:val="TableText"/>
                  </w:pPr>
                  <w:r w:rsidRPr="004D57B3">
                    <w:t xml:space="preserve">Group </w:t>
                  </w:r>
                </w:p>
                <w:p w:rsidR="0048417A" w:rsidRPr="004D57B3" w:rsidRDefault="0048417A" w:rsidP="00836B55">
                  <w:pPr>
                    <w:pStyle w:val="TableText"/>
                  </w:pPr>
                  <w:r w:rsidRPr="004D57B3">
                    <w:t>2</w:t>
                  </w:r>
                </w:p>
              </w:tc>
            </w:tr>
            <w:tr w:rsidR="0048417A" w:rsidRPr="004D57B3" w:rsidTr="00836B55">
              <w:trPr>
                <w:trHeight w:val="145"/>
              </w:trPr>
              <w:tc>
                <w:tcPr>
                  <w:tcW w:w="66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Abdominal pain %</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58.3% (7/12)</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88.5% (23/26)</w:t>
                  </w:r>
                </w:p>
              </w:tc>
            </w:tr>
            <w:tr w:rsidR="0048417A" w:rsidRPr="004D57B3" w:rsidTr="00836B55">
              <w:trPr>
                <w:trHeight w:val="145"/>
              </w:trPr>
              <w:tc>
                <w:tcPr>
                  <w:tcW w:w="66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Diarrhoea</w:t>
                  </w:r>
                </w:p>
                <w:p w:rsidR="0048417A" w:rsidRPr="004D57B3" w:rsidRDefault="0048417A" w:rsidP="00836B55">
                  <w:pPr>
                    <w:pStyle w:val="TableText"/>
                  </w:pPr>
                  <w:r w:rsidRPr="004D57B3">
                    <w:t>%</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25% (3/12)</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42.3% (11/26)</w:t>
                  </w:r>
                </w:p>
              </w:tc>
            </w:tr>
            <w:tr w:rsidR="0048417A" w:rsidRPr="004D57B3" w:rsidTr="00836B55">
              <w:trPr>
                <w:trHeight w:val="145"/>
              </w:trPr>
              <w:tc>
                <w:tcPr>
                  <w:tcW w:w="66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Iron deficiency</w:t>
                  </w:r>
                </w:p>
                <w:p w:rsidR="0048417A" w:rsidRPr="004D57B3" w:rsidRDefault="0048417A" w:rsidP="00836B55">
                  <w:pPr>
                    <w:pStyle w:val="TableText"/>
                  </w:pPr>
                  <w:r w:rsidRPr="004D57B3">
                    <w:t>%</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75% (9/12)</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80.8% (21/26)</w:t>
                  </w:r>
                </w:p>
              </w:tc>
            </w:tr>
            <w:tr w:rsidR="0048417A" w:rsidRPr="004D57B3" w:rsidTr="00836B55">
              <w:trPr>
                <w:trHeight w:val="145"/>
              </w:trPr>
              <w:tc>
                <w:tcPr>
                  <w:tcW w:w="663"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Weight loss %</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16.7% (4/12)</w:t>
                  </w:r>
                  <w:r w:rsidRPr="004D57B3">
                    <w:rPr>
                      <w:sz w:val="16"/>
                      <w:szCs w:val="16"/>
                    </w:rPr>
                    <w:t>*</w:t>
                  </w:r>
                </w:p>
              </w:tc>
              <w:tc>
                <w:tcPr>
                  <w:tcW w:w="667"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 xml:space="preserve"> 30.8% (8/26)</w:t>
                  </w:r>
                </w:p>
              </w:tc>
            </w:tr>
          </w:tbl>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*reported % does not equate with reported n</w:t>
            </w:r>
            <w:r>
              <w:rPr>
                <w:rFonts w:ascii="Arial Narrow" w:hAnsi="Arial Narrow" w:cs="Garamond"/>
                <w:sz w:val="18"/>
                <w:szCs w:val="18"/>
              </w:rPr>
              <w:t>umerator / denominator</w:t>
            </w:r>
          </w:p>
          <w:p w:rsidR="0048417A" w:rsidRPr="004D57B3" w:rsidRDefault="0048417A" w:rsidP="00836B55">
            <w:pPr>
              <w:keepNext/>
              <w:autoSpaceDE w:val="0"/>
              <w:autoSpaceDN w:val="0"/>
              <w:adjustRightInd w:val="0"/>
              <w:spacing w:after="0"/>
              <w:ind w:left="41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Findings were classified as either: </w:t>
            </w:r>
          </w:p>
          <w:p w:rsidR="0048417A" w:rsidRPr="004D57B3" w:rsidRDefault="0048417A" w:rsidP="00836B55">
            <w:pPr>
              <w:keepNext/>
              <w:numPr>
                <w:ilvl w:val="0"/>
                <w:numId w:val="22"/>
              </w:numPr>
              <w:autoSpaceDE w:val="0"/>
              <w:autoSpaceDN w:val="0"/>
              <w:adjustRightInd w:val="0"/>
              <w:spacing w:after="0"/>
              <w:ind w:right="57"/>
              <w:rPr>
                <w:rFonts w:ascii="Arial Narrow" w:hAnsi="Arial Narrow" w:cs="Garamond"/>
                <w:sz w:val="18"/>
                <w:szCs w:val="18"/>
              </w:rPr>
            </w:pPr>
            <w:r w:rsidRPr="004D57B3">
              <w:rPr>
                <w:rFonts w:ascii="Arial Narrow" w:hAnsi="Arial Narrow" w:cs="Garamond"/>
                <w:sz w:val="18"/>
                <w:szCs w:val="18"/>
              </w:rPr>
              <w:t>diagnostic (multiple erosions or ulcerations)</w:t>
            </w:r>
            <w:r>
              <w:rPr>
                <w:rFonts w:ascii="Arial Narrow" w:hAnsi="Arial Narrow" w:cs="Garamond"/>
                <w:sz w:val="18"/>
                <w:szCs w:val="18"/>
              </w:rPr>
              <w:t>,</w:t>
            </w:r>
            <w:r w:rsidRPr="004D57B3">
              <w:rPr>
                <w:rFonts w:ascii="Arial Narrow" w:hAnsi="Arial Narrow" w:cs="Garamond"/>
                <w:sz w:val="18"/>
                <w:szCs w:val="18"/>
              </w:rPr>
              <w:t xml:space="preserve"> or</w:t>
            </w:r>
          </w:p>
          <w:p w:rsidR="0048417A" w:rsidRPr="004D57B3" w:rsidRDefault="0048417A" w:rsidP="00836B55">
            <w:pPr>
              <w:keepNext/>
              <w:numPr>
                <w:ilvl w:val="0"/>
                <w:numId w:val="22"/>
              </w:numPr>
              <w:autoSpaceDE w:val="0"/>
              <w:autoSpaceDN w:val="0"/>
              <w:adjustRightInd w:val="0"/>
              <w:spacing w:after="0"/>
              <w:ind w:right="57"/>
              <w:rPr>
                <w:rFonts w:ascii="Arial Narrow" w:hAnsi="Arial Narrow" w:cs="Garamond"/>
                <w:sz w:val="18"/>
                <w:szCs w:val="18"/>
              </w:rPr>
            </w:pPr>
            <w:r w:rsidRPr="004D57B3">
              <w:rPr>
                <w:rFonts w:ascii="Arial Narrow" w:hAnsi="Arial Narrow" w:cs="Garamond"/>
                <w:sz w:val="18"/>
                <w:szCs w:val="18"/>
              </w:rPr>
              <w:t>suspicious (≤3 erosions or ulcerations and/or nodular mucosa pattern)</w:t>
            </w:r>
            <w:r>
              <w:rPr>
                <w:rFonts w:ascii="Arial Narrow" w:hAnsi="Arial Narrow" w:cs="Garamond"/>
                <w:sz w:val="18"/>
                <w:szCs w:val="18"/>
              </w:rPr>
              <w:t>,</w:t>
            </w:r>
            <w:r w:rsidRPr="004D57B3">
              <w:rPr>
                <w:rFonts w:ascii="Arial Narrow" w:hAnsi="Arial Narrow" w:cs="Garamond"/>
                <w:sz w:val="18"/>
                <w:szCs w:val="18"/>
              </w:rPr>
              <w:t xml:space="preserve"> or</w:t>
            </w:r>
          </w:p>
          <w:p w:rsidR="0048417A" w:rsidRPr="004D57B3" w:rsidRDefault="0048417A" w:rsidP="00836B55">
            <w:pPr>
              <w:keepNext/>
              <w:numPr>
                <w:ilvl w:val="0"/>
                <w:numId w:val="22"/>
              </w:numPr>
              <w:autoSpaceDE w:val="0"/>
              <w:autoSpaceDN w:val="0"/>
              <w:adjustRightInd w:val="0"/>
              <w:spacing w:after="0"/>
              <w:ind w:right="57"/>
              <w:rPr>
                <w:rFonts w:ascii="Arial Narrow" w:hAnsi="Arial Narrow" w:cs="Garamond"/>
                <w:sz w:val="18"/>
                <w:szCs w:val="18"/>
              </w:rPr>
            </w:pPr>
            <w:r w:rsidRPr="004D57B3">
              <w:rPr>
                <w:rFonts w:ascii="Arial Narrow" w:hAnsi="Arial Narrow" w:cs="Garamond"/>
                <w:sz w:val="18"/>
                <w:szCs w:val="18"/>
              </w:rPr>
              <w:t>non-specific (mucosal changes unrelated to Crohn’s disease)</w:t>
            </w:r>
            <w:r>
              <w:rPr>
                <w:rFonts w:ascii="Arial Narrow" w:hAnsi="Arial Narrow" w:cs="Garamond"/>
                <w:sz w:val="18"/>
                <w:szCs w:val="18"/>
              </w:rPr>
              <w:t>,</w:t>
            </w:r>
            <w:r w:rsidRPr="004D57B3">
              <w:rPr>
                <w:rFonts w:ascii="Arial Narrow" w:hAnsi="Arial Narrow" w:cs="Garamond"/>
                <w:sz w:val="18"/>
                <w:szCs w:val="18"/>
              </w:rPr>
              <w:t xml:space="preserve"> or</w:t>
            </w:r>
          </w:p>
          <w:p w:rsidR="00260BB3" w:rsidRPr="00260BB3" w:rsidRDefault="0048417A" w:rsidP="00260BB3">
            <w:pPr>
              <w:keepNext/>
              <w:numPr>
                <w:ilvl w:val="0"/>
                <w:numId w:val="22"/>
              </w:numPr>
              <w:autoSpaceDE w:val="0"/>
              <w:autoSpaceDN w:val="0"/>
              <w:adjustRightInd w:val="0"/>
              <w:spacing w:after="0"/>
              <w:ind w:right="57"/>
              <w:rPr>
                <w:rFonts w:ascii="Arial Narrow" w:hAnsi="Arial Narrow" w:cs="Garamond"/>
                <w:b/>
                <w:sz w:val="18"/>
                <w:szCs w:val="18"/>
              </w:rPr>
            </w:pPr>
            <w:proofErr w:type="gramStart"/>
            <w:r w:rsidRPr="004D57B3">
              <w:rPr>
                <w:rFonts w:ascii="Arial Narrow" w:hAnsi="Arial Narrow" w:cs="Garamond"/>
                <w:sz w:val="18"/>
                <w:szCs w:val="18"/>
              </w:rPr>
              <w:t>normal</w:t>
            </w:r>
            <w:proofErr w:type="gramEnd"/>
            <w:r w:rsidRPr="004D57B3">
              <w:rPr>
                <w:rFonts w:ascii="Arial Narrow" w:hAnsi="Arial Narrow" w:cs="Garamond"/>
                <w:sz w:val="18"/>
                <w:szCs w:val="18"/>
              </w:rPr>
              <w:t xml:space="preserve"> (no changes).</w:t>
            </w:r>
          </w:p>
          <w:p w:rsidR="0048417A" w:rsidRPr="00260BB3" w:rsidRDefault="00260BB3" w:rsidP="00260BB3">
            <w:pPr>
              <w:keepNext/>
              <w:autoSpaceDE w:val="0"/>
              <w:autoSpaceDN w:val="0"/>
              <w:adjustRightInd w:val="0"/>
              <w:spacing w:after="0"/>
              <w:ind w:left="417" w:right="57"/>
              <w:rPr>
                <w:rFonts w:ascii="Arial Narrow" w:hAnsi="Arial Narrow" w:cs="Garamond"/>
                <w:b/>
                <w:sz w:val="72"/>
                <w:szCs w:val="72"/>
              </w:rPr>
            </w:pPr>
            <w:r w:rsidRPr="004D57B3">
              <w:rPr>
                <w:rFonts w:ascii="Arial Narrow" w:hAnsi="Arial Narrow" w:cs="Garamond"/>
                <w:b/>
                <w:sz w:val="18"/>
                <w:szCs w:val="18"/>
              </w:rPr>
              <w:t xml:space="preserve"> </w:t>
            </w: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381"/>
              <w:gridCol w:w="594"/>
            </w:tblGrid>
            <w:tr w:rsidR="0048417A" w:rsidRPr="004D57B3" w:rsidTr="00836B55">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Diagno</w:t>
                  </w:r>
                  <w:r w:rsidRPr="004D57B3">
                    <w:t>stic</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13</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 xml:space="preserve">34% </w:t>
                  </w:r>
                </w:p>
              </w:tc>
            </w:tr>
            <w:tr w:rsidR="0048417A" w:rsidRPr="004D57B3" w:rsidTr="00836B55">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Suspicious</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 xml:space="preserve">5% </w:t>
                  </w:r>
                </w:p>
              </w:tc>
            </w:tr>
            <w:tr w:rsidR="0048417A" w:rsidRPr="004D57B3" w:rsidTr="00836B55">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Non</w:t>
                  </w:r>
                  <w:r>
                    <w:t>-</w:t>
                  </w:r>
                  <w:r w:rsidRPr="004D57B3">
                    <w:t>spec</w:t>
                  </w:r>
                  <w:r>
                    <w:t>i</w:t>
                  </w:r>
                  <w:r w:rsidRPr="004D57B3">
                    <w:t>fic</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t>4</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11%</w:t>
                  </w:r>
                </w:p>
              </w:tc>
            </w:tr>
            <w:tr w:rsidR="0048417A" w:rsidRPr="004D57B3" w:rsidTr="00836B55">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Normal</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19</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50%</w:t>
                  </w:r>
                </w:p>
              </w:tc>
            </w:tr>
            <w:tr w:rsidR="0048417A" w:rsidRPr="004D57B3" w:rsidTr="00836B55">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38</w:t>
                  </w:r>
                </w:p>
              </w:tc>
              <w:tc>
                <w:tcPr>
                  <w:tcW w:w="0" w:type="auto"/>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100%</w:t>
                  </w:r>
                </w:p>
              </w:tc>
            </w:tr>
          </w:tbl>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Diagnostic:</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34% (95% CI 20-51%)</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Diagnostic and suspicious: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All: 39% (15/38) (95% CI 25- 57%)</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Group 2: 46.2% (14/26) (95% CI 34</w:t>
            </w:r>
            <w:r>
              <w:rPr>
                <w:rFonts w:ascii="Arial Narrow" w:hAnsi="Arial Narrow" w:cs="Garamond"/>
                <w:sz w:val="18"/>
                <w:szCs w:val="18"/>
              </w:rPr>
              <w:t>-</w:t>
            </w:r>
            <w:r w:rsidRPr="004D57B3">
              <w:rPr>
                <w:rFonts w:ascii="Arial Narrow" w:hAnsi="Arial Narrow" w:cs="Garamond"/>
                <w:sz w:val="18"/>
                <w:szCs w:val="18"/>
              </w:rPr>
              <w:t>73%)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Group 1: 8.3% (1/12) (95% CI 0.4</w:t>
            </w:r>
            <w:r>
              <w:rPr>
                <w:rFonts w:ascii="Arial Narrow" w:hAnsi="Arial Narrow" w:cs="Garamond"/>
                <w:sz w:val="18"/>
                <w:szCs w:val="18"/>
              </w:rPr>
              <w:t>-</w:t>
            </w:r>
            <w:r w:rsidRPr="004D57B3">
              <w:rPr>
                <w:rFonts w:ascii="Arial Narrow" w:hAnsi="Arial Narrow" w:cs="Garamond"/>
                <w:sz w:val="18"/>
                <w:szCs w:val="18"/>
              </w:rPr>
              <w:t>40%)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vertAlign w:val="superscript"/>
              </w:rPr>
            </w:pPr>
            <w:r w:rsidRPr="004D57B3">
              <w:rPr>
                <w:rFonts w:ascii="Arial Narrow" w:hAnsi="Arial Narrow" w:cs="Garamond"/>
                <w:sz w:val="18"/>
                <w:szCs w:val="18"/>
              </w:rPr>
              <w:t xml:space="preserve">(Group 1 </w:t>
            </w:r>
            <w:r>
              <w:rPr>
                <w:rFonts w:ascii="Arial Narrow" w:hAnsi="Arial Narrow" w:cs="Garamond"/>
                <w:sz w:val="18"/>
                <w:szCs w:val="18"/>
              </w:rPr>
              <w:t>versus</w:t>
            </w:r>
            <w:r w:rsidRPr="004D57B3">
              <w:rPr>
                <w:rFonts w:ascii="Arial Narrow" w:hAnsi="Arial Narrow" w:cs="Garamond"/>
                <w:sz w:val="18"/>
                <w:szCs w:val="18"/>
              </w:rPr>
              <w:t xml:space="preserve"> Group 2: p = 0.022)</w:t>
            </w:r>
            <w:r w:rsidRPr="004D57B3">
              <w:rPr>
                <w:rFonts w:ascii="Arial Narrow" w:hAnsi="Arial Narrow" w:cs="Garamond"/>
                <w:sz w:val="18"/>
                <w:szCs w:val="18"/>
                <w:vertAlign w:val="superscript"/>
              </w:rPr>
              <w:t>1</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vertAlign w:val="superscript"/>
              </w:rPr>
            </w:pPr>
          </w:p>
          <w:p w:rsidR="0048417A" w:rsidRPr="004D57B3" w:rsidRDefault="0048417A" w:rsidP="00836B55">
            <w:pPr>
              <w:keepNext/>
              <w:numPr>
                <w:ilvl w:val="0"/>
                <w:numId w:val="18"/>
              </w:numPr>
              <w:autoSpaceDE w:val="0"/>
              <w:autoSpaceDN w:val="0"/>
              <w:adjustRightInd w:val="0"/>
              <w:spacing w:after="0"/>
              <w:ind w:left="193" w:right="57" w:hanging="136"/>
              <w:rPr>
                <w:rFonts w:ascii="Arial Narrow" w:hAnsi="Arial Narrow" w:cs="Garamond"/>
                <w:sz w:val="16"/>
                <w:szCs w:val="16"/>
              </w:rPr>
            </w:pPr>
            <w:r w:rsidRPr="004D57B3">
              <w:rPr>
                <w:rFonts w:ascii="Arial Narrow" w:hAnsi="Arial Narrow" w:cs="Garamond"/>
                <w:sz w:val="16"/>
                <w:szCs w:val="16"/>
              </w:rPr>
              <w:t xml:space="preserve">Reported % for group 2 does not equal reported </w:t>
            </w:r>
            <w:r>
              <w:rPr>
                <w:rFonts w:ascii="Arial Narrow" w:hAnsi="Arial Narrow" w:cs="Garamond"/>
                <w:sz w:val="16"/>
                <w:szCs w:val="16"/>
              </w:rPr>
              <w:t>numerator/denominator</w:t>
            </w:r>
            <w:r w:rsidRPr="004D57B3">
              <w:rPr>
                <w:rFonts w:ascii="Arial Narrow" w:hAnsi="Arial Narrow" w:cs="Garamond"/>
                <w:sz w:val="16"/>
                <w:szCs w:val="16"/>
              </w:rPr>
              <w:t>. If Group 2 is 14/26 (53.8%) then p</w:t>
            </w:r>
            <w:r>
              <w:rPr>
                <w:rFonts w:ascii="Arial Narrow" w:hAnsi="Arial Narrow" w:cs="Garamond"/>
                <w:sz w:val="16"/>
                <w:szCs w:val="16"/>
              </w:rPr>
              <w:t xml:space="preserve"> </w:t>
            </w:r>
            <w:r w:rsidRPr="004D57B3">
              <w:rPr>
                <w:rFonts w:ascii="Arial Narrow" w:hAnsi="Arial Narrow" w:cs="Garamond"/>
                <w:sz w:val="16"/>
                <w:szCs w:val="16"/>
              </w:rPr>
              <w:t xml:space="preserve">= 0.01 (Fisher’s exact test).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Capsule retention: 2.6% (1/38)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Failure to reach colon: 2.6% (1/38)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These occurred in </w:t>
            </w:r>
            <w:r>
              <w:rPr>
                <w:rFonts w:ascii="Arial Narrow" w:hAnsi="Arial Narrow" w:cs="Garamond"/>
                <w:sz w:val="18"/>
                <w:szCs w:val="18"/>
              </w:rPr>
              <w:t>1</w:t>
            </w:r>
            <w:r w:rsidRPr="004D57B3">
              <w:rPr>
                <w:rFonts w:ascii="Arial Narrow" w:hAnsi="Arial Narrow" w:cs="Garamond"/>
                <w:sz w:val="18"/>
                <w:szCs w:val="18"/>
              </w:rPr>
              <w:t xml:space="preserve"> patient (due </w:t>
            </w:r>
            <w:r w:rsidRPr="004D57B3">
              <w:rPr>
                <w:rFonts w:ascii="Arial Narrow" w:hAnsi="Arial Narrow" w:cs="Garamond"/>
                <w:sz w:val="18"/>
                <w:szCs w:val="18"/>
              </w:rPr>
              <w:lastRenderedPageBreak/>
              <w:t>to unsuspected small bowel stenosis) leading to elective laparotomy for capsule retrieval.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other adverse events occurred during the procedure.</w:t>
            </w:r>
          </w:p>
        </w:tc>
        <w:tc>
          <w:tcPr>
            <w:tcW w:w="3514"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CX:</w:t>
            </w:r>
            <w:r w:rsidRPr="004D57B3">
              <w:rPr>
                <w:rFonts w:ascii="Arial Narrow" w:hAnsi="Arial Narrow" w:cs="Garamond"/>
                <w:sz w:val="18"/>
                <w:szCs w:val="18"/>
              </w:rPr>
              <w:t xml:space="preserve"> 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P1</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applicable</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836B55">
      <w:pPr>
        <w:tabs>
          <w:tab w:val="left" w:pos="13155"/>
        </w:tabs>
        <w:spacing w:after="0"/>
        <w:rPr>
          <w:lang w:val="en-US"/>
        </w:rPr>
      </w:pPr>
    </w:p>
    <w:p w:rsidR="0048417A" w:rsidRPr="004D57B3" w:rsidRDefault="0048417A" w:rsidP="00836B55">
      <w:pPr>
        <w:spacing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14"/>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14"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Efthymiou</w:t>
            </w:r>
            <w:proofErr w:type="spellEnd"/>
            <w:r w:rsidRPr="004D57B3">
              <w:rPr>
                <w:rFonts w:ascii="Arial Narrow" w:hAnsi="Arial Narrow" w:cs="Garamond"/>
                <w:sz w:val="18"/>
                <w:szCs w:val="18"/>
              </w:rPr>
              <w:t xml:space="preserve"> et al </w:t>
            </w:r>
            <w:r>
              <w:rPr>
                <w:rFonts w:ascii="Arial Narrow" w:hAnsi="Arial Narrow" w:cs="Garamond"/>
                <w:sz w:val="18"/>
                <w:szCs w:val="18"/>
              </w:rPr>
              <w:t>(</w:t>
            </w:r>
            <w:r w:rsidRPr="004D57B3">
              <w:rPr>
                <w:rFonts w:ascii="Arial Narrow" w:hAnsi="Arial Narrow" w:cs="Garamond"/>
                <w:sz w:val="18"/>
                <w:szCs w:val="18"/>
              </w:rPr>
              <w:t>2009</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Greece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Single tertiary referral centre with patients referred from </w:t>
            </w:r>
            <w:r>
              <w:rPr>
                <w:rFonts w:ascii="Arial Narrow" w:hAnsi="Arial Narrow" w:cs="Garamond"/>
                <w:sz w:val="18"/>
                <w:szCs w:val="18"/>
              </w:rPr>
              <w:t xml:space="preserve">3 </w:t>
            </w:r>
            <w:r w:rsidRPr="004D57B3">
              <w:rPr>
                <w:rFonts w:ascii="Arial Narrow" w:hAnsi="Arial Narrow" w:cs="Garamond"/>
                <w:sz w:val="18"/>
                <w:szCs w:val="18"/>
              </w:rPr>
              <w:t>general hospitals in Athens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September 2003</w:t>
            </w:r>
            <w:r>
              <w:rPr>
                <w:rFonts w:ascii="Arial Narrow" w:hAnsi="Arial Narrow" w:cs="Garamond"/>
                <w:sz w:val="18"/>
                <w:szCs w:val="18"/>
              </w:rPr>
              <w:t>-</w:t>
            </w:r>
            <w:r w:rsidRPr="004D57B3">
              <w:rPr>
                <w:rFonts w:ascii="Arial Narrow" w:hAnsi="Arial Narrow" w:cs="Garamond"/>
                <w:sz w:val="18"/>
                <w:szCs w:val="18"/>
              </w:rPr>
              <w:t>May 2006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=55 (29 with known Crohn’s disease, 26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prospectively compare the diagnostic yield of wireless capsule endoscopy and double contrast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 xml:space="preserve"> in the detection of small bowel Crohn’s disease in a large cohort of patients.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Prospective, blinded, diagnostic yield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Barium radiography (double contrast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for patients with suspected Crohn’s disease (</w:t>
            </w:r>
            <w:r>
              <w:rPr>
                <w:rFonts w:ascii="Arial Narrow" w:hAnsi="Arial Narrow" w:cs="Garamond"/>
                <w:b/>
                <w:sz w:val="18"/>
                <w:szCs w:val="18"/>
              </w:rPr>
              <w:t>n</w:t>
            </w:r>
            <w:r w:rsidRPr="004D57B3">
              <w:rPr>
                <w:rFonts w:ascii="Arial Narrow" w:hAnsi="Arial Narrow" w:cs="Garamond"/>
                <w:b/>
                <w:sz w:val="18"/>
                <w:szCs w:val="18"/>
              </w:rPr>
              <w:t>=26):</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Patients suspected of Crohn’s disease on the basis of symptoms, biochemical markers of inflammation or radiology. Patients had at least </w:t>
            </w:r>
            <w:r>
              <w:rPr>
                <w:rFonts w:ascii="Arial Narrow" w:hAnsi="Arial Narrow" w:cs="Garamond"/>
                <w:sz w:val="18"/>
                <w:szCs w:val="18"/>
              </w:rPr>
              <w:t>1</w:t>
            </w:r>
            <w:r w:rsidRPr="004D57B3">
              <w:rPr>
                <w:rFonts w:ascii="Arial Narrow" w:hAnsi="Arial Narrow" w:cs="Garamond"/>
                <w:sz w:val="18"/>
                <w:szCs w:val="18"/>
              </w:rPr>
              <w:t xml:space="preserve"> of: constant or intermittent abdominal pain for more than </w:t>
            </w:r>
            <w:r>
              <w:rPr>
                <w:rFonts w:ascii="Arial Narrow" w:hAnsi="Arial Narrow" w:cs="Garamond"/>
                <w:sz w:val="18"/>
                <w:szCs w:val="18"/>
              </w:rPr>
              <w:t>3</w:t>
            </w:r>
            <w:r w:rsidRPr="004D57B3">
              <w:rPr>
                <w:rFonts w:ascii="Arial Narrow" w:hAnsi="Arial Narrow" w:cs="Garamond"/>
                <w:sz w:val="18"/>
                <w:szCs w:val="18"/>
              </w:rPr>
              <w:t xml:space="preserve"> months, chronic diarrhoea (&gt;1 month) of any severity, anaemia or weight loss.</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Pregnancy, age &lt;18 years, earlier use of NSAIDs, </w:t>
            </w:r>
            <w:proofErr w:type="spellStart"/>
            <w:r w:rsidRPr="004D57B3">
              <w:rPr>
                <w:rFonts w:ascii="Arial Narrow" w:hAnsi="Arial Narrow" w:cs="Garamond"/>
                <w:sz w:val="18"/>
                <w:szCs w:val="18"/>
              </w:rPr>
              <w:t>stenosing</w:t>
            </w:r>
            <w:proofErr w:type="spellEnd"/>
            <w:r w:rsidRPr="004D57B3">
              <w:rPr>
                <w:rFonts w:ascii="Arial Narrow" w:hAnsi="Arial Narrow" w:cs="Garamond"/>
                <w:sz w:val="18"/>
                <w:szCs w:val="18"/>
              </w:rPr>
              <w:t xml:space="preserve"> Crohn’s disease, history of small bowel surgery, presence of a pacemaker, strictures found during </w:t>
            </w:r>
            <w:proofErr w:type="spellStart"/>
            <w:r w:rsidRPr="004D57B3">
              <w:rPr>
                <w:rFonts w:ascii="Arial Narrow" w:hAnsi="Arial Narrow" w:cs="Garamond"/>
                <w:sz w:val="18"/>
                <w:szCs w:val="18"/>
              </w:rPr>
              <w:t>enteroclysis</w:t>
            </w:r>
            <w:proofErr w:type="spellEnd"/>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 xml:space="preserve">Mean age 33.9 years (range 19-55 years) </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15 female/11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Evaluation by the treating physician prior to enrolment which may include clinical examination, inflammatory biochemical markers, colonoscopy, abdomen CT and </w:t>
            </w:r>
            <w:r>
              <w:rPr>
                <w:rFonts w:ascii="Arial Narrow" w:hAnsi="Arial Narrow" w:cs="Garamond"/>
                <w:sz w:val="18"/>
                <w:szCs w:val="18"/>
              </w:rPr>
              <w:t>SBFT</w:t>
            </w:r>
            <w:r w:rsidRPr="004D57B3">
              <w:rPr>
                <w:rFonts w:ascii="Arial Narrow" w:hAnsi="Arial Narrow" w:cs="Garamond"/>
                <w:sz w:val="18"/>
                <w:szCs w:val="18"/>
              </w:rPr>
              <w:t xml:space="preserve">. Clinical assessment, full blood count, electrolytes and </w:t>
            </w:r>
            <w:r>
              <w:rPr>
                <w:rFonts w:ascii="Arial Narrow" w:hAnsi="Arial Narrow" w:cs="Garamond"/>
                <w:sz w:val="18"/>
                <w:szCs w:val="18"/>
              </w:rPr>
              <w:br w:type="textWrapping" w:clear="all"/>
            </w:r>
            <w:r w:rsidRPr="004D57B3">
              <w:rPr>
                <w:rFonts w:ascii="Arial Narrow" w:hAnsi="Arial Narrow" w:cs="Garamond"/>
                <w:sz w:val="18"/>
                <w:szCs w:val="18"/>
              </w:rPr>
              <w:t xml:space="preserve">C-reactive protein were obtained </w:t>
            </w:r>
            <w:r w:rsidRPr="004D57B3">
              <w:rPr>
                <w:rFonts w:ascii="Arial Narrow" w:hAnsi="Arial Narrow" w:cs="Garamond"/>
                <w:sz w:val="18"/>
                <w:szCs w:val="18"/>
              </w:rPr>
              <w:lastRenderedPageBreak/>
              <w:t xml:space="preserve">at enrolment. All had colonoscopy. 37/55: attempted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28/55: successful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49"/>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Abdominal pain 77% (20/26)</w:t>
            </w:r>
          </w:p>
          <w:p w:rsidR="0048417A" w:rsidRPr="004D57B3" w:rsidRDefault="0048417A" w:rsidP="00836B55">
            <w:pPr>
              <w:keepNext/>
              <w:numPr>
                <w:ilvl w:val="0"/>
                <w:numId w:val="49"/>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Diarrhoea 73% (19/26)</w:t>
            </w:r>
          </w:p>
          <w:p w:rsidR="0048417A" w:rsidRPr="004D57B3" w:rsidRDefault="0048417A" w:rsidP="00836B55">
            <w:pPr>
              <w:keepNext/>
              <w:numPr>
                <w:ilvl w:val="0"/>
                <w:numId w:val="49"/>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Anaemia 30.7% (8/26)</w:t>
            </w:r>
          </w:p>
          <w:p w:rsidR="0048417A" w:rsidRPr="004D57B3" w:rsidRDefault="0048417A" w:rsidP="00836B55">
            <w:pPr>
              <w:keepNext/>
              <w:numPr>
                <w:ilvl w:val="0"/>
                <w:numId w:val="49"/>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Weight loss 11.5% (3/26)</w:t>
            </w:r>
          </w:p>
          <w:p w:rsidR="0048417A" w:rsidRPr="004D57B3" w:rsidRDefault="0048417A" w:rsidP="00836B55">
            <w:pPr>
              <w:keepNext/>
              <w:numPr>
                <w:ilvl w:val="0"/>
                <w:numId w:val="49"/>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Raised C-reactive protein 57.7% (15/26)</w:t>
            </w:r>
          </w:p>
          <w:p w:rsidR="0048417A" w:rsidRPr="004D57B3" w:rsidRDefault="0048417A" w:rsidP="00836B55">
            <w:pPr>
              <w:keepNext/>
              <w:numPr>
                <w:ilvl w:val="0"/>
                <w:numId w:val="49"/>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Abnormal radiology 11.5% (3/26)</w:t>
            </w:r>
          </w:p>
          <w:p w:rsidR="0048417A" w:rsidRPr="004D57B3" w:rsidRDefault="0048417A" w:rsidP="00836B55">
            <w:pPr>
              <w:keepNext/>
              <w:numPr>
                <w:ilvl w:val="0"/>
                <w:numId w:val="49"/>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Crohn’s disease activity index 186 (range 114-290)</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sz w:val="18"/>
                <w:szCs w:val="18"/>
              </w:rPr>
              <w:t xml:space="preserve">Positive findings: diffuse erythema, erosions, &gt;3 </w:t>
            </w:r>
            <w:proofErr w:type="spellStart"/>
            <w:r w:rsidRPr="004D57B3">
              <w:rPr>
                <w:rFonts w:ascii="Arial Narrow" w:hAnsi="Arial Narrow" w:cs="Garamond"/>
                <w:sz w:val="18"/>
                <w:szCs w:val="18"/>
              </w:rPr>
              <w:t>aphthous</w:t>
            </w:r>
            <w:proofErr w:type="spellEnd"/>
            <w:r w:rsidRPr="004D57B3">
              <w:rPr>
                <w:rFonts w:ascii="Arial Narrow" w:hAnsi="Arial Narrow" w:cs="Garamond"/>
                <w:sz w:val="18"/>
                <w:szCs w:val="18"/>
              </w:rPr>
              <w:t xml:space="preserve"> ulcers, ulcers of different shape and strictures. Non-specific and classified as negative: &lt;3 </w:t>
            </w:r>
            <w:proofErr w:type="spellStart"/>
            <w:r w:rsidRPr="004D57B3">
              <w:rPr>
                <w:rFonts w:ascii="Arial Narrow" w:hAnsi="Arial Narrow" w:cs="Garamond"/>
                <w:sz w:val="18"/>
                <w:szCs w:val="18"/>
              </w:rPr>
              <w:t>aphthous</w:t>
            </w:r>
            <w:proofErr w:type="spellEnd"/>
            <w:r w:rsidRPr="004D57B3">
              <w:rPr>
                <w:rFonts w:ascii="Arial Narrow" w:hAnsi="Arial Narrow" w:cs="Garamond"/>
                <w:sz w:val="18"/>
                <w:szCs w:val="18"/>
              </w:rPr>
              <w:t xml:space="preserve"> ulcers, isolated mucosal breaks and non-specific erythematous spots.</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performance:</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61.5% (16/26) (95% CI 41</w:t>
            </w:r>
            <w:r>
              <w:rPr>
                <w:rFonts w:ascii="Arial Narrow" w:hAnsi="Arial Narrow" w:cs="Garamond"/>
                <w:sz w:val="18"/>
                <w:szCs w:val="18"/>
              </w:rPr>
              <w:t>-</w:t>
            </w:r>
            <w:r w:rsidRPr="004D57B3">
              <w:rPr>
                <w:rFonts w:ascii="Arial Narrow" w:hAnsi="Arial Narrow" w:cs="Garamond"/>
                <w:sz w:val="18"/>
                <w:szCs w:val="18"/>
              </w:rPr>
              <w:t>79%)</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Failure to reach caecum: 3.8% (1/26)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capsule retention or other adverse effects were found (inability to swallow, dysphagia induced by the capsule, abdominal pain).</w:t>
            </w:r>
          </w:p>
        </w:tc>
        <w:tc>
          <w:tcPr>
            <w:tcW w:w="3514"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Inapplicable comparator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no</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260BB3">
      <w:pPr>
        <w:spacing w:after="0"/>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14"/>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sidRPr="0001266B">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14"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Eliakim</w:t>
            </w:r>
            <w:proofErr w:type="spellEnd"/>
            <w:r w:rsidRPr="004D57B3">
              <w:rPr>
                <w:rFonts w:ascii="Arial Narrow" w:hAnsi="Arial Narrow" w:cs="Garamond"/>
                <w:sz w:val="18"/>
                <w:szCs w:val="18"/>
              </w:rPr>
              <w:t xml:space="preserve"> et al </w:t>
            </w:r>
            <w:r>
              <w:rPr>
                <w:rFonts w:ascii="Arial Narrow" w:hAnsi="Arial Narrow" w:cs="Garamond"/>
                <w:sz w:val="18"/>
                <w:szCs w:val="18"/>
              </w:rPr>
              <w:t>(</w:t>
            </w:r>
            <w:r w:rsidRPr="004D57B3">
              <w:rPr>
                <w:rFonts w:ascii="Arial Narrow" w:hAnsi="Arial Narrow" w:cs="Garamond"/>
                <w:sz w:val="18"/>
                <w:szCs w:val="18"/>
              </w:rPr>
              <w:t>2004</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Final report of</w:t>
            </w:r>
          </w:p>
          <w:p w:rsidR="0048417A"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Eliakim</w:t>
            </w:r>
            <w:proofErr w:type="spellEnd"/>
            <w:r w:rsidRPr="004D57B3">
              <w:rPr>
                <w:rFonts w:ascii="Arial Narrow" w:hAnsi="Arial Narrow" w:cs="Garamond"/>
                <w:sz w:val="18"/>
                <w:szCs w:val="18"/>
              </w:rPr>
              <w:t xml:space="preserve"> et al </w:t>
            </w:r>
            <w:r>
              <w:rPr>
                <w:rFonts w:ascii="Arial Narrow" w:hAnsi="Arial Narrow" w:cs="Garamond"/>
                <w:noProof/>
                <w:sz w:val="18"/>
                <w:szCs w:val="18"/>
              </w:rPr>
              <w:t>(2003)</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Israel</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Single centre (outpatient clinic with patients referred by family practitioner or gastroenterologist)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Recruitment period not reported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=35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prospectively compare capsule endoscopy with barium follow through and </w:t>
            </w:r>
            <w:proofErr w:type="spellStart"/>
            <w:r w:rsidRPr="004D57B3">
              <w:rPr>
                <w:rFonts w:ascii="Arial Narrow" w:hAnsi="Arial Narrow" w:cs="Garamond"/>
                <w:sz w:val="18"/>
                <w:szCs w:val="18"/>
              </w:rPr>
              <w:t>entero</w:t>
            </w:r>
            <w:proofErr w:type="spellEnd"/>
            <w:r w:rsidRPr="004D57B3">
              <w:rPr>
                <w:rFonts w:ascii="Arial Narrow" w:hAnsi="Arial Narrow" w:cs="Garamond"/>
                <w:sz w:val="18"/>
                <w:szCs w:val="18"/>
              </w:rPr>
              <w:t xml:space="preserve"> computerised tomography in patients with suspected Crohn’s disease.</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 consecutive, blinded diagnostic yield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Entero</w:t>
            </w:r>
            <w:proofErr w:type="spellEnd"/>
            <w:r w:rsidRPr="004D57B3">
              <w:rPr>
                <w:rFonts w:ascii="Arial Narrow" w:hAnsi="Arial Narrow" w:cs="Garamond"/>
                <w:sz w:val="18"/>
                <w:szCs w:val="18"/>
              </w:rPr>
              <w:t>-CT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Barium </w:t>
            </w:r>
            <w:r>
              <w:rPr>
                <w:rFonts w:ascii="Arial Narrow" w:hAnsi="Arial Narrow" w:cs="Garamond"/>
                <w:sz w:val="18"/>
                <w:szCs w:val="18"/>
              </w:rPr>
              <w:t>SBFT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 xml:space="preserve">N/A but colonoscopy and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were used in cases of discrepancy.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b/>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Patients with chronic diarrhoea and/or recurrent abdominal pain and/or weight loss were referred by either family practitioners or gastroenterologists to the outpatient clinic.</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History of bowel obstruction, major abdominal surgery, diabetes mellitus, cardiac pacemaker, mental condition precluding compliance, pregnancy, taking NSAIDs. Strictures discovered via barium follow through.</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Mean age 28.4 years (range 19-57 years)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13 female/22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Colonoscopies, gastroscopies, barium follow through, CT scans.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Prior tests did not explain the patients’ symptoms.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50"/>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 xml:space="preserve">Mean weight 67kg </w:t>
            </w:r>
          </w:p>
          <w:p w:rsidR="0048417A" w:rsidRPr="004D57B3" w:rsidRDefault="0048417A" w:rsidP="00836B55">
            <w:pPr>
              <w:keepNext/>
              <w:numPr>
                <w:ilvl w:val="0"/>
                <w:numId w:val="50"/>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Abdominal pain 89%</w:t>
            </w:r>
          </w:p>
          <w:p w:rsidR="0048417A" w:rsidRPr="004D57B3" w:rsidRDefault="0048417A" w:rsidP="00836B55">
            <w:pPr>
              <w:keepNext/>
              <w:numPr>
                <w:ilvl w:val="0"/>
                <w:numId w:val="50"/>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Diarrhoea 83%</w:t>
            </w:r>
          </w:p>
          <w:p w:rsidR="0048417A" w:rsidRPr="004D57B3" w:rsidRDefault="0048417A" w:rsidP="00836B55">
            <w:pPr>
              <w:keepNext/>
              <w:numPr>
                <w:ilvl w:val="0"/>
                <w:numId w:val="50"/>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Weight loss 69%</w:t>
            </w:r>
          </w:p>
          <w:p w:rsidR="0048417A" w:rsidRPr="004D57B3" w:rsidRDefault="0048417A" w:rsidP="00836B55">
            <w:pPr>
              <w:keepNext/>
              <w:numPr>
                <w:ilvl w:val="0"/>
                <w:numId w:val="50"/>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Significant weight loss 45%</w:t>
            </w:r>
          </w:p>
          <w:p w:rsidR="0048417A" w:rsidRPr="004D57B3" w:rsidRDefault="0048417A" w:rsidP="00836B55">
            <w:pPr>
              <w:keepNext/>
              <w:numPr>
                <w:ilvl w:val="0"/>
                <w:numId w:val="50"/>
              </w:numPr>
              <w:autoSpaceDE w:val="0"/>
              <w:autoSpaceDN w:val="0"/>
              <w:adjustRightInd w:val="0"/>
              <w:spacing w:after="0"/>
              <w:ind w:left="234" w:right="57" w:hanging="177"/>
              <w:rPr>
                <w:rFonts w:ascii="Arial Narrow" w:hAnsi="Arial Narrow" w:cs="Garamond"/>
                <w:sz w:val="18"/>
                <w:szCs w:val="18"/>
              </w:rPr>
            </w:pPr>
            <w:r w:rsidRPr="004D57B3">
              <w:rPr>
                <w:rFonts w:ascii="Arial Narrow" w:hAnsi="Arial Narrow" w:cs="Garamond"/>
                <w:sz w:val="18"/>
                <w:szCs w:val="18"/>
              </w:rPr>
              <w:t>No evidence of gastrointestinal bleeding</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Capsule findings that were </w:t>
            </w:r>
            <w:r>
              <w:rPr>
                <w:rFonts w:ascii="Arial Narrow" w:hAnsi="Arial Narrow" w:cs="Garamond"/>
                <w:sz w:val="18"/>
                <w:szCs w:val="18"/>
              </w:rPr>
              <w:t>‘</w:t>
            </w:r>
            <w:r w:rsidRPr="004D57B3">
              <w:rPr>
                <w:rFonts w:ascii="Arial Narrow" w:hAnsi="Arial Narrow" w:cs="Garamond"/>
                <w:sz w:val="18"/>
                <w:szCs w:val="18"/>
              </w:rPr>
              <w:t>medically significant or explained the patient’s reason for referral</w:t>
            </w:r>
            <w:r>
              <w:rPr>
                <w:rFonts w:ascii="Arial Narrow" w:hAnsi="Arial Narrow" w:cs="Garamond"/>
                <w:sz w:val="18"/>
                <w:szCs w:val="18"/>
              </w:rPr>
              <w:t>’</w:t>
            </w:r>
            <w:r w:rsidRPr="004D57B3">
              <w:rPr>
                <w:rFonts w:ascii="Arial Narrow" w:hAnsi="Arial Narrow" w:cs="Garamond"/>
                <w:sz w:val="18"/>
                <w:szCs w:val="18"/>
              </w:rPr>
              <w:t xml:space="preserve"> were considered for the purposes of calculating diagnostic yield.</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lastRenderedPageBreak/>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77% (27/35) (95% CI 59</w:t>
            </w:r>
            <w:r>
              <w:rPr>
                <w:rFonts w:ascii="Arial Narrow" w:hAnsi="Arial Narrow" w:cs="Garamond"/>
                <w:sz w:val="18"/>
                <w:szCs w:val="18"/>
              </w:rPr>
              <w:t>-</w:t>
            </w:r>
            <w:r w:rsidRPr="004D57B3">
              <w:rPr>
                <w:rFonts w:ascii="Arial Narrow" w:hAnsi="Arial Narrow" w:cs="Garamond"/>
                <w:sz w:val="18"/>
                <w:szCs w:val="18"/>
              </w:rPr>
              <w:t xml:space="preserve"> 89%)</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CE confirmed radiological findings in 9, extended involvement in 6 and ruled out radiological suspicion of CD in 10.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CTE: 20% (raw data </w:t>
            </w:r>
            <w:r>
              <w:rPr>
                <w:rFonts w:ascii="Arial Narrow" w:hAnsi="Arial Narrow" w:cs="Garamond"/>
                <w:sz w:val="18"/>
                <w:szCs w:val="18"/>
              </w:rPr>
              <w:t>nr</w:t>
            </w:r>
            <w:r w:rsidRPr="004D57B3">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153FB0">
              <w:rPr>
                <w:rFonts w:ascii="Arial Narrow" w:hAnsi="Arial Narrow" w:cs="Garamond"/>
                <w:sz w:val="18"/>
                <w:szCs w:val="18"/>
              </w:rPr>
              <w:t>Capsule endoscopy had a significantly higher diagnostic</w:t>
            </w:r>
            <w:r w:rsidRPr="004D57B3">
              <w:rPr>
                <w:rFonts w:ascii="Arial Narrow" w:hAnsi="Arial Narrow" w:cs="Garamond"/>
                <w:sz w:val="18"/>
                <w:szCs w:val="18"/>
              </w:rPr>
              <w:t xml:space="preserve"> yield than CTE (p&lt;0.0125).</w:t>
            </w:r>
          </w:p>
          <w:p w:rsidR="0048417A" w:rsidRPr="004D57B3" w:rsidRDefault="0048417A" w:rsidP="00836B55">
            <w:pPr>
              <w:keepNext/>
              <w:autoSpaceDE w:val="0"/>
              <w:autoSpaceDN w:val="0"/>
              <w:adjustRightInd w:val="0"/>
              <w:spacing w:after="0"/>
              <w:ind w:left="57" w:right="57"/>
              <w:jc w:val="center"/>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 detected all of the lesions diagnosed by CTE.</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Adverse events</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capsule retention occurred.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No </w:t>
            </w:r>
            <w:r>
              <w:rPr>
                <w:rFonts w:ascii="Arial Narrow" w:hAnsi="Arial Narrow" w:cs="Garamond"/>
                <w:sz w:val="18"/>
                <w:szCs w:val="18"/>
              </w:rPr>
              <w:t>side-effects</w:t>
            </w:r>
            <w:r w:rsidRPr="004D57B3">
              <w:rPr>
                <w:rFonts w:ascii="Arial Narrow" w:hAnsi="Arial Narrow" w:cs="Garamond"/>
                <w:sz w:val="18"/>
                <w:szCs w:val="18"/>
              </w:rPr>
              <w:t xml:space="preserve"> occurred during or after the procedure.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sz w:val="18"/>
                <w:szCs w:val="18"/>
              </w:rPr>
              <w:t>There were no problems ingesting the capsule.</w:t>
            </w:r>
          </w:p>
        </w:tc>
        <w:tc>
          <w:tcPr>
            <w:tcW w:w="3514"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C1: </w:t>
            </w:r>
            <w:r w:rsidRPr="004D57B3">
              <w:rPr>
                <w:rFonts w:ascii="Arial Narrow" w:hAnsi="Arial Narrow" w:cs="Garamond"/>
                <w:sz w:val="18"/>
                <w:szCs w:val="18"/>
              </w:rPr>
              <w:t>for CTE</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was used to confirm controversial results for 17 patients)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no</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Comparator: Barium </w:t>
            </w:r>
            <w:proofErr w:type="gramStart"/>
            <w:r w:rsidRPr="004D57B3">
              <w:rPr>
                <w:rFonts w:ascii="Arial Narrow" w:hAnsi="Arial Narrow" w:cs="Garamond"/>
                <w:sz w:val="18"/>
                <w:szCs w:val="18"/>
              </w:rPr>
              <w:t>follow</w:t>
            </w:r>
            <w:proofErr w:type="gramEnd"/>
            <w:r w:rsidRPr="004D57B3">
              <w:rPr>
                <w:rFonts w:ascii="Arial Narrow" w:hAnsi="Arial Narrow" w:cs="Garamond"/>
                <w:sz w:val="18"/>
                <w:szCs w:val="18"/>
              </w:rPr>
              <w:t xml:space="preserve"> through followed by capsule endoscopy, then CTE.  Completed within </w:t>
            </w:r>
            <w:r>
              <w:rPr>
                <w:rFonts w:ascii="Arial Narrow" w:hAnsi="Arial Narrow" w:cs="Garamond"/>
                <w:sz w:val="18"/>
                <w:szCs w:val="18"/>
              </w:rPr>
              <w:t>3</w:t>
            </w:r>
            <w:r w:rsidRPr="004D57B3">
              <w:rPr>
                <w:rFonts w:ascii="Arial Narrow" w:hAnsi="Arial Narrow" w:cs="Garamond"/>
                <w:sz w:val="18"/>
                <w:szCs w:val="18"/>
              </w:rPr>
              <w:t xml:space="preserve"> months of each other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yes/partially</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no/limited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prior tests)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yes (CTE)</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260BB3">
      <w:pPr>
        <w:spacing w:after="0"/>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14"/>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sidRPr="0001266B">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14"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Ge et al </w:t>
            </w:r>
            <w:r>
              <w:rPr>
                <w:rFonts w:ascii="Arial Narrow" w:hAnsi="Arial Narrow" w:cs="Garamond"/>
                <w:sz w:val="18"/>
                <w:szCs w:val="18"/>
              </w:rPr>
              <w:t>(</w:t>
            </w:r>
            <w:r w:rsidRPr="004D57B3">
              <w:rPr>
                <w:rFonts w:ascii="Arial Narrow" w:hAnsi="Arial Narrow" w:cs="Garamond"/>
                <w:sz w:val="18"/>
                <w:szCs w:val="18"/>
              </w:rPr>
              <w:t>2004</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China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Clinical setting not reported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May 2002</w:t>
            </w:r>
            <w:r>
              <w:rPr>
                <w:rFonts w:ascii="Arial Narrow" w:hAnsi="Arial Narrow" w:cs="Garamond"/>
                <w:sz w:val="18"/>
                <w:szCs w:val="18"/>
              </w:rPr>
              <w:t>-</w:t>
            </w:r>
            <w:r w:rsidRPr="004D57B3">
              <w:rPr>
                <w:rFonts w:ascii="Arial Narrow" w:hAnsi="Arial Narrow" w:cs="Garamond"/>
                <w:sz w:val="18"/>
                <w:szCs w:val="18"/>
              </w:rPr>
              <w:t>April 2003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=20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evaluate the effectiveness of wireless capsule endoscopy in patients with suspected Crohn’s disease of the small bowel undetected by conventional modalities and to determine the diagnostic yield of M2A Given 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Prospective diagnostic yield study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Patients with suspected Crohn’s disease of the small bowel undetected by conventional modalities based on symptoms such as abdominal pain, weight loss, positive faecal occult blood test, iron deficiency anaemia, diarrhoea and fever. </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History of bowel obstruction, </w:t>
            </w:r>
            <w:r>
              <w:rPr>
                <w:rFonts w:ascii="Arial Narrow" w:hAnsi="Arial Narrow" w:cs="Garamond"/>
                <w:sz w:val="18"/>
                <w:szCs w:val="18"/>
              </w:rPr>
              <w:br w:type="textWrapping" w:clear="all"/>
            </w:r>
            <w:r w:rsidRPr="004D57B3">
              <w:rPr>
                <w:rFonts w:ascii="Arial Narrow" w:hAnsi="Arial Narrow" w:cs="Garamond"/>
                <w:sz w:val="18"/>
                <w:szCs w:val="18"/>
              </w:rPr>
              <w:t>x</w:t>
            </w:r>
            <w:r>
              <w:rPr>
                <w:rFonts w:ascii="Arial Narrow" w:hAnsi="Arial Narrow" w:cs="Garamond"/>
                <w:sz w:val="18"/>
                <w:szCs w:val="18"/>
              </w:rPr>
              <w:t>-</w:t>
            </w:r>
            <w:r w:rsidRPr="004D57B3">
              <w:rPr>
                <w:rFonts w:ascii="Arial Narrow" w:hAnsi="Arial Narrow" w:cs="Garamond"/>
                <w:sz w:val="18"/>
                <w:szCs w:val="18"/>
              </w:rPr>
              <w:t>ray evidence of small bowel stricture, evidence of any pathological abnormalities of the small bowel, any use of NSAIDs in the past year.</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Mean age 45.2 years (range 16</w:t>
            </w:r>
            <w:r>
              <w:rPr>
                <w:rFonts w:ascii="Arial Narrow" w:hAnsi="Arial Narrow" w:cs="Garamond"/>
                <w:sz w:val="18"/>
                <w:szCs w:val="18"/>
              </w:rPr>
              <w:t>-</w:t>
            </w:r>
            <w:r w:rsidRPr="004D57B3">
              <w:rPr>
                <w:rFonts w:ascii="Arial Narrow" w:hAnsi="Arial Narrow" w:cs="Garamond"/>
                <w:sz w:val="18"/>
                <w:szCs w:val="18"/>
              </w:rPr>
              <w:t>78 years)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5 female/15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Normal results in small bowel series and upper and lower gastrointestinal endoscopy within </w:t>
            </w:r>
            <w:r>
              <w:rPr>
                <w:rFonts w:ascii="Arial Narrow" w:hAnsi="Arial Narrow" w:cs="Garamond"/>
                <w:sz w:val="18"/>
                <w:szCs w:val="18"/>
              </w:rPr>
              <w:t>6</w:t>
            </w:r>
            <w:r w:rsidRPr="004D57B3">
              <w:rPr>
                <w:rFonts w:ascii="Arial Narrow" w:hAnsi="Arial Narrow" w:cs="Garamond"/>
                <w:sz w:val="18"/>
                <w:szCs w:val="18"/>
              </w:rPr>
              <w:t xml:space="preserve"> months preceding the examination. Total colonoscopy (16/20), successful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(5/20) gastroscopy (20/20), abdomen CT (14/20), </w:t>
            </w:r>
            <w:proofErr w:type="gramStart"/>
            <w:r w:rsidRPr="004D57B3">
              <w:rPr>
                <w:rFonts w:ascii="Arial Narrow" w:hAnsi="Arial Narrow" w:cs="Garamond"/>
                <w:sz w:val="18"/>
                <w:szCs w:val="18"/>
              </w:rPr>
              <w:t>small</w:t>
            </w:r>
            <w:proofErr w:type="gramEnd"/>
            <w:r>
              <w:rPr>
                <w:rFonts w:ascii="Arial Narrow" w:hAnsi="Arial Narrow" w:cs="Garamond"/>
                <w:sz w:val="18"/>
                <w:szCs w:val="18"/>
              </w:rPr>
              <w:t xml:space="preserve"> </w:t>
            </w:r>
            <w:r w:rsidRPr="004D57B3">
              <w:rPr>
                <w:rFonts w:ascii="Arial Narrow" w:hAnsi="Arial Narrow" w:cs="Garamond"/>
                <w:sz w:val="18"/>
                <w:szCs w:val="18"/>
              </w:rPr>
              <w:t xml:space="preserve">bowel </w:t>
            </w:r>
            <w:r>
              <w:rPr>
                <w:rFonts w:ascii="Arial Narrow" w:hAnsi="Arial Narrow" w:cs="Garamond"/>
                <w:sz w:val="18"/>
                <w:szCs w:val="18"/>
              </w:rPr>
              <w:t>x-</w:t>
            </w:r>
            <w:r w:rsidRPr="004D57B3">
              <w:rPr>
                <w:rFonts w:ascii="Arial Narrow" w:hAnsi="Arial Narrow" w:cs="Garamond"/>
                <w:sz w:val="18"/>
                <w:szCs w:val="18"/>
              </w:rPr>
              <w:t>ray series (20/20).</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51"/>
              </w:numPr>
              <w:autoSpaceDE w:val="0"/>
              <w:autoSpaceDN w:val="0"/>
              <w:adjustRightInd w:val="0"/>
              <w:spacing w:after="0"/>
              <w:ind w:left="234" w:right="57" w:hanging="177"/>
              <w:jc w:val="both"/>
              <w:rPr>
                <w:rFonts w:ascii="Arial Narrow" w:hAnsi="Arial Narrow" w:cs="Garamond"/>
                <w:sz w:val="18"/>
                <w:szCs w:val="18"/>
              </w:rPr>
            </w:pPr>
            <w:r w:rsidRPr="004D57B3">
              <w:rPr>
                <w:rFonts w:ascii="Arial Narrow" w:hAnsi="Arial Narrow" w:cs="Garamond"/>
                <w:sz w:val="18"/>
                <w:szCs w:val="18"/>
              </w:rPr>
              <w:t>Anaemia 55% (10/20)</w:t>
            </w:r>
          </w:p>
          <w:p w:rsidR="0048417A" w:rsidRDefault="0048417A" w:rsidP="00836B55">
            <w:pPr>
              <w:keepNext/>
              <w:numPr>
                <w:ilvl w:val="0"/>
                <w:numId w:val="51"/>
              </w:numPr>
              <w:autoSpaceDE w:val="0"/>
              <w:autoSpaceDN w:val="0"/>
              <w:adjustRightInd w:val="0"/>
              <w:spacing w:after="0"/>
              <w:ind w:left="234" w:right="57" w:hanging="177"/>
              <w:jc w:val="both"/>
              <w:rPr>
                <w:rFonts w:ascii="Arial Narrow" w:hAnsi="Arial Narrow" w:cs="Garamond"/>
                <w:sz w:val="18"/>
                <w:szCs w:val="18"/>
              </w:rPr>
            </w:pPr>
            <w:r w:rsidRPr="004D57B3">
              <w:rPr>
                <w:rFonts w:ascii="Arial Narrow" w:hAnsi="Arial Narrow" w:cs="Garamond"/>
                <w:sz w:val="18"/>
                <w:szCs w:val="18"/>
              </w:rPr>
              <w:t xml:space="preserve">Haemoglobin mean 8% </w:t>
            </w:r>
          </w:p>
          <w:p w:rsidR="0048417A" w:rsidRPr="004D57B3" w:rsidRDefault="0048417A" w:rsidP="00C8742E">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SD</w:t>
            </w:r>
            <w:r>
              <w:rPr>
                <w:rFonts w:ascii="Arial Narrow" w:hAnsi="Arial Narrow" w:cs="Garamond"/>
                <w:sz w:val="18"/>
                <w:szCs w:val="18"/>
              </w:rPr>
              <w:t xml:space="preserve"> </w:t>
            </w:r>
            <w:r w:rsidRPr="004D57B3">
              <w:rPr>
                <w:rFonts w:ascii="Arial Narrow" w:hAnsi="Arial Narrow" w:cs="Garamond"/>
                <w:sz w:val="18"/>
                <w:szCs w:val="18"/>
              </w:rPr>
              <w:t>2%</w:t>
            </w:r>
          </w:p>
          <w:p w:rsidR="0048417A" w:rsidRPr="004D57B3" w:rsidRDefault="0048417A" w:rsidP="00836B55">
            <w:pPr>
              <w:keepNext/>
              <w:numPr>
                <w:ilvl w:val="0"/>
                <w:numId w:val="51"/>
              </w:numPr>
              <w:autoSpaceDE w:val="0"/>
              <w:autoSpaceDN w:val="0"/>
              <w:adjustRightInd w:val="0"/>
              <w:spacing w:after="0"/>
              <w:ind w:left="234" w:right="57" w:hanging="177"/>
              <w:jc w:val="both"/>
              <w:rPr>
                <w:rFonts w:ascii="Arial Narrow" w:hAnsi="Arial Narrow" w:cs="Garamond"/>
                <w:sz w:val="18"/>
                <w:szCs w:val="18"/>
              </w:rPr>
            </w:pPr>
            <w:r w:rsidRPr="004D57B3">
              <w:rPr>
                <w:rFonts w:ascii="Arial Narrow" w:hAnsi="Arial Narrow" w:cs="Garamond"/>
                <w:sz w:val="18"/>
                <w:szCs w:val="18"/>
              </w:rPr>
              <w:lastRenderedPageBreak/>
              <w:t>Abdominal pain 70% (14/20)</w:t>
            </w:r>
          </w:p>
          <w:p w:rsidR="0048417A" w:rsidRPr="004D57B3" w:rsidRDefault="0048417A" w:rsidP="00836B55">
            <w:pPr>
              <w:keepNext/>
              <w:numPr>
                <w:ilvl w:val="0"/>
                <w:numId w:val="51"/>
              </w:numPr>
              <w:autoSpaceDE w:val="0"/>
              <w:autoSpaceDN w:val="0"/>
              <w:adjustRightInd w:val="0"/>
              <w:spacing w:after="0"/>
              <w:ind w:left="234" w:right="57" w:hanging="177"/>
              <w:jc w:val="both"/>
              <w:rPr>
                <w:rFonts w:ascii="Arial Narrow" w:hAnsi="Arial Narrow" w:cs="Garamond"/>
                <w:sz w:val="18"/>
                <w:szCs w:val="18"/>
              </w:rPr>
            </w:pPr>
            <w:r w:rsidRPr="004D57B3">
              <w:rPr>
                <w:rFonts w:ascii="Arial Narrow" w:hAnsi="Arial Narrow" w:cs="Garamond"/>
                <w:sz w:val="18"/>
                <w:szCs w:val="18"/>
              </w:rPr>
              <w:t>Diarrhoea 20% (4/20)</w:t>
            </w:r>
          </w:p>
          <w:p w:rsidR="0048417A" w:rsidRPr="004D57B3" w:rsidRDefault="0048417A" w:rsidP="00836B55">
            <w:pPr>
              <w:keepNext/>
              <w:numPr>
                <w:ilvl w:val="0"/>
                <w:numId w:val="51"/>
              </w:numPr>
              <w:autoSpaceDE w:val="0"/>
              <w:autoSpaceDN w:val="0"/>
              <w:adjustRightInd w:val="0"/>
              <w:spacing w:after="0"/>
              <w:ind w:left="234" w:right="57" w:hanging="177"/>
              <w:jc w:val="both"/>
              <w:rPr>
                <w:rFonts w:ascii="Arial Narrow" w:hAnsi="Arial Narrow" w:cs="Garamond"/>
                <w:sz w:val="18"/>
                <w:szCs w:val="18"/>
              </w:rPr>
            </w:pPr>
            <w:r w:rsidRPr="004D57B3">
              <w:rPr>
                <w:rFonts w:ascii="Arial Narrow" w:hAnsi="Arial Narrow" w:cs="Garamond"/>
                <w:sz w:val="18"/>
                <w:szCs w:val="18"/>
              </w:rPr>
              <w:t>Weight loss 15% (3/20)</w:t>
            </w:r>
          </w:p>
          <w:p w:rsidR="0048417A" w:rsidRPr="004D57B3" w:rsidRDefault="0048417A" w:rsidP="00836B55">
            <w:pPr>
              <w:keepNext/>
              <w:numPr>
                <w:ilvl w:val="0"/>
                <w:numId w:val="51"/>
              </w:numPr>
              <w:autoSpaceDE w:val="0"/>
              <w:autoSpaceDN w:val="0"/>
              <w:adjustRightInd w:val="0"/>
              <w:spacing w:after="0"/>
              <w:ind w:left="234" w:right="57" w:hanging="177"/>
              <w:jc w:val="both"/>
              <w:rPr>
                <w:rFonts w:ascii="Arial Narrow" w:hAnsi="Arial Narrow" w:cs="Garamond"/>
                <w:sz w:val="18"/>
                <w:szCs w:val="18"/>
              </w:rPr>
            </w:pPr>
            <w:r w:rsidRPr="004D57B3">
              <w:rPr>
                <w:rFonts w:ascii="Arial Narrow" w:hAnsi="Arial Narrow" w:cs="Garamond"/>
                <w:sz w:val="18"/>
                <w:szCs w:val="18"/>
              </w:rPr>
              <w:t>Fever 10% (2/20)</w:t>
            </w:r>
          </w:p>
          <w:p w:rsidR="0048417A" w:rsidRPr="004D57B3" w:rsidRDefault="0048417A" w:rsidP="00836B55">
            <w:pPr>
              <w:keepNext/>
              <w:numPr>
                <w:ilvl w:val="0"/>
                <w:numId w:val="51"/>
              </w:numPr>
              <w:autoSpaceDE w:val="0"/>
              <w:autoSpaceDN w:val="0"/>
              <w:adjustRightInd w:val="0"/>
              <w:spacing w:after="0"/>
              <w:ind w:left="234" w:right="57" w:hanging="177"/>
              <w:jc w:val="both"/>
              <w:rPr>
                <w:rFonts w:ascii="Arial Narrow" w:hAnsi="Arial Narrow" w:cs="Garamond"/>
                <w:sz w:val="18"/>
                <w:szCs w:val="18"/>
              </w:rPr>
            </w:pPr>
            <w:r w:rsidRPr="004D57B3">
              <w:rPr>
                <w:rFonts w:ascii="Arial Narrow" w:hAnsi="Arial Narrow" w:cs="Garamond"/>
                <w:sz w:val="18"/>
                <w:szCs w:val="18"/>
              </w:rPr>
              <w:t>Positive faecal occult blood test 65% (13/20)</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Mean duration of symptoms before diagnosis was 6.5 years (SD 6.5)</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Not explicitly defined but it appears that a variety of findings other than normal small bowel mucosa were considered indicative of Crohn’s disease, for example mucosal erosions, </w:t>
            </w:r>
            <w:proofErr w:type="spellStart"/>
            <w:r w:rsidRPr="004D57B3">
              <w:rPr>
                <w:rFonts w:ascii="Arial Narrow" w:hAnsi="Arial Narrow" w:cs="Garamond"/>
                <w:sz w:val="18"/>
                <w:szCs w:val="18"/>
              </w:rPr>
              <w:t>aphthas</w:t>
            </w:r>
            <w:proofErr w:type="spellEnd"/>
            <w:r w:rsidRPr="004D57B3">
              <w:rPr>
                <w:rFonts w:ascii="Arial Narrow" w:hAnsi="Arial Narrow" w:cs="Garamond"/>
                <w:sz w:val="18"/>
                <w:szCs w:val="18"/>
              </w:rPr>
              <w:t>, nodula</w:t>
            </w:r>
            <w:r>
              <w:rPr>
                <w:rFonts w:ascii="Arial Narrow" w:hAnsi="Arial Narrow" w:cs="Garamond"/>
                <w:sz w:val="18"/>
                <w:szCs w:val="18"/>
              </w:rPr>
              <w:t>r</w:t>
            </w:r>
            <w:r w:rsidRPr="004D57B3">
              <w:rPr>
                <w:rFonts w:ascii="Arial Narrow" w:hAnsi="Arial Narrow" w:cs="Garamond"/>
                <w:sz w:val="18"/>
                <w:szCs w:val="18"/>
              </w:rPr>
              <w:t>ity, large ulcers and ulcerated stenosis.</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CE: 65% (13/20) (95% CI 41-84%)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retention 15% (3/20) due to small bowel stenosis caused by Crohn’s disease. None showed symptoms of acute or subacute obstruction.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Failure to reach colon: 10% (2/20)</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complications were observed.</w:t>
            </w:r>
          </w:p>
        </w:tc>
        <w:tc>
          <w:tcPr>
            <w:tcW w:w="3514"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Consecutive: </w:t>
            </w:r>
            <w:r>
              <w:rPr>
                <w:rFonts w:ascii="Arial Narrow" w:hAnsi="Arial Narrow" w:cs="Garamond"/>
                <w:sz w:val="18"/>
                <w:szCs w:val="18"/>
              </w:rPr>
              <w:t>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 xml:space="preserve">Reference standard: </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w:t>
            </w:r>
            <w:r>
              <w:rPr>
                <w:rFonts w:ascii="Arial Narrow" w:hAnsi="Arial Narrow" w:cs="Garamond"/>
                <w:sz w:val="18"/>
                <w:szCs w:val="18"/>
              </w:rPr>
              <w:t xml:space="preserve"> </w:t>
            </w:r>
            <w:r w:rsidRPr="004D57B3">
              <w:rPr>
                <w:rFonts w:ascii="Arial Narrow" w:hAnsi="Arial Narrow" w:cs="Garamond"/>
                <w:sz w:val="18"/>
                <w:szCs w:val="18"/>
              </w:rPr>
              <w:t>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836B55">
      <w:pPr>
        <w:tabs>
          <w:tab w:val="left" w:pos="10470"/>
        </w:tabs>
        <w:spacing w:after="0"/>
        <w:rPr>
          <w:lang w:val="en-US"/>
        </w:rPr>
      </w:pPr>
    </w:p>
    <w:p w:rsidR="00260BB3" w:rsidRDefault="00260BB3">
      <w:pPr>
        <w:spacing w:after="0"/>
        <w:ind w:left="0"/>
        <w:rPr>
          <w:lang w:val="en-US"/>
        </w:rPr>
      </w:pPr>
      <w:r>
        <w:rPr>
          <w:lang w:val="en-US"/>
        </w:rPr>
        <w:br w:type="page"/>
      </w:r>
    </w:p>
    <w:p w:rsidR="0048417A" w:rsidRPr="004D57B3" w:rsidRDefault="0048417A" w:rsidP="00260BB3">
      <w:pPr>
        <w:spacing w:after="0"/>
        <w:ind w:left="0"/>
        <w:rPr>
          <w:lang w:val="en-US"/>
        </w:rPr>
      </w:pPr>
    </w:p>
    <w:p w:rsidR="0048417A" w:rsidRPr="004D57B3" w:rsidRDefault="0048417A" w:rsidP="00836B55">
      <w:pPr>
        <w:tabs>
          <w:tab w:val="left" w:pos="12795"/>
        </w:tabs>
        <w:spacing w:after="0"/>
        <w:rPr>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14"/>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sidRPr="0001266B">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14"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lang w:val="nl-NL"/>
              </w:rPr>
            </w:pPr>
            <w:r w:rsidRPr="004D57B3">
              <w:rPr>
                <w:rFonts w:ascii="Arial Narrow" w:hAnsi="Arial Narrow" w:cs="Garamond"/>
                <w:sz w:val="18"/>
                <w:szCs w:val="18"/>
                <w:lang w:val="nl-NL"/>
              </w:rPr>
              <w:t>Guilhon de Araujo Sant’</w:t>
            </w:r>
            <w:r>
              <w:rPr>
                <w:rFonts w:ascii="Arial Narrow" w:hAnsi="Arial Narrow" w:cs="Garamond"/>
                <w:sz w:val="18"/>
                <w:szCs w:val="18"/>
                <w:lang w:val="nl-NL"/>
              </w:rPr>
              <w:t>A</w:t>
            </w:r>
            <w:r w:rsidRPr="004D57B3">
              <w:rPr>
                <w:rFonts w:ascii="Arial Narrow" w:hAnsi="Arial Narrow" w:cs="Garamond"/>
                <w:sz w:val="18"/>
                <w:szCs w:val="18"/>
                <w:lang w:val="nl-NL"/>
              </w:rPr>
              <w:t xml:space="preserve">nna et al </w:t>
            </w:r>
            <w:r>
              <w:rPr>
                <w:rFonts w:ascii="Arial Narrow" w:hAnsi="Arial Narrow" w:cs="Garamond"/>
                <w:sz w:val="18"/>
                <w:szCs w:val="18"/>
                <w:lang w:val="nl-NL"/>
              </w:rPr>
              <w:t>(</w:t>
            </w:r>
            <w:r w:rsidRPr="004D57B3">
              <w:rPr>
                <w:rFonts w:ascii="Arial Narrow" w:hAnsi="Arial Narrow" w:cs="Garamond"/>
                <w:sz w:val="18"/>
                <w:szCs w:val="18"/>
                <w:lang w:val="nl-NL"/>
              </w:rPr>
              <w:t>2005</w:t>
            </w:r>
            <w:r>
              <w:rPr>
                <w:rFonts w:ascii="Arial Narrow" w:hAnsi="Arial Narrow" w:cs="Garamond"/>
                <w:sz w:val="18"/>
                <w:szCs w:val="18"/>
                <w:lang w:val="nl-NL"/>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lang w:val="nl-NL"/>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lang w:val="nl-NL"/>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Canada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Single referral centre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October 2001</w:t>
            </w:r>
            <w:r>
              <w:rPr>
                <w:rFonts w:ascii="Arial Narrow" w:hAnsi="Arial Narrow" w:cs="Garamond"/>
                <w:sz w:val="18"/>
                <w:szCs w:val="18"/>
              </w:rPr>
              <w:t>-</w:t>
            </w:r>
            <w:r w:rsidRPr="004D57B3">
              <w:rPr>
                <w:rFonts w:ascii="Arial Narrow" w:hAnsi="Arial Narrow" w:cs="Garamond"/>
                <w:sz w:val="18"/>
                <w:szCs w:val="18"/>
              </w:rPr>
              <w:t>November 2002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=30 paediatric patients (10</w:t>
            </w:r>
            <w:r>
              <w:rPr>
                <w:rFonts w:ascii="Arial Narrow" w:hAnsi="Arial Narrow" w:cs="Garamond"/>
                <w:sz w:val="18"/>
                <w:szCs w:val="18"/>
              </w:rPr>
              <w:t>-</w:t>
            </w:r>
            <w:r w:rsidRPr="004D57B3">
              <w:rPr>
                <w:rFonts w:ascii="Arial Narrow" w:hAnsi="Arial Narrow" w:cs="Garamond"/>
                <w:sz w:val="18"/>
                <w:szCs w:val="18"/>
              </w:rPr>
              <w:t>18 years) including 20 paediatric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evaluate the diagnostic value of capsule endoscopy for identifying specific, obscure small bowel disorders in children and adolescents (Crohn’s disease, polyposis, </w:t>
            </w:r>
            <w:r>
              <w:rPr>
                <w:rFonts w:ascii="Arial Narrow" w:hAnsi="Arial Narrow" w:cs="Garamond"/>
                <w:sz w:val="18"/>
                <w:szCs w:val="18"/>
              </w:rPr>
              <w:t>OGIB</w:t>
            </w:r>
            <w:r w:rsidRPr="004D57B3">
              <w:rPr>
                <w:rFonts w:ascii="Arial Narrow" w:hAnsi="Arial Narrow" w:cs="Garamond"/>
                <w:sz w:val="18"/>
                <w:szCs w:val="18"/>
              </w:rPr>
              <w:t>). To determine its safety and tolerance in this age group.</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Prospective, non-consecutive diagnostic yield study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w:t>
            </w:r>
            <w:r>
              <w:rPr>
                <w:rFonts w:ascii="Arial Narrow" w:hAnsi="Arial Narrow" w:cs="Garamond"/>
                <w:b/>
                <w:sz w:val="18"/>
                <w:szCs w:val="18"/>
              </w:rPr>
              <w:t>on criteria for suspected CD: (n</w:t>
            </w:r>
            <w:r w:rsidRPr="004D57B3">
              <w:rPr>
                <w:rFonts w:ascii="Arial Narrow" w:hAnsi="Arial Narrow" w:cs="Garamond"/>
                <w:b/>
                <w:sz w:val="18"/>
                <w:szCs w:val="18"/>
              </w:rPr>
              <w:t>=20):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i/>
                <w:sz w:val="18"/>
                <w:szCs w:val="18"/>
              </w:rPr>
              <w:t xml:space="preserve">Inclusion: </w:t>
            </w:r>
            <w:r w:rsidRPr="004D57B3">
              <w:rPr>
                <w:rFonts w:ascii="Arial Narrow" w:hAnsi="Arial Narrow" w:cs="Garamond"/>
                <w:sz w:val="18"/>
                <w:szCs w:val="18"/>
              </w:rPr>
              <w:t>Patients clinically suspected to have Crohn’s disease that had undergone traditional investigations (see prior tests) that neither confirmed nor excluded a diagnosis of Crohn’s disease.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i/>
                <w:sz w:val="18"/>
                <w:szCs w:val="18"/>
              </w:rPr>
              <w:t xml:space="preserve">Exclusion: </w:t>
            </w:r>
            <w:r w:rsidRPr="004D57B3">
              <w:rPr>
                <w:rFonts w:ascii="Arial Narrow" w:hAnsi="Arial Narrow" w:cs="Garamond"/>
                <w:sz w:val="18"/>
                <w:szCs w:val="18"/>
              </w:rPr>
              <w:t xml:space="preserve">NSAIDs in previous </w:t>
            </w:r>
            <w:r>
              <w:rPr>
                <w:rFonts w:ascii="Arial Narrow" w:hAnsi="Arial Narrow" w:cs="Garamond"/>
                <w:sz w:val="18"/>
                <w:szCs w:val="18"/>
              </w:rPr>
              <w:t>3</w:t>
            </w:r>
            <w:r w:rsidRPr="004D57B3">
              <w:rPr>
                <w:rFonts w:ascii="Arial Narrow" w:hAnsi="Arial Narrow" w:cs="Garamond"/>
                <w:sz w:val="18"/>
                <w:szCs w:val="18"/>
              </w:rPr>
              <w:t xml:space="preserve"> weeks.</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w:t>
            </w:r>
            <w:r>
              <w:rPr>
                <w:rFonts w:ascii="Arial Narrow" w:hAnsi="Arial Narrow" w:cs="Garamond"/>
                <w:b/>
                <w:sz w:val="18"/>
                <w:szCs w:val="18"/>
              </w:rPr>
              <w:t>acteristics (n</w:t>
            </w:r>
            <w:r w:rsidRPr="004D57B3">
              <w:rPr>
                <w:rFonts w:ascii="Arial Narrow" w:hAnsi="Arial Narrow" w:cs="Garamond"/>
                <w:b/>
                <w:sz w:val="18"/>
                <w:szCs w:val="18"/>
              </w:rPr>
              <w:t>=30):</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Not reported by subgroup.</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Mean age 14.1 years (range 10</w:t>
            </w:r>
            <w:r>
              <w:rPr>
                <w:rFonts w:ascii="Arial Narrow" w:hAnsi="Arial Narrow" w:cs="Garamond"/>
                <w:sz w:val="18"/>
                <w:szCs w:val="18"/>
              </w:rPr>
              <w:t>-</w:t>
            </w:r>
            <w:r w:rsidRPr="004D57B3">
              <w:rPr>
                <w:rFonts w:ascii="Arial Narrow" w:hAnsi="Arial Narrow" w:cs="Garamond"/>
                <w:sz w:val="18"/>
                <w:szCs w:val="18"/>
              </w:rPr>
              <w:t>18 years)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13 female/17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Colonoscopy with biopsy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Pr>
                <w:rFonts w:ascii="Arial Narrow" w:hAnsi="Arial Narrow" w:cs="Garamond"/>
                <w:sz w:val="18"/>
                <w:szCs w:val="18"/>
              </w:rPr>
              <w:t>SBFT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Normal or non-diagnostic 20/20</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r w:rsidRPr="004D57B3">
              <w:rPr>
                <w:rFonts w:ascii="Arial Narrow" w:hAnsi="Arial Narrow" w:cs="Garamond"/>
                <w:i/>
                <w:sz w:val="18"/>
                <w:szCs w:val="18"/>
              </w:rPr>
              <w:t xml:space="preserve"> </w:t>
            </w:r>
            <w:r>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findings were classified as:</w:t>
            </w:r>
          </w:p>
          <w:p w:rsidR="0048417A" w:rsidRPr="004D57B3" w:rsidRDefault="0048417A" w:rsidP="00836B55">
            <w:pPr>
              <w:keepNext/>
              <w:numPr>
                <w:ilvl w:val="0"/>
                <w:numId w:val="21"/>
              </w:numPr>
              <w:autoSpaceDE w:val="0"/>
              <w:autoSpaceDN w:val="0"/>
              <w:adjustRightInd w:val="0"/>
              <w:spacing w:after="0"/>
              <w:ind w:left="248" w:right="57" w:hanging="191"/>
              <w:rPr>
                <w:rFonts w:ascii="Arial Narrow" w:hAnsi="Arial Narrow" w:cs="Garamond"/>
                <w:sz w:val="18"/>
                <w:szCs w:val="18"/>
              </w:rPr>
            </w:pPr>
            <w:r w:rsidRPr="004D57B3">
              <w:rPr>
                <w:rFonts w:ascii="Arial Narrow" w:hAnsi="Arial Narrow" w:cs="Garamond"/>
                <w:sz w:val="18"/>
                <w:szCs w:val="18"/>
              </w:rPr>
              <w:t xml:space="preserve">positive </w:t>
            </w:r>
            <w:r>
              <w:rPr>
                <w:rFonts w:ascii="Arial Narrow" w:hAnsi="Arial Narrow" w:cs="Garamond"/>
                <w:sz w:val="18"/>
                <w:szCs w:val="18"/>
              </w:rPr>
              <w:t>–</w:t>
            </w:r>
            <w:r w:rsidRPr="004D57B3">
              <w:rPr>
                <w:rFonts w:ascii="Arial Narrow" w:hAnsi="Arial Narrow" w:cs="Garamond"/>
                <w:sz w:val="18"/>
                <w:szCs w:val="18"/>
              </w:rPr>
              <w:t xml:space="preserve"> a diagnosis for any condition was established </w:t>
            </w:r>
          </w:p>
          <w:p w:rsidR="0048417A" w:rsidRPr="004D57B3" w:rsidRDefault="0048417A" w:rsidP="00836B55">
            <w:pPr>
              <w:keepNext/>
              <w:numPr>
                <w:ilvl w:val="0"/>
                <w:numId w:val="21"/>
              </w:numPr>
              <w:autoSpaceDE w:val="0"/>
              <w:autoSpaceDN w:val="0"/>
              <w:adjustRightInd w:val="0"/>
              <w:spacing w:after="0"/>
              <w:ind w:left="248" w:right="57" w:hanging="191"/>
              <w:rPr>
                <w:rFonts w:ascii="Arial Narrow" w:hAnsi="Arial Narrow" w:cs="Garamond"/>
                <w:sz w:val="18"/>
                <w:szCs w:val="18"/>
              </w:rPr>
            </w:pPr>
            <w:proofErr w:type="gramStart"/>
            <w:r w:rsidRPr="004D57B3">
              <w:rPr>
                <w:rFonts w:ascii="Arial Narrow" w:hAnsi="Arial Narrow" w:cs="Garamond"/>
                <w:sz w:val="18"/>
                <w:szCs w:val="18"/>
              </w:rPr>
              <w:t>suspicious</w:t>
            </w:r>
            <w:r>
              <w:rPr>
                <w:rFonts w:ascii="Arial Narrow" w:hAnsi="Arial Narrow" w:cs="Garamond"/>
                <w:sz w:val="18"/>
                <w:szCs w:val="18"/>
              </w:rPr>
              <w:t xml:space="preserve"> </w:t>
            </w:r>
            <w:r w:rsidRPr="004D57B3">
              <w:rPr>
                <w:rFonts w:ascii="Arial Narrow" w:hAnsi="Arial Narrow" w:cs="Garamond"/>
                <w:sz w:val="18"/>
                <w:szCs w:val="18"/>
              </w:rPr>
              <w:t xml:space="preserve"> </w:t>
            </w:r>
            <w:r>
              <w:rPr>
                <w:rFonts w:ascii="Arial Narrow" w:hAnsi="Arial Narrow" w:cs="Garamond"/>
                <w:sz w:val="18"/>
                <w:szCs w:val="18"/>
              </w:rPr>
              <w:t>–</w:t>
            </w:r>
            <w:proofErr w:type="gramEnd"/>
            <w:r w:rsidRPr="004D57B3">
              <w:rPr>
                <w:rFonts w:ascii="Arial Narrow" w:hAnsi="Arial Narrow" w:cs="Garamond"/>
                <w:sz w:val="18"/>
                <w:szCs w:val="18"/>
              </w:rPr>
              <w:t xml:space="preserve"> uncertain relationship between the observed lesion and the clinical presentation. </w:t>
            </w:r>
          </w:p>
          <w:p w:rsidR="0048417A" w:rsidRPr="004D57B3" w:rsidRDefault="0048417A" w:rsidP="00836B55">
            <w:pPr>
              <w:keepNext/>
              <w:numPr>
                <w:ilvl w:val="0"/>
                <w:numId w:val="21"/>
              </w:numPr>
              <w:autoSpaceDE w:val="0"/>
              <w:autoSpaceDN w:val="0"/>
              <w:adjustRightInd w:val="0"/>
              <w:spacing w:after="0"/>
              <w:ind w:left="248" w:right="57" w:hanging="191"/>
              <w:rPr>
                <w:rFonts w:ascii="Arial Narrow" w:hAnsi="Arial Narrow" w:cs="Garamond"/>
                <w:b/>
                <w:sz w:val="18"/>
                <w:szCs w:val="18"/>
              </w:rPr>
            </w:pPr>
            <w:r w:rsidRPr="004D57B3">
              <w:rPr>
                <w:rFonts w:ascii="Arial Narrow" w:hAnsi="Arial Narrow" w:cs="Garamond"/>
                <w:sz w:val="18"/>
                <w:szCs w:val="18"/>
              </w:rPr>
              <w:t xml:space="preserve">negative </w:t>
            </w:r>
            <w:r>
              <w:rPr>
                <w:rFonts w:ascii="Arial Narrow" w:hAnsi="Arial Narrow" w:cs="Garamond"/>
                <w:sz w:val="18"/>
                <w:szCs w:val="18"/>
              </w:rPr>
              <w:t>–</w:t>
            </w:r>
            <w:r w:rsidRPr="004D57B3">
              <w:rPr>
                <w:rFonts w:ascii="Arial Narrow" w:hAnsi="Arial Narrow" w:cs="Garamond"/>
                <w:sz w:val="18"/>
                <w:szCs w:val="18"/>
              </w:rPr>
              <w:t xml:space="preserve"> no abnormalities </w:t>
            </w: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Findings positive for CD (excluding suspicious results):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50% (10/20) (95% CI 28-72%)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Findings positive for any diagnosis (excluding suspicious results):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60% (12/20) (95% CI 36-80%)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Del="0054292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Not reported by subgroup.</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There was some difficulty convincing younger children to swallow the capsule due to its size.</w:t>
            </w:r>
          </w:p>
        </w:tc>
        <w:tc>
          <w:tcPr>
            <w:tcW w:w="3514"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Consecutive: </w:t>
            </w:r>
            <w:r>
              <w:rPr>
                <w:rFonts w:ascii="Arial Narrow" w:hAnsi="Arial Narrow" w:cs="Garamond"/>
                <w:sz w:val="18"/>
                <w:szCs w:val="18"/>
              </w:rPr>
              <w:t>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Prior tests were performed within </w:t>
            </w:r>
            <w:r>
              <w:rPr>
                <w:rFonts w:ascii="Arial Narrow" w:hAnsi="Arial Narrow" w:cs="Garamond"/>
                <w:sz w:val="18"/>
                <w:szCs w:val="18"/>
              </w:rPr>
              <w:t>4</w:t>
            </w:r>
            <w:r w:rsidRPr="004D57B3">
              <w:rPr>
                <w:rFonts w:ascii="Arial Narrow" w:hAnsi="Arial Narrow" w:cs="Garamond"/>
                <w:sz w:val="18"/>
                <w:szCs w:val="18"/>
              </w:rPr>
              <w:t xml:space="preserve"> weeks prior to the CE.</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partially</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Study withdrawals explained: </w:t>
            </w:r>
            <w:r>
              <w:rPr>
                <w:rFonts w:ascii="Arial Narrow" w:hAnsi="Arial Narrow" w:cs="Garamond"/>
                <w:sz w:val="18"/>
                <w:szCs w:val="18"/>
              </w:rPr>
              <w:t>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w:t>
            </w:r>
            <w:r>
              <w:rPr>
                <w:rFonts w:ascii="Arial Narrow" w:hAnsi="Arial Narrow" w:cs="Garamond"/>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limited</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tabs>
                <w:tab w:val="right" w:pos="2540"/>
              </w:tabs>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r w:rsidRPr="004D57B3">
              <w:rPr>
                <w:rFonts w:ascii="Arial Narrow" w:hAnsi="Arial Narrow" w:cs="Garamond"/>
                <w:sz w:val="18"/>
                <w:szCs w:val="18"/>
              </w:rPr>
              <w:tab/>
            </w:r>
          </w:p>
        </w:tc>
      </w:tr>
    </w:tbl>
    <w:p w:rsidR="0048417A" w:rsidRPr="004D57B3" w:rsidRDefault="0048417A" w:rsidP="00260BB3">
      <w:pPr>
        <w:spacing w:after="0"/>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09"/>
      </w:tblGrid>
      <w:tr w:rsidR="00260BB3"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sidRPr="0001266B">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09"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260BB3"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Herrerias</w:t>
            </w:r>
            <w:proofErr w:type="spellEnd"/>
            <w:r w:rsidRPr="004D57B3">
              <w:rPr>
                <w:rFonts w:ascii="Arial Narrow" w:hAnsi="Arial Narrow" w:cs="Garamond"/>
                <w:sz w:val="18"/>
                <w:szCs w:val="18"/>
              </w:rPr>
              <w:t xml:space="preserve"> et al </w:t>
            </w:r>
            <w:r>
              <w:rPr>
                <w:rFonts w:ascii="Arial Narrow" w:hAnsi="Arial Narrow" w:cs="Garamond"/>
                <w:sz w:val="18"/>
                <w:szCs w:val="18"/>
              </w:rPr>
              <w:t>(</w:t>
            </w:r>
            <w:r w:rsidRPr="004D57B3">
              <w:rPr>
                <w:rFonts w:ascii="Arial Narrow" w:hAnsi="Arial Narrow" w:cs="Garamond"/>
                <w:sz w:val="18"/>
                <w:szCs w:val="18"/>
              </w:rPr>
              <w:t>2003</w:t>
            </w:r>
            <w:r>
              <w:rPr>
                <w:rFonts w:ascii="Arial Narrow" w:hAnsi="Arial Narrow" w:cs="Garamond"/>
                <w:sz w:val="18"/>
                <w:szCs w:val="18"/>
              </w:rPr>
              <w:t>)</w:t>
            </w:r>
          </w:p>
          <w:p w:rsidR="0048417A" w:rsidRPr="00260BB3" w:rsidRDefault="0048417A" w:rsidP="00260BB3">
            <w:pPr>
              <w:keepNext/>
              <w:autoSpaceDE w:val="0"/>
              <w:autoSpaceDN w:val="0"/>
              <w:adjustRightInd w:val="0"/>
              <w:spacing w:after="0"/>
              <w:ind w:left="0" w:right="57"/>
              <w:rPr>
                <w:rFonts w:ascii="Arial Narrow" w:hAnsi="Arial Narrow" w:cs="Garamond"/>
                <w:b/>
                <w:sz w:val="56"/>
                <w:szCs w:val="56"/>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Spain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Clinical setting not reported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Recruitment period not reported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=21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assess the value of capsule endoscopy in the diagnostic work-up of patients in whom there is a clinical suspicion of incipient small bowel Crohn’s disease not confirmed by conventional radiological and endoscopic </w:t>
            </w:r>
            <w:proofErr w:type="gramStart"/>
            <w:r w:rsidRPr="004D57B3">
              <w:rPr>
                <w:rFonts w:ascii="Arial Narrow" w:hAnsi="Arial Narrow" w:cs="Garamond"/>
                <w:sz w:val="18"/>
                <w:szCs w:val="18"/>
              </w:rPr>
              <w:t>findings.</w:t>
            </w:r>
            <w:proofErr w:type="gramEnd"/>
            <w:r w:rsidRPr="004D57B3">
              <w:rPr>
                <w:rFonts w:ascii="Arial Narrow" w:hAnsi="Arial Narrow" w:cs="Garamond"/>
                <w:sz w:val="18"/>
                <w:szCs w:val="18"/>
              </w:rPr>
              <w:t xml:space="preserve"> </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 diagnostic yield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sz w:val="18"/>
                <w:szCs w:val="18"/>
              </w:rPr>
              <w:t>Clinical and biochemical suspicion of Crohn’s disease as indicated by symptoms (chronic diarrhoea (&gt;6 months), diffuse abdominal pain, fever or weight loss). Crohn’s disease not confirmed using traditional techniques.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Taking NSAIDs.</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Mean age 43 ±</w:t>
            </w:r>
            <w:r w:rsidRPr="004D57B3">
              <w:rPr>
                <w:rFonts w:ascii="Arial Narrow" w:hAnsi="Arial Narrow" w:cs="Garamond"/>
                <w:i/>
                <w:sz w:val="18"/>
                <w:szCs w:val="18"/>
              </w:rPr>
              <w:t xml:space="preserve"> </w:t>
            </w:r>
            <w:r w:rsidRPr="004D57B3">
              <w:rPr>
                <w:rFonts w:ascii="Arial Narrow" w:hAnsi="Arial Narrow" w:cs="Garamond"/>
                <w:sz w:val="18"/>
                <w:szCs w:val="18"/>
              </w:rPr>
              <w:t>8 years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7 female/14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Conventional imaging workup </w:t>
            </w:r>
            <w:r>
              <w:rPr>
                <w:rFonts w:ascii="Arial Narrow" w:hAnsi="Arial Narrow" w:cs="Garamond"/>
                <w:sz w:val="18"/>
                <w:szCs w:val="18"/>
              </w:rPr>
              <w:t>-</w:t>
            </w:r>
            <w:r w:rsidRPr="004D57B3">
              <w:rPr>
                <w:rFonts w:ascii="Arial Narrow" w:hAnsi="Arial Narrow" w:cs="Garamond"/>
                <w:sz w:val="18"/>
                <w:szCs w:val="18"/>
              </w:rPr>
              <w:t xml:space="preserve"> including upper and lower endoscopy, </w:t>
            </w:r>
            <w:r>
              <w:rPr>
                <w:rFonts w:ascii="Arial Narrow" w:hAnsi="Arial Narrow" w:cs="Garamond"/>
                <w:sz w:val="18"/>
                <w:szCs w:val="18"/>
              </w:rPr>
              <w:t>SBFT</w:t>
            </w:r>
            <w:r w:rsidRPr="004D57B3">
              <w:rPr>
                <w:rFonts w:ascii="Arial Narrow" w:hAnsi="Arial Narrow" w:cs="Garamond"/>
                <w:sz w:val="18"/>
                <w:szCs w:val="18"/>
              </w:rPr>
              <w:t xml:space="preserve">. </w:t>
            </w:r>
            <w:proofErr w:type="spellStart"/>
            <w:r w:rsidRPr="004D57B3">
              <w:rPr>
                <w:rFonts w:ascii="Arial Narrow" w:hAnsi="Arial Narrow" w:cs="Garamond"/>
                <w:sz w:val="18"/>
                <w:szCs w:val="18"/>
              </w:rPr>
              <w:t>Antigliadin</w:t>
            </w:r>
            <w:proofErr w:type="spellEnd"/>
            <w:r w:rsidRPr="004D57B3">
              <w:rPr>
                <w:rFonts w:ascii="Arial Narrow" w:hAnsi="Arial Narrow" w:cs="Garamond"/>
                <w:sz w:val="18"/>
                <w:szCs w:val="18"/>
              </w:rPr>
              <w:t xml:space="preserve"> antibodies, stool culture, examinations for ova and parasites, thyroid hormones with normal results. Normal colonoscopy with biopsy with </w:t>
            </w:r>
            <w:r>
              <w:rPr>
                <w:rFonts w:ascii="Arial Narrow" w:hAnsi="Arial Narrow" w:cs="Garamond"/>
                <w:sz w:val="18"/>
                <w:szCs w:val="18"/>
              </w:rPr>
              <w:t>1</w:t>
            </w:r>
            <w:r w:rsidRPr="004D57B3">
              <w:rPr>
                <w:rFonts w:ascii="Arial Narrow" w:hAnsi="Arial Narrow" w:cs="Garamond"/>
                <w:sz w:val="18"/>
                <w:szCs w:val="18"/>
              </w:rPr>
              <w:t xml:space="preserve"> exception. Attempted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with biopsy (17/21) with no macroscopic abnormalities. Histological examination showed minimal changes (6/21) or normal mucosa (11/21).</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52"/>
              </w:numPr>
              <w:autoSpaceDE w:val="0"/>
              <w:autoSpaceDN w:val="0"/>
              <w:adjustRightInd w:val="0"/>
              <w:spacing w:after="0"/>
              <w:ind w:left="220" w:right="57" w:hanging="154"/>
              <w:jc w:val="both"/>
              <w:rPr>
                <w:rFonts w:ascii="Arial Narrow" w:hAnsi="Arial Narrow" w:cs="Garamond"/>
                <w:sz w:val="18"/>
                <w:szCs w:val="18"/>
              </w:rPr>
            </w:pPr>
            <w:r w:rsidRPr="004D57B3">
              <w:rPr>
                <w:rFonts w:ascii="Arial Narrow" w:hAnsi="Arial Narrow" w:cs="Garamond"/>
                <w:sz w:val="18"/>
                <w:szCs w:val="18"/>
              </w:rPr>
              <w:t>Diarrhoea 100% (21/21)</w:t>
            </w:r>
          </w:p>
          <w:p w:rsidR="0048417A" w:rsidRPr="004D57B3" w:rsidRDefault="0048417A" w:rsidP="00836B55">
            <w:pPr>
              <w:keepNext/>
              <w:numPr>
                <w:ilvl w:val="0"/>
                <w:numId w:val="52"/>
              </w:numPr>
              <w:autoSpaceDE w:val="0"/>
              <w:autoSpaceDN w:val="0"/>
              <w:adjustRightInd w:val="0"/>
              <w:spacing w:after="0"/>
              <w:ind w:left="220" w:right="57" w:hanging="154"/>
              <w:jc w:val="both"/>
              <w:rPr>
                <w:rFonts w:ascii="Arial Narrow" w:hAnsi="Arial Narrow" w:cs="Garamond"/>
                <w:sz w:val="18"/>
                <w:szCs w:val="18"/>
              </w:rPr>
            </w:pPr>
            <w:r w:rsidRPr="004D57B3">
              <w:rPr>
                <w:rFonts w:ascii="Arial Narrow" w:hAnsi="Arial Narrow" w:cs="Garamond"/>
                <w:sz w:val="18"/>
                <w:szCs w:val="18"/>
              </w:rPr>
              <w:t>Abdominal pain 100% (21/21)</w:t>
            </w:r>
          </w:p>
          <w:p w:rsidR="0048417A" w:rsidRPr="004D57B3" w:rsidRDefault="0048417A" w:rsidP="00836B55">
            <w:pPr>
              <w:keepNext/>
              <w:numPr>
                <w:ilvl w:val="0"/>
                <w:numId w:val="52"/>
              </w:numPr>
              <w:autoSpaceDE w:val="0"/>
              <w:autoSpaceDN w:val="0"/>
              <w:adjustRightInd w:val="0"/>
              <w:spacing w:after="0"/>
              <w:ind w:left="220" w:right="57" w:hanging="154"/>
              <w:jc w:val="both"/>
              <w:rPr>
                <w:rFonts w:ascii="Arial Narrow" w:hAnsi="Arial Narrow" w:cs="Garamond"/>
                <w:sz w:val="18"/>
                <w:szCs w:val="18"/>
              </w:rPr>
            </w:pPr>
            <w:r w:rsidRPr="004D57B3">
              <w:rPr>
                <w:rFonts w:ascii="Arial Narrow" w:hAnsi="Arial Narrow" w:cs="Garamond"/>
                <w:sz w:val="18"/>
                <w:szCs w:val="18"/>
              </w:rPr>
              <w:t>Weight loss 52.4% (11/21)</w:t>
            </w:r>
          </w:p>
          <w:p w:rsidR="0048417A" w:rsidRPr="004D57B3" w:rsidRDefault="0048417A" w:rsidP="00836B55">
            <w:pPr>
              <w:keepNext/>
              <w:numPr>
                <w:ilvl w:val="0"/>
                <w:numId w:val="52"/>
              </w:numPr>
              <w:autoSpaceDE w:val="0"/>
              <w:autoSpaceDN w:val="0"/>
              <w:adjustRightInd w:val="0"/>
              <w:spacing w:after="0"/>
              <w:ind w:left="220" w:right="57" w:hanging="154"/>
              <w:jc w:val="both"/>
              <w:rPr>
                <w:rFonts w:ascii="Arial Narrow" w:hAnsi="Arial Narrow" w:cs="Garamond"/>
                <w:sz w:val="18"/>
                <w:szCs w:val="18"/>
              </w:rPr>
            </w:pPr>
            <w:r w:rsidRPr="004D57B3">
              <w:rPr>
                <w:rFonts w:ascii="Arial Narrow" w:hAnsi="Arial Narrow" w:cs="Garamond"/>
                <w:sz w:val="18"/>
                <w:szCs w:val="18"/>
              </w:rPr>
              <w:t>Fever 33.3% (7/21)</w:t>
            </w:r>
          </w:p>
          <w:p w:rsidR="0048417A" w:rsidRPr="004D57B3" w:rsidRDefault="0048417A" w:rsidP="00836B55">
            <w:pPr>
              <w:keepNext/>
              <w:numPr>
                <w:ilvl w:val="0"/>
                <w:numId w:val="52"/>
              </w:numPr>
              <w:autoSpaceDE w:val="0"/>
              <w:autoSpaceDN w:val="0"/>
              <w:adjustRightInd w:val="0"/>
              <w:spacing w:after="0"/>
              <w:ind w:left="220" w:right="57" w:hanging="154"/>
              <w:rPr>
                <w:rFonts w:ascii="Arial Narrow" w:hAnsi="Arial Narrow" w:cs="Garamond"/>
                <w:sz w:val="18"/>
                <w:szCs w:val="18"/>
                <w:lang w:val="nl-NL"/>
              </w:rPr>
            </w:pPr>
            <w:r w:rsidRPr="004D57B3">
              <w:rPr>
                <w:rFonts w:ascii="Arial Narrow" w:hAnsi="Arial Narrow" w:cs="Garamond"/>
                <w:sz w:val="18"/>
                <w:szCs w:val="18"/>
                <w:lang w:val="nl-NL"/>
              </w:rPr>
              <w:lastRenderedPageBreak/>
              <w:t>Haemoglobin &lt;10g/dl 42.9% (9/21)</w:t>
            </w:r>
          </w:p>
          <w:p w:rsidR="0048417A" w:rsidRPr="004D57B3" w:rsidRDefault="0048417A" w:rsidP="00836B55">
            <w:pPr>
              <w:keepNext/>
              <w:numPr>
                <w:ilvl w:val="0"/>
                <w:numId w:val="52"/>
              </w:numPr>
              <w:autoSpaceDE w:val="0"/>
              <w:autoSpaceDN w:val="0"/>
              <w:adjustRightInd w:val="0"/>
              <w:spacing w:after="0"/>
              <w:ind w:left="220" w:right="57" w:hanging="154"/>
              <w:rPr>
                <w:rFonts w:ascii="Arial Narrow" w:hAnsi="Arial Narrow" w:cs="Garamond"/>
                <w:sz w:val="18"/>
                <w:szCs w:val="18"/>
                <w:lang w:val="nl-NL"/>
              </w:rPr>
            </w:pPr>
            <w:r w:rsidRPr="004D57B3">
              <w:rPr>
                <w:rFonts w:ascii="Arial Narrow" w:hAnsi="Arial Narrow" w:cs="Garamond"/>
                <w:sz w:val="18"/>
                <w:szCs w:val="18"/>
                <w:lang w:val="nl-NL"/>
              </w:rPr>
              <w:t>Leukocytes &gt;12000/µl 42.9% (9/21)</w:t>
            </w:r>
          </w:p>
          <w:p w:rsidR="0048417A" w:rsidRPr="004D57B3" w:rsidRDefault="0048417A" w:rsidP="00836B55">
            <w:pPr>
              <w:keepNext/>
              <w:numPr>
                <w:ilvl w:val="0"/>
                <w:numId w:val="52"/>
              </w:numPr>
              <w:autoSpaceDE w:val="0"/>
              <w:autoSpaceDN w:val="0"/>
              <w:adjustRightInd w:val="0"/>
              <w:spacing w:after="0"/>
              <w:ind w:left="220" w:right="57" w:hanging="154"/>
              <w:rPr>
                <w:rFonts w:ascii="Arial Narrow" w:hAnsi="Arial Narrow" w:cs="Garamond"/>
                <w:sz w:val="18"/>
                <w:szCs w:val="18"/>
              </w:rPr>
            </w:pPr>
            <w:r w:rsidRPr="004D57B3">
              <w:rPr>
                <w:rFonts w:ascii="Arial Narrow" w:hAnsi="Arial Narrow" w:cs="Garamond"/>
                <w:sz w:val="18"/>
                <w:szCs w:val="18"/>
              </w:rPr>
              <w:t>CRP &gt;0.8 mg/dl 38.1% (8/21)</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260BB3" w:rsidRDefault="0048417A" w:rsidP="00260BB3">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Not explicitly defined. Observation of lesions supporting the diagnosis of Crohn</w:t>
            </w:r>
            <w:r w:rsidR="00260BB3">
              <w:rPr>
                <w:rFonts w:ascii="Arial Narrow" w:hAnsi="Arial Narrow" w:cs="Garamond"/>
                <w:sz w:val="18"/>
                <w:szCs w:val="18"/>
              </w:rPr>
              <w:t>’s disease.</w:t>
            </w: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42.9% (9/21) (95% CI 23</w:t>
            </w:r>
            <w:r>
              <w:rPr>
                <w:rFonts w:ascii="Arial Narrow" w:hAnsi="Arial Narrow" w:cs="Garamond"/>
                <w:sz w:val="18"/>
                <w:szCs w:val="18"/>
              </w:rPr>
              <w:t>-</w:t>
            </w:r>
            <w:r w:rsidRPr="004D57B3">
              <w:rPr>
                <w:rFonts w:ascii="Arial Narrow" w:hAnsi="Arial Narrow" w:cs="Garamond"/>
                <w:sz w:val="18"/>
                <w:szCs w:val="18"/>
              </w:rPr>
              <w:t>66%)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The capsule reached the colon and was excreted uneventfully in all patients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No adverse events were observed.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c>
        <w:tc>
          <w:tcPr>
            <w:tcW w:w="3509"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Consecutive: </w:t>
            </w:r>
            <w:r>
              <w:rPr>
                <w:rFonts w:ascii="Arial Narrow" w:hAnsi="Arial Narrow" w:cs="Garamond"/>
                <w:sz w:val="18"/>
                <w:szCs w:val="18"/>
              </w:rPr>
              <w:t>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w:t>
            </w:r>
            <w:r>
              <w:rPr>
                <w:rFonts w:ascii="Arial Narrow" w:hAnsi="Arial Narrow" w:cs="Garamond"/>
                <w:sz w:val="18"/>
                <w:szCs w:val="18"/>
              </w:rPr>
              <w:t xml:space="preserve"> </w:t>
            </w:r>
            <w:r w:rsidRPr="004D57B3">
              <w:rPr>
                <w:rFonts w:ascii="Arial Narrow" w:hAnsi="Arial Narrow" w:cs="Garamond"/>
                <w:sz w:val="18"/>
                <w:szCs w:val="18"/>
              </w:rPr>
              <w:t>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w:t>
            </w:r>
            <w:r>
              <w:rPr>
                <w:rFonts w:ascii="Arial Narrow" w:hAnsi="Arial Narrow" w:cs="Garamond"/>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w:t>
            </w:r>
            <w:r>
              <w:rPr>
                <w:rFonts w:ascii="Arial Narrow" w:hAnsi="Arial Narrow" w:cs="Garamond"/>
                <w:sz w:val="18"/>
                <w:szCs w:val="18"/>
              </w:rPr>
              <w:t xml:space="preserve">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w:t>
            </w:r>
            <w:r>
              <w:rPr>
                <w:rFonts w:ascii="Arial Narrow" w:hAnsi="Arial Narrow" w:cs="Garamond"/>
                <w:sz w:val="18"/>
                <w:szCs w:val="18"/>
              </w:rPr>
              <w:t xml:space="preserve"> </w:t>
            </w:r>
            <w:r w:rsidRPr="004D57B3">
              <w:rPr>
                <w:rFonts w:ascii="Arial Narrow" w:hAnsi="Arial Narrow" w:cs="Garamond"/>
                <w:sz w:val="18"/>
                <w:szCs w:val="18"/>
              </w:rPr>
              <w:t>:</w:t>
            </w:r>
            <w:r>
              <w:rPr>
                <w:rFonts w:ascii="Arial Narrow" w:hAnsi="Arial Narrow" w:cs="Garamond"/>
                <w:sz w:val="18"/>
                <w:szCs w:val="18"/>
              </w:rPr>
              <w:t>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w:t>
            </w:r>
            <w:r>
              <w:rPr>
                <w:rFonts w:ascii="Arial Narrow" w:hAnsi="Arial Narrow" w:cs="Garamond"/>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P2</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Relevant population:</w:t>
            </w:r>
            <w:r w:rsidRPr="004D57B3">
              <w:rPr>
                <w:rFonts w:ascii="Arial Narrow" w:hAnsi="Arial Narrow" w:cs="Garamond"/>
                <w:sz w:val="18"/>
                <w:szCs w:val="18"/>
              </w:rPr>
              <w:t xml:space="preserve"> limited</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48417A" w:rsidRPr="004D57B3" w:rsidRDefault="0048417A" w:rsidP="00836B55">
      <w:pPr>
        <w:tabs>
          <w:tab w:val="left" w:pos="11085"/>
        </w:tabs>
        <w:spacing w:after="0"/>
        <w:rPr>
          <w:lang w:val="en-US"/>
        </w:rPr>
      </w:pPr>
    </w:p>
    <w:p w:rsidR="0048417A" w:rsidRPr="004D57B3" w:rsidRDefault="0048417A" w:rsidP="00836B55">
      <w:pPr>
        <w:spacing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09"/>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sidRPr="0001266B">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09"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20"/>
        </w:trPr>
        <w:tc>
          <w:tcPr>
            <w:tcW w:w="2487" w:type="dxa"/>
          </w:tcPr>
          <w:p w:rsidR="00260B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Selby et al </w:t>
            </w:r>
            <w:r>
              <w:rPr>
                <w:rFonts w:ascii="Arial Narrow" w:hAnsi="Arial Narrow" w:cs="Garamond"/>
                <w:sz w:val="18"/>
                <w:szCs w:val="18"/>
              </w:rPr>
              <w:t>(</w:t>
            </w:r>
            <w:r w:rsidRPr="004D57B3">
              <w:rPr>
                <w:rFonts w:ascii="Arial Narrow" w:hAnsi="Arial Narrow" w:cs="Garamond"/>
                <w:sz w:val="18"/>
                <w:szCs w:val="18"/>
              </w:rPr>
              <w:t>2008</w:t>
            </w:r>
            <w:r>
              <w:rPr>
                <w:rFonts w:ascii="Arial Narrow" w:hAnsi="Arial Narrow" w:cs="Garamond"/>
                <w:sz w:val="18"/>
                <w:szCs w:val="18"/>
              </w:rPr>
              <w:t>)</w:t>
            </w:r>
          </w:p>
          <w:p w:rsidR="00260BB3" w:rsidRPr="00260BB3" w:rsidRDefault="00260BB3" w:rsidP="00836B55">
            <w:pPr>
              <w:keepNext/>
              <w:autoSpaceDE w:val="0"/>
              <w:autoSpaceDN w:val="0"/>
              <w:adjustRightInd w:val="0"/>
              <w:spacing w:after="0"/>
              <w:ind w:left="57" w:right="57"/>
              <w:rPr>
                <w:rFonts w:ascii="Arial Narrow" w:hAnsi="Arial Narrow" w:cs="Garamond"/>
                <w:sz w:val="48"/>
                <w:szCs w:val="4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Australia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Multicentre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Recruitment period not reported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=120 enrolled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260BB3">
            <w:pPr>
              <w:keepNext/>
              <w:autoSpaceDE w:val="0"/>
              <w:autoSpaceDN w:val="0"/>
              <w:adjustRightInd w:val="0"/>
              <w:spacing w:after="0"/>
              <w:ind w:left="57" w:right="57"/>
              <w:rPr>
                <w:rFonts w:ascii="Arial Narrow" w:hAnsi="Arial Narrow"/>
                <w:b/>
                <w:bCs/>
                <w:sz w:val="18"/>
                <w:szCs w:val="18"/>
              </w:rPr>
            </w:pPr>
            <w:r w:rsidRPr="004D57B3">
              <w:rPr>
                <w:rFonts w:ascii="Arial Narrow" w:hAnsi="Arial Narrow" w:cs="Garamond"/>
                <w:sz w:val="18"/>
                <w:szCs w:val="18"/>
              </w:rPr>
              <w:t>Funding: Given Imaging</w:t>
            </w:r>
            <w:r>
              <w:rPr>
                <w:rFonts w:ascii="Arial Narrow" w:hAnsi="Arial Narrow" w:cs="Garamond"/>
                <w:sz w:val="18"/>
                <w:szCs w:val="18"/>
              </w:rPr>
              <w:t xml:space="preserve"> Pty Ltd</w:t>
            </w: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To evaluate the yield of capsule endoscopy for the diagnosis of small bowel Crohn’s disease in symptomatic patients with non-diagnostic standard work-up. To assess the clinical impact of capsule endoscopy in these patients. </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Prospective diagnostic yield study</w:t>
            </w:r>
            <w:r>
              <w:rPr>
                <w:rFonts w:ascii="Arial Narrow" w:hAnsi="Arial Narrow" w:cs="Garamond"/>
                <w:sz w:val="18"/>
                <w:szCs w:val="18"/>
              </w:rPr>
              <w:t>.</w:t>
            </w:r>
            <w:r w:rsidRPr="004D57B3">
              <w:rPr>
                <w:rFonts w:ascii="Arial Narrow" w:hAnsi="Arial Narrow" w:cs="Garamond"/>
                <w:sz w:val="18"/>
                <w:szCs w:val="18"/>
              </w:rPr>
              <w:t xml:space="preserve"> </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spacing w:after="0"/>
              <w:ind w:left="57" w:right="57"/>
              <w:rPr>
                <w:rFonts w:ascii="Arial Narrow" w:hAnsi="Arial Narrow"/>
                <w:b/>
                <w:bCs/>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≥10 years old, abdominal pain and/or diarrhoea for the last </w:t>
            </w:r>
            <w:r>
              <w:rPr>
                <w:rFonts w:ascii="Arial Narrow" w:hAnsi="Arial Narrow" w:cs="Garamond"/>
                <w:sz w:val="18"/>
                <w:szCs w:val="18"/>
              </w:rPr>
              <w:t>6</w:t>
            </w:r>
            <w:r w:rsidRPr="004D57B3">
              <w:rPr>
                <w:rFonts w:ascii="Arial Narrow" w:hAnsi="Arial Narrow" w:cs="Garamond"/>
                <w:sz w:val="18"/>
                <w:szCs w:val="18"/>
              </w:rPr>
              <w:t xml:space="preserve"> weeks and/or extra-intestinal manifestations of Crohn’s disease, plus at least </w:t>
            </w:r>
            <w:r>
              <w:rPr>
                <w:rFonts w:ascii="Arial Narrow" w:hAnsi="Arial Narrow" w:cs="Garamond"/>
                <w:sz w:val="18"/>
                <w:szCs w:val="18"/>
              </w:rPr>
              <w:t>1</w:t>
            </w:r>
            <w:r w:rsidRPr="004D57B3">
              <w:rPr>
                <w:rFonts w:ascii="Arial Narrow" w:hAnsi="Arial Narrow" w:cs="Garamond"/>
                <w:sz w:val="18"/>
                <w:szCs w:val="18"/>
              </w:rPr>
              <w:t xml:space="preserve"> additional sign over the preceding </w:t>
            </w:r>
            <w:r>
              <w:rPr>
                <w:rFonts w:ascii="Arial Narrow" w:hAnsi="Arial Narrow" w:cs="Garamond"/>
                <w:sz w:val="18"/>
                <w:szCs w:val="18"/>
              </w:rPr>
              <w:t>6</w:t>
            </w:r>
            <w:r w:rsidRPr="004D57B3">
              <w:rPr>
                <w:rFonts w:ascii="Arial Narrow" w:hAnsi="Arial Narrow" w:cs="Garamond"/>
                <w:sz w:val="18"/>
                <w:szCs w:val="18"/>
              </w:rPr>
              <w:t xml:space="preserve"> months (</w:t>
            </w:r>
            <w:proofErr w:type="spellStart"/>
            <w:r>
              <w:rPr>
                <w:rFonts w:ascii="Arial Narrow" w:hAnsi="Arial Narrow" w:cs="Garamond"/>
                <w:sz w:val="18"/>
                <w:szCs w:val="18"/>
              </w:rPr>
              <w:t>eg</w:t>
            </w:r>
            <w:proofErr w:type="spellEnd"/>
            <w:r w:rsidRPr="004D57B3">
              <w:rPr>
                <w:rFonts w:ascii="Arial Narrow" w:hAnsi="Arial Narrow" w:cs="Garamond"/>
                <w:sz w:val="18"/>
                <w:szCs w:val="18"/>
              </w:rPr>
              <w:t xml:space="preserve"> positive inflammatory marker, unexplained anaemia, recurrent fever – see Selby et al </w:t>
            </w:r>
            <w:r>
              <w:rPr>
                <w:rFonts w:ascii="Arial Narrow" w:hAnsi="Arial Narrow" w:cs="Garamond"/>
                <w:sz w:val="18"/>
                <w:szCs w:val="18"/>
              </w:rPr>
              <w:t>(</w:t>
            </w:r>
            <w:r w:rsidRPr="004D57B3">
              <w:rPr>
                <w:rFonts w:ascii="Arial Narrow" w:hAnsi="Arial Narrow" w:cs="Garamond"/>
                <w:sz w:val="18"/>
                <w:szCs w:val="18"/>
              </w:rPr>
              <w:t>2008</w:t>
            </w:r>
            <w:r>
              <w:rPr>
                <w:rFonts w:ascii="Arial Narrow" w:hAnsi="Arial Narrow" w:cs="Garamond"/>
                <w:sz w:val="18"/>
                <w:szCs w:val="18"/>
              </w:rPr>
              <w:t>)</w:t>
            </w:r>
            <w:r w:rsidRPr="004D57B3">
              <w:rPr>
                <w:rFonts w:ascii="Arial Narrow" w:hAnsi="Arial Narrow" w:cs="Garamond"/>
                <w:sz w:val="18"/>
                <w:szCs w:val="18"/>
              </w:rPr>
              <w:t xml:space="preserve"> for complete list), non-diagnostic standard evaluation within </w:t>
            </w:r>
            <w:r>
              <w:rPr>
                <w:rFonts w:ascii="Arial Narrow" w:hAnsi="Arial Narrow" w:cs="Garamond"/>
                <w:sz w:val="18"/>
                <w:szCs w:val="18"/>
              </w:rPr>
              <w:t>6</w:t>
            </w:r>
            <w:r w:rsidRPr="004D57B3">
              <w:rPr>
                <w:rFonts w:ascii="Arial Narrow" w:hAnsi="Arial Narrow" w:cs="Garamond"/>
                <w:sz w:val="18"/>
                <w:szCs w:val="18"/>
              </w:rPr>
              <w:t xml:space="preserve"> months prior to enrolment (including colonoscopy, attempted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and </w:t>
            </w:r>
            <w:r>
              <w:rPr>
                <w:rFonts w:ascii="Arial Narrow" w:hAnsi="Arial Narrow" w:cs="Garamond"/>
                <w:sz w:val="18"/>
                <w:szCs w:val="18"/>
              </w:rPr>
              <w:t>SBFT).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 xml:space="preserve">Exclusion: </w:t>
            </w:r>
          </w:p>
          <w:p w:rsidR="0048417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Known history of small bowel Crohn’s disease, patients with indeterminate colitis where the purpose is only to make a definitive diagnosis and inclusion criteria are not met, suspected celiac disease or life threatening conditions, known intestinal obstruction or definite stricture seen on</w:t>
            </w:r>
            <w:r>
              <w:rPr>
                <w:rFonts w:ascii="Arial Narrow" w:hAnsi="Arial Narrow" w:cs="Garamond"/>
                <w:sz w:val="18"/>
                <w:szCs w:val="18"/>
              </w:rPr>
              <w:t xml:space="preserve"> SBFT,</w:t>
            </w:r>
            <w:r w:rsidRPr="004D57B3">
              <w:rPr>
                <w:rFonts w:ascii="Arial Narrow" w:hAnsi="Arial Narrow" w:cs="Garamond"/>
                <w:sz w:val="18"/>
                <w:szCs w:val="18"/>
              </w:rPr>
              <w:t xml:space="preserve"> suspected stricture and did not pass the patency capsule, pacemaker or other implanted </w:t>
            </w:r>
            <w:proofErr w:type="spellStart"/>
            <w:r w:rsidRPr="004D57B3">
              <w:rPr>
                <w:rFonts w:ascii="Arial Narrow" w:hAnsi="Arial Narrow" w:cs="Garamond"/>
                <w:sz w:val="18"/>
                <w:szCs w:val="18"/>
              </w:rPr>
              <w:t>electromedical</w:t>
            </w:r>
            <w:proofErr w:type="spellEnd"/>
            <w:r w:rsidRPr="004D57B3">
              <w:rPr>
                <w:rFonts w:ascii="Arial Narrow" w:hAnsi="Arial Narrow" w:cs="Garamond"/>
                <w:sz w:val="18"/>
                <w:szCs w:val="18"/>
              </w:rPr>
              <w:t xml:space="preserve"> device, on treatment for active inflammatory bowel disease,  NSAIDs during the </w:t>
            </w:r>
            <w:r>
              <w:rPr>
                <w:rFonts w:ascii="Arial Narrow" w:hAnsi="Arial Narrow" w:cs="Garamond"/>
                <w:sz w:val="18"/>
                <w:szCs w:val="18"/>
              </w:rPr>
              <w:t>3</w:t>
            </w:r>
            <w:r w:rsidRPr="004D57B3">
              <w:rPr>
                <w:rFonts w:ascii="Arial Narrow" w:hAnsi="Arial Narrow" w:cs="Garamond"/>
                <w:sz w:val="18"/>
                <w:szCs w:val="18"/>
              </w:rPr>
              <w:t xml:space="preserve"> months preceding enrolment or currently participating in another clinical study that may affect the study results, pregnant.</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lastRenderedPageBreak/>
              <w:t>Patient characteristics (</w:t>
            </w:r>
            <w:r>
              <w:rPr>
                <w:rFonts w:ascii="Arial Narrow" w:hAnsi="Arial Narrow" w:cs="Garamond"/>
                <w:b/>
                <w:sz w:val="18"/>
                <w:szCs w:val="18"/>
              </w:rPr>
              <w:t>n</w:t>
            </w:r>
            <w:r w:rsidRPr="004D57B3">
              <w:rPr>
                <w:rFonts w:ascii="Arial Narrow" w:hAnsi="Arial Narrow" w:cs="Garamond"/>
                <w:b/>
                <w:sz w:val="18"/>
                <w:szCs w:val="18"/>
              </w:rPr>
              <w:t>=115, excludes patients with failed 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Mean age 35 years, SD 12.96 years  (range 11</w:t>
            </w:r>
            <w:r>
              <w:rPr>
                <w:rFonts w:ascii="Arial Narrow" w:hAnsi="Arial Narrow" w:cs="Garamond"/>
                <w:sz w:val="18"/>
                <w:szCs w:val="18"/>
              </w:rPr>
              <w:t>-</w:t>
            </w:r>
            <w:r w:rsidRPr="004D57B3">
              <w:rPr>
                <w:rFonts w:ascii="Arial Narrow" w:hAnsi="Arial Narrow" w:cs="Garamond"/>
                <w:sz w:val="18"/>
                <w:szCs w:val="18"/>
              </w:rPr>
              <w:t>73 years)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83 female/32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All patients underwent colonoscopy and radiological tests. 94 of 115 patients underwent upper endoscopy. There was an average of 4.6 procedures per patient (average 1.6 colonoscopies per patient, 1.8 radiological tests per patient and 1.5 upper endoscopies per patient).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Abdominal pain 93% (107/115)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Diarrhoea 78% (90/115)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Weight loss 51% (59/115)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Positive inflammatory markers 42% (48/115)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Constipation 24% (28/115)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Vomiting 17% (20/115)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Anaemia 6% (7/115)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Nausea 3% (4/115)</w:t>
            </w:r>
          </w:p>
          <w:p w:rsidR="0048417A" w:rsidRPr="004D57B3" w:rsidRDefault="0048417A" w:rsidP="00836B55">
            <w:pPr>
              <w:keepNext/>
              <w:numPr>
                <w:ilvl w:val="0"/>
                <w:numId w:val="53"/>
              </w:numPr>
              <w:autoSpaceDE w:val="0"/>
              <w:autoSpaceDN w:val="0"/>
              <w:adjustRightInd w:val="0"/>
              <w:spacing w:after="0"/>
              <w:ind w:left="248" w:right="57" w:hanging="191"/>
              <w:jc w:val="both"/>
              <w:rPr>
                <w:rFonts w:ascii="Arial Narrow" w:hAnsi="Arial Narrow" w:cs="Garamond"/>
                <w:sz w:val="18"/>
                <w:szCs w:val="18"/>
              </w:rPr>
            </w:pPr>
            <w:r w:rsidRPr="004D57B3">
              <w:rPr>
                <w:rFonts w:ascii="Arial Narrow" w:hAnsi="Arial Narrow" w:cs="Garamond"/>
                <w:sz w:val="18"/>
                <w:szCs w:val="18"/>
              </w:rPr>
              <w:t>Fever 2% (2/115)</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2074E1" w:rsidRDefault="0048417A" w:rsidP="00836B55">
            <w:pPr>
              <w:keepNext/>
              <w:autoSpaceDE w:val="0"/>
              <w:autoSpaceDN w:val="0"/>
              <w:adjustRightInd w:val="0"/>
              <w:spacing w:after="0"/>
              <w:ind w:left="57" w:right="57"/>
              <w:jc w:val="both"/>
              <w:rPr>
                <w:rFonts w:ascii="Arial Narrow" w:hAnsi="Arial Narrow" w:cs="Garamond"/>
                <w:b/>
                <w:sz w:val="18"/>
                <w:szCs w:val="18"/>
              </w:rPr>
            </w:pPr>
            <w:r w:rsidRPr="002074E1">
              <w:rPr>
                <w:rFonts w:ascii="Arial Narrow" w:hAnsi="Arial Narrow" w:cs="Garamond"/>
                <w:b/>
                <w:sz w:val="18"/>
                <w:szCs w:val="18"/>
              </w:rPr>
              <w:t>Interpretation/threshold:</w:t>
            </w:r>
          </w:p>
          <w:p w:rsidR="0048417A" w:rsidRPr="004D57B3" w:rsidRDefault="0048417A" w:rsidP="00836B55">
            <w:pPr>
              <w:keepNext/>
              <w:spacing w:after="0"/>
              <w:ind w:left="57" w:right="57"/>
              <w:rPr>
                <w:rFonts w:ascii="Arial Narrow" w:hAnsi="Arial Narrow"/>
                <w:b/>
                <w:bCs/>
                <w:sz w:val="18"/>
                <w:szCs w:val="18"/>
              </w:rPr>
            </w:pPr>
            <w:r w:rsidRPr="002074E1">
              <w:rPr>
                <w:rFonts w:ascii="Arial Narrow" w:hAnsi="Arial Narrow" w:cs="Garamond"/>
                <w:sz w:val="18"/>
                <w:szCs w:val="18"/>
              </w:rPr>
              <w:t>CE findings were categorised as definite Crohn’s disease (&gt;3 small bowel ulcerations), possible Crohn’s disease (≤3 small bowel ulcerations) or normal or non-Crohn’s disease (without ulcerations but non-specific findings).</w:t>
            </w: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lastRenderedPageBreak/>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Definite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24/120 = 20% (95% CI = 14-28%)</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Definite + possible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33/120 = 28% (95% CI = 20-36%)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Interobserver</w:t>
            </w:r>
            <w:proofErr w:type="spellEnd"/>
            <w:r w:rsidRPr="004D57B3">
              <w:rPr>
                <w:rFonts w:ascii="Arial Narrow" w:hAnsi="Arial Narrow" w:cs="Garamond"/>
                <w:sz w:val="18"/>
                <w:szCs w:val="18"/>
              </w:rPr>
              <w:t xml:space="preserve"> variability:</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≥3 ulcers or </w:t>
            </w:r>
            <w:proofErr w:type="spellStart"/>
            <w:r w:rsidRPr="004D57B3">
              <w:rPr>
                <w:rFonts w:ascii="Arial Narrow" w:hAnsi="Arial Narrow" w:cs="Garamond"/>
                <w:sz w:val="18"/>
                <w:szCs w:val="18"/>
              </w:rPr>
              <w:t>apthoid</w:t>
            </w:r>
            <w:proofErr w:type="spellEnd"/>
            <w:r w:rsidRPr="004D57B3">
              <w:rPr>
                <w:rFonts w:ascii="Arial Narrow" w:hAnsi="Arial Narrow" w:cs="Garamond"/>
                <w:sz w:val="18"/>
                <w:szCs w:val="18"/>
              </w:rPr>
              <w:t xml:space="preserve"> lesions K=0.793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≥1 and &lt;3 ulcers or </w:t>
            </w:r>
            <w:proofErr w:type="spellStart"/>
            <w:r w:rsidRPr="004D57B3">
              <w:rPr>
                <w:rFonts w:ascii="Arial Narrow" w:hAnsi="Arial Narrow" w:cs="Garamond"/>
                <w:sz w:val="18"/>
                <w:szCs w:val="18"/>
              </w:rPr>
              <w:t>apthoid</w:t>
            </w:r>
            <w:proofErr w:type="spellEnd"/>
            <w:r w:rsidRPr="004D57B3">
              <w:rPr>
                <w:rFonts w:ascii="Arial Narrow" w:hAnsi="Arial Narrow" w:cs="Garamond"/>
                <w:sz w:val="18"/>
                <w:szCs w:val="18"/>
              </w:rPr>
              <w:t xml:space="preserve"> lesions K = 0.823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688"/>
              <w:gridCol w:w="717"/>
            </w:tblGrid>
            <w:tr w:rsidR="0048417A" w:rsidRPr="004D57B3" w:rsidTr="00836B55">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Yield</w:t>
                  </w:r>
                </w:p>
              </w:tc>
            </w:tr>
            <w:tr w:rsidR="0048417A" w:rsidRPr="004D57B3" w:rsidTr="00836B55">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Normal</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82</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683%</w:t>
                  </w:r>
                </w:p>
              </w:tc>
            </w:tr>
            <w:tr w:rsidR="0048417A" w:rsidRPr="004D57B3" w:rsidTr="00836B55">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Possible</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9</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7.%</w:t>
                  </w:r>
                </w:p>
              </w:tc>
            </w:tr>
            <w:tr w:rsidR="0048417A" w:rsidRPr="004D57B3" w:rsidTr="00836B55">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Definite</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24</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20%</w:t>
                  </w:r>
                </w:p>
              </w:tc>
            </w:tr>
            <w:tr w:rsidR="0048417A" w:rsidRPr="004D57B3" w:rsidTr="00836B55">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Capsule technical failure or retention</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5</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4.2%</w:t>
                  </w:r>
                </w:p>
              </w:tc>
            </w:tr>
            <w:tr w:rsidR="0048417A" w:rsidRPr="004D57B3" w:rsidTr="00836B55">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Total</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120</w:t>
                  </w:r>
                </w:p>
              </w:tc>
              <w:tc>
                <w:tcPr>
                  <w:tcW w:w="752" w:type="dxa"/>
                  <w:tcBorders>
                    <w:top w:val="single" w:sz="4" w:space="0" w:color="auto"/>
                    <w:left w:val="single" w:sz="4" w:space="0" w:color="auto"/>
                    <w:bottom w:val="single" w:sz="4" w:space="0" w:color="auto"/>
                    <w:right w:val="single" w:sz="4" w:space="0" w:color="auto"/>
                  </w:tcBorders>
                </w:tcPr>
                <w:p w:rsidR="0048417A" w:rsidRPr="004D57B3" w:rsidRDefault="0048417A" w:rsidP="00836B55">
                  <w:pPr>
                    <w:pStyle w:val="TableText"/>
                  </w:pPr>
                  <w:r w:rsidRPr="004D57B3">
                    <w:t>100%</w:t>
                  </w:r>
                </w:p>
              </w:tc>
            </w:tr>
          </w:tbl>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Adverse events</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2</w:t>
            </w:r>
            <w:r w:rsidRPr="004D57B3">
              <w:rPr>
                <w:rFonts w:ascii="Arial Narrow" w:hAnsi="Arial Narrow" w:cs="Garamond"/>
                <w:sz w:val="18"/>
                <w:szCs w:val="18"/>
              </w:rPr>
              <w:t xml:space="preserve"> moderate to severe adverse events were reported during the study – </w:t>
            </w:r>
            <w:r>
              <w:rPr>
                <w:rFonts w:ascii="Arial Narrow" w:hAnsi="Arial Narrow" w:cs="Garamond"/>
                <w:sz w:val="18"/>
                <w:szCs w:val="18"/>
              </w:rPr>
              <w:t>1</w:t>
            </w:r>
            <w:r w:rsidRPr="004D57B3">
              <w:rPr>
                <w:rFonts w:ascii="Arial Narrow" w:hAnsi="Arial Narrow" w:cs="Garamond"/>
                <w:sz w:val="18"/>
                <w:szCs w:val="18"/>
              </w:rPr>
              <w:t xml:space="preserve"> patient had severe nausea with vomiting that were treated with anti-nausea </w:t>
            </w:r>
            <w:r w:rsidRPr="004D57B3">
              <w:rPr>
                <w:rFonts w:ascii="Arial Narrow" w:hAnsi="Arial Narrow" w:cs="Garamond"/>
                <w:sz w:val="18"/>
                <w:szCs w:val="18"/>
              </w:rPr>
              <w:lastRenderedPageBreak/>
              <w:t xml:space="preserve">medication, the other suffered from moderate pain. Both events were resolved within </w:t>
            </w:r>
            <w:r>
              <w:rPr>
                <w:rFonts w:ascii="Arial Narrow" w:hAnsi="Arial Narrow" w:cs="Garamond"/>
                <w:sz w:val="18"/>
                <w:szCs w:val="18"/>
              </w:rPr>
              <w:t>24</w:t>
            </w:r>
            <w:r w:rsidRPr="004D57B3">
              <w:rPr>
                <w:rFonts w:ascii="Arial Narrow" w:hAnsi="Arial Narrow" w:cs="Garamond"/>
                <w:sz w:val="18"/>
                <w:szCs w:val="18"/>
              </w:rPr>
              <w:t xml:space="preserve"> hours.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Incomplete capsule endoscopy due to either failure to reach the caecum or technical failure: 12.5% (15/120)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Incomplete capsule endoscopy due to failure to reach the caecum: 9.2% (11/120)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Incomplete capsule endoscopy due to technical failure of the RAPID® workstation: 3.3% (4/120)</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Capsule retention 0.8% (1/120)</w:t>
            </w:r>
          </w:p>
          <w:p w:rsidR="0048417A" w:rsidRPr="004D57B3" w:rsidRDefault="0048417A" w:rsidP="00836B55">
            <w:pPr>
              <w:keepNext/>
              <w:spacing w:after="0"/>
              <w:ind w:left="57" w:right="57"/>
              <w:rPr>
                <w:rFonts w:ascii="Arial Narrow" w:hAnsi="Arial Narrow"/>
                <w:b/>
                <w:bCs/>
                <w:sz w:val="18"/>
                <w:szCs w:val="18"/>
              </w:rPr>
            </w:pPr>
          </w:p>
        </w:tc>
        <w:tc>
          <w:tcPr>
            <w:tcW w:w="3509"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lastRenderedPageBreak/>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CX: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Consecutive: </w:t>
            </w:r>
            <w:r>
              <w:rPr>
                <w:rFonts w:ascii="Arial Narrow" w:hAnsi="Arial Narrow" w:cs="Garamond"/>
                <w:sz w:val="18"/>
                <w:szCs w:val="18"/>
              </w:rPr>
              <w:t>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w:t>
            </w:r>
            <w:r>
              <w:rPr>
                <w:rFonts w:ascii="Arial Narrow" w:hAnsi="Arial Narrow" w:cs="Garamond"/>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w:t>
            </w:r>
            <w:r>
              <w:rPr>
                <w:rFonts w:ascii="Arial Narrow" w:hAnsi="Arial Narrow" w:cs="Garamond"/>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 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P1</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pPr>
            <w:r w:rsidRPr="004D57B3">
              <w:rPr>
                <w:rFonts w:ascii="Arial Narrow" w:hAnsi="Arial Narrow" w:cs="Garamond"/>
                <w:i/>
                <w:sz w:val="18"/>
                <w:szCs w:val="18"/>
              </w:rPr>
              <w:t xml:space="preserve">Relevant population: </w:t>
            </w:r>
            <w:r w:rsidRPr="004D57B3">
              <w:rPr>
                <w:rFonts w:ascii="Arial Narrow" w:hAnsi="Arial Narrow"/>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comparator: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Applicable intervention: </w:t>
            </w:r>
            <w:r w:rsidRPr="004D57B3">
              <w:rPr>
                <w:rFonts w:ascii="Arial Narrow" w:hAnsi="Arial Narrow" w:cs="Garamond"/>
                <w:sz w:val="18"/>
                <w:szCs w:val="18"/>
              </w:rPr>
              <w:t>yes</w:t>
            </w:r>
          </w:p>
          <w:p w:rsidR="0048417A" w:rsidRPr="004D57B3" w:rsidRDefault="0048417A" w:rsidP="00836B55">
            <w:pPr>
              <w:keepNext/>
              <w:spacing w:after="0"/>
              <w:ind w:left="57" w:right="57"/>
              <w:rPr>
                <w:rFonts w:ascii="Arial Narrow" w:hAnsi="Arial Narrow"/>
                <w:b/>
                <w:bCs/>
                <w:sz w:val="18"/>
                <w:szCs w:val="18"/>
              </w:rPr>
            </w:pPr>
          </w:p>
        </w:tc>
      </w:tr>
    </w:tbl>
    <w:p w:rsidR="0048417A" w:rsidRPr="004D57B3" w:rsidRDefault="0048417A" w:rsidP="00836B55">
      <w:pPr>
        <w:spacing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2487"/>
        <w:gridCol w:w="2487"/>
        <w:gridCol w:w="3514"/>
      </w:tblGrid>
      <w:tr w:rsidR="0048417A" w:rsidRPr="004D57B3" w:rsidTr="00836B55">
        <w:trPr>
          <w:trHeight w:val="620"/>
        </w:trPr>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lastRenderedPageBreak/>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sidRPr="0001266B">
              <w:rPr>
                <w:rFonts w:ascii="Arial Narrow" w:hAnsi="Arial Narrow"/>
                <w:b/>
                <w:bCs/>
                <w:sz w:val="18"/>
                <w:szCs w:val="18"/>
              </w:rPr>
              <w:t>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8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14"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877"/>
        </w:trPr>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Valle et al </w:t>
            </w:r>
            <w:r>
              <w:rPr>
                <w:rFonts w:ascii="Arial Narrow" w:hAnsi="Arial Narrow" w:cs="Garamond"/>
                <w:sz w:val="18"/>
                <w:szCs w:val="18"/>
              </w:rPr>
              <w:t>(</w:t>
            </w:r>
            <w:r w:rsidRPr="004D57B3">
              <w:rPr>
                <w:rFonts w:ascii="Arial Narrow" w:hAnsi="Arial Narrow" w:cs="Garamond"/>
                <w:sz w:val="18"/>
                <w:szCs w:val="18"/>
              </w:rPr>
              <w:t>2006</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Spain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Single centre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May 2004</w:t>
            </w:r>
            <w:r>
              <w:rPr>
                <w:rFonts w:ascii="Arial Narrow" w:hAnsi="Arial Narrow" w:cs="Garamond"/>
                <w:sz w:val="18"/>
                <w:szCs w:val="18"/>
              </w:rPr>
              <w:t>-</w:t>
            </w:r>
            <w:r w:rsidRPr="004D57B3">
              <w:rPr>
                <w:rFonts w:ascii="Arial Narrow" w:hAnsi="Arial Narrow" w:cs="Garamond"/>
                <w:sz w:val="18"/>
                <w:szCs w:val="18"/>
              </w:rPr>
              <w:t>September 2005</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=23 patients with suspected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determine which clinical features predict the diagnosis of Crohn’s disease by capsule endoscopy in patients with suggestive symptoms but negative results from traditional diagnostic work-up.</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Prospective diagnostic yield study</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8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Patients with negative results from conventional imaging techniques but suspected of Crohn’s disease based on long</w:t>
            </w:r>
            <w:r>
              <w:rPr>
                <w:rFonts w:ascii="Arial Narrow" w:hAnsi="Arial Narrow" w:cs="Garamond"/>
                <w:sz w:val="18"/>
                <w:szCs w:val="18"/>
              </w:rPr>
              <w:t xml:space="preserve"> </w:t>
            </w:r>
            <w:r w:rsidRPr="004D57B3">
              <w:rPr>
                <w:rFonts w:ascii="Arial Narrow" w:hAnsi="Arial Narrow" w:cs="Garamond"/>
                <w:sz w:val="18"/>
                <w:szCs w:val="18"/>
              </w:rPr>
              <w:t xml:space="preserve">standing abdominal pain and/or diarrhoea and at least </w:t>
            </w:r>
            <w:r>
              <w:rPr>
                <w:rFonts w:ascii="Arial Narrow" w:hAnsi="Arial Narrow" w:cs="Garamond"/>
                <w:sz w:val="18"/>
                <w:szCs w:val="18"/>
              </w:rPr>
              <w:t>1</w:t>
            </w:r>
            <w:r w:rsidRPr="004D57B3">
              <w:rPr>
                <w:rFonts w:ascii="Arial Narrow" w:hAnsi="Arial Narrow" w:cs="Garamond"/>
                <w:sz w:val="18"/>
                <w:szCs w:val="18"/>
              </w:rPr>
              <w:t xml:space="preserve"> symptom (anaemia, weight loss, long standing fever, perianal disease, extra-intestinal manifestations typical of inflammatory bowel disease, elevated inflammatory parameters (C-reactive protein, platelet count, fibrinogen, erythrocyte sedimentation rate), family history of inflammatory bowel disease).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Exclusion: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NSAIDs taken for &gt;1 week during the previous </w:t>
            </w:r>
            <w:r>
              <w:rPr>
                <w:rFonts w:ascii="Arial Narrow" w:hAnsi="Arial Narrow" w:cs="Garamond"/>
                <w:sz w:val="18"/>
                <w:szCs w:val="18"/>
              </w:rPr>
              <w:t>6</w:t>
            </w:r>
            <w:r w:rsidRPr="004D57B3">
              <w:rPr>
                <w:rFonts w:ascii="Arial Narrow" w:hAnsi="Arial Narrow" w:cs="Garamond"/>
                <w:sz w:val="18"/>
                <w:szCs w:val="18"/>
              </w:rPr>
              <w:t xml:space="preserve"> months. </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Mean age 40 ±</w:t>
            </w:r>
            <w:r w:rsidRPr="004D57B3">
              <w:rPr>
                <w:rFonts w:ascii="Arial Narrow" w:hAnsi="Arial Narrow" w:cs="Garamond"/>
                <w:i/>
                <w:sz w:val="18"/>
                <w:szCs w:val="18"/>
              </w:rPr>
              <w:t xml:space="preserve"> </w:t>
            </w:r>
            <w:r w:rsidRPr="004D57B3">
              <w:rPr>
                <w:rFonts w:ascii="Arial Narrow" w:hAnsi="Arial Narrow" w:cs="Garamond"/>
                <w:sz w:val="18"/>
                <w:szCs w:val="18"/>
              </w:rPr>
              <w:t>15 years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16 female/7 male</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p>
          <w:p w:rsidR="0048417A" w:rsidRPr="004D57B3" w:rsidRDefault="0048417A" w:rsidP="00836B55">
            <w:pPr>
              <w:keepNext/>
              <w:numPr>
                <w:ilvl w:val="0"/>
                <w:numId w:val="54"/>
              </w:numPr>
              <w:autoSpaceDE w:val="0"/>
              <w:autoSpaceDN w:val="0"/>
              <w:adjustRightInd w:val="0"/>
              <w:spacing w:after="0"/>
              <w:ind w:left="129" w:right="57" w:hanging="141"/>
              <w:rPr>
                <w:rFonts w:ascii="Arial Narrow" w:hAnsi="Arial Narrow" w:cs="Garamond"/>
                <w:sz w:val="18"/>
                <w:szCs w:val="18"/>
              </w:rPr>
            </w:pPr>
            <w:r w:rsidRPr="004D57B3">
              <w:rPr>
                <w:rFonts w:ascii="Arial Narrow" w:hAnsi="Arial Narrow" w:cs="Garamond"/>
                <w:sz w:val="18"/>
                <w:szCs w:val="18"/>
              </w:rPr>
              <w:t>Colonoscopy 100%</w:t>
            </w:r>
          </w:p>
          <w:p w:rsidR="0048417A" w:rsidRPr="004D57B3" w:rsidRDefault="0048417A" w:rsidP="00836B55">
            <w:pPr>
              <w:keepNext/>
              <w:numPr>
                <w:ilvl w:val="0"/>
                <w:numId w:val="54"/>
              </w:numPr>
              <w:autoSpaceDE w:val="0"/>
              <w:autoSpaceDN w:val="0"/>
              <w:adjustRightInd w:val="0"/>
              <w:spacing w:after="0"/>
              <w:ind w:left="129" w:right="57" w:hanging="141"/>
              <w:rPr>
                <w:rFonts w:ascii="Arial Narrow" w:hAnsi="Arial Narrow" w:cs="Garamond"/>
                <w:sz w:val="18"/>
                <w:szCs w:val="18"/>
              </w:rPr>
            </w:pPr>
            <w:r w:rsidRPr="004D57B3">
              <w:rPr>
                <w:rFonts w:ascii="Arial Narrow" w:hAnsi="Arial Narrow" w:cs="Garamond"/>
                <w:sz w:val="18"/>
                <w:szCs w:val="18"/>
              </w:rPr>
              <w:t xml:space="preserve">Attempted </w:t>
            </w:r>
            <w:proofErr w:type="spellStart"/>
            <w:r w:rsidRPr="004D57B3">
              <w:rPr>
                <w:rFonts w:ascii="Arial Narrow" w:hAnsi="Arial Narrow" w:cs="Garamond"/>
                <w:sz w:val="18"/>
                <w:szCs w:val="18"/>
              </w:rPr>
              <w:t>ileoscopy</w:t>
            </w:r>
            <w:proofErr w:type="spellEnd"/>
            <w:r w:rsidRPr="004D57B3">
              <w:rPr>
                <w:rFonts w:ascii="Arial Narrow" w:hAnsi="Arial Narrow" w:cs="Garamond"/>
                <w:sz w:val="18"/>
                <w:szCs w:val="18"/>
              </w:rPr>
              <w:t xml:space="preserve"> (52% reached distal ileum)</w:t>
            </w:r>
          </w:p>
          <w:p w:rsidR="0048417A" w:rsidRPr="004D57B3" w:rsidRDefault="0048417A" w:rsidP="00836B55">
            <w:pPr>
              <w:keepNext/>
              <w:numPr>
                <w:ilvl w:val="0"/>
                <w:numId w:val="54"/>
              </w:numPr>
              <w:autoSpaceDE w:val="0"/>
              <w:autoSpaceDN w:val="0"/>
              <w:adjustRightInd w:val="0"/>
              <w:spacing w:after="0"/>
              <w:ind w:left="129" w:right="57" w:hanging="141"/>
              <w:rPr>
                <w:rFonts w:ascii="Arial Narrow" w:hAnsi="Arial Narrow" w:cs="Garamond"/>
                <w:sz w:val="18"/>
                <w:szCs w:val="18"/>
              </w:rPr>
            </w:pPr>
            <w:r>
              <w:rPr>
                <w:rFonts w:ascii="Arial Narrow" w:hAnsi="Arial Narrow" w:cs="Garamond"/>
                <w:sz w:val="18"/>
                <w:szCs w:val="18"/>
              </w:rPr>
              <w:t>SBFT</w:t>
            </w:r>
            <w:r w:rsidRPr="004D57B3">
              <w:rPr>
                <w:rFonts w:ascii="Arial Narrow" w:hAnsi="Arial Narrow" w:cs="Garamond"/>
                <w:sz w:val="18"/>
                <w:szCs w:val="18"/>
              </w:rPr>
              <w:t xml:space="preserve"> 100%</w:t>
            </w:r>
          </w:p>
          <w:p w:rsidR="0048417A" w:rsidRPr="004D57B3" w:rsidRDefault="0048417A" w:rsidP="00836B55">
            <w:pPr>
              <w:keepNext/>
              <w:numPr>
                <w:ilvl w:val="0"/>
                <w:numId w:val="54"/>
              </w:numPr>
              <w:autoSpaceDE w:val="0"/>
              <w:autoSpaceDN w:val="0"/>
              <w:adjustRightInd w:val="0"/>
              <w:spacing w:after="0"/>
              <w:ind w:left="129" w:right="57" w:hanging="141"/>
              <w:rPr>
                <w:rFonts w:ascii="Arial Narrow" w:hAnsi="Arial Narrow" w:cs="Garamond"/>
                <w:sz w:val="18"/>
                <w:szCs w:val="18"/>
              </w:rPr>
            </w:pPr>
            <w:r w:rsidRPr="004D57B3">
              <w:rPr>
                <w:rFonts w:ascii="Arial Narrow" w:hAnsi="Arial Narrow" w:cs="Garamond"/>
                <w:sz w:val="18"/>
                <w:szCs w:val="18"/>
              </w:rPr>
              <w:t>Upper gastrointestinal endoscopy 61% (14/23)</w:t>
            </w: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i/>
                <w:sz w:val="18"/>
                <w:szCs w:val="18"/>
              </w:rPr>
            </w:pPr>
            <w:r w:rsidRPr="004D57B3">
              <w:rPr>
                <w:rFonts w:ascii="Arial Narrow" w:hAnsi="Arial Narrow" w:cs="Garamond"/>
                <w:i/>
                <w:sz w:val="18"/>
                <w:szCs w:val="18"/>
              </w:rPr>
              <w:t>Clinical characteristics</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No patients had strictures revealed by the </w:t>
            </w:r>
            <w:r>
              <w:rPr>
                <w:rFonts w:ascii="Arial Narrow" w:hAnsi="Arial Narrow" w:cs="Garamond"/>
                <w:sz w:val="18"/>
                <w:szCs w:val="18"/>
              </w:rPr>
              <w:t>SBFT.</w:t>
            </w:r>
            <w:r w:rsidRPr="004D57B3">
              <w:rPr>
                <w:rFonts w:ascii="Arial Narrow" w:hAnsi="Arial Narrow" w:cs="Garamond"/>
                <w:sz w:val="18"/>
                <w:szCs w:val="18"/>
              </w:rPr>
              <w:t xml:space="preserve"> </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Severe capsule endoscopy findings such as ≥2 irregular/</w:t>
            </w:r>
            <w:proofErr w:type="spellStart"/>
            <w:r w:rsidRPr="004D57B3">
              <w:rPr>
                <w:rFonts w:ascii="Arial Narrow" w:hAnsi="Arial Narrow" w:cs="Garamond"/>
                <w:sz w:val="18"/>
                <w:szCs w:val="18"/>
              </w:rPr>
              <w:t>fissural</w:t>
            </w:r>
            <w:proofErr w:type="spellEnd"/>
            <w:r w:rsidRPr="004D57B3">
              <w:rPr>
                <w:rFonts w:ascii="Arial Narrow" w:hAnsi="Arial Narrow" w:cs="Garamond"/>
                <w:sz w:val="18"/>
                <w:szCs w:val="18"/>
              </w:rPr>
              <w:t xml:space="preserve"> ulcers and/or strictures were considered to indicate Crohn’s disease. Mild changes (</w:t>
            </w:r>
            <w:proofErr w:type="spellStart"/>
            <w:r>
              <w:rPr>
                <w:rFonts w:ascii="Arial Narrow" w:hAnsi="Arial Narrow" w:cs="Garamond"/>
                <w:sz w:val="18"/>
                <w:szCs w:val="18"/>
              </w:rPr>
              <w:t>eg</w:t>
            </w:r>
            <w:proofErr w:type="spellEnd"/>
            <w:r w:rsidRPr="004D57B3">
              <w:rPr>
                <w:rFonts w:ascii="Arial Narrow" w:hAnsi="Arial Narrow" w:cs="Garamond"/>
                <w:sz w:val="18"/>
                <w:szCs w:val="18"/>
              </w:rPr>
              <w:t xml:space="preserve"> </w:t>
            </w:r>
            <w:proofErr w:type="spellStart"/>
            <w:r w:rsidRPr="004D57B3">
              <w:rPr>
                <w:rFonts w:ascii="Arial Narrow" w:hAnsi="Arial Narrow" w:cs="Garamond"/>
                <w:sz w:val="18"/>
                <w:szCs w:val="18"/>
              </w:rPr>
              <w:t>aphthoid</w:t>
            </w:r>
            <w:proofErr w:type="spellEnd"/>
            <w:r w:rsidRPr="004D57B3">
              <w:rPr>
                <w:rFonts w:ascii="Arial Narrow" w:hAnsi="Arial Narrow" w:cs="Garamond"/>
                <w:sz w:val="18"/>
                <w:szCs w:val="18"/>
              </w:rPr>
              <w:t xml:space="preserve"> ulcerations, villous denudation, </w:t>
            </w:r>
            <w:proofErr w:type="gramStart"/>
            <w:r w:rsidRPr="004D57B3">
              <w:rPr>
                <w:rFonts w:ascii="Arial Narrow" w:hAnsi="Arial Narrow" w:cs="Garamond"/>
                <w:sz w:val="18"/>
                <w:szCs w:val="18"/>
              </w:rPr>
              <w:t>patchy</w:t>
            </w:r>
            <w:proofErr w:type="gramEnd"/>
            <w:r w:rsidRPr="004D57B3">
              <w:rPr>
                <w:rFonts w:ascii="Arial Narrow" w:hAnsi="Arial Narrow" w:cs="Garamond"/>
                <w:sz w:val="18"/>
                <w:szCs w:val="18"/>
              </w:rPr>
              <w:t xml:space="preserve"> erythema) were not considered sufficient for a diagnosis of Crohn’s disease.</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tc>
        <w:tc>
          <w:tcPr>
            <w:tcW w:w="2487" w:type="dxa"/>
          </w:tcPr>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lastRenderedPageBreak/>
              <w:t>Test performance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Diagnostic yield:</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Excluding patients </w:t>
            </w:r>
            <w:r>
              <w:rPr>
                <w:rFonts w:ascii="Arial Narrow" w:hAnsi="Arial Narrow" w:cs="Garamond"/>
                <w:sz w:val="18"/>
                <w:szCs w:val="18"/>
              </w:rPr>
              <w:t>with possible Crohn’s disease (n</w:t>
            </w:r>
            <w:r w:rsidRPr="004D57B3">
              <w:rPr>
                <w:rFonts w:ascii="Arial Narrow" w:hAnsi="Arial Narrow" w:cs="Garamond"/>
                <w:sz w:val="18"/>
                <w:szCs w:val="18"/>
              </w:rPr>
              <w:t>=2)</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26.1% (6/23) (95% CI 11</w:t>
            </w:r>
            <w:r>
              <w:rPr>
                <w:rFonts w:ascii="Arial Narrow" w:hAnsi="Arial Narrow" w:cs="Garamond"/>
                <w:sz w:val="18"/>
                <w:szCs w:val="18"/>
              </w:rPr>
              <w:t>-</w:t>
            </w:r>
            <w:r w:rsidRPr="004D57B3">
              <w:rPr>
                <w:rFonts w:ascii="Arial Narrow" w:hAnsi="Arial Narrow" w:cs="Garamond"/>
                <w:sz w:val="18"/>
                <w:szCs w:val="18"/>
              </w:rPr>
              <w:t>49%)</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Definite or possible Crohn’s disease:</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34.8% (8/23) (95% CI 17</w:t>
            </w:r>
            <w:r>
              <w:rPr>
                <w:rFonts w:ascii="Arial Narrow" w:hAnsi="Arial Narrow" w:cs="Garamond"/>
                <w:sz w:val="18"/>
                <w:szCs w:val="18"/>
              </w:rPr>
              <w:t>-</w:t>
            </w:r>
            <w:r w:rsidRPr="004D57B3">
              <w:rPr>
                <w:rFonts w:ascii="Arial Narrow" w:hAnsi="Arial Narrow" w:cs="Garamond"/>
                <w:sz w:val="18"/>
                <w:szCs w:val="18"/>
              </w:rPr>
              <w:t>57%)</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Diagnosis of any condition:</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CE: 57% (13/23) (95% CI 35</w:t>
            </w:r>
            <w:r>
              <w:rPr>
                <w:rFonts w:ascii="Arial Narrow" w:hAnsi="Arial Narrow" w:cs="Garamond"/>
                <w:sz w:val="18"/>
                <w:szCs w:val="18"/>
              </w:rPr>
              <w:t>-</w:t>
            </w:r>
            <w:r w:rsidRPr="004D57B3">
              <w:rPr>
                <w:rFonts w:ascii="Arial Narrow" w:hAnsi="Arial Narrow" w:cs="Garamond"/>
                <w:sz w:val="18"/>
                <w:szCs w:val="18"/>
              </w:rPr>
              <w:t>76%)</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Capsule retention: 8.7% (2/23), </w:t>
            </w:r>
            <w:r>
              <w:rPr>
                <w:rFonts w:ascii="Arial Narrow" w:hAnsi="Arial Narrow" w:cs="Garamond"/>
                <w:sz w:val="18"/>
                <w:szCs w:val="18"/>
              </w:rPr>
              <w:t>1</w:t>
            </w:r>
            <w:r w:rsidRPr="004D57B3">
              <w:rPr>
                <w:rFonts w:ascii="Arial Narrow" w:hAnsi="Arial Narrow" w:cs="Garamond"/>
                <w:sz w:val="18"/>
                <w:szCs w:val="18"/>
              </w:rPr>
              <w:t xml:space="preserve"> in whom no strictures had been found on </w:t>
            </w:r>
            <w:r>
              <w:rPr>
                <w:rFonts w:ascii="Arial Narrow" w:hAnsi="Arial Narrow" w:cs="Garamond"/>
                <w:sz w:val="18"/>
                <w:szCs w:val="18"/>
              </w:rPr>
              <w:t xml:space="preserve">SBFT </w:t>
            </w:r>
            <w:r w:rsidRPr="004D57B3">
              <w:rPr>
                <w:rFonts w:ascii="Arial Narrow" w:hAnsi="Arial Narrow" w:cs="Garamond"/>
                <w:sz w:val="18"/>
                <w:szCs w:val="18"/>
              </w:rPr>
              <w:t xml:space="preserve">and who excreted the capsule 25 days later following oral steroid therapy, </w:t>
            </w:r>
            <w:r>
              <w:rPr>
                <w:rFonts w:ascii="Arial Narrow" w:hAnsi="Arial Narrow" w:cs="Garamond"/>
                <w:sz w:val="18"/>
                <w:szCs w:val="18"/>
              </w:rPr>
              <w:t>1</w:t>
            </w:r>
            <w:r w:rsidRPr="004D57B3">
              <w:rPr>
                <w:rFonts w:ascii="Arial Narrow" w:hAnsi="Arial Narrow" w:cs="Garamond"/>
                <w:sz w:val="18"/>
                <w:szCs w:val="18"/>
              </w:rPr>
              <w:t xml:space="preserve"> who underwent surgical resection for a carcinoid tumour which included surgical removal of the capsule.</w:t>
            </w:r>
          </w:p>
        </w:tc>
        <w:tc>
          <w:tcPr>
            <w:tcW w:w="3514"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Patient selection</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Prospective: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Consecutive: no</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Explicit selection criteria: 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Reference standard:</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Valid: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Applied to all participants: N/A</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Test interval in days/weeks: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Comparator: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Tests reported blinded to 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 xml:space="preserve">Ref </w:t>
            </w:r>
            <w:proofErr w:type="spellStart"/>
            <w:r w:rsidRPr="004D57B3">
              <w:rPr>
                <w:rFonts w:ascii="Arial Narrow" w:hAnsi="Arial Narrow" w:cs="Garamond"/>
                <w:sz w:val="18"/>
                <w:szCs w:val="18"/>
              </w:rPr>
              <w:t>std</w:t>
            </w:r>
            <w:proofErr w:type="spellEnd"/>
            <w:r w:rsidRPr="004D57B3">
              <w:rPr>
                <w:rFonts w:ascii="Arial Narrow" w:hAnsi="Arial Narrow" w:cs="Garamond"/>
                <w:sz w:val="18"/>
                <w:szCs w:val="18"/>
              </w:rPr>
              <w:t xml:space="preserve"> reported blinded to tests: 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Routine clinical data available:</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Analysis: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Uninterpretable/intermediate results reported:</w:t>
            </w:r>
            <w:r>
              <w:rPr>
                <w:rFonts w:ascii="Arial Narrow" w:hAnsi="Arial Narrow" w:cs="Garamond"/>
                <w:sz w:val="18"/>
                <w:szCs w:val="18"/>
              </w:rPr>
              <w:t xml:space="preserve">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Study withdrawals explained: nr</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sz w:val="18"/>
                <w:szCs w:val="18"/>
              </w:rPr>
              <w:t>Sufficient data for 2x2 table:</w:t>
            </w:r>
            <w:r>
              <w:rPr>
                <w:rFonts w:ascii="Arial Narrow" w:hAnsi="Arial Narrow" w:cs="Garamond"/>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autoSpaceDE w:val="0"/>
              <w:autoSpaceDN w:val="0"/>
              <w:adjustRightInd w:val="0"/>
              <w:spacing w:after="0"/>
              <w:ind w:left="20" w:right="20"/>
              <w:rPr>
                <w:rFonts w:ascii="Arial Narrow" w:hAnsi="Arial Narrow" w:cs="Garamond"/>
                <w:b/>
                <w:i/>
                <w:sz w:val="18"/>
                <w:szCs w:val="18"/>
              </w:rPr>
            </w:pPr>
            <w:r w:rsidRPr="004D57B3">
              <w:rPr>
                <w:rFonts w:ascii="Arial Narrow" w:hAnsi="Arial Narrow" w:cs="Garamond"/>
                <w:b/>
                <w:sz w:val="18"/>
                <w:szCs w:val="18"/>
              </w:rPr>
              <w:t>Applicability P1</w:t>
            </w:r>
            <w:r>
              <w:rPr>
                <w:rFonts w:ascii="Arial Narrow" w:hAnsi="Arial Narrow" w:cs="Garamond"/>
                <w:b/>
                <w:sz w:val="18"/>
                <w:szCs w:val="18"/>
              </w:rPr>
              <w:t>:</w:t>
            </w:r>
          </w:p>
          <w:p w:rsidR="0048417A" w:rsidRPr="004D57B3" w:rsidRDefault="0048417A" w:rsidP="00836B55">
            <w:pPr>
              <w:autoSpaceDE w:val="0"/>
              <w:autoSpaceDN w:val="0"/>
              <w:adjustRightInd w:val="0"/>
              <w:spacing w:after="0"/>
              <w:ind w:left="20" w:right="20"/>
              <w:rPr>
                <w:rFonts w:ascii="Arial Narrow" w:hAnsi="Arial Narrow" w:cs="Garamond"/>
                <w:i/>
                <w:sz w:val="18"/>
                <w:szCs w:val="18"/>
              </w:rPr>
            </w:pPr>
            <w:r w:rsidRPr="004D57B3">
              <w:rPr>
                <w:rFonts w:ascii="Arial Narrow" w:hAnsi="Arial Narrow" w:cs="Garamond"/>
                <w:i/>
                <w:sz w:val="18"/>
                <w:szCs w:val="18"/>
              </w:rPr>
              <w:t xml:space="preserve">Relevant population: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Applicable comparator:</w:t>
            </w:r>
            <w:r>
              <w:rPr>
                <w:rFonts w:ascii="Arial Narrow" w:hAnsi="Arial Narrow" w:cs="Garamond"/>
                <w:i/>
                <w:sz w:val="18"/>
                <w:szCs w:val="18"/>
              </w:rPr>
              <w:t xml:space="preserve"> </w:t>
            </w:r>
            <w:r w:rsidRPr="004D57B3">
              <w:rPr>
                <w:rFonts w:ascii="Arial Narrow" w:hAnsi="Arial Narrow" w:cs="Garamond"/>
                <w:sz w:val="18"/>
                <w:szCs w:val="18"/>
              </w:rPr>
              <w:t>N/A</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i/>
                <w:sz w:val="18"/>
                <w:szCs w:val="18"/>
              </w:rPr>
              <w:t>Applicable intervention:</w:t>
            </w:r>
            <w:r>
              <w:rPr>
                <w:rFonts w:ascii="Arial Narrow" w:hAnsi="Arial Narrow" w:cs="Garamond"/>
                <w:i/>
                <w:sz w:val="18"/>
                <w:szCs w:val="18"/>
              </w:rPr>
              <w:t xml:space="preserve"> </w:t>
            </w:r>
            <w:r w:rsidRPr="004D57B3">
              <w:rPr>
                <w:rFonts w:ascii="Arial Narrow" w:hAnsi="Arial Narrow" w:cs="Garamond"/>
                <w:sz w:val="18"/>
                <w:szCs w:val="18"/>
              </w:rPr>
              <w:t>yes</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p>
          <w:p w:rsidR="0048417A" w:rsidRPr="004D57B3" w:rsidRDefault="0048417A" w:rsidP="00836B55">
            <w:pPr>
              <w:keepNext/>
              <w:autoSpaceDE w:val="0"/>
              <w:autoSpaceDN w:val="0"/>
              <w:adjustRightInd w:val="0"/>
              <w:spacing w:after="0"/>
              <w:ind w:left="-22" w:right="-19"/>
              <w:rPr>
                <w:rFonts w:ascii="Arial Narrow" w:hAnsi="Arial Narrow" w:cs="Garamond"/>
                <w:sz w:val="18"/>
                <w:szCs w:val="18"/>
              </w:rPr>
            </w:pPr>
          </w:p>
        </w:tc>
      </w:tr>
    </w:tbl>
    <w:p w:rsidR="00260BB3" w:rsidRDefault="00260BB3" w:rsidP="00836B55">
      <w:pPr>
        <w:pStyle w:val="Heading2"/>
        <w:spacing w:before="0" w:after="0"/>
      </w:pPr>
      <w:bookmarkStart w:id="270" w:name="_Toc296517911"/>
    </w:p>
    <w:p w:rsidR="00260BB3" w:rsidRDefault="00260BB3" w:rsidP="00260BB3">
      <w:pPr>
        <w:rPr>
          <w:rFonts w:ascii="Tahoma" w:hAnsi="Tahoma"/>
          <w:sz w:val="28"/>
        </w:rPr>
      </w:pPr>
      <w:r>
        <w:br w:type="page"/>
      </w:r>
    </w:p>
    <w:p w:rsidR="0048417A" w:rsidRPr="004D57B3" w:rsidRDefault="0048417A" w:rsidP="00836B55">
      <w:pPr>
        <w:pStyle w:val="Heading2"/>
        <w:spacing w:before="0" w:after="0"/>
      </w:pPr>
      <w:r w:rsidRPr="004D57B3">
        <w:lastRenderedPageBreak/>
        <w:t>Study profiles of included studies on safety</w:t>
      </w:r>
      <w:bookmarkEnd w:id="270"/>
    </w:p>
    <w:p w:rsidR="0048417A" w:rsidRPr="004D57B3" w:rsidRDefault="0048417A" w:rsidP="00836B55">
      <w:pPr>
        <w:pStyle w:val="TableText"/>
        <w:spacing w:before="0" w:after="0"/>
        <w:rPr>
          <w:noProof/>
        </w:rPr>
      </w:pPr>
    </w:p>
    <w:tbl>
      <w:tblPr>
        <w:tblpPr w:leftFromText="180" w:rightFromText="180" w:vertAnchor="text" w:horzAnchor="page" w:tblpX="1443"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492"/>
        <w:gridCol w:w="2477"/>
        <w:gridCol w:w="2492"/>
        <w:gridCol w:w="3527"/>
      </w:tblGrid>
      <w:tr w:rsidR="0048417A" w:rsidRPr="004D57B3" w:rsidTr="00836B55">
        <w:trPr>
          <w:trHeight w:val="620"/>
        </w:trPr>
        <w:tc>
          <w:tcPr>
            <w:tcW w:w="2488"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Author</w:t>
            </w:r>
            <w:r>
              <w:rPr>
                <w:rFonts w:ascii="Arial Narrow" w:hAnsi="Arial Narrow"/>
                <w:b/>
                <w:bCs/>
                <w:sz w:val="18"/>
                <w:szCs w:val="18"/>
              </w:rPr>
              <w:t>/</w:t>
            </w:r>
            <w:r w:rsidRPr="004D57B3">
              <w:rPr>
                <w:rFonts w:ascii="Arial Narrow" w:hAnsi="Arial Narrow"/>
                <w:b/>
                <w:bCs/>
                <w:sz w:val="18"/>
                <w:szCs w:val="18"/>
              </w:rPr>
              <w:t>Year</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Country</w:t>
            </w:r>
          </w:p>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Setting</w:t>
            </w:r>
          </w:p>
          <w:p w:rsidR="0048417A" w:rsidRPr="0001266B" w:rsidRDefault="0048417A" w:rsidP="00836B55">
            <w:pPr>
              <w:keepNext/>
              <w:spacing w:after="0"/>
              <w:ind w:left="57" w:right="57"/>
              <w:rPr>
                <w:rFonts w:ascii="Arial Narrow" w:hAnsi="Arial Narrow"/>
                <w:b/>
                <w:bCs/>
                <w:sz w:val="18"/>
                <w:szCs w:val="18"/>
              </w:rPr>
            </w:pPr>
            <w:r w:rsidRPr="0001266B">
              <w:rPr>
                <w:rFonts w:ascii="Arial Narrow" w:hAnsi="Arial Narrow"/>
                <w:b/>
                <w:bCs/>
                <w:sz w:val="18"/>
                <w:szCs w:val="18"/>
              </w:rPr>
              <w:t>n</w:t>
            </w:r>
          </w:p>
        </w:tc>
        <w:tc>
          <w:tcPr>
            <w:tcW w:w="2492"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objective and design</w:t>
            </w:r>
          </w:p>
        </w:tc>
        <w:tc>
          <w:tcPr>
            <w:tcW w:w="247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Study population</w:t>
            </w:r>
          </w:p>
        </w:tc>
        <w:tc>
          <w:tcPr>
            <w:tcW w:w="2492"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Results</w:t>
            </w:r>
          </w:p>
        </w:tc>
        <w:tc>
          <w:tcPr>
            <w:tcW w:w="3527" w:type="dxa"/>
          </w:tcPr>
          <w:p w:rsidR="0048417A" w:rsidRPr="004D57B3" w:rsidRDefault="0048417A" w:rsidP="00836B55">
            <w:pPr>
              <w:keepNext/>
              <w:spacing w:after="0"/>
              <w:ind w:left="57" w:right="57"/>
              <w:rPr>
                <w:rFonts w:ascii="Arial Narrow" w:hAnsi="Arial Narrow"/>
                <w:b/>
                <w:bCs/>
                <w:sz w:val="18"/>
                <w:szCs w:val="18"/>
              </w:rPr>
            </w:pPr>
            <w:r w:rsidRPr="004D57B3">
              <w:rPr>
                <w:rFonts w:ascii="Arial Narrow" w:hAnsi="Arial Narrow"/>
                <w:b/>
                <w:bCs/>
                <w:sz w:val="18"/>
                <w:szCs w:val="18"/>
              </w:rPr>
              <w:t xml:space="preserve">Quality </w:t>
            </w:r>
            <w:r>
              <w:rPr>
                <w:rFonts w:ascii="Arial Narrow" w:hAnsi="Arial Narrow"/>
                <w:b/>
                <w:bCs/>
                <w:sz w:val="18"/>
                <w:szCs w:val="18"/>
              </w:rPr>
              <w:t>a</w:t>
            </w:r>
            <w:r w:rsidRPr="004D57B3">
              <w:rPr>
                <w:rFonts w:ascii="Arial Narrow" w:hAnsi="Arial Narrow"/>
                <w:b/>
                <w:bCs/>
                <w:sz w:val="18"/>
                <w:szCs w:val="18"/>
              </w:rPr>
              <w:t>ssessment</w:t>
            </w:r>
          </w:p>
        </w:tc>
      </w:tr>
      <w:tr w:rsidR="0048417A" w:rsidRPr="004D57B3" w:rsidTr="00836B55">
        <w:trPr>
          <w:trHeight w:val="6668"/>
        </w:trPr>
        <w:tc>
          <w:tcPr>
            <w:tcW w:w="2488" w:type="dxa"/>
          </w:tcPr>
          <w:p w:rsidR="00260BB3" w:rsidRDefault="0048417A" w:rsidP="00836B55">
            <w:pPr>
              <w:keepNext/>
              <w:autoSpaceDE w:val="0"/>
              <w:autoSpaceDN w:val="0"/>
              <w:adjustRightInd w:val="0"/>
              <w:spacing w:after="0"/>
              <w:ind w:left="57" w:right="57"/>
              <w:rPr>
                <w:rFonts w:ascii="Arial Narrow" w:hAnsi="Arial Narrow" w:cs="Garamond"/>
                <w:sz w:val="18"/>
                <w:szCs w:val="18"/>
              </w:rPr>
            </w:pPr>
            <w:proofErr w:type="spellStart"/>
            <w:r w:rsidRPr="004D57B3">
              <w:rPr>
                <w:rFonts w:ascii="Arial Narrow" w:hAnsi="Arial Narrow" w:cs="Garamond"/>
                <w:sz w:val="18"/>
                <w:szCs w:val="18"/>
              </w:rPr>
              <w:t>Cheifetz</w:t>
            </w:r>
            <w:proofErr w:type="spellEnd"/>
            <w:r w:rsidRPr="004D57B3">
              <w:rPr>
                <w:rFonts w:ascii="Arial Narrow" w:hAnsi="Arial Narrow" w:cs="Garamond"/>
                <w:sz w:val="18"/>
                <w:szCs w:val="18"/>
              </w:rPr>
              <w:t xml:space="preserve"> et al </w:t>
            </w:r>
            <w:r>
              <w:rPr>
                <w:rFonts w:ascii="Arial Narrow" w:hAnsi="Arial Narrow" w:cs="Garamond"/>
                <w:sz w:val="18"/>
                <w:szCs w:val="18"/>
              </w:rPr>
              <w:t>(</w:t>
            </w:r>
            <w:r w:rsidRPr="004D57B3">
              <w:rPr>
                <w:rFonts w:ascii="Arial Narrow" w:hAnsi="Arial Narrow" w:cs="Garamond"/>
                <w:sz w:val="18"/>
                <w:szCs w:val="18"/>
              </w:rPr>
              <w:t>2006</w:t>
            </w:r>
            <w:r>
              <w:rPr>
                <w:rFonts w:ascii="Arial Narrow" w:hAnsi="Arial Narrow" w:cs="Garamond"/>
                <w:sz w:val="18"/>
                <w:szCs w:val="18"/>
              </w:rPr>
              <w:t>)</w:t>
            </w:r>
          </w:p>
          <w:p w:rsidR="00260BB3" w:rsidRPr="00260BB3" w:rsidRDefault="00260BB3" w:rsidP="00836B55">
            <w:pPr>
              <w:keepNext/>
              <w:autoSpaceDE w:val="0"/>
              <w:autoSpaceDN w:val="0"/>
              <w:adjustRightInd w:val="0"/>
              <w:spacing w:after="0"/>
              <w:ind w:left="57" w:right="57"/>
              <w:rPr>
                <w:rFonts w:ascii="Arial Narrow" w:hAnsi="Arial Narrow" w:cs="Garamond"/>
                <w:sz w:val="56"/>
                <w:szCs w:val="56"/>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USA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Multicentre (</w:t>
            </w:r>
            <w:r>
              <w:rPr>
                <w:rFonts w:ascii="Arial Narrow" w:hAnsi="Arial Narrow" w:cs="Garamond"/>
                <w:sz w:val="18"/>
                <w:szCs w:val="18"/>
              </w:rPr>
              <w:t>3</w:t>
            </w:r>
            <w:r w:rsidRPr="004D57B3">
              <w:rPr>
                <w:rFonts w:ascii="Arial Narrow" w:hAnsi="Arial Narrow" w:cs="Garamond"/>
                <w:sz w:val="18"/>
                <w:szCs w:val="18"/>
              </w:rPr>
              <w:t xml:space="preserve"> private gastroenterology practices)</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December 2000</w:t>
            </w:r>
            <w:r>
              <w:rPr>
                <w:rFonts w:ascii="Arial Narrow" w:hAnsi="Arial Narrow" w:cs="Garamond"/>
                <w:sz w:val="18"/>
                <w:szCs w:val="18"/>
              </w:rPr>
              <w:t>-</w:t>
            </w:r>
            <w:r w:rsidRPr="004D57B3">
              <w:rPr>
                <w:rFonts w:ascii="Arial Narrow" w:hAnsi="Arial Narrow" w:cs="Garamond"/>
                <w:sz w:val="18"/>
                <w:szCs w:val="18"/>
              </w:rPr>
              <w:t>December 2003</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w:t>
            </w:r>
            <w:r w:rsidRPr="004D57B3">
              <w:rPr>
                <w:rFonts w:ascii="Arial Narrow" w:hAnsi="Arial Narrow" w:cs="Garamond"/>
                <w:sz w:val="18"/>
                <w:szCs w:val="18"/>
              </w:rPr>
              <w:t>=102 patients with suspected (</w:t>
            </w:r>
            <w:r>
              <w:rPr>
                <w:rFonts w:ascii="Arial Narrow" w:hAnsi="Arial Narrow" w:cs="Garamond"/>
                <w:sz w:val="18"/>
                <w:szCs w:val="18"/>
              </w:rPr>
              <w:t>n</w:t>
            </w:r>
            <w:r w:rsidRPr="004D57B3">
              <w:rPr>
                <w:rFonts w:ascii="Arial Narrow" w:hAnsi="Arial Narrow" w:cs="Garamond"/>
                <w:sz w:val="18"/>
                <w:szCs w:val="18"/>
              </w:rPr>
              <w:t>=64) or known (</w:t>
            </w:r>
            <w:r>
              <w:rPr>
                <w:rFonts w:ascii="Arial Narrow" w:hAnsi="Arial Narrow" w:cs="Garamond"/>
                <w:sz w:val="18"/>
                <w:szCs w:val="18"/>
              </w:rPr>
              <w:t>n</w:t>
            </w:r>
            <w:r w:rsidRPr="004D57B3">
              <w:rPr>
                <w:rFonts w:ascii="Arial Narrow" w:hAnsi="Arial Narrow" w:cs="Garamond"/>
                <w:sz w:val="18"/>
                <w:szCs w:val="18"/>
              </w:rPr>
              <w:t>=38) Crohn’s disease.</w:t>
            </w: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p w:rsidR="0048417A" w:rsidRPr="004D57B3" w:rsidRDefault="0048417A" w:rsidP="00836B55">
            <w:pPr>
              <w:keepNext/>
              <w:autoSpaceDE w:val="0"/>
              <w:autoSpaceDN w:val="0"/>
              <w:adjustRightInd w:val="0"/>
              <w:spacing w:after="0"/>
              <w:ind w:left="57" w:right="57"/>
              <w:rPr>
                <w:rFonts w:ascii="Arial Narrow" w:hAnsi="Arial Narrow" w:cs="Garamond"/>
                <w:b/>
                <w:sz w:val="18"/>
                <w:szCs w:val="18"/>
                <w:u w:val="single"/>
              </w:rPr>
            </w:pPr>
          </w:p>
        </w:tc>
        <w:tc>
          <w:tcPr>
            <w:tcW w:w="2492"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Objective</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To determine the risk of capsule retention in patients with suspected or known Crohn’s disease and to describe their clinical outcomes.</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Study design</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Retrospective case series</w:t>
            </w:r>
            <w:r>
              <w:rPr>
                <w:rFonts w:ascii="Arial Narrow" w:hAnsi="Arial Narrow" w:cs="Garamond"/>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Index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Capsule endoscopy</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Comparator test</w:t>
            </w:r>
            <w:r>
              <w:rPr>
                <w:rFonts w:ascii="Arial Narrow" w:hAnsi="Arial Narrow" w:cs="Garamond"/>
                <w:i/>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Reference test: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tc>
        <w:tc>
          <w:tcPr>
            <w:tcW w:w="2477" w:type="dxa"/>
          </w:tcPr>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Inclusion/exclusion criteria:</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i/>
                <w:sz w:val="18"/>
                <w:szCs w:val="18"/>
              </w:rPr>
              <w:t>Inclusion:</w:t>
            </w:r>
            <w:r w:rsidRPr="004D57B3">
              <w:rPr>
                <w:rFonts w:ascii="Arial Narrow" w:hAnsi="Arial Narrow" w:cs="Garamond"/>
                <w:sz w:val="18"/>
                <w:szCs w:val="18"/>
              </w:rPr>
              <w:t xml:space="preserve"> Patients with suspected Crohn’s disease for whom capsule endoscopy was performed at the authors’ private gastroenterology practices.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 xml:space="preserve">Exclusion: </w:t>
            </w:r>
            <w:r w:rsidRPr="004D57B3">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Patient characteristics:</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Prior tests</w:t>
            </w:r>
            <w:r>
              <w:rPr>
                <w:rFonts w:ascii="Arial Narrow" w:hAnsi="Arial Narrow" w:cs="Garamond"/>
                <w:i/>
                <w:sz w:val="18"/>
                <w:szCs w:val="18"/>
              </w:rPr>
              <w:t>:</w:t>
            </w:r>
            <w:r w:rsidRPr="004D57B3">
              <w:rPr>
                <w:rFonts w:ascii="Arial Narrow" w:hAnsi="Arial Narrow" w:cs="Garamond"/>
                <w:i/>
                <w:sz w:val="18"/>
                <w:szCs w:val="18"/>
              </w:rPr>
              <w:t xml:space="preserve"> </w:t>
            </w:r>
            <w:r w:rsidRPr="004D57B3">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i/>
                <w:sz w:val="18"/>
                <w:szCs w:val="18"/>
              </w:rPr>
            </w:pPr>
            <w:r w:rsidRPr="004D57B3">
              <w:rPr>
                <w:rFonts w:ascii="Arial Narrow" w:hAnsi="Arial Narrow" w:cs="Garamond"/>
                <w:i/>
                <w:sz w:val="18"/>
                <w:szCs w:val="18"/>
              </w:rPr>
              <w:t xml:space="preserve">Clinical characteristics: </w:t>
            </w:r>
            <w:r w:rsidRPr="004D57B3">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r w:rsidRPr="004D57B3">
              <w:rPr>
                <w:rFonts w:ascii="Arial Narrow" w:hAnsi="Arial Narrow" w:cs="Garamond"/>
                <w:b/>
                <w:sz w:val="18"/>
                <w:szCs w:val="18"/>
              </w:rPr>
              <w:t>Interpretation/threshold:</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nr</w:t>
            </w:r>
          </w:p>
          <w:p w:rsidR="0048417A" w:rsidRPr="004D57B3" w:rsidRDefault="0048417A" w:rsidP="00836B55">
            <w:pPr>
              <w:keepNext/>
              <w:autoSpaceDE w:val="0"/>
              <w:autoSpaceDN w:val="0"/>
              <w:adjustRightInd w:val="0"/>
              <w:spacing w:after="0"/>
              <w:ind w:left="57" w:right="57"/>
              <w:jc w:val="both"/>
              <w:rPr>
                <w:rFonts w:ascii="Arial Narrow" w:hAnsi="Arial Narrow" w:cs="Garamond"/>
                <w:b/>
                <w:sz w:val="18"/>
                <w:szCs w:val="18"/>
              </w:rPr>
            </w:pPr>
          </w:p>
        </w:tc>
        <w:tc>
          <w:tcPr>
            <w:tcW w:w="2492" w:type="dxa"/>
          </w:tcPr>
          <w:p w:rsidR="0048417A" w:rsidRPr="004D57B3"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Test accuracy</w:t>
            </w:r>
            <w:r>
              <w:rPr>
                <w:rFonts w:ascii="Arial Narrow" w:hAnsi="Arial Narrow" w:cs="Garamond"/>
                <w:b/>
                <w:sz w:val="18"/>
                <w:szCs w:val="18"/>
              </w:rPr>
              <w:t>:</w:t>
            </w: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jc w:val="both"/>
              <w:rPr>
                <w:rFonts w:ascii="Arial Narrow" w:hAnsi="Arial Narrow" w:cs="Garamond"/>
                <w:sz w:val="18"/>
                <w:szCs w:val="18"/>
              </w:rPr>
            </w:pPr>
            <w:r w:rsidRPr="004D57B3">
              <w:rPr>
                <w:rFonts w:ascii="Arial Narrow" w:hAnsi="Arial Narrow" w:cs="Garamond"/>
                <w:sz w:val="18"/>
                <w:szCs w:val="18"/>
              </w:rPr>
              <w:t>N/A</w:t>
            </w:r>
          </w:p>
          <w:p w:rsidR="0048417A" w:rsidRDefault="0048417A" w:rsidP="00836B55">
            <w:pPr>
              <w:keepNext/>
              <w:autoSpaceDE w:val="0"/>
              <w:autoSpaceDN w:val="0"/>
              <w:adjustRightInd w:val="0"/>
              <w:spacing w:after="0"/>
              <w:ind w:left="57" w:right="57"/>
              <w:rPr>
                <w:rFonts w:ascii="Arial Narrow" w:hAnsi="Arial Narrow" w:cs="Garamond"/>
                <w:b/>
                <w:sz w:val="18"/>
                <w:szCs w:val="18"/>
              </w:rPr>
            </w:pPr>
          </w:p>
          <w:p w:rsidR="0048417A" w:rsidRDefault="0048417A" w:rsidP="00836B55">
            <w:pPr>
              <w:keepNext/>
              <w:autoSpaceDE w:val="0"/>
              <w:autoSpaceDN w:val="0"/>
              <w:adjustRightInd w:val="0"/>
              <w:spacing w:after="0"/>
              <w:ind w:left="57" w:right="57"/>
              <w:rPr>
                <w:rFonts w:ascii="Arial Narrow" w:hAnsi="Arial Narrow" w:cs="Garamond"/>
                <w:b/>
                <w:sz w:val="18"/>
                <w:szCs w:val="18"/>
              </w:rPr>
            </w:pPr>
            <w:r w:rsidRPr="004D57B3">
              <w:rPr>
                <w:rFonts w:ascii="Arial Narrow" w:hAnsi="Arial Narrow" w:cs="Garamond"/>
                <w:b/>
                <w:sz w:val="18"/>
                <w:szCs w:val="18"/>
              </w:rPr>
              <w:t>Adverse events</w:t>
            </w:r>
            <w:r>
              <w:rPr>
                <w:rFonts w:ascii="Arial Narrow" w:hAnsi="Arial Narrow" w:cs="Garamond"/>
                <w:b/>
                <w:sz w:val="18"/>
                <w:szCs w:val="18"/>
              </w:rPr>
              <w:t>:</w:t>
            </w:r>
            <w:r w:rsidRPr="004D57B3">
              <w:rPr>
                <w:rFonts w:ascii="Arial Narrow" w:hAnsi="Arial Narrow" w:cs="Garamond"/>
                <w:b/>
                <w:sz w:val="18"/>
                <w:szCs w:val="18"/>
              </w:rPr>
              <w:t xml:space="preserve">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sidRPr="004D57B3">
              <w:rPr>
                <w:rFonts w:ascii="Arial Narrow" w:hAnsi="Arial Narrow" w:cs="Garamond"/>
                <w:sz w:val="18"/>
                <w:szCs w:val="18"/>
              </w:rPr>
              <w:t xml:space="preserve">Capsule retention in patients with suspected Crohn’s disease: 1.6% (1/64) </w:t>
            </w: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p>
          <w:p w:rsidR="0048417A" w:rsidRPr="004D57B3" w:rsidRDefault="0048417A" w:rsidP="00836B55">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1</w:t>
            </w:r>
            <w:r w:rsidRPr="004D57B3">
              <w:rPr>
                <w:rFonts w:ascii="Arial Narrow" w:hAnsi="Arial Narrow" w:cs="Garamond"/>
                <w:sz w:val="18"/>
                <w:szCs w:val="18"/>
              </w:rPr>
              <w:t xml:space="preserve"> patient with suspected Crohn’s disease and a possible small bowel obstruction retained the capsule with no symptoms of acute small bowel obstruction. After </w:t>
            </w:r>
            <w:r>
              <w:rPr>
                <w:rFonts w:ascii="Arial Narrow" w:hAnsi="Arial Narrow" w:cs="Garamond"/>
                <w:sz w:val="18"/>
                <w:szCs w:val="18"/>
              </w:rPr>
              <w:t>3</w:t>
            </w:r>
            <w:r w:rsidRPr="004D57B3">
              <w:rPr>
                <w:rFonts w:ascii="Arial Narrow" w:hAnsi="Arial Narrow" w:cs="Garamond"/>
                <w:sz w:val="18"/>
                <w:szCs w:val="18"/>
              </w:rPr>
              <w:t xml:space="preserve"> months, symptoms consistent with recurrent partial small bowel obstructions occurred and the capsule was removed via elective surgery, leading to the resolution of all symptoms.</w:t>
            </w:r>
          </w:p>
        </w:tc>
        <w:tc>
          <w:tcPr>
            <w:tcW w:w="3527" w:type="dxa"/>
          </w:tcPr>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Level IV</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Quality POOR Q3</w:t>
            </w:r>
          </w:p>
          <w:p w:rsidR="0048417A" w:rsidRPr="004D57B3" w:rsidRDefault="0048417A" w:rsidP="00836B55">
            <w:pPr>
              <w:autoSpaceDE w:val="0"/>
              <w:autoSpaceDN w:val="0"/>
              <w:adjustRightInd w:val="0"/>
              <w:spacing w:after="0"/>
              <w:ind w:left="20" w:right="20"/>
              <w:rPr>
                <w:rFonts w:ascii="Arial Narrow" w:hAnsi="Arial Narrow" w:cs="Garamond"/>
                <w:b/>
                <w:sz w:val="18"/>
                <w:szCs w:val="18"/>
              </w:rPr>
            </w:pPr>
            <w:r w:rsidRPr="004D57B3">
              <w:rPr>
                <w:rFonts w:ascii="Arial Narrow" w:hAnsi="Arial Narrow" w:cs="Garamond"/>
                <w:b/>
                <w:sz w:val="18"/>
                <w:szCs w:val="18"/>
              </w:rPr>
              <w:t>Comparison:</w:t>
            </w:r>
          </w:p>
          <w:p w:rsidR="0048417A" w:rsidRPr="004D57B3" w:rsidRDefault="0048417A" w:rsidP="00836B55">
            <w:pPr>
              <w:autoSpaceDE w:val="0"/>
              <w:autoSpaceDN w:val="0"/>
              <w:adjustRightInd w:val="0"/>
              <w:spacing w:after="0"/>
              <w:ind w:left="20" w:right="20"/>
              <w:rPr>
                <w:rFonts w:ascii="Arial Narrow" w:hAnsi="Arial Narrow" w:cs="Garamond"/>
                <w:sz w:val="18"/>
                <w:szCs w:val="18"/>
              </w:rPr>
            </w:pPr>
            <w:r w:rsidRPr="004D57B3">
              <w:rPr>
                <w:rFonts w:ascii="Arial Narrow" w:hAnsi="Arial Narrow" w:cs="Garamond"/>
                <w:b/>
                <w:sz w:val="18"/>
                <w:szCs w:val="18"/>
              </w:rPr>
              <w:t xml:space="preserve">CX: </w:t>
            </w:r>
            <w:r w:rsidRPr="004D57B3">
              <w:rPr>
                <w:rFonts w:ascii="Arial Narrow" w:hAnsi="Arial Narrow" w:cs="Garamond"/>
                <w:sz w:val="18"/>
                <w:szCs w:val="18"/>
              </w:rPr>
              <w:t>for empirical treatment</w:t>
            </w:r>
          </w:p>
          <w:p w:rsidR="0048417A" w:rsidRPr="004D57B3" w:rsidRDefault="0048417A" w:rsidP="00836B55">
            <w:pPr>
              <w:pStyle w:val="TableText"/>
              <w:rPr>
                <w:lang w:val="en-US"/>
              </w:rPr>
            </w:pPr>
            <w:r w:rsidRPr="004D57B3">
              <w:rPr>
                <w:lang w:val="en-US"/>
              </w:rPr>
              <w:t xml:space="preserve"> Representative sample: </w:t>
            </w:r>
            <w:r>
              <w:rPr>
                <w:lang w:val="en-US"/>
              </w:rPr>
              <w:t>nr</w:t>
            </w:r>
          </w:p>
          <w:p w:rsidR="0048417A" w:rsidRPr="004D57B3" w:rsidRDefault="0048417A" w:rsidP="00836B55">
            <w:pPr>
              <w:pStyle w:val="TableText"/>
              <w:rPr>
                <w:lang w:val="en-US"/>
              </w:rPr>
            </w:pPr>
            <w:r w:rsidRPr="004D57B3">
              <w:rPr>
                <w:lang w:val="en-US"/>
              </w:rPr>
              <w:t xml:space="preserve"> Explicit selection criteria: no</w:t>
            </w:r>
          </w:p>
          <w:p w:rsidR="0048417A" w:rsidRPr="004D57B3" w:rsidRDefault="0048417A" w:rsidP="00836B55">
            <w:pPr>
              <w:pStyle w:val="TableText"/>
              <w:rPr>
                <w:lang w:val="en-US"/>
              </w:rPr>
            </w:pPr>
            <w:r w:rsidRPr="004D57B3">
              <w:rPr>
                <w:lang w:val="en-US"/>
              </w:rPr>
              <w:t xml:space="preserve"> Similar entry point: </w:t>
            </w:r>
            <w:r>
              <w:rPr>
                <w:lang w:val="en-US"/>
              </w:rPr>
              <w:t>nr</w:t>
            </w:r>
          </w:p>
          <w:p w:rsidR="0048417A" w:rsidRPr="004D57B3" w:rsidRDefault="0048417A" w:rsidP="00836B55">
            <w:pPr>
              <w:pStyle w:val="TableText"/>
            </w:pPr>
            <w:r w:rsidRPr="004D57B3">
              <w:t xml:space="preserve"> Adequate duration of FU: yes</w:t>
            </w:r>
          </w:p>
          <w:p w:rsidR="0048417A" w:rsidRPr="004D57B3" w:rsidRDefault="0048417A" w:rsidP="00836B55">
            <w:pPr>
              <w:pStyle w:val="TableText"/>
              <w:ind w:left="60" w:hanging="60"/>
            </w:pPr>
            <w:r w:rsidRPr="004D57B3">
              <w:t xml:space="preserve"> Were the techniques used adequately described? no</w:t>
            </w:r>
          </w:p>
          <w:p w:rsidR="0048417A" w:rsidRPr="004D57B3" w:rsidRDefault="0048417A" w:rsidP="00836B55">
            <w:pPr>
              <w:pStyle w:val="TableText"/>
              <w:rPr>
                <w:lang w:val="en-US"/>
              </w:rPr>
            </w:pPr>
            <w:r w:rsidRPr="004D57B3">
              <w:rPr>
                <w:lang w:val="en-US"/>
              </w:rPr>
              <w:t xml:space="preserve"> Objective outcomes:  no</w:t>
            </w:r>
          </w:p>
          <w:p w:rsidR="0048417A" w:rsidRPr="004D57B3" w:rsidRDefault="0048417A" w:rsidP="00836B55">
            <w:pPr>
              <w:pStyle w:val="TableText"/>
              <w:rPr>
                <w:lang w:val="en-US"/>
              </w:rPr>
            </w:pPr>
            <w:r w:rsidRPr="004D57B3">
              <w:rPr>
                <w:lang w:val="en-US"/>
              </w:rPr>
              <w:t xml:space="preserve"> Blinding: no</w:t>
            </w:r>
          </w:p>
          <w:p w:rsidR="0048417A" w:rsidRPr="004D57B3" w:rsidRDefault="0048417A" w:rsidP="00836B55">
            <w:pPr>
              <w:pStyle w:val="TableText"/>
              <w:rPr>
                <w:lang w:val="en-US"/>
              </w:rPr>
            </w:pPr>
            <w:r w:rsidRPr="004D57B3">
              <w:rPr>
                <w:lang w:val="en-US"/>
              </w:rPr>
              <w:t xml:space="preserve"> Comparison of sub-series: N/A</w:t>
            </w:r>
          </w:p>
          <w:p w:rsidR="0048417A" w:rsidRPr="004D57B3" w:rsidRDefault="0048417A" w:rsidP="00836B55">
            <w:pPr>
              <w:pStyle w:val="TableText"/>
              <w:rPr>
                <w:rFonts w:cs="Garamond"/>
                <w:b/>
              </w:rPr>
            </w:pPr>
          </w:p>
          <w:p w:rsidR="0048417A" w:rsidRPr="004D57B3" w:rsidRDefault="0048417A" w:rsidP="00836B55">
            <w:pPr>
              <w:pStyle w:val="TableText"/>
              <w:rPr>
                <w:rFonts w:cs="Garamond"/>
                <w:b/>
                <w:i/>
              </w:rPr>
            </w:pPr>
            <w:r w:rsidRPr="004D57B3">
              <w:rPr>
                <w:rFonts w:cs="Garamond"/>
                <w:b/>
              </w:rPr>
              <w:t>Applicability P2</w:t>
            </w:r>
            <w:r>
              <w:rPr>
                <w:rFonts w:cs="Garamond"/>
                <w:b/>
              </w:rPr>
              <w:t>:</w:t>
            </w:r>
          </w:p>
          <w:p w:rsidR="0048417A" w:rsidRPr="004D57B3" w:rsidRDefault="0048417A" w:rsidP="00836B55">
            <w:pPr>
              <w:pStyle w:val="TableText"/>
              <w:rPr>
                <w:rFonts w:cs="Garamond"/>
              </w:rPr>
            </w:pPr>
            <w:r w:rsidRPr="004D57B3">
              <w:rPr>
                <w:rFonts w:cs="Garamond"/>
                <w:i/>
              </w:rPr>
              <w:t xml:space="preserve">Relevant population: </w:t>
            </w:r>
            <w:r w:rsidRPr="004D57B3">
              <w:rPr>
                <w:rFonts w:cs="Garamond"/>
              </w:rPr>
              <w:t>Unknown; probably limited</w:t>
            </w:r>
          </w:p>
          <w:p w:rsidR="0048417A" w:rsidRPr="004D57B3" w:rsidRDefault="0048417A" w:rsidP="00836B55">
            <w:pPr>
              <w:pStyle w:val="TableText"/>
              <w:rPr>
                <w:rFonts w:cs="Garamond"/>
                <w:i/>
              </w:rPr>
            </w:pPr>
            <w:r w:rsidRPr="004D57B3">
              <w:rPr>
                <w:rFonts w:cs="Garamond"/>
                <w:i/>
              </w:rPr>
              <w:t xml:space="preserve">Applicable comparator: </w:t>
            </w:r>
            <w:r w:rsidRPr="004D57B3">
              <w:rPr>
                <w:rFonts w:cs="Garamond"/>
              </w:rPr>
              <w:t>N/A</w:t>
            </w:r>
          </w:p>
          <w:p w:rsidR="0048417A" w:rsidRPr="004D57B3" w:rsidRDefault="0048417A" w:rsidP="00836B55">
            <w:pPr>
              <w:pStyle w:val="TableText"/>
              <w:rPr>
                <w:rFonts w:cs="Garamond"/>
              </w:rPr>
            </w:pPr>
            <w:r w:rsidRPr="004D57B3">
              <w:rPr>
                <w:rFonts w:cs="Garamond"/>
                <w:i/>
              </w:rPr>
              <w:t>Applicable intervention:</w:t>
            </w:r>
            <w:r w:rsidRPr="004D57B3">
              <w:rPr>
                <w:rFonts w:cs="Garamond"/>
              </w:rPr>
              <w:t xml:space="preserve"> yes</w:t>
            </w:r>
          </w:p>
        </w:tc>
      </w:tr>
    </w:tbl>
    <w:p w:rsidR="0048417A" w:rsidRPr="004D57B3" w:rsidRDefault="0048417A" w:rsidP="00836B55">
      <w:pPr>
        <w:pStyle w:val="Heading1"/>
        <w:sectPr w:rsidR="0048417A" w:rsidRPr="004D57B3" w:rsidSect="00836B55">
          <w:pgSz w:w="16838" w:h="11906" w:orient="landscape"/>
          <w:pgMar w:top="1440" w:right="1440" w:bottom="1440" w:left="1440" w:header="720" w:footer="720" w:gutter="0"/>
          <w:paperSrc w:first="7" w:other="7"/>
          <w:cols w:space="720"/>
        </w:sectPr>
      </w:pPr>
      <w:bookmarkStart w:id="271" w:name="_Ref192056948"/>
      <w:bookmarkStart w:id="272" w:name="_Ref169423889"/>
    </w:p>
    <w:p w:rsidR="0048417A" w:rsidRPr="004D57B3" w:rsidRDefault="0048417A" w:rsidP="00836B55">
      <w:pPr>
        <w:pStyle w:val="Heading1"/>
      </w:pPr>
      <w:bookmarkStart w:id="273" w:name="_Ref280083825"/>
      <w:bookmarkStart w:id="274" w:name="_Ref279065967"/>
      <w:bookmarkStart w:id="275" w:name="_Toc296517912"/>
      <w:r w:rsidRPr="004D57B3">
        <w:lastRenderedPageBreak/>
        <w:t xml:space="preserve">Appendix </w:t>
      </w:r>
      <w:r w:rsidR="00AE591B">
        <w:fldChar w:fldCharType="begin"/>
      </w:r>
      <w:r w:rsidR="00AE591B">
        <w:instrText xml:space="preserve"> SEQ Appendix \* ALPHABETIC </w:instrText>
      </w:r>
      <w:r w:rsidR="00AE591B">
        <w:fldChar w:fldCharType="separate"/>
      </w:r>
      <w:r>
        <w:rPr>
          <w:noProof/>
        </w:rPr>
        <w:t>E</w:t>
      </w:r>
      <w:r w:rsidR="00AE591B">
        <w:rPr>
          <w:noProof/>
        </w:rPr>
        <w:fldChar w:fldCharType="end"/>
      </w:r>
      <w:bookmarkEnd w:id="273"/>
      <w:r w:rsidRPr="004D57B3">
        <w:tab/>
        <w:t>Excluded studies</w:t>
      </w:r>
      <w:bookmarkEnd w:id="271"/>
      <w:bookmarkEnd w:id="274"/>
      <w:bookmarkEnd w:id="275"/>
    </w:p>
    <w:p w:rsidR="0048417A" w:rsidRPr="004D57B3" w:rsidRDefault="0048417A" w:rsidP="00836B55">
      <w:r w:rsidRPr="004D57B3">
        <w:t>The following studies were assessed as ineligible against the inclusion criteria (</w:t>
      </w:r>
      <w:r>
        <w:t xml:space="preserve">see </w:t>
      </w:r>
      <w:r w:rsidR="00AE591B">
        <w:fldChar w:fldCharType="begin"/>
      </w:r>
      <w:r w:rsidR="00AE591B">
        <w:instrText xml:space="preserve"> REF _Ref276648693 \h  \* MERGEFORMAT </w:instrText>
      </w:r>
      <w:r w:rsidR="00AE591B">
        <w:fldChar w:fldCharType="separate"/>
      </w:r>
      <w:r w:rsidRPr="004D57B3">
        <w:t xml:space="preserve">Table </w:t>
      </w:r>
      <w:r>
        <w:rPr>
          <w:noProof/>
        </w:rPr>
        <w:t>12</w:t>
      </w:r>
      <w:r w:rsidR="00AE591B">
        <w:fldChar w:fldCharType="end"/>
      </w:r>
      <w:r w:rsidRPr="004D57B3">
        <w:t>) after the full paper was retrieved for evaluation.</w:t>
      </w:r>
    </w:p>
    <w:p w:rsidR="0048417A" w:rsidRPr="004D57B3" w:rsidRDefault="0048417A" w:rsidP="00836B55">
      <w:pPr>
        <w:pStyle w:val="Heading3"/>
      </w:pPr>
      <w:r w:rsidRPr="004D57B3">
        <w:t>Excluded due to wrong publication type</w:t>
      </w:r>
    </w:p>
    <w:p w:rsidR="0048417A" w:rsidRPr="004D57B3" w:rsidRDefault="0048417A" w:rsidP="00836B55">
      <w:r w:rsidRPr="004D57B3">
        <w:t xml:space="preserve">Berry, PA, </w:t>
      </w:r>
      <w:proofErr w:type="spellStart"/>
      <w:r w:rsidRPr="004D57B3">
        <w:t>Srirajaskanthan</w:t>
      </w:r>
      <w:proofErr w:type="spellEnd"/>
      <w:r w:rsidRPr="004D57B3">
        <w:t xml:space="preserve">, R et al 2010. An urgent call to the magnetic resonance scanner: Potential dangers of capsule endoscopy, </w:t>
      </w:r>
      <w:r w:rsidRPr="004D57B3">
        <w:rPr>
          <w:i/>
          <w:iCs/>
        </w:rPr>
        <w:t xml:space="preserve">Clinical Gastroenterology and </w:t>
      </w:r>
      <w:proofErr w:type="spellStart"/>
      <w:r w:rsidRPr="004D57B3">
        <w:rPr>
          <w:i/>
          <w:iCs/>
        </w:rPr>
        <w:t>Hepatology</w:t>
      </w:r>
      <w:proofErr w:type="spellEnd"/>
      <w:r w:rsidRPr="004D57B3">
        <w:t>, 8 (5), A26.</w:t>
      </w:r>
    </w:p>
    <w:p w:rsidR="0048417A" w:rsidRPr="004D57B3" w:rsidRDefault="0048417A" w:rsidP="00836B55">
      <w:r w:rsidRPr="004D57B3">
        <w:rPr>
          <w:lang w:val="nl-NL"/>
        </w:rPr>
        <w:t xml:space="preserve">Biko, DM, Anupindi, SA et al 2010. </w:t>
      </w:r>
      <w:r w:rsidRPr="004D57B3">
        <w:t>Does wireless capsule endoscopy (WCE) eliminate need for small bowel follow-through (SBFT) and/or CT in patients with inflammatory bowel disease (IBD)</w:t>
      </w:r>
      <w:proofErr w:type="gramStart"/>
      <w:r w:rsidRPr="004D57B3">
        <w:t>?,</w:t>
      </w:r>
      <w:proofErr w:type="gramEnd"/>
      <w:r w:rsidRPr="004D57B3">
        <w:t xml:space="preserve"> </w:t>
      </w:r>
      <w:proofErr w:type="spellStart"/>
      <w:r w:rsidRPr="004D57B3">
        <w:rPr>
          <w:i/>
          <w:iCs/>
        </w:rPr>
        <w:t>Pediatric</w:t>
      </w:r>
      <w:proofErr w:type="spellEnd"/>
      <w:r w:rsidRPr="004D57B3">
        <w:rPr>
          <w:i/>
          <w:iCs/>
        </w:rPr>
        <w:t xml:space="preserve"> Radiology</w:t>
      </w:r>
      <w:r w:rsidRPr="004D57B3">
        <w:t>, 40 (4), 582-583.</w:t>
      </w:r>
    </w:p>
    <w:p w:rsidR="0048417A" w:rsidRPr="004D57B3" w:rsidRDefault="0048417A" w:rsidP="00836B55">
      <w:proofErr w:type="gramStart"/>
      <w:r w:rsidRPr="004D57B3">
        <w:t>Cave, DR 2006.</w:t>
      </w:r>
      <w:proofErr w:type="gramEnd"/>
      <w:r w:rsidRPr="004D57B3">
        <w:t xml:space="preserve"> Technology insight: Current status of video capsule endoscopy, </w:t>
      </w:r>
      <w:r w:rsidRPr="004D57B3">
        <w:rPr>
          <w:i/>
          <w:iCs/>
        </w:rPr>
        <w:t xml:space="preserve">Nature Clinical Practice Gastroenterology and </w:t>
      </w:r>
      <w:proofErr w:type="spellStart"/>
      <w:r w:rsidRPr="004D57B3">
        <w:rPr>
          <w:i/>
          <w:iCs/>
        </w:rPr>
        <w:t>Hepatology</w:t>
      </w:r>
      <w:proofErr w:type="spellEnd"/>
      <w:r w:rsidRPr="004D57B3">
        <w:t>, 3 (3), 158-164.</w:t>
      </w:r>
    </w:p>
    <w:p w:rsidR="0048417A" w:rsidRPr="004D57B3" w:rsidRDefault="0048417A" w:rsidP="00836B55">
      <w:proofErr w:type="spellStart"/>
      <w:proofErr w:type="gramStart"/>
      <w:r w:rsidRPr="004D57B3">
        <w:t>Ciorba</w:t>
      </w:r>
      <w:proofErr w:type="spellEnd"/>
      <w:r w:rsidRPr="004D57B3">
        <w:t>, MA and Prakash, C 2003.</w:t>
      </w:r>
      <w:proofErr w:type="gramEnd"/>
      <w:r w:rsidRPr="004D57B3">
        <w:t xml:space="preserve"> </w:t>
      </w:r>
      <w:proofErr w:type="gramStart"/>
      <w:r w:rsidRPr="004D57B3">
        <w:t xml:space="preserve">Wireless capsule endoscopy in the diagnosis of small bowel Crohn's disease, </w:t>
      </w:r>
      <w:r w:rsidRPr="004D57B3">
        <w:rPr>
          <w:i/>
          <w:iCs/>
        </w:rPr>
        <w:t>Inflammatory Bowel Diseases</w:t>
      </w:r>
      <w:r w:rsidRPr="004D57B3">
        <w:t>, 9 (4), 276.</w:t>
      </w:r>
      <w:proofErr w:type="gramEnd"/>
    </w:p>
    <w:p w:rsidR="0048417A" w:rsidRPr="004D57B3" w:rsidRDefault="0048417A" w:rsidP="00836B55">
      <w:r w:rsidRPr="004D57B3">
        <w:rPr>
          <w:lang w:val="nl-NL"/>
        </w:rPr>
        <w:t xml:space="preserve">Coron, E, Cholet, F et al 2007. </w:t>
      </w:r>
      <w:r w:rsidRPr="004D57B3">
        <w:t>Capsule endoscopy at AGA (American Gastroenterology Association) 2007: A good year</w:t>
      </w:r>
      <w:proofErr w:type="gramStart"/>
      <w:r w:rsidRPr="004D57B3">
        <w:t>?,</w:t>
      </w:r>
      <w:proofErr w:type="gramEnd"/>
      <w:r w:rsidRPr="004D57B3">
        <w:t xml:space="preserve"> </w:t>
      </w:r>
      <w:proofErr w:type="spellStart"/>
      <w:r w:rsidRPr="004D57B3">
        <w:rPr>
          <w:i/>
          <w:iCs/>
        </w:rPr>
        <w:t>Hepato</w:t>
      </w:r>
      <w:proofErr w:type="spellEnd"/>
      <w:r w:rsidRPr="004D57B3">
        <w:rPr>
          <w:i/>
          <w:iCs/>
        </w:rPr>
        <w:t>-Gastro</w:t>
      </w:r>
      <w:r w:rsidRPr="004D57B3">
        <w:t>, 14 (5), 411-421.</w:t>
      </w:r>
    </w:p>
    <w:p w:rsidR="0048417A" w:rsidRPr="004D57B3" w:rsidRDefault="0048417A" w:rsidP="00836B55">
      <w:proofErr w:type="spellStart"/>
      <w:proofErr w:type="gramStart"/>
      <w:r w:rsidRPr="004D57B3">
        <w:t>Costea</w:t>
      </w:r>
      <w:proofErr w:type="spellEnd"/>
      <w:r w:rsidRPr="004D57B3">
        <w:t>, F and Seidman, EG 2010.</w:t>
      </w:r>
      <w:proofErr w:type="gramEnd"/>
      <w:r w:rsidRPr="004D57B3">
        <w:t xml:space="preserve"> Survey on the value of capsule endoscopy in clinical practice: The referring gastroenterologist's perspective, </w:t>
      </w:r>
      <w:r w:rsidRPr="004D57B3">
        <w:rPr>
          <w:i/>
          <w:iCs/>
        </w:rPr>
        <w:t>Gastrointestinal Endoscopy</w:t>
      </w:r>
      <w:r w:rsidRPr="004D57B3">
        <w:t>, 71 (5), AB245.</w:t>
      </w:r>
    </w:p>
    <w:p w:rsidR="0048417A" w:rsidRPr="004D57B3" w:rsidRDefault="0048417A" w:rsidP="00836B55">
      <w:r w:rsidRPr="004D57B3">
        <w:rPr>
          <w:lang w:val="nl-NL"/>
        </w:rPr>
        <w:t xml:space="preserve">de Graaf, AP, Westerhof, J et al 2008. </w:t>
      </w:r>
      <w:proofErr w:type="gramStart"/>
      <w:r w:rsidRPr="004D57B3">
        <w:t xml:space="preserve">Correlation between predicted and actual consequences of capsule endoscopy on patient management, </w:t>
      </w:r>
      <w:r w:rsidRPr="004D57B3">
        <w:rPr>
          <w:i/>
          <w:iCs/>
        </w:rPr>
        <w:t>Digestive and Liver Disease</w:t>
      </w:r>
      <w:r w:rsidRPr="004D57B3">
        <w:t>, 40 (9), 761-766.</w:t>
      </w:r>
      <w:proofErr w:type="gramEnd"/>
    </w:p>
    <w:p w:rsidR="0048417A" w:rsidRPr="004D57B3" w:rsidRDefault="0048417A" w:rsidP="00836B55">
      <w:proofErr w:type="gramStart"/>
      <w:r w:rsidRPr="004D57B3">
        <w:t>Doherty, GA, Moss, AC et al 2010.</w:t>
      </w:r>
      <w:proofErr w:type="gramEnd"/>
      <w:r w:rsidRPr="004D57B3">
        <w:t xml:space="preserve"> Capsule endoscopy in suspected Crohn's disease: Yield does not equal diagnosis, </w:t>
      </w:r>
      <w:r w:rsidRPr="004D57B3">
        <w:rPr>
          <w:i/>
          <w:iCs/>
        </w:rPr>
        <w:t>American Journal of Gastroenterology</w:t>
      </w:r>
      <w:r w:rsidRPr="004D57B3">
        <w:t>, 105 (9), 2111.</w:t>
      </w:r>
    </w:p>
    <w:p w:rsidR="0048417A" w:rsidRPr="004D57B3" w:rsidRDefault="0048417A" w:rsidP="00836B55">
      <w:proofErr w:type="spellStart"/>
      <w:proofErr w:type="gramStart"/>
      <w:r w:rsidRPr="004D57B3">
        <w:t>Eisen</w:t>
      </w:r>
      <w:proofErr w:type="spellEnd"/>
      <w:r w:rsidRPr="004D57B3">
        <w:t>, G 2005.</w:t>
      </w:r>
      <w:proofErr w:type="gramEnd"/>
      <w:r w:rsidRPr="004D57B3">
        <w:t xml:space="preserve"> Capsule endoscopy for Crohn's disease: The test of choice</w:t>
      </w:r>
      <w:proofErr w:type="gramStart"/>
      <w:r w:rsidRPr="004D57B3">
        <w:t>?,</w:t>
      </w:r>
      <w:proofErr w:type="gramEnd"/>
      <w:r w:rsidRPr="004D57B3">
        <w:t xml:space="preserve"> </w:t>
      </w:r>
      <w:r w:rsidRPr="004D57B3">
        <w:rPr>
          <w:i/>
          <w:iCs/>
        </w:rPr>
        <w:t>Evidence-Based Gastroenterology</w:t>
      </w:r>
      <w:r w:rsidRPr="004D57B3">
        <w:t>, 6 (4), 112-113.</w:t>
      </w:r>
    </w:p>
    <w:p w:rsidR="0048417A" w:rsidRPr="004D57B3" w:rsidRDefault="0048417A" w:rsidP="00836B55">
      <w:proofErr w:type="spellStart"/>
      <w:proofErr w:type="gramStart"/>
      <w:r w:rsidRPr="004D57B3">
        <w:t>Eisen</w:t>
      </w:r>
      <w:proofErr w:type="spellEnd"/>
      <w:r w:rsidRPr="004D57B3">
        <w:t>, GM 2006.</w:t>
      </w:r>
      <w:proofErr w:type="gramEnd"/>
      <w:r w:rsidRPr="004D57B3">
        <w:t xml:space="preserve"> </w:t>
      </w:r>
      <w:proofErr w:type="gramStart"/>
      <w:r w:rsidRPr="004D57B3">
        <w:t xml:space="preserve">The economics of </w:t>
      </w:r>
      <w:proofErr w:type="spellStart"/>
      <w:r w:rsidRPr="004D57B3">
        <w:t>PillCam</w:t>
      </w:r>
      <w:proofErr w:type="spellEnd"/>
      <w:r w:rsidRPr="004D57B3">
        <w:t xml:space="preserve">, </w:t>
      </w:r>
      <w:r w:rsidRPr="004D57B3">
        <w:rPr>
          <w:i/>
          <w:iCs/>
        </w:rPr>
        <w:t>Gastrointestinal Endoscopy Clinics of North America</w:t>
      </w:r>
      <w:r w:rsidRPr="004D57B3">
        <w:t>, 16 (2), 337-345.</w:t>
      </w:r>
      <w:proofErr w:type="gramEnd"/>
    </w:p>
    <w:p w:rsidR="0048417A" w:rsidRPr="004D57B3" w:rsidRDefault="0048417A" w:rsidP="00836B55">
      <w:r w:rsidRPr="004D57B3">
        <w:rPr>
          <w:lang w:val="nl-NL"/>
        </w:rPr>
        <w:t xml:space="preserve">Eisen, GM and Schreiner, M 2007. </w:t>
      </w:r>
      <w:proofErr w:type="gramStart"/>
      <w:r w:rsidRPr="004D57B3">
        <w:t xml:space="preserve">Small-bowel endoscopy, </w:t>
      </w:r>
      <w:r w:rsidRPr="004D57B3">
        <w:rPr>
          <w:i/>
          <w:iCs/>
        </w:rPr>
        <w:t>Endoscopy</w:t>
      </w:r>
      <w:r w:rsidRPr="004D57B3">
        <w:t>, 39 (2), 113-117.</w:t>
      </w:r>
      <w:proofErr w:type="gramEnd"/>
    </w:p>
    <w:p w:rsidR="0048417A" w:rsidRPr="004D57B3" w:rsidRDefault="0048417A" w:rsidP="00836B55">
      <w:proofErr w:type="spellStart"/>
      <w:proofErr w:type="gramStart"/>
      <w:r w:rsidRPr="004D57B3">
        <w:t>Eliakim</w:t>
      </w:r>
      <w:proofErr w:type="spellEnd"/>
      <w:r w:rsidRPr="004D57B3">
        <w:t>, R 2007.</w:t>
      </w:r>
      <w:proofErr w:type="gramEnd"/>
      <w:r w:rsidRPr="004D57B3">
        <w:t xml:space="preserve"> </w:t>
      </w:r>
      <w:proofErr w:type="gramStart"/>
      <w:r w:rsidRPr="004D57B3">
        <w:t xml:space="preserve">The impact of capsule endoscopy on Crohn's disease, </w:t>
      </w:r>
      <w:r w:rsidRPr="004D57B3">
        <w:rPr>
          <w:i/>
          <w:iCs/>
        </w:rPr>
        <w:t>Digestive and Liver Disease</w:t>
      </w:r>
      <w:r w:rsidRPr="004D57B3">
        <w:t>, 39 (2), 154-155.</w:t>
      </w:r>
      <w:proofErr w:type="gramEnd"/>
    </w:p>
    <w:p w:rsidR="0048417A" w:rsidRPr="004D57B3" w:rsidRDefault="0048417A" w:rsidP="00836B55">
      <w:r w:rsidRPr="004D57B3">
        <w:rPr>
          <w:lang w:val="nl-NL"/>
        </w:rPr>
        <w:t xml:space="preserve">Erber, WF and Erber, JA 2006. </w:t>
      </w:r>
      <w:proofErr w:type="gramStart"/>
      <w:r w:rsidRPr="004D57B3">
        <w:t xml:space="preserve">Meta-analysis of the yield of capsule endoscopy in patients with Crohn's disease [8], </w:t>
      </w:r>
      <w:r w:rsidRPr="004D57B3">
        <w:rPr>
          <w:i/>
          <w:iCs/>
        </w:rPr>
        <w:t>American Journal of Gastroenterology</w:t>
      </w:r>
      <w:r w:rsidRPr="004D57B3">
        <w:t>, 101 (11), 2669.</w:t>
      </w:r>
      <w:proofErr w:type="gramEnd"/>
    </w:p>
    <w:p w:rsidR="0048417A" w:rsidRPr="004D57B3" w:rsidRDefault="0048417A" w:rsidP="00836B55">
      <w:r w:rsidRPr="004D57B3">
        <w:rPr>
          <w:lang w:val="nl-NL"/>
        </w:rPr>
        <w:t xml:space="preserve">Ersoy, O, Harmanci, O et al 2009. </w:t>
      </w:r>
      <w:proofErr w:type="gramStart"/>
      <w:r w:rsidRPr="004D57B3">
        <w:t xml:space="preserve">Capability of capsule endoscopy in detecting small bowel ulcers, </w:t>
      </w:r>
      <w:r w:rsidRPr="004D57B3">
        <w:rPr>
          <w:i/>
          <w:iCs/>
        </w:rPr>
        <w:t>Digestive Diseases and Sciences</w:t>
      </w:r>
      <w:r w:rsidRPr="004D57B3">
        <w:t>, 54 (1), 136-141.</w:t>
      </w:r>
      <w:proofErr w:type="gramEnd"/>
    </w:p>
    <w:p w:rsidR="0048417A" w:rsidRPr="004D57B3" w:rsidRDefault="0048417A" w:rsidP="00836B55">
      <w:proofErr w:type="spellStart"/>
      <w:proofErr w:type="gramStart"/>
      <w:r w:rsidRPr="004D57B3">
        <w:lastRenderedPageBreak/>
        <w:t>Faiss</w:t>
      </w:r>
      <w:proofErr w:type="spellEnd"/>
      <w:r w:rsidRPr="004D57B3">
        <w:t>, S 2004.</w:t>
      </w:r>
      <w:proofErr w:type="gramEnd"/>
      <w:r w:rsidRPr="004D57B3">
        <w:t xml:space="preserve"> </w:t>
      </w:r>
      <w:proofErr w:type="gramStart"/>
      <w:r w:rsidRPr="004D57B3">
        <w:t xml:space="preserve">Capsule endoscopy, </w:t>
      </w:r>
      <w:r w:rsidRPr="004D57B3">
        <w:rPr>
          <w:i/>
          <w:iCs/>
        </w:rPr>
        <w:t xml:space="preserve">Deutsche </w:t>
      </w:r>
      <w:proofErr w:type="spellStart"/>
      <w:r w:rsidRPr="004D57B3">
        <w:rPr>
          <w:i/>
          <w:iCs/>
        </w:rPr>
        <w:t>Medizinische</w:t>
      </w:r>
      <w:proofErr w:type="spellEnd"/>
      <w:r w:rsidRPr="004D57B3">
        <w:rPr>
          <w:i/>
          <w:iCs/>
        </w:rPr>
        <w:t xml:space="preserve"> </w:t>
      </w:r>
      <w:proofErr w:type="spellStart"/>
      <w:r w:rsidRPr="004D57B3">
        <w:rPr>
          <w:i/>
          <w:iCs/>
        </w:rPr>
        <w:t>Wochenschrift</w:t>
      </w:r>
      <w:proofErr w:type="spellEnd"/>
      <w:r w:rsidRPr="004D57B3">
        <w:t>, 129 (SUPPL. 2), S130-S132.</w:t>
      </w:r>
      <w:proofErr w:type="gramEnd"/>
    </w:p>
    <w:p w:rsidR="0048417A" w:rsidRPr="004D57B3" w:rsidRDefault="0048417A" w:rsidP="00836B55">
      <w:proofErr w:type="gramStart"/>
      <w:r w:rsidRPr="004D57B3">
        <w:t>Fernandez-</w:t>
      </w:r>
      <w:proofErr w:type="spellStart"/>
      <w:r w:rsidRPr="004D57B3">
        <w:t>Urien</w:t>
      </w:r>
      <w:proofErr w:type="spellEnd"/>
      <w:r w:rsidRPr="004D57B3">
        <w:t xml:space="preserve">, I, </w:t>
      </w:r>
      <w:proofErr w:type="spellStart"/>
      <w:r w:rsidRPr="004D57B3">
        <w:t>Borobio</w:t>
      </w:r>
      <w:proofErr w:type="spellEnd"/>
      <w:r w:rsidRPr="004D57B3">
        <w:t>, E et al 2010.</w:t>
      </w:r>
      <w:proofErr w:type="gramEnd"/>
      <w:r w:rsidRPr="004D57B3">
        <w:t xml:space="preserve"> Can </w:t>
      </w:r>
      <w:proofErr w:type="spellStart"/>
      <w:r w:rsidRPr="004D57B3">
        <w:t>endoscopists</w:t>
      </w:r>
      <w:proofErr w:type="spellEnd"/>
      <w:r w:rsidRPr="004D57B3">
        <w:t xml:space="preserve"> predict incomplete capsule endoscopy of the small bowel? </w:t>
      </w:r>
      <w:proofErr w:type="gramStart"/>
      <w:r w:rsidRPr="004D57B3">
        <w:t xml:space="preserve">A multivariate analysis, </w:t>
      </w:r>
      <w:r w:rsidRPr="004D57B3">
        <w:rPr>
          <w:i/>
          <w:iCs/>
        </w:rPr>
        <w:t>Gastrointestinal Endoscopy</w:t>
      </w:r>
      <w:r w:rsidRPr="004D57B3">
        <w:t>, 71 (5), AB372.</w:t>
      </w:r>
      <w:proofErr w:type="gramEnd"/>
    </w:p>
    <w:p w:rsidR="0048417A" w:rsidRPr="004D57B3" w:rsidRDefault="0048417A" w:rsidP="00836B55">
      <w:proofErr w:type="spellStart"/>
      <w:r w:rsidRPr="004D57B3">
        <w:t>Fidder</w:t>
      </w:r>
      <w:proofErr w:type="spellEnd"/>
      <w:r w:rsidRPr="004D57B3">
        <w:t xml:space="preserve">, HH, Nadler, M et al 2007. The utility of capsule endoscopy in the diagnosis of Crohn's disease based on patient's symptoms, </w:t>
      </w:r>
      <w:r w:rsidRPr="004D57B3">
        <w:rPr>
          <w:i/>
          <w:iCs/>
        </w:rPr>
        <w:t>Journal of Clinical Gastroenterology</w:t>
      </w:r>
      <w:r w:rsidRPr="004D57B3">
        <w:t>, 41 (4), 384-387.</w:t>
      </w:r>
    </w:p>
    <w:p w:rsidR="0048417A" w:rsidRPr="004D57B3" w:rsidRDefault="0048417A" w:rsidP="00836B55">
      <w:proofErr w:type="gramStart"/>
      <w:r w:rsidRPr="004D57B3">
        <w:t>Friedman, S 2004.</w:t>
      </w:r>
      <w:proofErr w:type="gramEnd"/>
      <w:r w:rsidRPr="004D57B3">
        <w:t xml:space="preserve"> </w:t>
      </w:r>
      <w:proofErr w:type="gramStart"/>
      <w:r w:rsidRPr="004D57B3">
        <w:t xml:space="preserve">Comparison of capsule endoscopy to other modalities in small </w:t>
      </w:r>
      <w:proofErr w:type="spellStart"/>
      <w:r w:rsidRPr="004D57B3">
        <w:t>bowel</w:t>
      </w:r>
      <w:proofErr w:type="spellEnd"/>
      <w:r w:rsidRPr="004D57B3">
        <w:t xml:space="preserve">, </w:t>
      </w:r>
      <w:r w:rsidRPr="004D57B3">
        <w:rPr>
          <w:i/>
          <w:iCs/>
        </w:rPr>
        <w:t>Gastrointestinal Endoscopy Clinics of North America</w:t>
      </w:r>
      <w:r w:rsidRPr="004D57B3">
        <w:t>, 14 (1), 51-60.</w:t>
      </w:r>
      <w:proofErr w:type="gramEnd"/>
    </w:p>
    <w:p w:rsidR="0048417A" w:rsidRPr="004D57B3" w:rsidRDefault="0048417A" w:rsidP="00836B55">
      <w:proofErr w:type="gramStart"/>
      <w:r w:rsidRPr="004D57B3">
        <w:t xml:space="preserve">Gay, G and </w:t>
      </w:r>
      <w:proofErr w:type="spellStart"/>
      <w:r w:rsidRPr="004D57B3">
        <w:t>Delvaux</w:t>
      </w:r>
      <w:proofErr w:type="spellEnd"/>
      <w:r w:rsidRPr="004D57B3">
        <w:t>, M 2006.</w:t>
      </w:r>
      <w:proofErr w:type="gramEnd"/>
      <w:r w:rsidRPr="004D57B3">
        <w:t xml:space="preserve"> </w:t>
      </w:r>
      <w:proofErr w:type="gramStart"/>
      <w:r w:rsidRPr="004D57B3">
        <w:t xml:space="preserve">Small-bowel endoscopy, </w:t>
      </w:r>
      <w:r w:rsidRPr="004D57B3">
        <w:rPr>
          <w:i/>
          <w:iCs/>
        </w:rPr>
        <w:t>Endoscopy</w:t>
      </w:r>
      <w:r w:rsidRPr="004D57B3">
        <w:t>, 38 (1), 22-26.</w:t>
      </w:r>
      <w:proofErr w:type="gramEnd"/>
    </w:p>
    <w:p w:rsidR="0048417A" w:rsidRPr="004D57B3" w:rsidRDefault="0048417A" w:rsidP="00836B55">
      <w:proofErr w:type="gramStart"/>
      <w:r w:rsidRPr="004D57B3">
        <w:t xml:space="preserve">Gay, G and </w:t>
      </w:r>
      <w:proofErr w:type="spellStart"/>
      <w:r w:rsidRPr="004D57B3">
        <w:t>Delvaux</w:t>
      </w:r>
      <w:proofErr w:type="spellEnd"/>
      <w:r w:rsidRPr="004D57B3">
        <w:t>, M 2008.</w:t>
      </w:r>
      <w:proofErr w:type="gramEnd"/>
      <w:r w:rsidRPr="004D57B3">
        <w:t xml:space="preserve"> </w:t>
      </w:r>
      <w:proofErr w:type="gramStart"/>
      <w:r w:rsidRPr="004D57B3">
        <w:t xml:space="preserve">Small-bowel endoscopy, </w:t>
      </w:r>
      <w:r w:rsidRPr="004D57B3">
        <w:rPr>
          <w:i/>
          <w:iCs/>
        </w:rPr>
        <w:t>Endoscopy</w:t>
      </w:r>
      <w:r w:rsidRPr="004D57B3">
        <w:t>, 40 (2), 140-146.</w:t>
      </w:r>
      <w:proofErr w:type="gramEnd"/>
    </w:p>
    <w:p w:rsidR="0048417A" w:rsidRDefault="0048417A" w:rsidP="00836B55">
      <w:proofErr w:type="gramStart"/>
      <w:r w:rsidRPr="004D57B3">
        <w:t>Gerson, LB 2009.</w:t>
      </w:r>
      <w:proofErr w:type="gramEnd"/>
      <w:r w:rsidRPr="004D57B3">
        <w:t xml:space="preserve"> Capsule endoscopy and deep </w:t>
      </w:r>
      <w:proofErr w:type="spellStart"/>
      <w:r w:rsidRPr="004D57B3">
        <w:t>enteroscopy</w:t>
      </w:r>
      <w:proofErr w:type="spellEnd"/>
      <w:r w:rsidRPr="004D57B3">
        <w:t xml:space="preserve">: Indications for the practicing clinician, </w:t>
      </w:r>
      <w:r w:rsidRPr="004D57B3">
        <w:rPr>
          <w:i/>
          <w:iCs/>
        </w:rPr>
        <w:t>Gastroenterology</w:t>
      </w:r>
      <w:r w:rsidRPr="004D57B3">
        <w:t>, 137 (4), 1197-1201.</w:t>
      </w:r>
    </w:p>
    <w:p w:rsidR="0048417A" w:rsidRPr="004D57B3" w:rsidRDefault="0048417A" w:rsidP="00836B55">
      <w:proofErr w:type="gramStart"/>
      <w:r w:rsidRPr="004D57B3">
        <w:t>Given Imaging GmbH</w:t>
      </w:r>
      <w:r>
        <w:t xml:space="preserve"> </w:t>
      </w:r>
      <w:r w:rsidRPr="004D57B3">
        <w:t>2002.</w:t>
      </w:r>
      <w:proofErr w:type="gramEnd"/>
      <w:r w:rsidRPr="004D57B3">
        <w:t xml:space="preserve"> M2A® capsule endoscopy common diseases and current data: Including results from Digestive Disease Week (DDW) 2002, San Francisco, May 19-22</w:t>
      </w:r>
      <w:r>
        <w:t>,</w:t>
      </w:r>
      <w:r w:rsidRPr="004D57B3">
        <w:t xml:space="preserve"> </w:t>
      </w:r>
      <w:r w:rsidRPr="004D57B3">
        <w:rPr>
          <w:i/>
          <w:iCs/>
        </w:rPr>
        <w:t>Endoscopy</w:t>
      </w:r>
      <w:r w:rsidRPr="004D57B3">
        <w:t>, 34 (7), I-V.</w:t>
      </w:r>
    </w:p>
    <w:p w:rsidR="0048417A" w:rsidRPr="004D57B3" w:rsidRDefault="0048417A" w:rsidP="00836B55">
      <w:proofErr w:type="spellStart"/>
      <w:r w:rsidRPr="004D57B3">
        <w:t>Jurawan</w:t>
      </w:r>
      <w:proofErr w:type="spellEnd"/>
      <w:r w:rsidRPr="004D57B3">
        <w:t xml:space="preserve">, R, Taylor, J et al 2009. Wireless capsule endoscopy (WCE): A single-centre experience of 82 WCE performed over 2 years at </w:t>
      </w:r>
      <w:r>
        <w:t>W</w:t>
      </w:r>
      <w:r w:rsidRPr="004D57B3">
        <w:t xml:space="preserve">aikato </w:t>
      </w:r>
      <w:r>
        <w:t>H</w:t>
      </w:r>
      <w:r w:rsidRPr="004D57B3">
        <w:t xml:space="preserve">ospital, </w:t>
      </w:r>
      <w:r w:rsidRPr="004D57B3">
        <w:rPr>
          <w:i/>
          <w:iCs/>
        </w:rPr>
        <w:t xml:space="preserve">Journal of Gastroenterology and </w:t>
      </w:r>
      <w:proofErr w:type="spellStart"/>
      <w:r w:rsidRPr="004D57B3">
        <w:rPr>
          <w:i/>
          <w:iCs/>
        </w:rPr>
        <w:t>Hepatology</w:t>
      </w:r>
      <w:proofErr w:type="spellEnd"/>
      <w:r w:rsidRPr="004D57B3">
        <w:t>, 24 (A270</w:t>
      </w:r>
      <w:r>
        <w:t>)</w:t>
      </w:r>
      <w:r w:rsidRPr="004D57B3">
        <w:t>.</w:t>
      </w:r>
    </w:p>
    <w:p w:rsidR="0048417A" w:rsidRPr="004D57B3" w:rsidRDefault="0048417A" w:rsidP="00836B55">
      <w:proofErr w:type="spellStart"/>
      <w:proofErr w:type="gramStart"/>
      <w:r w:rsidRPr="004D57B3">
        <w:t>Kav</w:t>
      </w:r>
      <w:proofErr w:type="spellEnd"/>
      <w:r w:rsidRPr="004D57B3">
        <w:t xml:space="preserve">, T and </w:t>
      </w:r>
      <w:proofErr w:type="spellStart"/>
      <w:r w:rsidRPr="004D57B3">
        <w:t>Bayraktar</w:t>
      </w:r>
      <w:proofErr w:type="spellEnd"/>
      <w:r w:rsidRPr="004D57B3">
        <w:t>, Y 2009.</w:t>
      </w:r>
      <w:proofErr w:type="gramEnd"/>
      <w:r w:rsidRPr="004D57B3">
        <w:t xml:space="preserve"> </w:t>
      </w:r>
      <w:proofErr w:type="gramStart"/>
      <w:r w:rsidRPr="004D57B3">
        <w:t xml:space="preserve">Five years' experience with capsule endoscopy in a single </w:t>
      </w:r>
      <w:proofErr w:type="spellStart"/>
      <w:r w:rsidRPr="004D57B3">
        <w:t>center</w:t>
      </w:r>
      <w:proofErr w:type="spellEnd"/>
      <w:r w:rsidRPr="004D57B3">
        <w:t xml:space="preserve">, </w:t>
      </w:r>
      <w:r w:rsidRPr="004D57B3">
        <w:rPr>
          <w:i/>
          <w:iCs/>
        </w:rPr>
        <w:t>World Journal of Gastroenterology</w:t>
      </w:r>
      <w:r w:rsidRPr="004D57B3">
        <w:t>, 15 (16), 1934-1942.</w:t>
      </w:r>
      <w:proofErr w:type="gramEnd"/>
    </w:p>
    <w:p w:rsidR="0048417A" w:rsidRPr="004D57B3" w:rsidRDefault="0048417A" w:rsidP="00836B55">
      <w:proofErr w:type="spellStart"/>
      <w:proofErr w:type="gramStart"/>
      <w:r w:rsidRPr="004D57B3">
        <w:t>Kornbluth</w:t>
      </w:r>
      <w:proofErr w:type="spellEnd"/>
      <w:r w:rsidRPr="004D57B3">
        <w:t xml:space="preserve">, A, </w:t>
      </w:r>
      <w:proofErr w:type="spellStart"/>
      <w:r w:rsidRPr="004D57B3">
        <w:t>Colombel</w:t>
      </w:r>
      <w:proofErr w:type="spellEnd"/>
      <w:r w:rsidRPr="004D57B3">
        <w:t>, JF et al 2005.</w:t>
      </w:r>
      <w:proofErr w:type="gramEnd"/>
      <w:r w:rsidRPr="004D57B3">
        <w:t xml:space="preserve"> </w:t>
      </w:r>
      <w:proofErr w:type="gramStart"/>
      <w:r w:rsidRPr="004D57B3">
        <w:t xml:space="preserve">ICCE consensus for inflammatory bowel disease, </w:t>
      </w:r>
      <w:r w:rsidRPr="004D57B3">
        <w:rPr>
          <w:i/>
          <w:iCs/>
        </w:rPr>
        <w:t>Endoscopy</w:t>
      </w:r>
      <w:r w:rsidRPr="004D57B3">
        <w:t>, 37 (10), 1051-1054.</w:t>
      </w:r>
      <w:proofErr w:type="gramEnd"/>
    </w:p>
    <w:p w:rsidR="0048417A" w:rsidRPr="004D57B3" w:rsidRDefault="0048417A" w:rsidP="00836B55">
      <w:proofErr w:type="spellStart"/>
      <w:proofErr w:type="gramStart"/>
      <w:r w:rsidRPr="004D57B3">
        <w:t>Kornbluth</w:t>
      </w:r>
      <w:proofErr w:type="spellEnd"/>
      <w:r w:rsidRPr="004D57B3">
        <w:t xml:space="preserve">, A and </w:t>
      </w:r>
      <w:proofErr w:type="spellStart"/>
      <w:r w:rsidRPr="004D57B3">
        <w:t>Legnani</w:t>
      </w:r>
      <w:proofErr w:type="spellEnd"/>
      <w:r w:rsidRPr="004D57B3">
        <w:t>, P 2006.</w:t>
      </w:r>
      <w:proofErr w:type="gramEnd"/>
      <w:r w:rsidRPr="004D57B3">
        <w:t xml:space="preserve"> Is capsule endoscopy emerging as a necessary and effective tool in the diagnostic evaluation of patients with suspected or known Crohn's disease</w:t>
      </w:r>
      <w:proofErr w:type="gramStart"/>
      <w:r w:rsidRPr="004D57B3">
        <w:t>?,</w:t>
      </w:r>
      <w:proofErr w:type="gramEnd"/>
      <w:r w:rsidRPr="004D57B3">
        <w:t xml:space="preserve"> </w:t>
      </w:r>
      <w:r w:rsidRPr="004D57B3">
        <w:rPr>
          <w:i/>
          <w:iCs/>
        </w:rPr>
        <w:t>Evidence-Based Gastroenterology</w:t>
      </w:r>
      <w:r w:rsidRPr="004D57B3">
        <w:t>, 7 (2), 48-50.</w:t>
      </w:r>
    </w:p>
    <w:p w:rsidR="0048417A" w:rsidRPr="004D57B3" w:rsidRDefault="0048417A" w:rsidP="00836B55">
      <w:proofErr w:type="gramStart"/>
      <w:r w:rsidRPr="004D57B3">
        <w:t xml:space="preserve">Ladas, SD, </w:t>
      </w:r>
      <w:proofErr w:type="spellStart"/>
      <w:r w:rsidRPr="004D57B3">
        <w:t>Triantafyllou</w:t>
      </w:r>
      <w:proofErr w:type="spellEnd"/>
      <w:r w:rsidRPr="004D57B3">
        <w:t>, K et al 2010.</w:t>
      </w:r>
      <w:proofErr w:type="gramEnd"/>
      <w:r w:rsidRPr="004D57B3">
        <w:t xml:space="preserve"> European Society of Gastrointestinal Endoscopy (ESGE): Recommendations (2009) on clinical use of video capsule endoscopy to investigate small-bowel, </w:t>
      </w:r>
      <w:proofErr w:type="spellStart"/>
      <w:r w:rsidRPr="004D57B3">
        <w:t>esophageal</w:t>
      </w:r>
      <w:proofErr w:type="spellEnd"/>
      <w:r w:rsidRPr="004D57B3">
        <w:t xml:space="preserve"> and colonic diseases, </w:t>
      </w:r>
      <w:r w:rsidRPr="004D57B3">
        <w:rPr>
          <w:i/>
          <w:iCs/>
        </w:rPr>
        <w:t>Endoscopy</w:t>
      </w:r>
      <w:r w:rsidRPr="004D57B3">
        <w:t>, 42 (3), 220-227.</w:t>
      </w:r>
    </w:p>
    <w:p w:rsidR="0048417A" w:rsidRPr="004D57B3" w:rsidRDefault="0048417A" w:rsidP="00836B55">
      <w:r w:rsidRPr="004D57B3">
        <w:rPr>
          <w:lang w:val="nl-NL"/>
        </w:rPr>
        <w:t xml:space="preserve">Lai, LH, Wong, GLH et al 2006. </w:t>
      </w:r>
      <w:proofErr w:type="gramStart"/>
      <w:r w:rsidRPr="004D57B3">
        <w:t xml:space="preserve">Inter-observer variations on interpretation of capsule endoscopies, </w:t>
      </w:r>
      <w:r w:rsidRPr="004D57B3">
        <w:rPr>
          <w:i/>
          <w:iCs/>
        </w:rPr>
        <w:t xml:space="preserve">European Journal of Gastroenterology and </w:t>
      </w:r>
      <w:proofErr w:type="spellStart"/>
      <w:r w:rsidRPr="004D57B3">
        <w:rPr>
          <w:i/>
          <w:iCs/>
        </w:rPr>
        <w:t>Hepatology</w:t>
      </w:r>
      <w:proofErr w:type="spellEnd"/>
      <w:r w:rsidRPr="004D57B3">
        <w:t>, 18 (3), 283-286.</w:t>
      </w:r>
      <w:proofErr w:type="gramEnd"/>
    </w:p>
    <w:p w:rsidR="0048417A" w:rsidRPr="004D57B3" w:rsidRDefault="0048417A" w:rsidP="00836B55">
      <w:proofErr w:type="spellStart"/>
      <w:proofErr w:type="gramStart"/>
      <w:r w:rsidRPr="004D57B3">
        <w:t>Lauenstein</w:t>
      </w:r>
      <w:proofErr w:type="spellEnd"/>
      <w:r w:rsidRPr="004D57B3">
        <w:t>, TC 2008.</w:t>
      </w:r>
      <w:proofErr w:type="gramEnd"/>
      <w:r w:rsidRPr="004D57B3">
        <w:t xml:space="preserve"> </w:t>
      </w:r>
      <w:proofErr w:type="gramStart"/>
      <w:r w:rsidRPr="004D57B3">
        <w:t xml:space="preserve">MRI of inflammatory bowel disease, </w:t>
      </w:r>
      <w:r w:rsidRPr="004D57B3">
        <w:rPr>
          <w:i/>
          <w:iCs/>
        </w:rPr>
        <w:t>Applied Radiology</w:t>
      </w:r>
      <w:r w:rsidRPr="004D57B3">
        <w:t>, 37 (7), 19-24.</w:t>
      </w:r>
      <w:proofErr w:type="gramEnd"/>
    </w:p>
    <w:p w:rsidR="0048417A" w:rsidRPr="004D57B3" w:rsidRDefault="0048417A" w:rsidP="00836B55">
      <w:proofErr w:type="gramStart"/>
      <w:r w:rsidRPr="004D57B3">
        <w:t>Leighton, JA 2006.</w:t>
      </w:r>
      <w:proofErr w:type="gramEnd"/>
      <w:r w:rsidRPr="004D57B3">
        <w:t xml:space="preserve"> Recent advances in endoscopic capsule imaging: See what we have been missing, </w:t>
      </w:r>
      <w:r w:rsidRPr="004D57B3">
        <w:rPr>
          <w:i/>
          <w:iCs/>
        </w:rPr>
        <w:t>Reviews in Gastroenterological Disorders</w:t>
      </w:r>
      <w:r w:rsidRPr="004D57B3">
        <w:t>, 6 (S</w:t>
      </w:r>
      <w:r>
        <w:t>uppl</w:t>
      </w:r>
      <w:r w:rsidRPr="004D57B3">
        <w:t>. 1), S19-S27.</w:t>
      </w:r>
    </w:p>
    <w:p w:rsidR="0048417A" w:rsidRPr="004D57B3" w:rsidRDefault="0048417A" w:rsidP="00836B55">
      <w:r w:rsidRPr="004D57B3">
        <w:rPr>
          <w:lang w:val="nl-NL"/>
        </w:rPr>
        <w:lastRenderedPageBreak/>
        <w:t xml:space="preserve">Leighton, JA, Triester, SL et al 2006. </w:t>
      </w:r>
      <w:r w:rsidRPr="004D57B3">
        <w:t xml:space="preserve">Capsule endoscopy: A meta-analysis for use with obscure gastrointestinal bleeding and Crohn's disease, </w:t>
      </w:r>
      <w:r w:rsidRPr="004D57B3">
        <w:rPr>
          <w:i/>
          <w:iCs/>
        </w:rPr>
        <w:t>Gastrointestinal Endoscopy Clinics of North America</w:t>
      </w:r>
      <w:r w:rsidRPr="004D57B3">
        <w:t>, 16 (2), 229-250.</w:t>
      </w:r>
    </w:p>
    <w:p w:rsidR="0048417A" w:rsidRPr="004D57B3" w:rsidRDefault="0048417A" w:rsidP="00836B55">
      <w:proofErr w:type="gramStart"/>
      <w:r w:rsidRPr="004D57B3">
        <w:t>Leighton, JA 2006.</w:t>
      </w:r>
      <w:proofErr w:type="gramEnd"/>
      <w:r w:rsidRPr="004D57B3">
        <w:t xml:space="preserve"> </w:t>
      </w:r>
      <w:proofErr w:type="gramStart"/>
      <w:r w:rsidRPr="004D57B3">
        <w:t xml:space="preserve">The role of capsule endoscopy in IBD, </w:t>
      </w:r>
      <w:r w:rsidRPr="004D57B3">
        <w:rPr>
          <w:i/>
          <w:iCs/>
        </w:rPr>
        <w:t xml:space="preserve">Gastroenterology and </w:t>
      </w:r>
      <w:proofErr w:type="spellStart"/>
      <w:r w:rsidRPr="004D57B3">
        <w:rPr>
          <w:i/>
          <w:iCs/>
        </w:rPr>
        <w:t>Hepatology</w:t>
      </w:r>
      <w:proofErr w:type="spellEnd"/>
      <w:r w:rsidRPr="004D57B3">
        <w:t>, 2 (2), 97-99.</w:t>
      </w:r>
      <w:proofErr w:type="gramEnd"/>
    </w:p>
    <w:p w:rsidR="0048417A" w:rsidRPr="004D57B3" w:rsidRDefault="0048417A" w:rsidP="00836B55">
      <w:proofErr w:type="gramStart"/>
      <w:r w:rsidRPr="004D57B3">
        <w:t>Leighton, JA 2008.</w:t>
      </w:r>
      <w:proofErr w:type="gramEnd"/>
      <w:r w:rsidRPr="004D57B3">
        <w:t xml:space="preserve"> </w:t>
      </w:r>
      <w:proofErr w:type="gramStart"/>
      <w:r w:rsidRPr="004D57B3">
        <w:t xml:space="preserve">Capsule endoscopy in the evaluation of small-bowel inflammation, </w:t>
      </w:r>
      <w:r w:rsidRPr="004D57B3">
        <w:rPr>
          <w:i/>
          <w:iCs/>
        </w:rPr>
        <w:t xml:space="preserve">Gastroenterology and </w:t>
      </w:r>
      <w:proofErr w:type="spellStart"/>
      <w:r w:rsidRPr="004D57B3">
        <w:rPr>
          <w:i/>
          <w:iCs/>
        </w:rPr>
        <w:t>Hepatology</w:t>
      </w:r>
      <w:proofErr w:type="spellEnd"/>
      <w:r w:rsidRPr="004D57B3">
        <w:t>, 4 (11), 771-772.</w:t>
      </w:r>
      <w:proofErr w:type="gramEnd"/>
    </w:p>
    <w:p w:rsidR="0048417A" w:rsidRPr="004D57B3" w:rsidRDefault="0048417A" w:rsidP="00836B55">
      <w:r w:rsidRPr="004D57B3">
        <w:rPr>
          <w:lang w:val="nl-NL"/>
        </w:rPr>
        <w:t xml:space="preserve">Leighton, JA, Gralnek, IM et al 2009. </w:t>
      </w:r>
      <w:r w:rsidRPr="004D57B3">
        <w:t xml:space="preserve">Capsule endoscopy (CE) in suspected small bowel (SB) Crohn's disease (CD): Economic impact of disease diagnosis and treatment, </w:t>
      </w:r>
      <w:r w:rsidRPr="004D57B3">
        <w:rPr>
          <w:i/>
          <w:iCs/>
        </w:rPr>
        <w:t>Gastroenterology</w:t>
      </w:r>
      <w:r w:rsidRPr="004D57B3">
        <w:t>, 136 (5), A650.</w:t>
      </w:r>
    </w:p>
    <w:p w:rsidR="0048417A" w:rsidRPr="004D57B3" w:rsidRDefault="0048417A" w:rsidP="00836B55">
      <w:r w:rsidRPr="004D57B3">
        <w:t xml:space="preserve">Levesque, BG, </w:t>
      </w:r>
      <w:proofErr w:type="spellStart"/>
      <w:r w:rsidRPr="004D57B3">
        <w:t>Cipriano</w:t>
      </w:r>
      <w:proofErr w:type="spellEnd"/>
      <w:r w:rsidRPr="004D57B3">
        <w:t xml:space="preserve">, LE et al 2009. </w:t>
      </w:r>
      <w:proofErr w:type="gramStart"/>
      <w:r w:rsidRPr="004D57B3">
        <w:t xml:space="preserve">Cost-effectiveness of alternative diagnostic strategies for patients with suspected small-bowel Crohn's disease, </w:t>
      </w:r>
      <w:r w:rsidRPr="004D57B3">
        <w:rPr>
          <w:i/>
          <w:iCs/>
        </w:rPr>
        <w:t>Gastroenterology</w:t>
      </w:r>
      <w:r w:rsidRPr="004D57B3">
        <w:t>, 136 (5), A100.</w:t>
      </w:r>
      <w:proofErr w:type="gramEnd"/>
    </w:p>
    <w:p w:rsidR="0048417A" w:rsidRPr="004D57B3" w:rsidRDefault="0048417A" w:rsidP="00836B55">
      <w:r w:rsidRPr="004D57B3">
        <w:rPr>
          <w:lang w:val="nl-NL"/>
        </w:rPr>
        <w:t xml:space="preserve">Lewis, BS, Eisen, GM et al 2005. </w:t>
      </w:r>
      <w:proofErr w:type="gramStart"/>
      <w:r w:rsidRPr="004D57B3">
        <w:t xml:space="preserve">A pooled analysis to evaluate results of capsule endoscopy trials, </w:t>
      </w:r>
      <w:r w:rsidRPr="004D57B3">
        <w:rPr>
          <w:i/>
          <w:iCs/>
        </w:rPr>
        <w:t>Endoscopy</w:t>
      </w:r>
      <w:r w:rsidRPr="004D57B3">
        <w:t>, 37 (10), 960-965.</w:t>
      </w:r>
      <w:proofErr w:type="gramEnd"/>
    </w:p>
    <w:p w:rsidR="0048417A" w:rsidRPr="004D57B3" w:rsidRDefault="0048417A" w:rsidP="00836B55">
      <w:r w:rsidRPr="004D57B3">
        <w:rPr>
          <w:lang w:val="nl-NL"/>
        </w:rPr>
        <w:t xml:space="preserve">Li, CY, Zhang, BL et al 2008. </w:t>
      </w:r>
      <w:r w:rsidRPr="004D57B3">
        <w:t xml:space="preserve">OMOM capsule endoscopy in diagnosis of small bowel disease, </w:t>
      </w:r>
      <w:r w:rsidRPr="004D57B3">
        <w:rPr>
          <w:i/>
          <w:iCs/>
        </w:rPr>
        <w:t>Journal of Zhejiang University: Science B</w:t>
      </w:r>
      <w:r w:rsidRPr="004D57B3">
        <w:t>, 9 (11), 857-862.</w:t>
      </w:r>
    </w:p>
    <w:p w:rsidR="0048417A" w:rsidRPr="004D57B3" w:rsidRDefault="0048417A" w:rsidP="00836B55">
      <w:proofErr w:type="spellStart"/>
      <w:r w:rsidRPr="004D57B3">
        <w:t>Liangpunsakul</w:t>
      </w:r>
      <w:proofErr w:type="spellEnd"/>
      <w:r w:rsidRPr="004D57B3">
        <w:t xml:space="preserve">, S, </w:t>
      </w:r>
      <w:proofErr w:type="spellStart"/>
      <w:r w:rsidRPr="004D57B3">
        <w:t>Chadalawada</w:t>
      </w:r>
      <w:proofErr w:type="spellEnd"/>
      <w:r w:rsidRPr="004D57B3">
        <w:t xml:space="preserve">, V et al 2003. Wireless capsule endoscopy detects small bowel ulcers in patients with normal results from state of the art </w:t>
      </w:r>
      <w:proofErr w:type="spellStart"/>
      <w:r w:rsidRPr="004D57B3">
        <w:t>enteroclysis</w:t>
      </w:r>
      <w:proofErr w:type="spellEnd"/>
      <w:r w:rsidRPr="004D57B3">
        <w:t xml:space="preserve">, </w:t>
      </w:r>
      <w:r w:rsidRPr="004D57B3">
        <w:rPr>
          <w:i/>
          <w:iCs/>
        </w:rPr>
        <w:t>American Journal of Gastroenterology</w:t>
      </w:r>
      <w:r w:rsidRPr="004D57B3">
        <w:t>, 98 (6), 1295-1298.</w:t>
      </w:r>
    </w:p>
    <w:p w:rsidR="0048417A" w:rsidRPr="004D57B3" w:rsidRDefault="0048417A" w:rsidP="00836B55">
      <w:r w:rsidRPr="004D57B3">
        <w:rPr>
          <w:lang w:val="nl-NL"/>
        </w:rPr>
        <w:t xml:space="preserve">Maieron, A, Hubner, D et al 2004. </w:t>
      </w:r>
      <w:proofErr w:type="spellStart"/>
      <w:proofErr w:type="gramStart"/>
      <w:r w:rsidRPr="004D57B3">
        <w:t>Multicenter</w:t>
      </w:r>
      <w:proofErr w:type="spellEnd"/>
      <w:r w:rsidRPr="004D57B3">
        <w:t xml:space="preserve"> retrospective evaluation of capsule endoscopy in clinical routine, </w:t>
      </w:r>
      <w:r w:rsidRPr="004D57B3">
        <w:rPr>
          <w:i/>
          <w:iCs/>
        </w:rPr>
        <w:t>Endoscopy</w:t>
      </w:r>
      <w:r w:rsidRPr="004D57B3">
        <w:t>, 36 (10), 864-868.</w:t>
      </w:r>
      <w:proofErr w:type="gramEnd"/>
    </w:p>
    <w:p w:rsidR="0048417A" w:rsidRPr="004D57B3" w:rsidRDefault="0048417A" w:rsidP="00836B55">
      <w:proofErr w:type="gramStart"/>
      <w:r w:rsidRPr="004D57B3">
        <w:t xml:space="preserve">Manes, G and </w:t>
      </w:r>
      <w:proofErr w:type="spellStart"/>
      <w:r w:rsidRPr="004D57B3">
        <w:t>Porro</w:t>
      </w:r>
      <w:proofErr w:type="spellEnd"/>
      <w:r w:rsidRPr="004D57B3">
        <w:t>, GB 2009.</w:t>
      </w:r>
      <w:proofErr w:type="gramEnd"/>
      <w:r w:rsidRPr="004D57B3">
        <w:t xml:space="preserve"> Small-bowel lesions detected by double-balloon </w:t>
      </w:r>
      <w:proofErr w:type="spellStart"/>
      <w:r w:rsidRPr="004D57B3">
        <w:t>enteroscopy</w:t>
      </w:r>
      <w:proofErr w:type="spellEnd"/>
      <w:r w:rsidRPr="004D57B3">
        <w:t xml:space="preserve"> performed after negative capsule endoscopy, </w:t>
      </w:r>
      <w:r w:rsidRPr="004D57B3">
        <w:rPr>
          <w:i/>
          <w:iCs/>
        </w:rPr>
        <w:t>Gastrointestinal Endoscopy</w:t>
      </w:r>
      <w:r w:rsidRPr="004D57B3">
        <w:t>, 70 (4), 819.</w:t>
      </w:r>
    </w:p>
    <w:p w:rsidR="0048417A" w:rsidRPr="004D57B3" w:rsidRDefault="0048417A" w:rsidP="00836B55">
      <w:r w:rsidRPr="004D57B3">
        <w:rPr>
          <w:lang w:val="nl-NL"/>
        </w:rPr>
        <w:t xml:space="preserve">Markova, I, Kluchova, K et al 2010. </w:t>
      </w:r>
      <w:r w:rsidRPr="004D57B3">
        <w:t>Small bowel imaging - still a radiologic approach</w:t>
      </w:r>
      <w:proofErr w:type="gramStart"/>
      <w:r w:rsidRPr="004D57B3">
        <w:t>?,</w:t>
      </w:r>
      <w:proofErr w:type="gramEnd"/>
      <w:r w:rsidRPr="004D57B3">
        <w:t xml:space="preserve"> </w:t>
      </w:r>
      <w:r w:rsidRPr="004D57B3">
        <w:rPr>
          <w:i/>
          <w:iCs/>
        </w:rPr>
        <w:t xml:space="preserve">Biomedical Papers of the Medical Faculty of </w:t>
      </w:r>
      <w:proofErr w:type="spellStart"/>
      <w:r w:rsidRPr="004D57B3">
        <w:rPr>
          <w:i/>
          <w:iCs/>
        </w:rPr>
        <w:t>Palacky</w:t>
      </w:r>
      <w:proofErr w:type="spellEnd"/>
      <w:r w:rsidRPr="004D57B3">
        <w:rPr>
          <w:i/>
          <w:iCs/>
        </w:rPr>
        <w:t xml:space="preserve"> University in Olomouc, Czech Republic</w:t>
      </w:r>
      <w:r w:rsidRPr="004D57B3">
        <w:t>, 154 (2), 123-132.</w:t>
      </w:r>
    </w:p>
    <w:p w:rsidR="0048417A" w:rsidRPr="004D57B3" w:rsidRDefault="0048417A" w:rsidP="00836B55">
      <w:r w:rsidRPr="004D57B3">
        <w:rPr>
          <w:lang w:val="nl-NL"/>
        </w:rPr>
        <w:t xml:space="preserve">Marmo, R, Rotondano, G et al 2005. </w:t>
      </w:r>
      <w:r w:rsidRPr="004D57B3">
        <w:t xml:space="preserve">Meta-analysis: Capsule </w:t>
      </w:r>
      <w:proofErr w:type="spellStart"/>
      <w:r w:rsidRPr="004D57B3">
        <w:t>enteroscopy</w:t>
      </w:r>
      <w:proofErr w:type="spellEnd"/>
      <w:r w:rsidRPr="004D57B3">
        <w:t xml:space="preserve"> vs. conventional modalities in diagnosis of small bowel diseases, </w:t>
      </w:r>
      <w:r w:rsidRPr="004D57B3">
        <w:rPr>
          <w:i/>
          <w:iCs/>
        </w:rPr>
        <w:t>Alimentary Pharmacology and Therapeutics</w:t>
      </w:r>
      <w:r w:rsidRPr="004D57B3">
        <w:t>, 22 (7), 595-604.</w:t>
      </w:r>
    </w:p>
    <w:p w:rsidR="0048417A" w:rsidRPr="004D57B3" w:rsidRDefault="0048417A" w:rsidP="00836B55">
      <w:r w:rsidRPr="004D57B3">
        <w:rPr>
          <w:lang w:val="nl-NL"/>
        </w:rPr>
        <w:t xml:space="preserve">Matas Navarro, JL, Asteinza, M et al 2006. </w:t>
      </w:r>
      <w:proofErr w:type="gramStart"/>
      <w:r w:rsidRPr="004D57B3">
        <w:t xml:space="preserve">Diagnostic yield and safety of capsule endoscopy, </w:t>
      </w:r>
      <w:proofErr w:type="spellStart"/>
      <w:r w:rsidRPr="004D57B3">
        <w:rPr>
          <w:i/>
          <w:iCs/>
        </w:rPr>
        <w:t>Revista</w:t>
      </w:r>
      <w:proofErr w:type="spellEnd"/>
      <w:r w:rsidRPr="004D57B3">
        <w:rPr>
          <w:i/>
          <w:iCs/>
        </w:rPr>
        <w:t xml:space="preserve"> Espanola de </w:t>
      </w:r>
      <w:proofErr w:type="spellStart"/>
      <w:r w:rsidRPr="004D57B3">
        <w:rPr>
          <w:i/>
          <w:iCs/>
        </w:rPr>
        <w:t>Enfermedades</w:t>
      </w:r>
      <w:proofErr w:type="spellEnd"/>
      <w:r w:rsidRPr="004D57B3">
        <w:rPr>
          <w:i/>
          <w:iCs/>
        </w:rPr>
        <w:t xml:space="preserve"> </w:t>
      </w:r>
      <w:proofErr w:type="spellStart"/>
      <w:r w:rsidRPr="004D57B3">
        <w:rPr>
          <w:i/>
          <w:iCs/>
        </w:rPr>
        <w:t>Digestivas</w:t>
      </w:r>
      <w:proofErr w:type="spellEnd"/>
      <w:r w:rsidRPr="004D57B3">
        <w:t>, 98 (9), 666-673.</w:t>
      </w:r>
      <w:proofErr w:type="gramEnd"/>
    </w:p>
    <w:p w:rsidR="0048417A" w:rsidRPr="004D57B3" w:rsidRDefault="0048417A" w:rsidP="00836B55">
      <w:proofErr w:type="gramStart"/>
      <w:r w:rsidRPr="004D57B3">
        <w:t>Medical Advisory Secretariat - Ontario Ministry of Health and Long-Term Care (MAS) 2003.</w:t>
      </w:r>
      <w:proofErr w:type="gramEnd"/>
      <w:r w:rsidRPr="004D57B3">
        <w:t xml:space="preserve"> Wireless capsule endoscopy: an evidence-based analysis, </w:t>
      </w:r>
      <w:r w:rsidRPr="004D57B3">
        <w:rPr>
          <w:i/>
          <w:iCs/>
        </w:rPr>
        <w:t>Ontario Health</w:t>
      </w:r>
      <w:r>
        <w:rPr>
          <w:i/>
          <w:iCs/>
        </w:rPr>
        <w:t xml:space="preserve"> </w:t>
      </w:r>
      <w:r w:rsidRPr="004D57B3">
        <w:rPr>
          <w:i/>
          <w:iCs/>
        </w:rPr>
        <w:t>Technology Assessment Series</w:t>
      </w:r>
      <w:r w:rsidRPr="004D57B3">
        <w:t>, 3 (2)</w:t>
      </w:r>
      <w:r>
        <w:t>.</w:t>
      </w:r>
      <w:r w:rsidRPr="004D57B3">
        <w:t xml:space="preserve"> </w:t>
      </w:r>
    </w:p>
    <w:p w:rsidR="0048417A" w:rsidRPr="004D57B3" w:rsidRDefault="0048417A" w:rsidP="00836B55">
      <w:r w:rsidRPr="004D57B3">
        <w:rPr>
          <w:lang w:val="nl-NL"/>
        </w:rPr>
        <w:t xml:space="preserve">Mishkin, DS, Chuttani, R et al 2006. </w:t>
      </w:r>
      <w:r w:rsidRPr="004D57B3">
        <w:t xml:space="preserve">ASGE Technology Status Evaluation Report: Wireless capsule endoscopy, </w:t>
      </w:r>
      <w:r w:rsidRPr="004D57B3">
        <w:rPr>
          <w:i/>
          <w:iCs/>
        </w:rPr>
        <w:t>Gastrointestinal Endoscopy</w:t>
      </w:r>
      <w:r w:rsidRPr="004D57B3">
        <w:t>, 63 (4), 539-545.</w:t>
      </w:r>
    </w:p>
    <w:p w:rsidR="0048417A" w:rsidRPr="004D57B3" w:rsidRDefault="0048417A" w:rsidP="00836B55">
      <w:proofErr w:type="gramStart"/>
      <w:r w:rsidRPr="004D57B3">
        <w:lastRenderedPageBreak/>
        <w:t>Moy, LC and Levine, JJ 2010.</w:t>
      </w:r>
      <w:proofErr w:type="gramEnd"/>
      <w:r w:rsidRPr="004D57B3">
        <w:t xml:space="preserve"> </w:t>
      </w:r>
      <w:proofErr w:type="gramStart"/>
      <w:r w:rsidRPr="004D57B3">
        <w:t xml:space="preserve">Delayed intestinal motility by capsule endoscopy as sign of Crohn's disease, </w:t>
      </w:r>
      <w:r w:rsidRPr="004D57B3">
        <w:rPr>
          <w:i/>
          <w:iCs/>
        </w:rPr>
        <w:t>Gastrointestinal Endoscopy</w:t>
      </w:r>
      <w:r w:rsidRPr="004D57B3">
        <w:t>, 71 (5), AB256-AB257.</w:t>
      </w:r>
      <w:proofErr w:type="gramEnd"/>
    </w:p>
    <w:p w:rsidR="0048417A" w:rsidRPr="004D57B3" w:rsidRDefault="0048417A" w:rsidP="00836B55">
      <w:r w:rsidRPr="004D57B3">
        <w:t>Mundy, L and Merlin, T 2003</w:t>
      </w:r>
      <w:r>
        <w:t>,</w:t>
      </w:r>
      <w:r w:rsidRPr="004D57B3">
        <w:t xml:space="preserve"> </w:t>
      </w:r>
      <w:r w:rsidRPr="00C01D86">
        <w:rPr>
          <w:i/>
        </w:rPr>
        <w:t xml:space="preserve">Capsule endoscopy: For the diagnosis of small bowel diseases, </w:t>
      </w:r>
      <w:r w:rsidRPr="004D57B3">
        <w:rPr>
          <w:i/>
          <w:iCs/>
        </w:rPr>
        <w:t>Horizon scanning prioritising summary - Volume 1 Number 10.</w:t>
      </w:r>
      <w:r w:rsidRPr="004D57B3">
        <w:t xml:space="preserve">  Canberra: Commonwealth of Australia.</w:t>
      </w:r>
    </w:p>
    <w:p w:rsidR="0048417A" w:rsidRPr="004D57B3" w:rsidRDefault="0048417A" w:rsidP="00836B55">
      <w:proofErr w:type="gramStart"/>
      <w:r w:rsidRPr="004D57B3">
        <w:t>National Institute for Clinical Excellence 2004</w:t>
      </w:r>
      <w:r>
        <w:t>.</w:t>
      </w:r>
      <w:proofErr w:type="gramEnd"/>
      <w:r w:rsidRPr="004D57B3">
        <w:t xml:space="preserve"> </w:t>
      </w:r>
      <w:proofErr w:type="gramStart"/>
      <w:r w:rsidRPr="004D57B3">
        <w:rPr>
          <w:i/>
          <w:iCs/>
        </w:rPr>
        <w:t>Interventional procedures overview of wireless capsule endoscopy.</w:t>
      </w:r>
      <w:proofErr w:type="gramEnd"/>
      <w:r>
        <w:t xml:space="preserve"> </w:t>
      </w:r>
      <w:r w:rsidRPr="004D57B3">
        <w:t>UK: National Institute for Clinical Excellence.</w:t>
      </w:r>
    </w:p>
    <w:p w:rsidR="0048417A" w:rsidRPr="004D57B3" w:rsidRDefault="0048417A" w:rsidP="00836B55">
      <w:proofErr w:type="spellStart"/>
      <w:r w:rsidRPr="004D57B3">
        <w:t>Nuutinen</w:t>
      </w:r>
      <w:proofErr w:type="spellEnd"/>
      <w:r w:rsidRPr="004D57B3">
        <w:t xml:space="preserve">, HU, </w:t>
      </w:r>
      <w:proofErr w:type="spellStart"/>
      <w:r w:rsidRPr="004D57B3">
        <w:t>Kolho</w:t>
      </w:r>
      <w:proofErr w:type="spellEnd"/>
      <w:r w:rsidRPr="004D57B3">
        <w:t xml:space="preserve">, KL et al 2010. Capsule endoscopy in </w:t>
      </w:r>
      <w:proofErr w:type="spellStart"/>
      <w:r w:rsidRPr="004D57B3">
        <w:t>pediatric</w:t>
      </w:r>
      <w:proofErr w:type="spellEnd"/>
      <w:r w:rsidRPr="004D57B3">
        <w:t xml:space="preserve"> patients: Technique and results in our first 94 consecutive children (8 months to 16 years of age), </w:t>
      </w:r>
      <w:r w:rsidRPr="004D57B3">
        <w:rPr>
          <w:i/>
          <w:iCs/>
        </w:rPr>
        <w:t>Gastrointestinal Endoscopy</w:t>
      </w:r>
      <w:r w:rsidRPr="004D57B3">
        <w:t>, 71 (5), AB257.</w:t>
      </w:r>
    </w:p>
    <w:p w:rsidR="0048417A" w:rsidRPr="004D57B3" w:rsidRDefault="0048417A" w:rsidP="00836B55">
      <w:r w:rsidRPr="004D57B3">
        <w:rPr>
          <w:lang w:val="nl-NL"/>
        </w:rPr>
        <w:t xml:space="preserve">Papadakis, KA, Lo, SK et al 2005. </w:t>
      </w:r>
      <w:proofErr w:type="gramStart"/>
      <w:r w:rsidRPr="004D57B3">
        <w:t xml:space="preserve">Wireless capsule endoscopy in the evaluation of patients with suspected or known Crohn's disease, </w:t>
      </w:r>
      <w:r w:rsidRPr="004D57B3">
        <w:rPr>
          <w:i/>
          <w:iCs/>
        </w:rPr>
        <w:t>Endoscopy</w:t>
      </w:r>
      <w:r w:rsidRPr="004D57B3">
        <w:t>, 37 (10), 1018-1022.</w:t>
      </w:r>
      <w:proofErr w:type="gramEnd"/>
    </w:p>
    <w:p w:rsidR="0048417A" w:rsidRPr="004D57B3" w:rsidRDefault="0048417A" w:rsidP="00836B55">
      <w:r w:rsidRPr="004D57B3">
        <w:rPr>
          <w:lang w:val="nl-NL"/>
        </w:rPr>
        <w:t xml:space="preserve">Pastore, S, Giurici, N et al 2009. </w:t>
      </w:r>
      <w:r w:rsidRPr="004D57B3">
        <w:t xml:space="preserve">Wireless capsule endoscopy: Implications on diagnosis and therapy in paediatric gastrointestinal diseases, </w:t>
      </w:r>
      <w:r w:rsidRPr="004D57B3">
        <w:rPr>
          <w:i/>
          <w:iCs/>
        </w:rPr>
        <w:t>Digestive and Liver Disease</w:t>
      </w:r>
      <w:r w:rsidRPr="004D57B3">
        <w:t>, 41S (S3), S211.</w:t>
      </w:r>
    </w:p>
    <w:p w:rsidR="0048417A" w:rsidRPr="004D57B3" w:rsidRDefault="0048417A" w:rsidP="00836B55">
      <w:proofErr w:type="spellStart"/>
      <w:proofErr w:type="gramStart"/>
      <w:r w:rsidRPr="004D57B3">
        <w:t>Pennazio</w:t>
      </w:r>
      <w:proofErr w:type="spellEnd"/>
      <w:r w:rsidRPr="004D57B3">
        <w:t>, M 2005.</w:t>
      </w:r>
      <w:proofErr w:type="gramEnd"/>
      <w:r w:rsidRPr="004D57B3">
        <w:t xml:space="preserve"> </w:t>
      </w:r>
      <w:proofErr w:type="gramStart"/>
      <w:r w:rsidRPr="004D57B3">
        <w:t xml:space="preserve">Capsule endoscopy, </w:t>
      </w:r>
      <w:r w:rsidRPr="004D57B3">
        <w:rPr>
          <w:i/>
          <w:iCs/>
        </w:rPr>
        <w:t>Endoscopy</w:t>
      </w:r>
      <w:r w:rsidRPr="004D57B3">
        <w:t>, 37 (11), 1073-1078.</w:t>
      </w:r>
      <w:proofErr w:type="gramEnd"/>
    </w:p>
    <w:p w:rsidR="0048417A" w:rsidRPr="004D57B3" w:rsidRDefault="0048417A" w:rsidP="00836B55">
      <w:proofErr w:type="spellStart"/>
      <w:proofErr w:type="gramStart"/>
      <w:r w:rsidRPr="004D57B3">
        <w:t>Pennazio</w:t>
      </w:r>
      <w:proofErr w:type="spellEnd"/>
      <w:r w:rsidRPr="004D57B3">
        <w:t>, M 2005.</w:t>
      </w:r>
      <w:proofErr w:type="gramEnd"/>
      <w:r w:rsidRPr="004D57B3">
        <w:t xml:space="preserve"> Small-intestinal pathology on capsule endoscopy: Inflammatory lesions, </w:t>
      </w:r>
      <w:r w:rsidRPr="004D57B3">
        <w:rPr>
          <w:i/>
          <w:iCs/>
        </w:rPr>
        <w:t>Endoscopy</w:t>
      </w:r>
      <w:r w:rsidRPr="004D57B3">
        <w:t>, 37 (8), 769-775.</w:t>
      </w:r>
    </w:p>
    <w:p w:rsidR="0048417A" w:rsidRPr="004D57B3" w:rsidRDefault="0048417A" w:rsidP="00836B55">
      <w:proofErr w:type="spellStart"/>
      <w:proofErr w:type="gramStart"/>
      <w:r w:rsidRPr="004D57B3">
        <w:t>Pennazio</w:t>
      </w:r>
      <w:proofErr w:type="spellEnd"/>
      <w:r w:rsidRPr="004D57B3">
        <w:t>, M 2006.</w:t>
      </w:r>
      <w:proofErr w:type="gramEnd"/>
      <w:r w:rsidRPr="004D57B3">
        <w:t xml:space="preserve"> </w:t>
      </w:r>
      <w:proofErr w:type="spellStart"/>
      <w:proofErr w:type="gramStart"/>
      <w:r w:rsidRPr="004D57B3">
        <w:t>Enteroscopy</w:t>
      </w:r>
      <w:proofErr w:type="spellEnd"/>
      <w:r w:rsidRPr="004D57B3">
        <w:t xml:space="preserve"> and capsule endoscopy, </w:t>
      </w:r>
      <w:r w:rsidRPr="004D57B3">
        <w:rPr>
          <w:i/>
          <w:iCs/>
        </w:rPr>
        <w:t>Endoscopy</w:t>
      </w:r>
      <w:r w:rsidRPr="004D57B3">
        <w:t>, 38 (11), 1079-1086.</w:t>
      </w:r>
      <w:proofErr w:type="gramEnd"/>
    </w:p>
    <w:p w:rsidR="0048417A" w:rsidRPr="004D57B3" w:rsidRDefault="0048417A" w:rsidP="00836B55">
      <w:proofErr w:type="spellStart"/>
      <w:proofErr w:type="gramStart"/>
      <w:r w:rsidRPr="004D57B3">
        <w:t>Pennazio</w:t>
      </w:r>
      <w:proofErr w:type="spellEnd"/>
      <w:r w:rsidRPr="004D57B3">
        <w:t>, M 2008.</w:t>
      </w:r>
      <w:proofErr w:type="gramEnd"/>
      <w:r w:rsidRPr="004D57B3">
        <w:t xml:space="preserve"> </w:t>
      </w:r>
      <w:proofErr w:type="gramStart"/>
      <w:r w:rsidRPr="004D57B3">
        <w:t xml:space="preserve">Small-bowel endoscopy, </w:t>
      </w:r>
      <w:r w:rsidRPr="004D57B3">
        <w:rPr>
          <w:i/>
          <w:iCs/>
        </w:rPr>
        <w:t>Endoscopy</w:t>
      </w:r>
      <w:r w:rsidRPr="004D57B3">
        <w:t>, 40 (10), 835-842.</w:t>
      </w:r>
      <w:proofErr w:type="gramEnd"/>
    </w:p>
    <w:p w:rsidR="0048417A" w:rsidRPr="004D57B3" w:rsidRDefault="0048417A" w:rsidP="00836B55">
      <w:r w:rsidRPr="004D57B3">
        <w:rPr>
          <w:lang w:val="nl-NL"/>
        </w:rPr>
        <w:t xml:space="preserve">Petruzziello, C, Naccarato, P et al 2009. </w:t>
      </w:r>
      <w:proofErr w:type="gramStart"/>
      <w:r w:rsidRPr="004D57B3">
        <w:t xml:space="preserve">Diagnostic role of wireless capsule endoscopy in patients with symptoms highly compatible with Crohn's disease, </w:t>
      </w:r>
      <w:r w:rsidRPr="004D57B3">
        <w:rPr>
          <w:i/>
          <w:iCs/>
        </w:rPr>
        <w:t>Gastroenterology</w:t>
      </w:r>
      <w:r w:rsidRPr="004D57B3">
        <w:t>, 136 (5), A350.</w:t>
      </w:r>
      <w:proofErr w:type="gramEnd"/>
    </w:p>
    <w:p w:rsidR="0048417A" w:rsidRPr="004D57B3" w:rsidRDefault="0048417A" w:rsidP="00836B55">
      <w:r w:rsidRPr="004D57B3">
        <w:rPr>
          <w:lang w:val="nl-NL"/>
        </w:rPr>
        <w:t xml:space="preserve">Petruzziello, C, Onali, S et al 2010. </w:t>
      </w:r>
      <w:proofErr w:type="gramStart"/>
      <w:r w:rsidRPr="004D57B3">
        <w:t xml:space="preserve">Diagnostic role of capsule endoscopy in patients with symptoms highly compatible with Crohn's disease, </w:t>
      </w:r>
      <w:r w:rsidRPr="004D57B3">
        <w:rPr>
          <w:i/>
          <w:iCs/>
        </w:rPr>
        <w:t>Digestive and Liver Disease</w:t>
      </w:r>
      <w:r w:rsidRPr="004D57B3">
        <w:t>, 42 (S164</w:t>
      </w:r>
      <w:r>
        <w:t>)</w:t>
      </w:r>
      <w:r w:rsidRPr="004D57B3">
        <w:t>.</w:t>
      </w:r>
      <w:proofErr w:type="gramEnd"/>
    </w:p>
    <w:p w:rsidR="0048417A" w:rsidRPr="004D57B3" w:rsidRDefault="0048417A" w:rsidP="00836B55">
      <w:r w:rsidRPr="004D57B3">
        <w:t xml:space="preserve">Purdy, M, </w:t>
      </w:r>
      <w:proofErr w:type="spellStart"/>
      <w:r w:rsidRPr="004D57B3">
        <w:t>Voutilainen</w:t>
      </w:r>
      <w:proofErr w:type="spellEnd"/>
      <w:r w:rsidRPr="004D57B3">
        <w:t xml:space="preserve">, M et al 2009. </w:t>
      </w:r>
      <w:proofErr w:type="gramStart"/>
      <w:r w:rsidRPr="004D57B3">
        <w:t xml:space="preserve">Nine camera retentions in 555 capsule endoscopies, </w:t>
      </w:r>
      <w:r w:rsidRPr="004D57B3">
        <w:rPr>
          <w:i/>
          <w:iCs/>
        </w:rPr>
        <w:t>Scandinavian Journal of Gastroenterology</w:t>
      </w:r>
      <w:r w:rsidRPr="004D57B3">
        <w:t>, 44 (</w:t>
      </w:r>
      <w:r>
        <w:t>S246), 27</w:t>
      </w:r>
      <w:r w:rsidRPr="004D57B3">
        <w:t>.</w:t>
      </w:r>
      <w:proofErr w:type="gramEnd"/>
    </w:p>
    <w:p w:rsidR="0048417A" w:rsidRPr="004D57B3" w:rsidRDefault="0048417A" w:rsidP="00836B55">
      <w:proofErr w:type="spellStart"/>
      <w:r w:rsidRPr="004D57B3">
        <w:t>Rajasekhar</w:t>
      </w:r>
      <w:proofErr w:type="spellEnd"/>
      <w:r w:rsidRPr="004D57B3">
        <w:t>, PT, Davison, C et al 2009. Video capsule retention: A good thing</w:t>
      </w:r>
      <w:proofErr w:type="gramStart"/>
      <w:r w:rsidRPr="004D57B3">
        <w:t>?,</w:t>
      </w:r>
      <w:proofErr w:type="gramEnd"/>
      <w:r w:rsidRPr="004D57B3">
        <w:t xml:space="preserve"> </w:t>
      </w:r>
      <w:r w:rsidRPr="004D57B3">
        <w:rPr>
          <w:i/>
          <w:iCs/>
        </w:rPr>
        <w:t>Gut</w:t>
      </w:r>
      <w:r w:rsidRPr="004D57B3">
        <w:t>, 58 (S1), A129-A130.</w:t>
      </w:r>
    </w:p>
    <w:p w:rsidR="0048417A" w:rsidRPr="004D57B3" w:rsidRDefault="0048417A" w:rsidP="00836B55">
      <w:proofErr w:type="spellStart"/>
      <w:r w:rsidRPr="004D57B3">
        <w:t>Roorda</w:t>
      </w:r>
      <w:proofErr w:type="spellEnd"/>
      <w:r w:rsidRPr="004D57B3">
        <w:t xml:space="preserve">, AK 2009. </w:t>
      </w:r>
      <w:proofErr w:type="gramStart"/>
      <w:r w:rsidRPr="004D57B3">
        <w:t xml:space="preserve">Introduction to a new series, </w:t>
      </w:r>
      <w:r w:rsidRPr="004D57B3">
        <w:rPr>
          <w:i/>
          <w:iCs/>
        </w:rPr>
        <w:t>Practical Gastroenterology</w:t>
      </w:r>
      <w:r w:rsidRPr="004D57B3">
        <w:t>, 33 (4), 13-14.</w:t>
      </w:r>
      <w:proofErr w:type="gramEnd"/>
    </w:p>
    <w:p w:rsidR="0048417A" w:rsidRPr="004D57B3" w:rsidRDefault="0048417A" w:rsidP="00836B55">
      <w:proofErr w:type="spellStart"/>
      <w:proofErr w:type="gramStart"/>
      <w:r w:rsidRPr="004D57B3">
        <w:t>Rosch</w:t>
      </w:r>
      <w:proofErr w:type="spellEnd"/>
      <w:r w:rsidRPr="004D57B3">
        <w:t>, T 2003.</w:t>
      </w:r>
      <w:proofErr w:type="gramEnd"/>
      <w:r w:rsidRPr="004D57B3">
        <w:t xml:space="preserve"> DDW Reports 2003 Orlando: Capsule endoscopy, </w:t>
      </w:r>
      <w:r w:rsidRPr="004D57B3">
        <w:rPr>
          <w:i/>
          <w:iCs/>
        </w:rPr>
        <w:t>Endoscopy</w:t>
      </w:r>
      <w:r w:rsidRPr="004D57B3">
        <w:t>, 35 (10), 816-822.</w:t>
      </w:r>
    </w:p>
    <w:p w:rsidR="0048417A" w:rsidRPr="004D57B3" w:rsidRDefault="0048417A" w:rsidP="00836B55">
      <w:r w:rsidRPr="004D57B3">
        <w:rPr>
          <w:lang w:val="nl-NL"/>
        </w:rPr>
        <w:t xml:space="preserve">Salunke, S, Rae, N et al 2009. </w:t>
      </w:r>
      <w:proofErr w:type="gramStart"/>
      <w:r w:rsidRPr="004D57B3">
        <w:t xml:space="preserve">Diagnostic yield of wireless capsule endoscopy in patients with elevated faecal </w:t>
      </w:r>
      <w:proofErr w:type="spellStart"/>
      <w:r w:rsidRPr="004D57B3">
        <w:t>calprotectin</w:t>
      </w:r>
      <w:proofErr w:type="spellEnd"/>
      <w:r w:rsidRPr="004D57B3">
        <w:t xml:space="preserve"> and normal </w:t>
      </w:r>
      <w:proofErr w:type="spellStart"/>
      <w:r w:rsidRPr="004D57B3">
        <w:t>endo</w:t>
      </w:r>
      <w:proofErr w:type="spellEnd"/>
      <w:r w:rsidRPr="004D57B3">
        <w:t xml:space="preserve">-colonoscopy, </w:t>
      </w:r>
      <w:r w:rsidRPr="004D57B3">
        <w:rPr>
          <w:i/>
          <w:iCs/>
        </w:rPr>
        <w:t>Gastroenterology</w:t>
      </w:r>
      <w:r w:rsidRPr="004D57B3">
        <w:t>, 136 (5), A351.</w:t>
      </w:r>
      <w:proofErr w:type="gramEnd"/>
    </w:p>
    <w:p w:rsidR="0048417A" w:rsidRPr="004D57B3" w:rsidRDefault="0048417A" w:rsidP="00836B55">
      <w:r w:rsidRPr="004D57B3">
        <w:rPr>
          <w:lang w:val="nl-NL"/>
        </w:rPr>
        <w:lastRenderedPageBreak/>
        <w:t xml:space="preserve">Satsangi, J, Silverberg, MS et al 2006. </w:t>
      </w:r>
      <w:r w:rsidRPr="004D57B3">
        <w:t xml:space="preserve">The Montreal classification of inflammatory bowel disease: Controversies, consensus, and implications, </w:t>
      </w:r>
      <w:r w:rsidRPr="004D57B3">
        <w:rPr>
          <w:i/>
          <w:iCs/>
        </w:rPr>
        <w:t>Gut</w:t>
      </w:r>
      <w:r w:rsidRPr="004D57B3">
        <w:t>, 55 (6), 749-753.</w:t>
      </w:r>
    </w:p>
    <w:p w:rsidR="0048417A" w:rsidRPr="004D57B3" w:rsidRDefault="0048417A" w:rsidP="00836B55">
      <w:proofErr w:type="spellStart"/>
      <w:proofErr w:type="gramStart"/>
      <w:r w:rsidRPr="004D57B3">
        <w:t>Schnoll-Sussman</w:t>
      </w:r>
      <w:proofErr w:type="spellEnd"/>
      <w:r w:rsidRPr="004D57B3">
        <w:t>, F 2010.</w:t>
      </w:r>
      <w:proofErr w:type="gramEnd"/>
      <w:r w:rsidRPr="004D57B3">
        <w:t xml:space="preserve"> Achieving complete small-bowel capsule endoscopy: is it possible and does it matter</w:t>
      </w:r>
      <w:proofErr w:type="gramStart"/>
      <w:r w:rsidRPr="004D57B3">
        <w:t>?,</w:t>
      </w:r>
      <w:proofErr w:type="gramEnd"/>
      <w:r w:rsidRPr="004D57B3">
        <w:t xml:space="preserve"> </w:t>
      </w:r>
      <w:r w:rsidRPr="004D57B3">
        <w:rPr>
          <w:i/>
          <w:iCs/>
        </w:rPr>
        <w:t>Gastrointestinal Endoscopy</w:t>
      </w:r>
      <w:r w:rsidRPr="004D57B3">
        <w:t>, 72 (1), 109-111.</w:t>
      </w:r>
    </w:p>
    <w:p w:rsidR="0048417A" w:rsidRPr="004D57B3" w:rsidRDefault="0048417A" w:rsidP="00836B55">
      <w:proofErr w:type="gramStart"/>
      <w:r w:rsidRPr="004D57B3">
        <w:t>Seidman, EG 2002.</w:t>
      </w:r>
      <w:proofErr w:type="gramEnd"/>
      <w:r w:rsidRPr="004D57B3">
        <w:t xml:space="preserve"> Wireless capsule video-endoscopy: An odyssey beyond the end of the scope, </w:t>
      </w:r>
      <w:r w:rsidRPr="004D57B3">
        <w:rPr>
          <w:i/>
          <w:iCs/>
        </w:rPr>
        <w:t xml:space="preserve">Journal of </w:t>
      </w:r>
      <w:proofErr w:type="spellStart"/>
      <w:r w:rsidRPr="004D57B3">
        <w:rPr>
          <w:i/>
          <w:iCs/>
        </w:rPr>
        <w:t>Pediatric</w:t>
      </w:r>
      <w:proofErr w:type="spellEnd"/>
      <w:r w:rsidRPr="004D57B3">
        <w:rPr>
          <w:i/>
          <w:iCs/>
        </w:rPr>
        <w:t xml:space="preserve"> Gastroenterology and Nutrition</w:t>
      </w:r>
      <w:r w:rsidRPr="004D57B3">
        <w:t>, 34 (4), 333-334.</w:t>
      </w:r>
    </w:p>
    <w:p w:rsidR="0048417A" w:rsidRPr="004D57B3" w:rsidRDefault="0048417A" w:rsidP="00836B55">
      <w:proofErr w:type="spellStart"/>
      <w:proofErr w:type="gramStart"/>
      <w:r w:rsidRPr="004D57B3">
        <w:t>Sharaf</w:t>
      </w:r>
      <w:proofErr w:type="spellEnd"/>
      <w:r w:rsidRPr="004D57B3">
        <w:t>, R and Gerson, LB 2009.</w:t>
      </w:r>
      <w:proofErr w:type="gramEnd"/>
      <w:r w:rsidRPr="004D57B3">
        <w:t xml:space="preserve"> Small bowel imaging for Crohn's disease: Camera, contrast, or scope</w:t>
      </w:r>
      <w:proofErr w:type="gramStart"/>
      <w:r w:rsidRPr="004D57B3">
        <w:t>?,</w:t>
      </w:r>
      <w:proofErr w:type="gramEnd"/>
      <w:r w:rsidRPr="004D57B3">
        <w:t xml:space="preserve"> </w:t>
      </w:r>
      <w:r w:rsidRPr="004D57B3">
        <w:rPr>
          <w:i/>
          <w:iCs/>
        </w:rPr>
        <w:t>Gastroenterology</w:t>
      </w:r>
      <w:r w:rsidRPr="004D57B3">
        <w:t>, 136 (5), 1828-1830.</w:t>
      </w:r>
    </w:p>
    <w:p w:rsidR="0048417A" w:rsidRPr="004D57B3" w:rsidRDefault="0048417A" w:rsidP="00836B55">
      <w:proofErr w:type="spellStart"/>
      <w:proofErr w:type="gramStart"/>
      <w:r w:rsidRPr="004D57B3">
        <w:t>Sharaf</w:t>
      </w:r>
      <w:proofErr w:type="spellEnd"/>
      <w:r w:rsidRPr="004D57B3">
        <w:t>, RN, Levesque, BG et al 201</w:t>
      </w:r>
      <w:r>
        <w:t>1</w:t>
      </w:r>
      <w:r w:rsidRPr="004D57B3">
        <w:t>.</w:t>
      </w:r>
      <w:proofErr w:type="gramEnd"/>
      <w:r w:rsidRPr="004D57B3">
        <w:t xml:space="preserve"> </w:t>
      </w:r>
      <w:proofErr w:type="gramStart"/>
      <w:r w:rsidRPr="004D57B3">
        <w:t xml:space="preserve">Capsule endoscopy in the diagnosis of suspected small bowel involvement with Crohn's disease, </w:t>
      </w:r>
      <w:r w:rsidRPr="004D57B3">
        <w:rPr>
          <w:i/>
          <w:iCs/>
        </w:rPr>
        <w:t>Digestive Diseases and Sciences</w:t>
      </w:r>
      <w:r>
        <w:rPr>
          <w:i/>
          <w:iCs/>
        </w:rPr>
        <w:t xml:space="preserve">, </w:t>
      </w:r>
      <w:r w:rsidRPr="00311CA4">
        <w:rPr>
          <w:iCs/>
        </w:rPr>
        <w:t>56 (1),</w:t>
      </w:r>
      <w:r>
        <w:rPr>
          <w:i/>
          <w:iCs/>
        </w:rPr>
        <w:t xml:space="preserve"> </w:t>
      </w:r>
      <w:r w:rsidRPr="00311CA4">
        <w:rPr>
          <w:iCs/>
        </w:rPr>
        <w:t>46-48</w:t>
      </w:r>
      <w:r>
        <w:rPr>
          <w:iCs/>
        </w:rPr>
        <w:t>,</w:t>
      </w:r>
      <w:r>
        <w:rPr>
          <w:i/>
          <w:iCs/>
        </w:rPr>
        <w:t xml:space="preserve"> </w:t>
      </w:r>
      <w:r w:rsidRPr="00161265">
        <w:rPr>
          <w:iCs/>
        </w:rPr>
        <w:t>published online 30 July 2010</w:t>
      </w:r>
      <w:r w:rsidRPr="00161265">
        <w:t>.</w:t>
      </w:r>
      <w:proofErr w:type="gramEnd"/>
    </w:p>
    <w:p w:rsidR="0048417A" w:rsidRPr="004D57B3" w:rsidRDefault="0048417A" w:rsidP="00836B55">
      <w:proofErr w:type="gramStart"/>
      <w:r w:rsidRPr="004D57B3">
        <w:t>Shen, B 2007.</w:t>
      </w:r>
      <w:proofErr w:type="gramEnd"/>
      <w:r w:rsidRPr="004D57B3">
        <w:t xml:space="preserve"> </w:t>
      </w:r>
      <w:proofErr w:type="gramStart"/>
      <w:r w:rsidRPr="004D57B3">
        <w:t xml:space="preserve">Endoscopic, imaging, and histologic evaluation of Crohn's disease and ulcerative colitis, </w:t>
      </w:r>
      <w:r w:rsidRPr="004D57B3">
        <w:rPr>
          <w:i/>
          <w:iCs/>
        </w:rPr>
        <w:t>American Journal of Gastroenterology</w:t>
      </w:r>
      <w:r w:rsidRPr="004D57B3">
        <w:t>, 102 (S</w:t>
      </w:r>
      <w:r>
        <w:t>uppl</w:t>
      </w:r>
      <w:r w:rsidRPr="004D57B3">
        <w:t>. 1), S41-S45.</w:t>
      </w:r>
      <w:proofErr w:type="gramEnd"/>
    </w:p>
    <w:p w:rsidR="0048417A" w:rsidRPr="004D57B3" w:rsidRDefault="0048417A" w:rsidP="00836B55">
      <w:r w:rsidRPr="004D57B3">
        <w:rPr>
          <w:lang w:val="nl-NL"/>
        </w:rPr>
        <w:t xml:space="preserve">Sidhu, R, Sanders, DS et al 2009. </w:t>
      </w:r>
      <w:r w:rsidRPr="004D57B3">
        <w:t>Is this the end of an era for conventional diagnostic endoscopy</w:t>
      </w:r>
      <w:proofErr w:type="gramStart"/>
      <w:r w:rsidRPr="004D57B3">
        <w:t>?,</w:t>
      </w:r>
      <w:proofErr w:type="gramEnd"/>
      <w:r w:rsidRPr="004D57B3">
        <w:t xml:space="preserve"> </w:t>
      </w:r>
      <w:r w:rsidRPr="004D57B3">
        <w:rPr>
          <w:i/>
          <w:iCs/>
        </w:rPr>
        <w:t>Clinical Medicine, Journal of the Royal College of Physicians of London</w:t>
      </w:r>
      <w:r w:rsidRPr="004D57B3">
        <w:t>, 9 (1), 39-41.</w:t>
      </w:r>
    </w:p>
    <w:p w:rsidR="0048417A" w:rsidRPr="004D57B3" w:rsidRDefault="0048417A" w:rsidP="00836B55">
      <w:r w:rsidRPr="004D57B3">
        <w:rPr>
          <w:lang w:val="nl-NL"/>
        </w:rPr>
        <w:t xml:space="preserve">Sidhu, R, Sanders, DS et al 2009. </w:t>
      </w:r>
      <w:proofErr w:type="gramStart"/>
      <w:r w:rsidRPr="004D57B3">
        <w:t xml:space="preserve">The largest UK experience on capsule endoscopy, </w:t>
      </w:r>
      <w:r w:rsidRPr="004D57B3">
        <w:rPr>
          <w:i/>
          <w:iCs/>
        </w:rPr>
        <w:t>Gut</w:t>
      </w:r>
      <w:r w:rsidRPr="004D57B3">
        <w:t>, 58 (S1), A24.</w:t>
      </w:r>
      <w:proofErr w:type="gramEnd"/>
    </w:p>
    <w:p w:rsidR="0048417A" w:rsidRPr="004D57B3" w:rsidRDefault="0048417A" w:rsidP="00836B55">
      <w:r w:rsidRPr="004D57B3">
        <w:rPr>
          <w:lang w:val="nl-NL"/>
        </w:rPr>
        <w:t xml:space="preserve">Sidhu, R, Sanders, DS et al 2009. </w:t>
      </w:r>
      <w:r w:rsidRPr="004D57B3">
        <w:t xml:space="preserve">Faecal </w:t>
      </w:r>
      <w:proofErr w:type="spellStart"/>
      <w:r w:rsidRPr="004D57B3">
        <w:t>lactoferrin</w:t>
      </w:r>
      <w:proofErr w:type="spellEnd"/>
      <w:r w:rsidRPr="004D57B3">
        <w:t xml:space="preserve">, capsule endoscopy and small bowel Crohn's disease - Is there a three way relationship? </w:t>
      </w:r>
      <w:proofErr w:type="gramStart"/>
      <w:r w:rsidRPr="004D57B3">
        <w:t xml:space="preserve">A pilot study, </w:t>
      </w:r>
      <w:r w:rsidRPr="004D57B3">
        <w:rPr>
          <w:i/>
          <w:iCs/>
        </w:rPr>
        <w:t>Gut</w:t>
      </w:r>
      <w:r w:rsidRPr="004D57B3">
        <w:t xml:space="preserve">, 58 </w:t>
      </w:r>
      <w:r>
        <w:t xml:space="preserve">(Suppl. 1), </w:t>
      </w:r>
      <w:r w:rsidRPr="004D57B3">
        <w:t>A47.</w:t>
      </w:r>
      <w:proofErr w:type="gramEnd"/>
    </w:p>
    <w:p w:rsidR="0048417A" w:rsidRPr="004D57B3" w:rsidRDefault="0048417A" w:rsidP="00836B55">
      <w:proofErr w:type="spellStart"/>
      <w:proofErr w:type="gramStart"/>
      <w:r w:rsidRPr="004D57B3">
        <w:t>Silbermintz</w:t>
      </w:r>
      <w:proofErr w:type="spellEnd"/>
      <w:r w:rsidRPr="004D57B3">
        <w:t>, A and Levine, J 2008.</w:t>
      </w:r>
      <w:proofErr w:type="gramEnd"/>
      <w:r w:rsidRPr="004D57B3">
        <w:t xml:space="preserve"> Capsule endoscopy in the evaluation of patients with suspected Crohn's disease: Expanding experience into the </w:t>
      </w:r>
      <w:proofErr w:type="spellStart"/>
      <w:r w:rsidRPr="004D57B3">
        <w:t>pediatric</w:t>
      </w:r>
      <w:proofErr w:type="spellEnd"/>
      <w:r w:rsidRPr="004D57B3">
        <w:t xml:space="preserve"> age group, </w:t>
      </w:r>
      <w:r w:rsidRPr="004D57B3">
        <w:rPr>
          <w:i/>
          <w:iCs/>
        </w:rPr>
        <w:t>Israel Medical Association Journal</w:t>
      </w:r>
      <w:r w:rsidRPr="004D57B3">
        <w:t>, 10 (6), 468-472.</w:t>
      </w:r>
    </w:p>
    <w:p w:rsidR="0048417A" w:rsidRPr="004D57B3" w:rsidRDefault="0048417A" w:rsidP="00836B55">
      <w:r w:rsidRPr="004D57B3">
        <w:rPr>
          <w:lang w:val="nl-NL"/>
        </w:rPr>
        <w:t xml:space="preserve">Silverberg, MS, Targan, SR et al 2008. </w:t>
      </w:r>
      <w:r w:rsidRPr="004D57B3">
        <w:t xml:space="preserve">VI. Report of specific IBD diagnoses workgroup, </w:t>
      </w:r>
      <w:r w:rsidRPr="004D57B3">
        <w:rPr>
          <w:i/>
          <w:iCs/>
        </w:rPr>
        <w:t>Inflammatory Bowel Diseases</w:t>
      </w:r>
      <w:r w:rsidRPr="004D57B3">
        <w:t>, 14 (5), 700-701.</w:t>
      </w:r>
    </w:p>
    <w:p w:rsidR="0048417A" w:rsidRPr="004D57B3" w:rsidRDefault="0048417A" w:rsidP="00836B55">
      <w:proofErr w:type="gramStart"/>
      <w:r w:rsidRPr="004D57B3">
        <w:t>Swain, P 2005.</w:t>
      </w:r>
      <w:proofErr w:type="gramEnd"/>
      <w:r w:rsidRPr="004D57B3">
        <w:t xml:space="preserve"> </w:t>
      </w:r>
      <w:proofErr w:type="gramStart"/>
      <w:r w:rsidRPr="004D57B3">
        <w:t xml:space="preserve">Wireless capsule endoscopy and Crohn's disease, </w:t>
      </w:r>
      <w:r w:rsidRPr="004D57B3">
        <w:rPr>
          <w:i/>
          <w:iCs/>
        </w:rPr>
        <w:t>Gut</w:t>
      </w:r>
      <w:r w:rsidRPr="004D57B3">
        <w:t>, 54 (3), 323-326.</w:t>
      </w:r>
      <w:proofErr w:type="gramEnd"/>
    </w:p>
    <w:p w:rsidR="0048417A" w:rsidRPr="004D57B3" w:rsidRDefault="0048417A" w:rsidP="00836B55">
      <w:r w:rsidRPr="004D57B3">
        <w:rPr>
          <w:lang w:val="nl-NL"/>
        </w:rPr>
        <w:t xml:space="preserve">Tatar, EL, Shen, EH et al 2006. </w:t>
      </w:r>
      <w:r w:rsidRPr="004D57B3">
        <w:t xml:space="preserve">Clinical utility of wireless capsule endoscopy: Experience with 200 cases, </w:t>
      </w:r>
      <w:r w:rsidRPr="004D57B3">
        <w:rPr>
          <w:i/>
          <w:iCs/>
        </w:rPr>
        <w:t>Journal of Clinical Gastroenterology</w:t>
      </w:r>
      <w:r w:rsidRPr="004D57B3">
        <w:t>, 40 (2), 140-144.</w:t>
      </w:r>
    </w:p>
    <w:p w:rsidR="0048417A" w:rsidRPr="004D57B3" w:rsidRDefault="0048417A" w:rsidP="00836B55">
      <w:proofErr w:type="spellStart"/>
      <w:proofErr w:type="gramStart"/>
      <w:r w:rsidRPr="004D57B3">
        <w:t>Tischendorf</w:t>
      </w:r>
      <w:proofErr w:type="spellEnd"/>
      <w:r w:rsidRPr="004D57B3">
        <w:t xml:space="preserve">, J and </w:t>
      </w:r>
      <w:proofErr w:type="spellStart"/>
      <w:r w:rsidRPr="004D57B3">
        <w:t>Schirin-Sokan</w:t>
      </w:r>
      <w:proofErr w:type="spellEnd"/>
      <w:r w:rsidRPr="004D57B3">
        <w:t>, R 2010.</w:t>
      </w:r>
      <w:proofErr w:type="gramEnd"/>
      <w:r w:rsidRPr="004D57B3">
        <w:t xml:space="preserve"> Is capsule endoscopy useful or dispensable in Crohn's disease</w:t>
      </w:r>
      <w:proofErr w:type="gramStart"/>
      <w:r w:rsidRPr="004D57B3">
        <w:t>?,</w:t>
      </w:r>
      <w:proofErr w:type="gramEnd"/>
      <w:r w:rsidRPr="004D57B3">
        <w:t xml:space="preserve"> </w:t>
      </w:r>
      <w:r w:rsidRPr="004D57B3">
        <w:rPr>
          <w:i/>
          <w:iCs/>
        </w:rPr>
        <w:t>MMW-</w:t>
      </w:r>
      <w:proofErr w:type="spellStart"/>
      <w:r w:rsidRPr="004D57B3">
        <w:rPr>
          <w:i/>
          <w:iCs/>
        </w:rPr>
        <w:t>Fortschritte</w:t>
      </w:r>
      <w:proofErr w:type="spellEnd"/>
      <w:r w:rsidRPr="004D57B3">
        <w:rPr>
          <w:i/>
          <w:iCs/>
        </w:rPr>
        <w:t xml:space="preserve"> der </w:t>
      </w:r>
      <w:proofErr w:type="spellStart"/>
      <w:r w:rsidRPr="004D57B3">
        <w:rPr>
          <w:i/>
          <w:iCs/>
        </w:rPr>
        <w:t>Medizin</w:t>
      </w:r>
      <w:proofErr w:type="spellEnd"/>
      <w:r w:rsidRPr="004D57B3">
        <w:t>, 152 (11), 26.</w:t>
      </w:r>
    </w:p>
    <w:p w:rsidR="0048417A" w:rsidRPr="004D57B3" w:rsidRDefault="0048417A" w:rsidP="00836B55">
      <w:r w:rsidRPr="004D57B3">
        <w:rPr>
          <w:lang w:val="nl-NL"/>
        </w:rPr>
        <w:t xml:space="preserve">Toy, E, Rojany, M et al 2008. </w:t>
      </w:r>
      <w:r w:rsidRPr="004D57B3">
        <w:t>Capsule endoscopy's impact on clinical management and outcomes: A single-</w:t>
      </w:r>
      <w:proofErr w:type="spellStart"/>
      <w:r w:rsidRPr="004D57B3">
        <w:t>center</w:t>
      </w:r>
      <w:proofErr w:type="spellEnd"/>
      <w:r w:rsidRPr="004D57B3">
        <w:t xml:space="preserve"> experience with 145 patients, </w:t>
      </w:r>
      <w:r w:rsidRPr="004D57B3">
        <w:rPr>
          <w:i/>
          <w:iCs/>
        </w:rPr>
        <w:t>American Journal of Gastroenterology</w:t>
      </w:r>
      <w:r w:rsidRPr="004D57B3">
        <w:t>, 103 (12), 3022-3028.</w:t>
      </w:r>
    </w:p>
    <w:p w:rsidR="0048417A" w:rsidRPr="004D57B3" w:rsidRDefault="0048417A" w:rsidP="00836B55">
      <w:r w:rsidRPr="004D57B3">
        <w:rPr>
          <w:lang w:val="nl-NL"/>
        </w:rPr>
        <w:t xml:space="preserve">Trang, C, Flamant, M et al 2009. </w:t>
      </w:r>
      <w:proofErr w:type="spellStart"/>
      <w:r w:rsidRPr="004D57B3">
        <w:t>Jejunal</w:t>
      </w:r>
      <w:proofErr w:type="spellEnd"/>
      <w:r w:rsidRPr="004D57B3">
        <w:t xml:space="preserve"> lesions seen by wireless capsule endoscopy in Crohn's disease: Prevalence and clinical significance, </w:t>
      </w:r>
      <w:r w:rsidRPr="004D57B3">
        <w:rPr>
          <w:i/>
          <w:iCs/>
        </w:rPr>
        <w:t>Gastroenterology</w:t>
      </w:r>
      <w:r w:rsidRPr="004D57B3">
        <w:t>, 136 (5), A100.</w:t>
      </w:r>
    </w:p>
    <w:p w:rsidR="0048417A" w:rsidRPr="004D57B3" w:rsidRDefault="0048417A" w:rsidP="00836B55">
      <w:r w:rsidRPr="004D57B3">
        <w:rPr>
          <w:lang w:val="nl-NL"/>
        </w:rPr>
        <w:t xml:space="preserve">Triester, SL, Leighton, JA et al 2006. </w:t>
      </w:r>
      <w:r w:rsidRPr="004D57B3">
        <w:t>A meta-analysis of the yield of capsule endoscopy compared to other diagnostic modalities in patients with non-</w:t>
      </w:r>
      <w:proofErr w:type="spellStart"/>
      <w:r w:rsidRPr="004D57B3">
        <w:t>stricturing</w:t>
      </w:r>
      <w:proofErr w:type="spellEnd"/>
      <w:r w:rsidRPr="004D57B3">
        <w:t xml:space="preserve"> small bowel Crohn's disease, </w:t>
      </w:r>
      <w:r w:rsidRPr="004D57B3">
        <w:rPr>
          <w:i/>
          <w:iCs/>
        </w:rPr>
        <w:t>American Journal of Gastroenterology</w:t>
      </w:r>
      <w:r w:rsidRPr="004D57B3">
        <w:t>, 101 (5), 954-964.</w:t>
      </w:r>
    </w:p>
    <w:p w:rsidR="0048417A" w:rsidRPr="004D57B3" w:rsidRDefault="0048417A" w:rsidP="00836B55">
      <w:proofErr w:type="spellStart"/>
      <w:proofErr w:type="gramStart"/>
      <w:r w:rsidRPr="004D57B3">
        <w:lastRenderedPageBreak/>
        <w:t>Trifan</w:t>
      </w:r>
      <w:proofErr w:type="spellEnd"/>
      <w:r w:rsidRPr="004D57B3">
        <w:t xml:space="preserve">, A, </w:t>
      </w:r>
      <w:proofErr w:type="spellStart"/>
      <w:r w:rsidRPr="004D57B3">
        <w:t>Stanciu</w:t>
      </w:r>
      <w:proofErr w:type="spellEnd"/>
      <w:r w:rsidRPr="004D57B3">
        <w:t>, C et al 2006.</w:t>
      </w:r>
      <w:proofErr w:type="gramEnd"/>
      <w:r w:rsidRPr="004D57B3">
        <w:t xml:space="preserve"> Role of video-capsule endoscopy in Crohn's disease, </w:t>
      </w:r>
      <w:proofErr w:type="spellStart"/>
      <w:r w:rsidRPr="004D57B3">
        <w:rPr>
          <w:i/>
        </w:rPr>
        <w:t>Revista</w:t>
      </w:r>
      <w:proofErr w:type="spellEnd"/>
      <w:r w:rsidRPr="004D57B3">
        <w:rPr>
          <w:i/>
        </w:rPr>
        <w:t xml:space="preserve"> Medico-</w:t>
      </w:r>
      <w:proofErr w:type="spellStart"/>
      <w:r w:rsidRPr="004D57B3">
        <w:rPr>
          <w:i/>
        </w:rPr>
        <w:t>Chiruricala</w:t>
      </w:r>
      <w:proofErr w:type="spellEnd"/>
      <w:r w:rsidRPr="004D57B3">
        <w:rPr>
          <w:i/>
        </w:rPr>
        <w:t xml:space="preserve"> </w:t>
      </w:r>
      <w:proofErr w:type="gramStart"/>
      <w:r w:rsidRPr="004D57B3">
        <w:rPr>
          <w:i/>
        </w:rPr>
        <w:t>A</w:t>
      </w:r>
      <w:proofErr w:type="gramEnd"/>
      <w:r w:rsidRPr="004D57B3">
        <w:rPr>
          <w:i/>
        </w:rPr>
        <w:t xml:space="preserve"> </w:t>
      </w:r>
      <w:proofErr w:type="spellStart"/>
      <w:r w:rsidRPr="004D57B3">
        <w:rPr>
          <w:i/>
        </w:rPr>
        <w:t>Societatii</w:t>
      </w:r>
      <w:proofErr w:type="spellEnd"/>
      <w:r w:rsidRPr="004D57B3">
        <w:rPr>
          <w:i/>
        </w:rPr>
        <w:t xml:space="preserve"> de Medici </w:t>
      </w:r>
      <w:proofErr w:type="spellStart"/>
      <w:r w:rsidRPr="004D57B3">
        <w:rPr>
          <w:i/>
        </w:rPr>
        <w:t>si</w:t>
      </w:r>
      <w:proofErr w:type="spellEnd"/>
      <w:r w:rsidRPr="004D57B3">
        <w:rPr>
          <w:i/>
        </w:rPr>
        <w:t xml:space="preserve"> </w:t>
      </w:r>
      <w:proofErr w:type="spellStart"/>
      <w:r w:rsidRPr="004D57B3">
        <w:rPr>
          <w:i/>
        </w:rPr>
        <w:t>Naturalisti</w:t>
      </w:r>
      <w:proofErr w:type="spellEnd"/>
      <w:r w:rsidRPr="004D57B3">
        <w:rPr>
          <w:i/>
        </w:rPr>
        <w:t xml:space="preserve"> Din Iasi (Iasi)</w:t>
      </w:r>
      <w:r w:rsidRPr="004D57B3">
        <w:t>, 110 (2), 275-281.</w:t>
      </w:r>
    </w:p>
    <w:p w:rsidR="0048417A" w:rsidRPr="004D57B3" w:rsidRDefault="0048417A" w:rsidP="00836B55">
      <w:r w:rsidRPr="004D57B3">
        <w:rPr>
          <w:lang w:val="nl-NL"/>
        </w:rPr>
        <w:t xml:space="preserve">van Tuyl, SAC, van Noorden, JT et al 2007. </w:t>
      </w:r>
      <w:proofErr w:type="gramStart"/>
      <w:r w:rsidRPr="004D57B3">
        <w:t xml:space="preserve">Clinical consequences of </w:t>
      </w:r>
      <w:proofErr w:type="spellStart"/>
      <w:r w:rsidRPr="004D57B3">
        <w:t>videocapsule</w:t>
      </w:r>
      <w:proofErr w:type="spellEnd"/>
      <w:r w:rsidRPr="004D57B3">
        <w:t xml:space="preserve"> endoscopy in GI bleeding and Crohn's disease, </w:t>
      </w:r>
      <w:r w:rsidRPr="004D57B3">
        <w:rPr>
          <w:i/>
          <w:iCs/>
        </w:rPr>
        <w:t>Gastrointestinal Endoscopy</w:t>
      </w:r>
      <w:r w:rsidRPr="004D57B3">
        <w:t>, 66 (6), 1164-1170.</w:t>
      </w:r>
      <w:proofErr w:type="gramEnd"/>
    </w:p>
    <w:p w:rsidR="0048417A" w:rsidRPr="004D57B3" w:rsidRDefault="0048417A" w:rsidP="00836B55">
      <w:r w:rsidRPr="004D57B3">
        <w:rPr>
          <w:lang w:val="nl-NL"/>
        </w:rPr>
        <w:t xml:space="preserve">Wiarda, B, Mensink, P et al 2009. </w:t>
      </w:r>
      <w:r w:rsidRPr="004D57B3">
        <w:t xml:space="preserve">Small bowel imaging comparing MR </w:t>
      </w:r>
      <w:proofErr w:type="spellStart"/>
      <w:proofErr w:type="gramStart"/>
      <w:r w:rsidRPr="004D57B3">
        <w:t>enteroclysis</w:t>
      </w:r>
      <w:proofErr w:type="spellEnd"/>
      <w:proofErr w:type="gramEnd"/>
      <w:r w:rsidRPr="004D57B3">
        <w:t xml:space="preserve">, capsule endoscopy and double-balloon </w:t>
      </w:r>
      <w:proofErr w:type="spellStart"/>
      <w:r w:rsidRPr="004D57B3">
        <w:t>enteroscopy</w:t>
      </w:r>
      <w:proofErr w:type="spellEnd"/>
      <w:r w:rsidRPr="004D57B3">
        <w:t xml:space="preserve"> in patients with (</w:t>
      </w:r>
      <w:r>
        <w:t>s</w:t>
      </w:r>
      <w:r w:rsidRPr="004D57B3">
        <w:t xml:space="preserve">uspected) Crohn's disease; the Comrade study, </w:t>
      </w:r>
      <w:r w:rsidRPr="004D57B3">
        <w:rPr>
          <w:i/>
          <w:iCs/>
        </w:rPr>
        <w:t>Gastroenterology</w:t>
      </w:r>
      <w:r w:rsidRPr="004D57B3">
        <w:t>, 136 (5), A131.</w:t>
      </w:r>
    </w:p>
    <w:p w:rsidR="0048417A" w:rsidRPr="004D57B3" w:rsidRDefault="0048417A" w:rsidP="00836B55">
      <w:proofErr w:type="gramStart"/>
      <w:r w:rsidRPr="004D57B3">
        <w:t>Wolf, AT 2007.</w:t>
      </w:r>
      <w:proofErr w:type="gramEnd"/>
      <w:r w:rsidRPr="004D57B3">
        <w:t xml:space="preserve"> Capsule endoscopy in Crohn's disease: Is seeing believing</w:t>
      </w:r>
      <w:proofErr w:type="gramStart"/>
      <w:r w:rsidRPr="004D57B3">
        <w:t>?,</w:t>
      </w:r>
      <w:proofErr w:type="gramEnd"/>
      <w:r w:rsidRPr="004D57B3">
        <w:t xml:space="preserve"> </w:t>
      </w:r>
      <w:r w:rsidRPr="004D57B3">
        <w:rPr>
          <w:i/>
          <w:iCs/>
        </w:rPr>
        <w:t>Inflammatory Bowel Diseases</w:t>
      </w:r>
      <w:r w:rsidRPr="004D57B3">
        <w:t>, 13 (9), 1180-1181.</w:t>
      </w:r>
    </w:p>
    <w:p w:rsidR="0048417A" w:rsidRPr="004D57B3" w:rsidRDefault="0048417A" w:rsidP="00836B55">
      <w:pPr>
        <w:pStyle w:val="Heading3"/>
      </w:pPr>
      <w:r w:rsidRPr="004D57B3">
        <w:t>Excluded due to wrong patient group</w:t>
      </w:r>
    </w:p>
    <w:p w:rsidR="0048417A" w:rsidRPr="004D57B3" w:rsidRDefault="0048417A" w:rsidP="00836B55">
      <w:pPr>
        <w:autoSpaceDE w:val="0"/>
        <w:autoSpaceDN w:val="0"/>
        <w:adjustRightInd w:val="0"/>
        <w:rPr>
          <w:rFonts w:cs="Garamond"/>
          <w:szCs w:val="24"/>
        </w:rPr>
      </w:pPr>
      <w:proofErr w:type="spellStart"/>
      <w:proofErr w:type="gramStart"/>
      <w:r w:rsidRPr="004D57B3">
        <w:rPr>
          <w:rFonts w:cs="Garamond"/>
          <w:szCs w:val="24"/>
        </w:rPr>
        <w:t>Bakshi</w:t>
      </w:r>
      <w:proofErr w:type="spellEnd"/>
      <w:r w:rsidRPr="004D57B3">
        <w:rPr>
          <w:rFonts w:cs="Garamond"/>
          <w:szCs w:val="24"/>
        </w:rPr>
        <w:t>, E, Ashkenazi, I et al 2009.</w:t>
      </w:r>
      <w:proofErr w:type="gramEnd"/>
      <w:r w:rsidRPr="004D57B3">
        <w:rPr>
          <w:rFonts w:cs="Garamond"/>
          <w:szCs w:val="24"/>
        </w:rPr>
        <w:t xml:space="preserve"> Wireless capsule endoscopy in Israeli </w:t>
      </w:r>
      <w:proofErr w:type="spellStart"/>
      <w:r w:rsidRPr="004D57B3">
        <w:rPr>
          <w:rFonts w:cs="Garamond"/>
          <w:szCs w:val="24"/>
        </w:rPr>
        <w:t>Defense</w:t>
      </w:r>
      <w:proofErr w:type="spellEnd"/>
      <w:r w:rsidRPr="004D57B3">
        <w:rPr>
          <w:rFonts w:cs="Garamond"/>
          <w:szCs w:val="24"/>
        </w:rPr>
        <w:t xml:space="preserve"> Force: two years of experience, </w:t>
      </w:r>
      <w:r w:rsidRPr="004D57B3">
        <w:rPr>
          <w:rFonts w:cs="Garamond"/>
          <w:i/>
          <w:iCs/>
          <w:szCs w:val="24"/>
        </w:rPr>
        <w:t xml:space="preserve">Military </w:t>
      </w:r>
      <w:r>
        <w:rPr>
          <w:rFonts w:cs="Garamond"/>
          <w:i/>
          <w:iCs/>
          <w:szCs w:val="24"/>
        </w:rPr>
        <w:t>M</w:t>
      </w:r>
      <w:r w:rsidRPr="004D57B3">
        <w:rPr>
          <w:rFonts w:cs="Garamond"/>
          <w:i/>
          <w:iCs/>
          <w:szCs w:val="24"/>
        </w:rPr>
        <w:t>edicine</w:t>
      </w:r>
      <w:r w:rsidRPr="004D57B3">
        <w:rPr>
          <w:rFonts w:cs="Garamond"/>
          <w:szCs w:val="24"/>
        </w:rPr>
        <w:t>, 174 (9), 991-995.</w:t>
      </w:r>
    </w:p>
    <w:p w:rsidR="0048417A" w:rsidRPr="004D57B3" w:rsidRDefault="0048417A" w:rsidP="00836B55">
      <w:pPr>
        <w:autoSpaceDE w:val="0"/>
        <w:autoSpaceDN w:val="0"/>
        <w:adjustRightInd w:val="0"/>
        <w:rPr>
          <w:rFonts w:cs="Garamond"/>
          <w:szCs w:val="24"/>
        </w:rPr>
      </w:pPr>
      <w:proofErr w:type="spellStart"/>
      <w:proofErr w:type="gramStart"/>
      <w:r w:rsidRPr="004D57B3">
        <w:rPr>
          <w:rFonts w:cs="Garamond"/>
          <w:szCs w:val="24"/>
        </w:rPr>
        <w:t>Caunedo</w:t>
      </w:r>
      <w:proofErr w:type="spellEnd"/>
      <w:r w:rsidRPr="004D57B3">
        <w:rPr>
          <w:rFonts w:cs="Garamond"/>
          <w:szCs w:val="24"/>
        </w:rPr>
        <w:t>, A, Rodriguez-Tellez, M et al 2004.</w:t>
      </w:r>
      <w:proofErr w:type="gramEnd"/>
      <w:r w:rsidRPr="004D57B3">
        <w:rPr>
          <w:rFonts w:cs="Garamond"/>
          <w:szCs w:val="24"/>
        </w:rPr>
        <w:t xml:space="preserve"> </w:t>
      </w:r>
      <w:proofErr w:type="gramStart"/>
      <w:r w:rsidRPr="004D57B3">
        <w:rPr>
          <w:rFonts w:cs="Garamond"/>
          <w:szCs w:val="24"/>
        </w:rPr>
        <w:t xml:space="preserve">Usefulness of capsule endoscopy in patients with suspected small bowel disease, </w:t>
      </w:r>
      <w:proofErr w:type="spellStart"/>
      <w:r w:rsidRPr="004D57B3">
        <w:rPr>
          <w:rFonts w:cs="Garamond"/>
          <w:i/>
          <w:iCs/>
          <w:szCs w:val="24"/>
        </w:rPr>
        <w:t>Revista</w:t>
      </w:r>
      <w:proofErr w:type="spellEnd"/>
      <w:r w:rsidRPr="004D57B3">
        <w:rPr>
          <w:rFonts w:cs="Garamond"/>
          <w:i/>
          <w:iCs/>
          <w:szCs w:val="24"/>
        </w:rPr>
        <w:t xml:space="preserve"> Espanola de </w:t>
      </w:r>
      <w:proofErr w:type="spellStart"/>
      <w:r w:rsidRPr="004D57B3">
        <w:rPr>
          <w:rFonts w:cs="Garamond"/>
          <w:i/>
          <w:iCs/>
          <w:szCs w:val="24"/>
        </w:rPr>
        <w:t>Enfermedades</w:t>
      </w:r>
      <w:proofErr w:type="spellEnd"/>
      <w:r w:rsidRPr="004D57B3">
        <w:rPr>
          <w:rFonts w:cs="Garamond"/>
          <w:i/>
          <w:iCs/>
          <w:szCs w:val="24"/>
        </w:rPr>
        <w:t xml:space="preserve"> </w:t>
      </w:r>
      <w:proofErr w:type="spellStart"/>
      <w:r w:rsidRPr="004D57B3">
        <w:rPr>
          <w:rFonts w:cs="Garamond"/>
          <w:i/>
          <w:iCs/>
          <w:szCs w:val="24"/>
        </w:rPr>
        <w:t>Digestivas</w:t>
      </w:r>
      <w:proofErr w:type="spellEnd"/>
      <w:r w:rsidRPr="004D57B3">
        <w:rPr>
          <w:rFonts w:cs="Garamond"/>
          <w:szCs w:val="24"/>
        </w:rPr>
        <w:t>, 96 (1), 10-21.</w:t>
      </w:r>
      <w:proofErr w:type="gramEnd"/>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Chen, X, Ran, ZH et al 2007. </w:t>
      </w:r>
      <w:r w:rsidRPr="004D57B3">
        <w:rPr>
          <w:rFonts w:cs="Garamond"/>
          <w:szCs w:val="24"/>
        </w:rPr>
        <w:t xml:space="preserve">A meta-analysis of the yield of capsule endoscopy compared to double-balloon </w:t>
      </w:r>
      <w:proofErr w:type="spellStart"/>
      <w:r w:rsidRPr="004D57B3">
        <w:rPr>
          <w:rFonts w:cs="Garamond"/>
          <w:szCs w:val="24"/>
        </w:rPr>
        <w:t>enteroscopy</w:t>
      </w:r>
      <w:proofErr w:type="spellEnd"/>
      <w:r w:rsidRPr="004D57B3">
        <w:rPr>
          <w:rFonts w:cs="Garamond"/>
          <w:szCs w:val="24"/>
        </w:rPr>
        <w:t xml:space="preserve"> in patients with small bowel diseases, </w:t>
      </w:r>
      <w:r w:rsidRPr="004D57B3">
        <w:rPr>
          <w:rFonts w:cs="Garamond"/>
          <w:i/>
          <w:iCs/>
          <w:szCs w:val="24"/>
        </w:rPr>
        <w:t>World Journal of Gastroenterology</w:t>
      </w:r>
      <w:r w:rsidRPr="004D57B3">
        <w:rPr>
          <w:rFonts w:cs="Garamond"/>
          <w:szCs w:val="24"/>
        </w:rPr>
        <w:t>, 13 (32), 4372-4378.</w:t>
      </w:r>
    </w:p>
    <w:p w:rsidR="0048417A" w:rsidRPr="004D57B3" w:rsidRDefault="0048417A" w:rsidP="00836B55">
      <w:r w:rsidRPr="004D57B3">
        <w:rPr>
          <w:lang w:val="nl-NL"/>
        </w:rPr>
        <w:t xml:space="preserve">Cheon, JH, Kim, YS et al 2007. </w:t>
      </w:r>
      <w:r w:rsidRPr="004D57B3">
        <w:t xml:space="preserve">Can we predict spontaneous capsule passage after retention? </w:t>
      </w:r>
      <w:proofErr w:type="gramStart"/>
      <w:r w:rsidRPr="004D57B3">
        <w:t xml:space="preserve">A nationwide study to evaluate the incidence and clinical outcomes of capsule retention, </w:t>
      </w:r>
      <w:r w:rsidRPr="004D57B3">
        <w:rPr>
          <w:i/>
          <w:iCs/>
        </w:rPr>
        <w:t>Endoscopy</w:t>
      </w:r>
      <w:r w:rsidRPr="004D57B3">
        <w:t>, 39 (12), 1046-1052.</w:t>
      </w:r>
      <w:proofErr w:type="gramEnd"/>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Crook, DW, Knuesel, PR et al 2009. </w:t>
      </w:r>
      <w:proofErr w:type="gramStart"/>
      <w:r w:rsidRPr="004D57B3">
        <w:rPr>
          <w:rFonts w:cs="Garamond"/>
          <w:szCs w:val="24"/>
        </w:rPr>
        <w:t xml:space="preserve">Comparison of magnetic resonance </w:t>
      </w:r>
      <w:proofErr w:type="spellStart"/>
      <w:r w:rsidRPr="004D57B3">
        <w:rPr>
          <w:rFonts w:cs="Garamond"/>
          <w:szCs w:val="24"/>
        </w:rPr>
        <w:t>enterography</w:t>
      </w:r>
      <w:proofErr w:type="spellEnd"/>
      <w:r w:rsidRPr="004D57B3">
        <w:rPr>
          <w:rFonts w:cs="Garamond"/>
          <w:szCs w:val="24"/>
        </w:rPr>
        <w:t xml:space="preserve"> and video capsule endoscopy in evaluating small bowel disease, </w:t>
      </w:r>
      <w:r w:rsidRPr="004D57B3">
        <w:rPr>
          <w:rFonts w:cs="Garamond"/>
          <w:i/>
          <w:iCs/>
          <w:szCs w:val="24"/>
        </w:rPr>
        <w:t xml:space="preserve">European Journal of Gastroenterology and </w:t>
      </w:r>
      <w:proofErr w:type="spellStart"/>
      <w:r w:rsidRPr="004D57B3">
        <w:rPr>
          <w:rFonts w:cs="Garamond"/>
          <w:i/>
          <w:iCs/>
          <w:szCs w:val="24"/>
        </w:rPr>
        <w:t>Hepatology</w:t>
      </w:r>
      <w:proofErr w:type="spellEnd"/>
      <w:r w:rsidRPr="004D57B3">
        <w:rPr>
          <w:rFonts w:cs="Garamond"/>
          <w:szCs w:val="24"/>
        </w:rPr>
        <w:t>, 21 (1), 54-65.</w:t>
      </w:r>
      <w:proofErr w:type="gramEnd"/>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Dubcenco, E, Jeejeebhoy, KN et al 2005. </w:t>
      </w:r>
      <w:r w:rsidRPr="004D57B3">
        <w:rPr>
          <w:rFonts w:cs="Garamond"/>
          <w:szCs w:val="24"/>
        </w:rPr>
        <w:t xml:space="preserve">Capsule endoscopy findings in patients with established and suspected small-bowel Crohn's disease: Correlation with radiologic, endoscopic, and histologic findings, </w:t>
      </w:r>
      <w:r w:rsidRPr="004D57B3">
        <w:rPr>
          <w:rFonts w:cs="Garamond"/>
          <w:i/>
          <w:iCs/>
          <w:szCs w:val="24"/>
        </w:rPr>
        <w:t>Gastrointestinal Endoscopy</w:t>
      </w:r>
      <w:r w:rsidRPr="004D57B3">
        <w:rPr>
          <w:rFonts w:cs="Garamond"/>
          <w:szCs w:val="24"/>
        </w:rPr>
        <w:t>, 62 (4), 538-544.</w:t>
      </w:r>
    </w:p>
    <w:p w:rsidR="0048417A" w:rsidRPr="004D57B3" w:rsidRDefault="0048417A" w:rsidP="00836B55">
      <w:pPr>
        <w:autoSpaceDE w:val="0"/>
        <w:autoSpaceDN w:val="0"/>
        <w:adjustRightInd w:val="0"/>
        <w:rPr>
          <w:rFonts w:cs="Garamond"/>
          <w:szCs w:val="24"/>
        </w:rPr>
      </w:pPr>
      <w:proofErr w:type="gramStart"/>
      <w:r w:rsidRPr="004D57B3">
        <w:rPr>
          <w:rFonts w:cs="Garamond"/>
          <w:szCs w:val="24"/>
        </w:rPr>
        <w:t xml:space="preserve">Fireman, Z, </w:t>
      </w:r>
      <w:proofErr w:type="spellStart"/>
      <w:r w:rsidRPr="004D57B3">
        <w:rPr>
          <w:rFonts w:cs="Garamond"/>
          <w:szCs w:val="24"/>
        </w:rPr>
        <w:t>Eliakim</w:t>
      </w:r>
      <w:proofErr w:type="spellEnd"/>
      <w:r w:rsidRPr="004D57B3">
        <w:rPr>
          <w:rFonts w:cs="Garamond"/>
          <w:szCs w:val="24"/>
        </w:rPr>
        <w:t>, R et al 2004.</w:t>
      </w:r>
      <w:proofErr w:type="gramEnd"/>
      <w:r w:rsidRPr="004D57B3">
        <w:rPr>
          <w:rFonts w:cs="Garamond"/>
          <w:szCs w:val="24"/>
        </w:rPr>
        <w:t xml:space="preserve"> Capsule endoscopy in real life: A four-centre experience of 160 consecutive patients in Israel, </w:t>
      </w:r>
      <w:r w:rsidRPr="004D57B3">
        <w:rPr>
          <w:rFonts w:cs="Garamond"/>
          <w:i/>
          <w:iCs/>
          <w:szCs w:val="24"/>
        </w:rPr>
        <w:t xml:space="preserve">European Journal of Gastroenterology and </w:t>
      </w:r>
      <w:proofErr w:type="spellStart"/>
      <w:r w:rsidRPr="004D57B3">
        <w:rPr>
          <w:rFonts w:cs="Garamond"/>
          <w:i/>
          <w:iCs/>
          <w:szCs w:val="24"/>
        </w:rPr>
        <w:t>Hepatology</w:t>
      </w:r>
      <w:proofErr w:type="spellEnd"/>
      <w:r w:rsidRPr="004D57B3">
        <w:rPr>
          <w:rFonts w:cs="Garamond"/>
          <w:szCs w:val="24"/>
        </w:rPr>
        <w:t>, 16 (9), 927-931.</w:t>
      </w:r>
    </w:p>
    <w:p w:rsidR="0048417A" w:rsidRPr="004D57B3" w:rsidRDefault="0048417A" w:rsidP="00836B55">
      <w:pPr>
        <w:autoSpaceDE w:val="0"/>
        <w:autoSpaceDN w:val="0"/>
        <w:adjustRightInd w:val="0"/>
        <w:rPr>
          <w:rFonts w:cs="Garamond"/>
          <w:szCs w:val="24"/>
        </w:rPr>
      </w:pPr>
      <w:proofErr w:type="gramStart"/>
      <w:r w:rsidRPr="004D57B3">
        <w:rPr>
          <w:rFonts w:cs="Garamond"/>
          <w:szCs w:val="24"/>
        </w:rPr>
        <w:t>Fukumoto, A, Tanaka, S et al 2009.</w:t>
      </w:r>
      <w:proofErr w:type="gramEnd"/>
      <w:r w:rsidRPr="004D57B3">
        <w:rPr>
          <w:rFonts w:cs="Garamond"/>
          <w:szCs w:val="24"/>
        </w:rPr>
        <w:t xml:space="preserve"> </w:t>
      </w:r>
      <w:proofErr w:type="gramStart"/>
      <w:r w:rsidRPr="004D57B3">
        <w:rPr>
          <w:rFonts w:cs="Garamond"/>
          <w:szCs w:val="24"/>
        </w:rPr>
        <w:t xml:space="preserve">Comparison of detectability of small-bowel lesions between capsule endoscopy and double-balloon endoscopy for patients with suspected small-bowel disease, </w:t>
      </w:r>
      <w:r w:rsidRPr="004D57B3">
        <w:rPr>
          <w:rFonts w:cs="Garamond"/>
          <w:i/>
          <w:iCs/>
          <w:szCs w:val="24"/>
        </w:rPr>
        <w:t>Gastrointestinal Endoscopy</w:t>
      </w:r>
      <w:r w:rsidRPr="004D57B3">
        <w:rPr>
          <w:rFonts w:cs="Garamond"/>
          <w:szCs w:val="24"/>
        </w:rPr>
        <w:t>, 69 (4), 857-865.</w:t>
      </w:r>
      <w:proofErr w:type="gramEnd"/>
    </w:p>
    <w:p w:rsidR="0048417A" w:rsidRPr="004D57B3" w:rsidRDefault="0048417A" w:rsidP="00836B55">
      <w:pPr>
        <w:autoSpaceDE w:val="0"/>
        <w:autoSpaceDN w:val="0"/>
        <w:adjustRightInd w:val="0"/>
        <w:rPr>
          <w:rFonts w:cs="Garamond"/>
          <w:szCs w:val="24"/>
        </w:rPr>
      </w:pPr>
      <w:proofErr w:type="spellStart"/>
      <w:r w:rsidRPr="004D57B3">
        <w:rPr>
          <w:rFonts w:cs="Garamond"/>
          <w:szCs w:val="24"/>
        </w:rPr>
        <w:t>Horsthuis</w:t>
      </w:r>
      <w:proofErr w:type="spellEnd"/>
      <w:r>
        <w:rPr>
          <w:rFonts w:cs="Garamond"/>
          <w:szCs w:val="24"/>
        </w:rPr>
        <w:t>,</w:t>
      </w:r>
      <w:r w:rsidRPr="004D57B3">
        <w:rPr>
          <w:rFonts w:cs="Garamond"/>
          <w:szCs w:val="24"/>
        </w:rPr>
        <w:t xml:space="preserve"> K, </w:t>
      </w:r>
      <w:proofErr w:type="spellStart"/>
      <w:r>
        <w:rPr>
          <w:rFonts w:cs="Garamond"/>
          <w:szCs w:val="24"/>
        </w:rPr>
        <w:t>Bipat</w:t>
      </w:r>
      <w:proofErr w:type="spellEnd"/>
      <w:r>
        <w:rPr>
          <w:rFonts w:cs="Garamond"/>
          <w:szCs w:val="24"/>
        </w:rPr>
        <w:t>, S et al</w:t>
      </w:r>
      <w:r w:rsidRPr="004D57B3">
        <w:rPr>
          <w:rFonts w:cs="Garamond"/>
          <w:szCs w:val="24"/>
        </w:rPr>
        <w:t xml:space="preserve"> 2009. Magnetic resonance imaging for evaluation of disease activity in Crohn's disease: a systematic review, </w:t>
      </w:r>
      <w:r w:rsidRPr="004D57B3">
        <w:rPr>
          <w:rFonts w:cs="Garamond"/>
          <w:i/>
          <w:iCs/>
          <w:szCs w:val="24"/>
        </w:rPr>
        <w:t>European Radiology</w:t>
      </w:r>
      <w:r w:rsidRPr="004D57B3">
        <w:rPr>
          <w:rFonts w:cs="Garamond"/>
          <w:szCs w:val="24"/>
        </w:rPr>
        <w:t>, 19 (6), 1450-1460.</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Jensen, MD, Nathan, T et al 2010. </w:t>
      </w:r>
      <w:proofErr w:type="gramStart"/>
      <w:r w:rsidRPr="004D57B3">
        <w:rPr>
          <w:rFonts w:cs="Garamond"/>
          <w:szCs w:val="24"/>
        </w:rPr>
        <w:t xml:space="preserve">Inter-observer agreement for detection of small bowel Crohn's disease with capsule endoscopy, </w:t>
      </w:r>
      <w:r w:rsidRPr="004D57B3">
        <w:rPr>
          <w:rFonts w:cs="Garamond"/>
          <w:i/>
          <w:iCs/>
          <w:szCs w:val="24"/>
        </w:rPr>
        <w:t>Scandinavian Journal of Gastroenterology</w:t>
      </w:r>
      <w:r w:rsidRPr="004D57B3">
        <w:rPr>
          <w:rFonts w:cs="Garamond"/>
          <w:szCs w:val="24"/>
        </w:rPr>
        <w:t>, 45 (7-8), 878-884.</w:t>
      </w:r>
      <w:proofErr w:type="gramEnd"/>
    </w:p>
    <w:p w:rsidR="0048417A" w:rsidRPr="004D57B3" w:rsidRDefault="0048417A" w:rsidP="00836B55">
      <w:pPr>
        <w:autoSpaceDE w:val="0"/>
        <w:autoSpaceDN w:val="0"/>
        <w:adjustRightInd w:val="0"/>
        <w:rPr>
          <w:rFonts w:cs="Garamond"/>
          <w:szCs w:val="24"/>
        </w:rPr>
      </w:pPr>
      <w:r w:rsidRPr="004D57B3">
        <w:rPr>
          <w:rFonts w:cs="Garamond"/>
          <w:szCs w:val="24"/>
          <w:lang w:val="nl-NL"/>
        </w:rPr>
        <w:lastRenderedPageBreak/>
        <w:t xml:space="preserve">Jensen, MK, Tipnis, NA et al 2010. </w:t>
      </w:r>
      <w:r w:rsidRPr="004D57B3">
        <w:rPr>
          <w:rFonts w:cs="Garamond"/>
          <w:szCs w:val="24"/>
        </w:rPr>
        <w:t xml:space="preserve">Capsule endoscopy performed across the </w:t>
      </w:r>
      <w:proofErr w:type="spellStart"/>
      <w:r w:rsidRPr="004D57B3">
        <w:rPr>
          <w:rFonts w:cs="Garamond"/>
          <w:szCs w:val="24"/>
        </w:rPr>
        <w:t>pediatric</w:t>
      </w:r>
      <w:proofErr w:type="spellEnd"/>
      <w:r w:rsidRPr="004D57B3">
        <w:rPr>
          <w:rFonts w:cs="Garamond"/>
          <w:szCs w:val="24"/>
        </w:rPr>
        <w:t xml:space="preserve"> age range: indications, incomplete studies, and utility in management of inflammatory bowel disease, </w:t>
      </w:r>
      <w:r w:rsidRPr="004D57B3">
        <w:rPr>
          <w:rFonts w:cs="Garamond"/>
          <w:i/>
          <w:iCs/>
          <w:szCs w:val="24"/>
        </w:rPr>
        <w:t>Gastrointestinal Endoscopy</w:t>
      </w:r>
      <w:r w:rsidRPr="004D57B3">
        <w:rPr>
          <w:rFonts w:cs="Garamond"/>
          <w:szCs w:val="24"/>
        </w:rPr>
        <w:t>, 72 (1), 95-102.</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Kalantzis, N, Papanikolaou, IS et al 2005. </w:t>
      </w:r>
      <w:proofErr w:type="gramStart"/>
      <w:r w:rsidRPr="004D57B3">
        <w:rPr>
          <w:rFonts w:cs="Garamond"/>
          <w:szCs w:val="24"/>
        </w:rPr>
        <w:t xml:space="preserve">Capsule endoscopy; the cumulative experience from its use in 193 patients with suspected small bowel disease, </w:t>
      </w:r>
      <w:proofErr w:type="spellStart"/>
      <w:r w:rsidRPr="004D57B3">
        <w:rPr>
          <w:rFonts w:cs="Garamond"/>
          <w:i/>
          <w:iCs/>
          <w:szCs w:val="24"/>
        </w:rPr>
        <w:t>Hepato</w:t>
      </w:r>
      <w:proofErr w:type="spellEnd"/>
      <w:r w:rsidRPr="004D57B3">
        <w:rPr>
          <w:rFonts w:cs="Garamond"/>
          <w:i/>
          <w:iCs/>
          <w:szCs w:val="24"/>
        </w:rPr>
        <w:t>-Gastroenterology</w:t>
      </w:r>
      <w:r w:rsidRPr="004D57B3">
        <w:rPr>
          <w:rFonts w:cs="Garamond"/>
          <w:szCs w:val="24"/>
        </w:rPr>
        <w:t>, 52 (62), 414-419.</w:t>
      </w:r>
      <w:proofErr w:type="gramEnd"/>
    </w:p>
    <w:p w:rsidR="0048417A" w:rsidRPr="004D57B3" w:rsidRDefault="0048417A" w:rsidP="00836B55">
      <w:pPr>
        <w:autoSpaceDE w:val="0"/>
        <w:autoSpaceDN w:val="0"/>
        <w:adjustRightInd w:val="0"/>
        <w:rPr>
          <w:rFonts w:cs="Garamond"/>
          <w:szCs w:val="24"/>
        </w:rPr>
      </w:pPr>
      <w:proofErr w:type="spellStart"/>
      <w:r w:rsidRPr="004D57B3">
        <w:rPr>
          <w:rFonts w:cs="Garamond"/>
          <w:szCs w:val="24"/>
        </w:rPr>
        <w:t>Knopp</w:t>
      </w:r>
      <w:proofErr w:type="spellEnd"/>
      <w:r w:rsidRPr="004D57B3">
        <w:rPr>
          <w:rFonts w:cs="Garamond"/>
          <w:szCs w:val="24"/>
        </w:rPr>
        <w:t xml:space="preserve">, TC, </w:t>
      </w:r>
      <w:proofErr w:type="spellStart"/>
      <w:r w:rsidRPr="004D57B3">
        <w:rPr>
          <w:rFonts w:cs="Garamond"/>
          <w:szCs w:val="24"/>
        </w:rPr>
        <w:t>Mardini</w:t>
      </w:r>
      <w:proofErr w:type="spellEnd"/>
      <w:r w:rsidRPr="004D57B3">
        <w:rPr>
          <w:rFonts w:cs="Garamond"/>
          <w:szCs w:val="24"/>
        </w:rPr>
        <w:t xml:space="preserve">, HE et al 2008. Wireless capsule endoscopy indication as a predictor of study quality, </w:t>
      </w:r>
      <w:r w:rsidRPr="004D57B3">
        <w:rPr>
          <w:rFonts w:cs="Garamond"/>
          <w:i/>
          <w:iCs/>
          <w:szCs w:val="24"/>
        </w:rPr>
        <w:t>Digestive Diseases and Sciences</w:t>
      </w:r>
      <w:r w:rsidRPr="004D57B3">
        <w:rPr>
          <w:rFonts w:cs="Garamond"/>
          <w:szCs w:val="24"/>
        </w:rPr>
        <w:t>, 53 (7), 1898-1901.</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Li, F, Gurudu, SR et al 2008. </w:t>
      </w:r>
      <w:r w:rsidRPr="004D57B3">
        <w:rPr>
          <w:rFonts w:cs="Garamond"/>
          <w:szCs w:val="24"/>
        </w:rPr>
        <w:t>Retention of the capsule endoscope: a single-</w:t>
      </w:r>
      <w:proofErr w:type="spellStart"/>
      <w:r w:rsidRPr="004D57B3">
        <w:rPr>
          <w:rFonts w:cs="Garamond"/>
          <w:szCs w:val="24"/>
        </w:rPr>
        <w:t>center</w:t>
      </w:r>
      <w:proofErr w:type="spellEnd"/>
      <w:r w:rsidRPr="004D57B3">
        <w:rPr>
          <w:rFonts w:cs="Garamond"/>
          <w:szCs w:val="24"/>
        </w:rPr>
        <w:t xml:space="preserve"> experience of 1000 capsule endoscopy procedures, </w:t>
      </w:r>
      <w:r w:rsidRPr="004D57B3">
        <w:rPr>
          <w:rFonts w:cs="Garamond"/>
          <w:i/>
          <w:iCs/>
          <w:szCs w:val="24"/>
        </w:rPr>
        <w:t>Gastrointestinal Endoscopy</w:t>
      </w:r>
      <w:r w:rsidRPr="004D57B3">
        <w:rPr>
          <w:rFonts w:cs="Garamond"/>
          <w:szCs w:val="24"/>
        </w:rPr>
        <w:t>, 68 (1), 174-180.</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Li, X, Chen, H et al 2009. </w:t>
      </w:r>
      <w:proofErr w:type="gramStart"/>
      <w:r w:rsidRPr="004D57B3">
        <w:rPr>
          <w:rFonts w:cs="Garamond"/>
          <w:szCs w:val="24"/>
        </w:rPr>
        <w:t xml:space="preserve">Predictive role of capsule endoscopy on the insertion route of double-balloon </w:t>
      </w:r>
      <w:proofErr w:type="spellStart"/>
      <w:r w:rsidRPr="004D57B3">
        <w:rPr>
          <w:rFonts w:cs="Garamond"/>
          <w:szCs w:val="24"/>
        </w:rPr>
        <w:t>enteroscopy</w:t>
      </w:r>
      <w:proofErr w:type="spellEnd"/>
      <w:r w:rsidRPr="004D57B3">
        <w:rPr>
          <w:rFonts w:cs="Garamond"/>
          <w:szCs w:val="24"/>
        </w:rPr>
        <w:t xml:space="preserve">, </w:t>
      </w:r>
      <w:r w:rsidRPr="004D57B3">
        <w:rPr>
          <w:rFonts w:cs="Garamond"/>
          <w:i/>
          <w:iCs/>
          <w:szCs w:val="24"/>
        </w:rPr>
        <w:t>Endoscopy</w:t>
      </w:r>
      <w:r w:rsidRPr="004D57B3">
        <w:rPr>
          <w:rFonts w:cs="Garamond"/>
          <w:szCs w:val="24"/>
        </w:rPr>
        <w:t>, 41 (9), 762-766.</w:t>
      </w:r>
      <w:proofErr w:type="gramEnd"/>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Liao, Z, Gao, R et al 2010. </w:t>
      </w:r>
      <w:r w:rsidRPr="004D57B3">
        <w:rPr>
          <w:rFonts w:cs="Garamond"/>
          <w:szCs w:val="24"/>
        </w:rPr>
        <w:t xml:space="preserve">Indications and detection, completion, and retention rates of small-bowel capsule endoscopy: a systematic review, </w:t>
      </w:r>
      <w:r w:rsidRPr="004D57B3">
        <w:rPr>
          <w:rFonts w:cs="Garamond"/>
          <w:i/>
          <w:iCs/>
          <w:szCs w:val="24"/>
        </w:rPr>
        <w:t>Gastrointestinal Endoscopy</w:t>
      </w:r>
      <w:r w:rsidRPr="004D57B3">
        <w:rPr>
          <w:rFonts w:cs="Garamond"/>
          <w:szCs w:val="24"/>
        </w:rPr>
        <w:t>, 71 (2), 280-286.</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Lorenzo-Zuniga, V, De Vega, VM et al 2010. </w:t>
      </w:r>
      <w:proofErr w:type="gramStart"/>
      <w:r w:rsidRPr="004D57B3">
        <w:rPr>
          <w:rFonts w:cs="Garamond"/>
          <w:szCs w:val="24"/>
        </w:rPr>
        <w:t xml:space="preserve">Impact of capsule endoscopy findings in the management of Crohn's Disease, </w:t>
      </w:r>
      <w:r w:rsidRPr="004D57B3">
        <w:rPr>
          <w:rFonts w:cs="Garamond"/>
          <w:i/>
          <w:iCs/>
          <w:szCs w:val="24"/>
        </w:rPr>
        <w:t>Digestive Diseases and Sciences</w:t>
      </w:r>
      <w:r w:rsidRPr="004D57B3">
        <w:rPr>
          <w:rFonts w:cs="Garamond"/>
          <w:szCs w:val="24"/>
        </w:rPr>
        <w:t>, 55 (2), 411-414.</w:t>
      </w:r>
      <w:proofErr w:type="gramEnd"/>
    </w:p>
    <w:p w:rsidR="0048417A" w:rsidRPr="004D57B3" w:rsidRDefault="0048417A" w:rsidP="00836B55">
      <w:pPr>
        <w:autoSpaceDE w:val="0"/>
        <w:autoSpaceDN w:val="0"/>
        <w:adjustRightInd w:val="0"/>
        <w:rPr>
          <w:rFonts w:cs="Garamond"/>
          <w:szCs w:val="24"/>
        </w:rPr>
      </w:pPr>
      <w:proofErr w:type="spellStart"/>
      <w:proofErr w:type="gramStart"/>
      <w:r w:rsidRPr="004D57B3">
        <w:rPr>
          <w:rFonts w:cs="Garamond"/>
          <w:szCs w:val="24"/>
        </w:rPr>
        <w:t>Mazzarolo</w:t>
      </w:r>
      <w:proofErr w:type="spellEnd"/>
      <w:r w:rsidRPr="004D57B3">
        <w:rPr>
          <w:rFonts w:cs="Garamond"/>
          <w:szCs w:val="24"/>
        </w:rPr>
        <w:t>, S and Brady, P 2007.</w:t>
      </w:r>
      <w:proofErr w:type="gramEnd"/>
      <w:r w:rsidRPr="004D57B3">
        <w:rPr>
          <w:rFonts w:cs="Garamond"/>
          <w:szCs w:val="24"/>
        </w:rPr>
        <w:t xml:space="preserve"> Small bowel capsule endoscopy: A systematic review, </w:t>
      </w:r>
      <w:r w:rsidRPr="004D57B3">
        <w:rPr>
          <w:rFonts w:cs="Garamond"/>
          <w:i/>
          <w:iCs/>
          <w:szCs w:val="24"/>
        </w:rPr>
        <w:t>Southern Medical Journal</w:t>
      </w:r>
      <w:r w:rsidRPr="004D57B3">
        <w:rPr>
          <w:rFonts w:cs="Garamond"/>
          <w:szCs w:val="24"/>
        </w:rPr>
        <w:t>, 100 (3), 274-280.</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Pasha, SF, Leighton, JA et al 2008. </w:t>
      </w:r>
      <w:r w:rsidRPr="004D57B3">
        <w:rPr>
          <w:rFonts w:cs="Garamond"/>
          <w:szCs w:val="24"/>
        </w:rPr>
        <w:t xml:space="preserve">Double-balloon </w:t>
      </w:r>
      <w:proofErr w:type="spellStart"/>
      <w:r w:rsidRPr="004D57B3">
        <w:rPr>
          <w:rFonts w:cs="Garamond"/>
          <w:szCs w:val="24"/>
        </w:rPr>
        <w:t>enteroscopy</w:t>
      </w:r>
      <w:proofErr w:type="spellEnd"/>
      <w:r w:rsidRPr="004D57B3">
        <w:rPr>
          <w:rFonts w:cs="Garamond"/>
          <w:szCs w:val="24"/>
        </w:rPr>
        <w:t xml:space="preserve"> and capsule endoscopy have comparable diagnostic yield in small-bowel disease: A meta-analysis, </w:t>
      </w:r>
      <w:r w:rsidRPr="004D57B3">
        <w:rPr>
          <w:rFonts w:cs="Garamond"/>
          <w:i/>
          <w:iCs/>
          <w:szCs w:val="24"/>
        </w:rPr>
        <w:t xml:space="preserve">Clinical Gastroenterology and </w:t>
      </w:r>
      <w:proofErr w:type="spellStart"/>
      <w:r w:rsidRPr="004D57B3">
        <w:rPr>
          <w:rFonts w:cs="Garamond"/>
          <w:i/>
          <w:iCs/>
          <w:szCs w:val="24"/>
        </w:rPr>
        <w:t>Hepatology</w:t>
      </w:r>
      <w:proofErr w:type="spellEnd"/>
      <w:r w:rsidRPr="004D57B3">
        <w:rPr>
          <w:rFonts w:cs="Garamond"/>
          <w:szCs w:val="24"/>
        </w:rPr>
        <w:t>, 6 (6), 671-676.</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Qvigstad, G, Hatlen-Rebhan, P et al 2006. </w:t>
      </w:r>
      <w:r w:rsidRPr="004D57B3">
        <w:rPr>
          <w:rFonts w:cs="Garamond"/>
          <w:szCs w:val="24"/>
        </w:rPr>
        <w:t xml:space="preserve">Capsule endoscopy in clinical routine in patients with suspected disease of the small intestine: A 2-year prospective study, </w:t>
      </w:r>
      <w:r w:rsidRPr="004D57B3">
        <w:rPr>
          <w:rFonts w:cs="Garamond"/>
          <w:i/>
          <w:iCs/>
          <w:szCs w:val="24"/>
        </w:rPr>
        <w:t>Scandinavian Journal of Gastroenterology</w:t>
      </w:r>
      <w:r w:rsidRPr="004D57B3">
        <w:rPr>
          <w:rFonts w:cs="Garamond"/>
          <w:szCs w:val="24"/>
        </w:rPr>
        <w:t>, 41 (5), 614-618.</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Scapa, E, Jacob, H et al 2002. </w:t>
      </w:r>
      <w:r w:rsidRPr="004D57B3">
        <w:rPr>
          <w:rFonts w:cs="Garamond"/>
          <w:szCs w:val="24"/>
        </w:rPr>
        <w:t xml:space="preserve">Initial experience of wireless-capsule endoscopy for evaluating occult gastrointestinal bleeding and suspected small bowel pathology, </w:t>
      </w:r>
      <w:r w:rsidRPr="004D57B3">
        <w:rPr>
          <w:rFonts w:cs="Garamond"/>
          <w:i/>
          <w:iCs/>
          <w:szCs w:val="24"/>
        </w:rPr>
        <w:t>American Journal of Gastroenterology</w:t>
      </w:r>
      <w:r w:rsidRPr="004D57B3">
        <w:rPr>
          <w:rFonts w:cs="Garamond"/>
          <w:szCs w:val="24"/>
        </w:rPr>
        <w:t>, 97 (11), 2776-2779.</w:t>
      </w:r>
    </w:p>
    <w:p w:rsidR="0048417A" w:rsidRPr="004D57B3" w:rsidRDefault="0048417A" w:rsidP="00836B55">
      <w:r w:rsidRPr="004D57B3">
        <w:rPr>
          <w:lang w:val="nl-NL"/>
        </w:rPr>
        <w:t xml:space="preserve">Sidhu, R, Sanders, DS et al 2007. </w:t>
      </w:r>
      <w:r w:rsidRPr="004D57B3">
        <w:t xml:space="preserve">Capsule endoscopy changes patient management in routine clinical practice, </w:t>
      </w:r>
      <w:r w:rsidRPr="004D57B3">
        <w:rPr>
          <w:i/>
          <w:iCs/>
        </w:rPr>
        <w:t>Digestive Diseases and Sciences</w:t>
      </w:r>
      <w:r w:rsidRPr="004D57B3">
        <w:t>, 52 (5), 1382-1386.</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Solem, CA, Loftus, J et al 2008. </w:t>
      </w:r>
      <w:r w:rsidRPr="004D57B3">
        <w:rPr>
          <w:rFonts w:cs="Garamond"/>
          <w:szCs w:val="24"/>
        </w:rPr>
        <w:t xml:space="preserve">Small-bowel imaging in Crohn's disease: a prospective, blinded, 4-way comparison trial, </w:t>
      </w:r>
      <w:r w:rsidRPr="004D57B3">
        <w:rPr>
          <w:rFonts w:cs="Garamond"/>
          <w:i/>
          <w:iCs/>
          <w:szCs w:val="24"/>
        </w:rPr>
        <w:t>Gastrointestinal Endoscopy</w:t>
      </w:r>
      <w:r w:rsidRPr="004D57B3">
        <w:rPr>
          <w:rFonts w:cs="Garamond"/>
          <w:szCs w:val="24"/>
        </w:rPr>
        <w:t>, 68 (2), 255-266.</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Sriram, PVJ, Rao, GV et al 2004. </w:t>
      </w:r>
      <w:r w:rsidRPr="004D57B3">
        <w:rPr>
          <w:rFonts w:cs="Garamond"/>
          <w:szCs w:val="24"/>
        </w:rPr>
        <w:t xml:space="preserve">Wireless capsule endoscopy: Experience in a tropical country, </w:t>
      </w:r>
      <w:r w:rsidRPr="004D57B3">
        <w:rPr>
          <w:rFonts w:cs="Garamond"/>
          <w:i/>
          <w:iCs/>
          <w:szCs w:val="24"/>
        </w:rPr>
        <w:t xml:space="preserve">Journal of Gastroenterology and </w:t>
      </w:r>
      <w:proofErr w:type="spellStart"/>
      <w:r w:rsidRPr="004D57B3">
        <w:rPr>
          <w:rFonts w:cs="Garamond"/>
          <w:i/>
          <w:iCs/>
          <w:szCs w:val="24"/>
        </w:rPr>
        <w:t>Hepatology</w:t>
      </w:r>
      <w:proofErr w:type="spellEnd"/>
      <w:r w:rsidRPr="004D57B3">
        <w:rPr>
          <w:rFonts w:cs="Garamond"/>
          <w:szCs w:val="24"/>
        </w:rPr>
        <w:t>, 19 (1), 63-67.</w:t>
      </w:r>
    </w:p>
    <w:p w:rsidR="0048417A" w:rsidRPr="004D57B3" w:rsidRDefault="0048417A" w:rsidP="00836B55">
      <w:proofErr w:type="spellStart"/>
      <w:r w:rsidRPr="004D57B3">
        <w:t>Sturniolo</w:t>
      </w:r>
      <w:proofErr w:type="spellEnd"/>
      <w:r w:rsidRPr="004D57B3">
        <w:t xml:space="preserve">, GC, Di Leo, V et al 2006. Small bowel exploration by wireless capsule endoscopy: Results from 314 procedures, </w:t>
      </w:r>
      <w:r w:rsidRPr="004D57B3">
        <w:rPr>
          <w:i/>
          <w:iCs/>
        </w:rPr>
        <w:t>American Journal of Medicine</w:t>
      </w:r>
      <w:r w:rsidRPr="004D57B3">
        <w:t>, 119 (4), 341-347.</w:t>
      </w:r>
    </w:p>
    <w:p w:rsidR="0048417A" w:rsidRPr="004D57B3" w:rsidRDefault="0048417A" w:rsidP="00836B55">
      <w:pPr>
        <w:autoSpaceDE w:val="0"/>
        <w:autoSpaceDN w:val="0"/>
        <w:adjustRightInd w:val="0"/>
        <w:rPr>
          <w:rFonts w:cs="Garamond"/>
          <w:szCs w:val="24"/>
        </w:rPr>
      </w:pPr>
      <w:r w:rsidRPr="004D57B3">
        <w:rPr>
          <w:rFonts w:cs="Garamond"/>
          <w:szCs w:val="24"/>
          <w:lang w:val="nl-NL"/>
        </w:rPr>
        <w:lastRenderedPageBreak/>
        <w:t xml:space="preserve">van Tuyl, SAC, van Noorden, JT et al 2006. </w:t>
      </w:r>
      <w:proofErr w:type="gramStart"/>
      <w:r w:rsidRPr="004D57B3">
        <w:rPr>
          <w:rFonts w:cs="Garamond"/>
          <w:szCs w:val="24"/>
        </w:rPr>
        <w:t xml:space="preserve">Results of </w:t>
      </w:r>
      <w:proofErr w:type="spellStart"/>
      <w:r w:rsidRPr="004D57B3">
        <w:rPr>
          <w:rFonts w:cs="Garamond"/>
          <w:szCs w:val="24"/>
        </w:rPr>
        <w:t>videocapsule</w:t>
      </w:r>
      <w:proofErr w:type="spellEnd"/>
      <w:r w:rsidRPr="004D57B3">
        <w:rPr>
          <w:rFonts w:cs="Garamond"/>
          <w:szCs w:val="24"/>
        </w:rPr>
        <w:t xml:space="preserve"> endoscopy in 250 patients with suspected small bowel pathology, </w:t>
      </w:r>
      <w:r w:rsidRPr="004D57B3">
        <w:rPr>
          <w:rFonts w:cs="Garamond"/>
          <w:i/>
          <w:iCs/>
          <w:szCs w:val="24"/>
        </w:rPr>
        <w:t>Digestive Diseases and Sciences</w:t>
      </w:r>
      <w:r w:rsidRPr="004D57B3">
        <w:rPr>
          <w:rFonts w:cs="Garamond"/>
          <w:szCs w:val="24"/>
        </w:rPr>
        <w:t>, 51 (5), 900-905.</w:t>
      </w:r>
      <w:proofErr w:type="gramEnd"/>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Vanfleteren, L, van der Schaar, P et al 2009. </w:t>
      </w:r>
      <w:r w:rsidRPr="004D57B3">
        <w:rPr>
          <w:rFonts w:cs="Garamond"/>
          <w:szCs w:val="24"/>
        </w:rPr>
        <w:t xml:space="preserve">Ileus related to wireless capsule retention in suspected Crohn's disease: emergency surgery obviated by early pharmacological treatment, </w:t>
      </w:r>
      <w:r w:rsidRPr="004D57B3">
        <w:rPr>
          <w:rFonts w:cs="Garamond"/>
          <w:i/>
          <w:iCs/>
          <w:szCs w:val="24"/>
        </w:rPr>
        <w:t>Endoscopy</w:t>
      </w:r>
      <w:r w:rsidRPr="004D57B3">
        <w:rPr>
          <w:rFonts w:cs="Garamond"/>
          <w:szCs w:val="24"/>
        </w:rPr>
        <w:t xml:space="preserve">, 41 </w:t>
      </w:r>
      <w:r>
        <w:rPr>
          <w:rFonts w:cs="Garamond"/>
          <w:szCs w:val="24"/>
        </w:rPr>
        <w:t>(</w:t>
      </w:r>
      <w:proofErr w:type="spellStart"/>
      <w:r w:rsidRPr="004D57B3">
        <w:rPr>
          <w:rFonts w:cs="Garamond"/>
          <w:szCs w:val="24"/>
        </w:rPr>
        <w:t>Suppl</w:t>
      </w:r>
      <w:proofErr w:type="spellEnd"/>
      <w:r w:rsidRPr="004D57B3">
        <w:rPr>
          <w:rFonts w:cs="Garamond"/>
          <w:szCs w:val="24"/>
        </w:rPr>
        <w:t xml:space="preserve"> 2</w:t>
      </w:r>
      <w:r>
        <w:rPr>
          <w:rFonts w:cs="Garamond"/>
          <w:szCs w:val="24"/>
        </w:rPr>
        <w:t>),</w:t>
      </w:r>
      <w:r w:rsidRPr="004D57B3">
        <w:rPr>
          <w:rFonts w:cs="Garamond"/>
          <w:szCs w:val="24"/>
        </w:rPr>
        <w:t xml:space="preserve"> E134-E135.</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Velayos, B, Fernandez, L et al 2006. </w:t>
      </w:r>
      <w:r w:rsidRPr="004D57B3">
        <w:rPr>
          <w:rFonts w:cs="Garamond"/>
          <w:szCs w:val="24"/>
        </w:rPr>
        <w:t xml:space="preserve">Public opinion survey after capsule endoscopy: Patient's point of view on its utility, </w:t>
      </w:r>
      <w:proofErr w:type="spellStart"/>
      <w:r w:rsidRPr="004D57B3">
        <w:rPr>
          <w:rFonts w:cs="Garamond"/>
          <w:i/>
          <w:iCs/>
          <w:szCs w:val="24"/>
        </w:rPr>
        <w:t>Revista</w:t>
      </w:r>
      <w:proofErr w:type="spellEnd"/>
      <w:r w:rsidRPr="004D57B3">
        <w:rPr>
          <w:rFonts w:cs="Garamond"/>
          <w:i/>
          <w:iCs/>
          <w:szCs w:val="24"/>
        </w:rPr>
        <w:t xml:space="preserve"> Espanola de </w:t>
      </w:r>
      <w:proofErr w:type="spellStart"/>
      <w:r w:rsidRPr="004D57B3">
        <w:rPr>
          <w:rFonts w:cs="Garamond"/>
          <w:i/>
          <w:iCs/>
          <w:szCs w:val="24"/>
        </w:rPr>
        <w:t>Enfermedades</w:t>
      </w:r>
      <w:proofErr w:type="spellEnd"/>
      <w:r w:rsidRPr="004D57B3">
        <w:rPr>
          <w:rFonts w:cs="Garamond"/>
          <w:i/>
          <w:iCs/>
          <w:szCs w:val="24"/>
        </w:rPr>
        <w:t xml:space="preserve"> </w:t>
      </w:r>
      <w:proofErr w:type="spellStart"/>
      <w:r w:rsidRPr="004D57B3">
        <w:rPr>
          <w:rFonts w:cs="Garamond"/>
          <w:i/>
          <w:iCs/>
          <w:szCs w:val="24"/>
        </w:rPr>
        <w:t>Digestivas</w:t>
      </w:r>
      <w:proofErr w:type="spellEnd"/>
      <w:r w:rsidRPr="004D57B3">
        <w:rPr>
          <w:rFonts w:cs="Garamond"/>
          <w:szCs w:val="24"/>
        </w:rPr>
        <w:t>, 98 (6), 436-448.</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Wei, W, Ge, ZZ et al 2008. </w:t>
      </w:r>
      <w:proofErr w:type="gramStart"/>
      <w:r w:rsidRPr="004D57B3">
        <w:rPr>
          <w:rFonts w:cs="Garamond"/>
          <w:szCs w:val="24"/>
        </w:rPr>
        <w:t xml:space="preserve">An analysis of failure and safety profiles of capsule endoscopy, </w:t>
      </w:r>
      <w:proofErr w:type="spellStart"/>
      <w:r w:rsidRPr="004D57B3">
        <w:rPr>
          <w:rFonts w:cs="Garamond"/>
          <w:i/>
          <w:iCs/>
          <w:szCs w:val="24"/>
        </w:rPr>
        <w:t>Zhonghua</w:t>
      </w:r>
      <w:proofErr w:type="spellEnd"/>
      <w:r w:rsidRPr="004D57B3">
        <w:rPr>
          <w:rFonts w:cs="Garamond"/>
          <w:i/>
          <w:iCs/>
          <w:szCs w:val="24"/>
        </w:rPr>
        <w:t xml:space="preserve"> </w:t>
      </w:r>
      <w:proofErr w:type="spellStart"/>
      <w:r w:rsidRPr="004D57B3">
        <w:rPr>
          <w:rFonts w:cs="Garamond"/>
          <w:i/>
          <w:iCs/>
          <w:szCs w:val="24"/>
        </w:rPr>
        <w:t>nei</w:t>
      </w:r>
      <w:proofErr w:type="spellEnd"/>
      <w:r w:rsidRPr="004D57B3">
        <w:rPr>
          <w:rFonts w:cs="Garamond"/>
          <w:i/>
          <w:iCs/>
          <w:szCs w:val="24"/>
        </w:rPr>
        <w:t xml:space="preserve"> </w:t>
      </w:r>
      <w:proofErr w:type="spellStart"/>
      <w:r w:rsidRPr="004D57B3">
        <w:rPr>
          <w:rFonts w:cs="Garamond"/>
          <w:i/>
          <w:iCs/>
          <w:szCs w:val="24"/>
        </w:rPr>
        <w:t>ke</w:t>
      </w:r>
      <w:proofErr w:type="spellEnd"/>
      <w:r w:rsidRPr="004D57B3">
        <w:rPr>
          <w:rFonts w:cs="Garamond"/>
          <w:i/>
          <w:iCs/>
          <w:szCs w:val="24"/>
        </w:rPr>
        <w:t xml:space="preserve"> </w:t>
      </w:r>
      <w:proofErr w:type="spellStart"/>
      <w:r w:rsidRPr="004D57B3">
        <w:rPr>
          <w:rFonts w:cs="Garamond"/>
          <w:i/>
          <w:iCs/>
          <w:szCs w:val="24"/>
        </w:rPr>
        <w:t>za</w:t>
      </w:r>
      <w:proofErr w:type="spellEnd"/>
      <w:r w:rsidRPr="004D57B3">
        <w:rPr>
          <w:rFonts w:cs="Garamond"/>
          <w:i/>
          <w:iCs/>
          <w:szCs w:val="24"/>
        </w:rPr>
        <w:t xml:space="preserve"> </w:t>
      </w:r>
      <w:proofErr w:type="spellStart"/>
      <w:r w:rsidRPr="004D57B3">
        <w:rPr>
          <w:rFonts w:cs="Garamond"/>
          <w:i/>
          <w:iCs/>
          <w:szCs w:val="24"/>
        </w:rPr>
        <w:t>zhi</w:t>
      </w:r>
      <w:proofErr w:type="spellEnd"/>
      <w:r w:rsidRPr="004D57B3">
        <w:rPr>
          <w:rFonts w:cs="Garamond"/>
          <w:i/>
          <w:iCs/>
          <w:szCs w:val="24"/>
        </w:rPr>
        <w:t xml:space="preserve"> [Chinese journal of internal medicine]</w:t>
      </w:r>
      <w:r w:rsidRPr="004D57B3">
        <w:rPr>
          <w:rFonts w:cs="Garamond"/>
          <w:szCs w:val="24"/>
        </w:rPr>
        <w:t>, 47 (1), 19-22.</w:t>
      </w:r>
      <w:proofErr w:type="gramEnd"/>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Westerhof, J, Koornstra, JJ et al 2009. </w:t>
      </w:r>
      <w:r w:rsidRPr="004D57B3">
        <w:rPr>
          <w:rFonts w:cs="Garamond"/>
          <w:szCs w:val="24"/>
        </w:rPr>
        <w:t>Can we reduce capsule endoscopy reading times</w:t>
      </w:r>
      <w:proofErr w:type="gramStart"/>
      <w:r w:rsidRPr="004D57B3">
        <w:rPr>
          <w:rFonts w:cs="Garamond"/>
          <w:szCs w:val="24"/>
        </w:rPr>
        <w:t>?,</w:t>
      </w:r>
      <w:proofErr w:type="gramEnd"/>
      <w:r w:rsidRPr="004D57B3">
        <w:rPr>
          <w:rFonts w:cs="Garamond"/>
          <w:szCs w:val="24"/>
        </w:rPr>
        <w:t xml:space="preserve"> </w:t>
      </w:r>
      <w:r w:rsidRPr="004D57B3">
        <w:rPr>
          <w:rFonts w:cs="Garamond"/>
          <w:i/>
          <w:iCs/>
          <w:szCs w:val="24"/>
        </w:rPr>
        <w:t>Gastrointestinal Endoscopy</w:t>
      </w:r>
      <w:r w:rsidRPr="004D57B3">
        <w:rPr>
          <w:rFonts w:cs="Garamond"/>
          <w:szCs w:val="24"/>
        </w:rPr>
        <w:t>, 69 (3), 497-502.</w:t>
      </w:r>
    </w:p>
    <w:p w:rsidR="0048417A" w:rsidRPr="004D57B3" w:rsidRDefault="0048417A" w:rsidP="00836B55">
      <w:pPr>
        <w:autoSpaceDE w:val="0"/>
        <w:autoSpaceDN w:val="0"/>
        <w:adjustRightInd w:val="0"/>
        <w:rPr>
          <w:rFonts w:cs="Garamond"/>
          <w:szCs w:val="24"/>
        </w:rPr>
      </w:pPr>
      <w:r w:rsidRPr="004D57B3">
        <w:rPr>
          <w:rFonts w:cs="Garamond"/>
          <w:szCs w:val="24"/>
          <w:lang w:val="nl-NL"/>
        </w:rPr>
        <w:t xml:space="preserve">Zhong, HM, Wang, QY et al 2007. </w:t>
      </w:r>
      <w:r w:rsidRPr="004D57B3">
        <w:rPr>
          <w:rFonts w:cs="Garamond"/>
          <w:szCs w:val="24"/>
        </w:rPr>
        <w:t xml:space="preserve">Value of the </w:t>
      </w:r>
      <w:proofErr w:type="spellStart"/>
      <w:r w:rsidRPr="004D57B3">
        <w:rPr>
          <w:rFonts w:cs="Garamond"/>
          <w:szCs w:val="24"/>
        </w:rPr>
        <w:t>Pill</w:t>
      </w:r>
      <w:r>
        <w:rPr>
          <w:rFonts w:cs="Garamond"/>
          <w:szCs w:val="24"/>
        </w:rPr>
        <w:t>C</w:t>
      </w:r>
      <w:r w:rsidRPr="004D57B3">
        <w:rPr>
          <w:rFonts w:cs="Garamond"/>
          <w:szCs w:val="24"/>
        </w:rPr>
        <w:t>am</w:t>
      </w:r>
      <w:proofErr w:type="spellEnd"/>
      <w:r w:rsidRPr="004D57B3">
        <w:rPr>
          <w:rFonts w:cs="Garamond"/>
          <w:szCs w:val="24"/>
        </w:rPr>
        <w:t xml:space="preserve"> capsule endoscope in the diagnosis of digestive tract disease: An analysis of 102 cases, </w:t>
      </w:r>
      <w:r w:rsidRPr="004D57B3">
        <w:rPr>
          <w:rFonts w:cs="Garamond"/>
          <w:i/>
          <w:iCs/>
          <w:szCs w:val="24"/>
        </w:rPr>
        <w:t xml:space="preserve">World Chinese Journal of </w:t>
      </w:r>
      <w:proofErr w:type="spellStart"/>
      <w:r w:rsidRPr="004D57B3">
        <w:rPr>
          <w:rFonts w:cs="Garamond"/>
          <w:i/>
          <w:iCs/>
          <w:szCs w:val="24"/>
        </w:rPr>
        <w:t>Digestology</w:t>
      </w:r>
      <w:proofErr w:type="spellEnd"/>
      <w:r w:rsidRPr="004D57B3">
        <w:rPr>
          <w:rFonts w:cs="Garamond"/>
          <w:szCs w:val="24"/>
        </w:rPr>
        <w:t>, 15 (34), 3660-3663.</w:t>
      </w:r>
    </w:p>
    <w:p w:rsidR="0048417A" w:rsidRPr="004D57B3" w:rsidRDefault="0048417A" w:rsidP="00836B55">
      <w:pPr>
        <w:pStyle w:val="Heading3"/>
      </w:pPr>
      <w:r w:rsidRPr="004D57B3">
        <w:t>Excluded due to wrong intervention</w:t>
      </w:r>
    </w:p>
    <w:p w:rsidR="0048417A" w:rsidRPr="004D57B3" w:rsidRDefault="0048417A" w:rsidP="00836B55">
      <w:proofErr w:type="spellStart"/>
      <w:proofErr w:type="gramStart"/>
      <w:r w:rsidRPr="004D57B3">
        <w:t>Buscaglia</w:t>
      </w:r>
      <w:proofErr w:type="spellEnd"/>
      <w:r w:rsidRPr="004D57B3">
        <w:t xml:space="preserve">, JM, </w:t>
      </w:r>
      <w:proofErr w:type="spellStart"/>
      <w:r w:rsidRPr="004D57B3">
        <w:t>Giday</w:t>
      </w:r>
      <w:proofErr w:type="spellEnd"/>
      <w:r w:rsidRPr="004D57B3">
        <w:t xml:space="preserve"> SA et al 2008.</w:t>
      </w:r>
      <w:proofErr w:type="gramEnd"/>
      <w:r w:rsidRPr="004D57B3">
        <w:t xml:space="preserve"> Performance characteristics of the suspected blood indicator feature in capsule endoscopy according to indication for study,</w:t>
      </w:r>
      <w:r w:rsidRPr="004D57B3">
        <w:rPr>
          <w:i/>
          <w:iCs/>
        </w:rPr>
        <w:t xml:space="preserve"> </w:t>
      </w:r>
      <w:r w:rsidRPr="004D57B3">
        <w:rPr>
          <w:i/>
        </w:rPr>
        <w:t xml:space="preserve">Clinical Gastroenterology and </w:t>
      </w:r>
      <w:proofErr w:type="spellStart"/>
      <w:r w:rsidRPr="004D57B3">
        <w:rPr>
          <w:i/>
        </w:rPr>
        <w:t>Hepatology</w:t>
      </w:r>
      <w:proofErr w:type="spellEnd"/>
      <w:r w:rsidRPr="004D57B3">
        <w:rPr>
          <w:i/>
        </w:rPr>
        <w:t xml:space="preserve">, </w:t>
      </w:r>
      <w:r w:rsidRPr="004D57B3">
        <w:t>6 (3), 298-301.</w:t>
      </w:r>
    </w:p>
    <w:p w:rsidR="0048417A" w:rsidRPr="004D57B3" w:rsidRDefault="0048417A" w:rsidP="00836B55">
      <w:pPr>
        <w:pStyle w:val="Heading3"/>
      </w:pPr>
      <w:r w:rsidRPr="004D57B3">
        <w:t>Excluded due to wrong outcome</w:t>
      </w:r>
    </w:p>
    <w:p w:rsidR="0048417A" w:rsidRPr="004D57B3" w:rsidRDefault="0048417A" w:rsidP="00836B55">
      <w:proofErr w:type="gramStart"/>
      <w:r w:rsidRPr="004D57B3">
        <w:t xml:space="preserve">Fireman, Z, </w:t>
      </w:r>
      <w:proofErr w:type="spellStart"/>
      <w:r w:rsidRPr="004D57B3">
        <w:t>Kopelman</w:t>
      </w:r>
      <w:proofErr w:type="spellEnd"/>
      <w:r w:rsidRPr="004D57B3">
        <w:t>, Y et al 2007.</w:t>
      </w:r>
      <w:proofErr w:type="gramEnd"/>
      <w:r w:rsidRPr="004D57B3">
        <w:t xml:space="preserve"> Age and indication for referral to capsule endoscopy significantly affect small bowel transit times: The </w:t>
      </w:r>
      <w:r>
        <w:t>G</w:t>
      </w:r>
      <w:r w:rsidRPr="004D57B3">
        <w:t>iven database.</w:t>
      </w:r>
      <w:r w:rsidRPr="004D57B3">
        <w:rPr>
          <w:i/>
          <w:iCs/>
        </w:rPr>
        <w:t xml:space="preserve"> </w:t>
      </w:r>
      <w:r w:rsidRPr="004D57B3">
        <w:rPr>
          <w:i/>
        </w:rPr>
        <w:t>Digestive Diseases and Sciences,</w:t>
      </w:r>
      <w:r w:rsidRPr="004D57B3">
        <w:t xml:space="preserve"> 52 (10), 2884-2887.</w:t>
      </w:r>
    </w:p>
    <w:p w:rsidR="0048417A" w:rsidRPr="004D57B3" w:rsidRDefault="0048417A" w:rsidP="00836B55">
      <w:proofErr w:type="spellStart"/>
      <w:r w:rsidRPr="004D57B3">
        <w:t>Gralnek</w:t>
      </w:r>
      <w:proofErr w:type="spellEnd"/>
      <w:r w:rsidRPr="004D57B3">
        <w:t xml:space="preserve">, IM, Leighton, JA et al 2009. Evidence for capsule endoscopy in suspected small bowel Crohn's disease: </w:t>
      </w:r>
      <w:r>
        <w:t>A</w:t>
      </w:r>
      <w:r w:rsidRPr="004D57B3">
        <w:t>n evaluation of intergrading system concordance.</w:t>
      </w:r>
      <w:r w:rsidRPr="004D57B3">
        <w:rPr>
          <w:i/>
          <w:iCs/>
        </w:rPr>
        <w:t xml:space="preserve"> Journal of Insurance Medicine (Seattle),</w:t>
      </w:r>
      <w:r w:rsidRPr="004D57B3">
        <w:t xml:space="preserve"> 41 (4), 270-283.</w:t>
      </w:r>
    </w:p>
    <w:p w:rsidR="0048417A" w:rsidRPr="004D57B3" w:rsidRDefault="0048417A" w:rsidP="00836B55">
      <w:pPr>
        <w:pStyle w:val="Heading3"/>
        <w:tabs>
          <w:tab w:val="left" w:pos="2445"/>
        </w:tabs>
      </w:pPr>
      <w:r w:rsidRPr="004D57B3">
        <w:t>Excluded non-English language publications</w:t>
      </w:r>
    </w:p>
    <w:p w:rsidR="0048417A" w:rsidRPr="004D57B3" w:rsidRDefault="0048417A" w:rsidP="00836B55">
      <w:proofErr w:type="spellStart"/>
      <w:proofErr w:type="gramStart"/>
      <w:r w:rsidRPr="004D57B3">
        <w:t>Dobrilla</w:t>
      </w:r>
      <w:proofErr w:type="spellEnd"/>
      <w:r w:rsidRPr="004D57B3">
        <w:t>, G 2006.</w:t>
      </w:r>
      <w:proofErr w:type="gramEnd"/>
      <w:r w:rsidRPr="004D57B3">
        <w:t xml:space="preserve"> Gastroenterology: Recent advances and perspectives, </w:t>
      </w:r>
      <w:proofErr w:type="spellStart"/>
      <w:r w:rsidRPr="004D57B3">
        <w:rPr>
          <w:i/>
        </w:rPr>
        <w:t>Recenti</w:t>
      </w:r>
      <w:proofErr w:type="spellEnd"/>
      <w:r w:rsidRPr="004D57B3">
        <w:rPr>
          <w:i/>
        </w:rPr>
        <w:t xml:space="preserve"> </w:t>
      </w:r>
      <w:proofErr w:type="spellStart"/>
      <w:r w:rsidRPr="004D57B3">
        <w:rPr>
          <w:i/>
        </w:rPr>
        <w:t>Progressi</w:t>
      </w:r>
      <w:proofErr w:type="spellEnd"/>
      <w:r w:rsidRPr="004D57B3">
        <w:rPr>
          <w:i/>
        </w:rPr>
        <w:t xml:space="preserve"> in </w:t>
      </w:r>
      <w:proofErr w:type="spellStart"/>
      <w:r w:rsidRPr="004D57B3">
        <w:rPr>
          <w:i/>
        </w:rPr>
        <w:t>Medicina</w:t>
      </w:r>
      <w:proofErr w:type="spellEnd"/>
      <w:r w:rsidRPr="004D57B3">
        <w:t>, 97 (12),</w:t>
      </w:r>
      <w:r>
        <w:t xml:space="preserve"> </w:t>
      </w:r>
      <w:r w:rsidRPr="004D57B3">
        <w:t>733-740.</w:t>
      </w:r>
    </w:p>
    <w:p w:rsidR="0048417A" w:rsidRPr="004D57B3" w:rsidRDefault="0048417A" w:rsidP="00836B55">
      <w:proofErr w:type="spellStart"/>
      <w:r w:rsidRPr="004D57B3">
        <w:t>Flamant</w:t>
      </w:r>
      <w:proofErr w:type="spellEnd"/>
      <w:r w:rsidRPr="004D57B3">
        <w:t xml:space="preserve">, M and </w:t>
      </w:r>
      <w:proofErr w:type="spellStart"/>
      <w:r w:rsidRPr="004D57B3">
        <w:t>Bourreille</w:t>
      </w:r>
      <w:proofErr w:type="spellEnd"/>
      <w:r w:rsidRPr="004D57B3">
        <w:t xml:space="preserve">, </w:t>
      </w:r>
      <w:proofErr w:type="gramStart"/>
      <w:r w:rsidRPr="004D57B3">
        <w:t>A</w:t>
      </w:r>
      <w:proofErr w:type="gramEnd"/>
      <w:r w:rsidRPr="004D57B3">
        <w:t xml:space="preserve"> 2007. </w:t>
      </w:r>
      <w:proofErr w:type="spellStart"/>
      <w:proofErr w:type="gramStart"/>
      <w:r w:rsidRPr="004D57B3">
        <w:t>Videocapsule</w:t>
      </w:r>
      <w:proofErr w:type="spellEnd"/>
      <w:r w:rsidRPr="004D57B3">
        <w:t xml:space="preserve"> endoscopy and chronic inflammatory bowel disease, </w:t>
      </w:r>
      <w:proofErr w:type="spellStart"/>
      <w:r w:rsidRPr="004D57B3">
        <w:rPr>
          <w:i/>
        </w:rPr>
        <w:t>Hepato</w:t>
      </w:r>
      <w:proofErr w:type="spellEnd"/>
      <w:r w:rsidRPr="004D57B3">
        <w:rPr>
          <w:i/>
        </w:rPr>
        <w:t>-Gastro</w:t>
      </w:r>
      <w:r w:rsidRPr="004D57B3">
        <w:t>, 14 (S</w:t>
      </w:r>
      <w:r>
        <w:t>pec</w:t>
      </w:r>
      <w:r w:rsidRPr="004D57B3">
        <w:t xml:space="preserve">. </w:t>
      </w:r>
      <w:proofErr w:type="spellStart"/>
      <w:r w:rsidRPr="004D57B3">
        <w:t>I</w:t>
      </w:r>
      <w:r>
        <w:t>ss</w:t>
      </w:r>
      <w:proofErr w:type="spellEnd"/>
      <w:r w:rsidRPr="004D57B3">
        <w:t>.), 6-13.</w:t>
      </w:r>
      <w:proofErr w:type="gramEnd"/>
    </w:p>
    <w:p w:rsidR="0048417A" w:rsidRPr="004D57B3" w:rsidRDefault="0048417A" w:rsidP="00836B55">
      <w:pPr>
        <w:rPr>
          <w:lang w:val="nl-NL"/>
        </w:rPr>
      </w:pPr>
      <w:r w:rsidRPr="004D57B3">
        <w:rPr>
          <w:lang w:val="nl-NL"/>
        </w:rPr>
        <w:t xml:space="preserve">Grip, O, Halfvarson, J et al 2009. Diagnosen ibd maste grundas pa bred bas, </w:t>
      </w:r>
      <w:r w:rsidRPr="004D57B3">
        <w:rPr>
          <w:i/>
          <w:lang w:val="nl-NL"/>
        </w:rPr>
        <w:t>Lakartidningen</w:t>
      </w:r>
      <w:r w:rsidRPr="004D57B3">
        <w:rPr>
          <w:lang w:val="nl-NL"/>
        </w:rPr>
        <w:t>, 106 (45), 2984-2986.</w:t>
      </w:r>
    </w:p>
    <w:p w:rsidR="0048417A" w:rsidRPr="004D57B3" w:rsidRDefault="0048417A" w:rsidP="00836B55">
      <w:r w:rsidRPr="004D57B3">
        <w:rPr>
          <w:lang w:val="nl-NL"/>
        </w:rPr>
        <w:t xml:space="preserve">Hoog, C, Antfolk, A et al 2004. </w:t>
      </w:r>
      <w:r w:rsidRPr="004D57B3">
        <w:t xml:space="preserve">Capsule endoscopy is a superior method, </w:t>
      </w:r>
      <w:proofErr w:type="spellStart"/>
      <w:r w:rsidRPr="004D57B3">
        <w:rPr>
          <w:i/>
        </w:rPr>
        <w:t>Lakartidningen</w:t>
      </w:r>
      <w:proofErr w:type="spellEnd"/>
      <w:r w:rsidRPr="004D57B3">
        <w:t>, 101 (50), 4102-4106.</w:t>
      </w:r>
    </w:p>
    <w:p w:rsidR="0048417A" w:rsidRPr="004D57B3" w:rsidRDefault="0048417A" w:rsidP="00836B55">
      <w:r w:rsidRPr="004D57B3">
        <w:lastRenderedPageBreak/>
        <w:t xml:space="preserve">Le Gall, C, Rivet, C et al 2009. Capsule endoscopy in children: feasibility and diagnostic yield, </w:t>
      </w:r>
      <w:r w:rsidRPr="004D57B3">
        <w:rPr>
          <w:i/>
        </w:rPr>
        <w:t xml:space="preserve">Archives de </w:t>
      </w:r>
      <w:proofErr w:type="spellStart"/>
      <w:r w:rsidRPr="004D57B3">
        <w:rPr>
          <w:i/>
        </w:rPr>
        <w:t>Pediatrie</w:t>
      </w:r>
      <w:proofErr w:type="spellEnd"/>
      <w:r w:rsidRPr="004D57B3">
        <w:t>, 16 (6), 808-810.</w:t>
      </w:r>
    </w:p>
    <w:p w:rsidR="0048417A" w:rsidRPr="004D57B3" w:rsidRDefault="0048417A" w:rsidP="00836B55">
      <w:proofErr w:type="spellStart"/>
      <w:proofErr w:type="gramStart"/>
      <w:r w:rsidRPr="004D57B3">
        <w:t>Marmo</w:t>
      </w:r>
      <w:proofErr w:type="spellEnd"/>
      <w:r w:rsidRPr="004D57B3">
        <w:t>, R 2003.</w:t>
      </w:r>
      <w:proofErr w:type="gramEnd"/>
      <w:r w:rsidRPr="004D57B3">
        <w:t xml:space="preserve"> </w:t>
      </w:r>
      <w:proofErr w:type="gramStart"/>
      <w:r w:rsidRPr="004D57B3">
        <w:t xml:space="preserve">A prospective trial comparing small bowel radiographs and video capsule endoscopy for suspected small bowel disease, </w:t>
      </w:r>
      <w:proofErr w:type="spellStart"/>
      <w:r w:rsidRPr="004D57B3">
        <w:rPr>
          <w:i/>
        </w:rPr>
        <w:t>Giornale</w:t>
      </w:r>
      <w:proofErr w:type="spellEnd"/>
      <w:r w:rsidRPr="004D57B3">
        <w:rPr>
          <w:i/>
        </w:rPr>
        <w:t xml:space="preserve"> </w:t>
      </w:r>
      <w:proofErr w:type="spellStart"/>
      <w:r w:rsidRPr="004D57B3">
        <w:rPr>
          <w:i/>
        </w:rPr>
        <w:t>Italiano</w:t>
      </w:r>
      <w:proofErr w:type="spellEnd"/>
      <w:r w:rsidRPr="004D57B3">
        <w:rPr>
          <w:i/>
        </w:rPr>
        <w:t xml:space="preserve"> di </w:t>
      </w:r>
      <w:proofErr w:type="spellStart"/>
      <w:r w:rsidRPr="004D57B3">
        <w:rPr>
          <w:i/>
        </w:rPr>
        <w:t>Endoscopia</w:t>
      </w:r>
      <w:proofErr w:type="spellEnd"/>
      <w:r w:rsidRPr="004D57B3">
        <w:rPr>
          <w:i/>
        </w:rPr>
        <w:t xml:space="preserve"> </w:t>
      </w:r>
      <w:proofErr w:type="spellStart"/>
      <w:r w:rsidRPr="004D57B3">
        <w:rPr>
          <w:i/>
        </w:rPr>
        <w:t>Digestiva</w:t>
      </w:r>
      <w:proofErr w:type="spellEnd"/>
      <w:r w:rsidRPr="004D57B3">
        <w:t>, 26 (3), 207-210.</w:t>
      </w:r>
      <w:proofErr w:type="gramEnd"/>
    </w:p>
    <w:p w:rsidR="0048417A" w:rsidRPr="004D57B3" w:rsidRDefault="0048417A" w:rsidP="00836B55">
      <w:proofErr w:type="spellStart"/>
      <w:r w:rsidRPr="004D57B3">
        <w:t>Nakatis</w:t>
      </w:r>
      <w:proofErr w:type="spellEnd"/>
      <w:r w:rsidRPr="004D57B3">
        <w:t xml:space="preserve">, IA, </w:t>
      </w:r>
      <w:proofErr w:type="spellStart"/>
      <w:r w:rsidRPr="004D57B3">
        <w:t>Borisov</w:t>
      </w:r>
      <w:proofErr w:type="spellEnd"/>
      <w:r w:rsidRPr="004D57B3">
        <w:t xml:space="preserve">, AE et al 2008.Video capsule endoscopy in the diagnostics of small intestine diseases, </w:t>
      </w:r>
      <w:proofErr w:type="spellStart"/>
      <w:r w:rsidRPr="004D57B3">
        <w:rPr>
          <w:i/>
        </w:rPr>
        <w:t>Vestnik</w:t>
      </w:r>
      <w:proofErr w:type="spellEnd"/>
      <w:r w:rsidRPr="004D57B3">
        <w:rPr>
          <w:i/>
        </w:rPr>
        <w:t xml:space="preserve"> </w:t>
      </w:r>
      <w:proofErr w:type="spellStart"/>
      <w:r w:rsidRPr="004D57B3">
        <w:rPr>
          <w:i/>
        </w:rPr>
        <w:t>khirurgii</w:t>
      </w:r>
      <w:proofErr w:type="spellEnd"/>
      <w:r w:rsidRPr="004D57B3">
        <w:rPr>
          <w:i/>
        </w:rPr>
        <w:t xml:space="preserve"> </w:t>
      </w:r>
      <w:proofErr w:type="spellStart"/>
      <w:r w:rsidRPr="004D57B3">
        <w:rPr>
          <w:i/>
        </w:rPr>
        <w:t>imeni</w:t>
      </w:r>
      <w:proofErr w:type="spellEnd"/>
      <w:r w:rsidRPr="004D57B3">
        <w:rPr>
          <w:i/>
        </w:rPr>
        <w:t xml:space="preserve"> </w:t>
      </w:r>
      <w:proofErr w:type="spellStart"/>
      <w:r w:rsidRPr="004D57B3">
        <w:rPr>
          <w:i/>
        </w:rPr>
        <w:t>I.I.Grekova</w:t>
      </w:r>
      <w:proofErr w:type="spellEnd"/>
      <w:r w:rsidRPr="004D57B3">
        <w:t>, 167 (6), 34-39.</w:t>
      </w:r>
    </w:p>
    <w:p w:rsidR="0048417A" w:rsidRPr="004D57B3" w:rsidRDefault="0048417A" w:rsidP="00836B55">
      <w:proofErr w:type="spellStart"/>
      <w:proofErr w:type="gramStart"/>
      <w:r w:rsidRPr="004D57B3">
        <w:t>Ronge</w:t>
      </w:r>
      <w:proofErr w:type="spellEnd"/>
      <w:r w:rsidRPr="004D57B3">
        <w:t>, R 2010.</w:t>
      </w:r>
      <w:proofErr w:type="gramEnd"/>
      <w:r w:rsidRPr="004D57B3">
        <w:t xml:space="preserve"> Diagnosis of the small intestine: Small children also benefit from capsule endoscopy, </w:t>
      </w:r>
      <w:proofErr w:type="spellStart"/>
      <w:r w:rsidRPr="004D57B3">
        <w:rPr>
          <w:i/>
        </w:rPr>
        <w:t>Zeitschrift</w:t>
      </w:r>
      <w:proofErr w:type="spellEnd"/>
      <w:r w:rsidRPr="004D57B3">
        <w:rPr>
          <w:i/>
        </w:rPr>
        <w:t xml:space="preserve"> fur </w:t>
      </w:r>
      <w:proofErr w:type="spellStart"/>
      <w:r w:rsidRPr="004D57B3">
        <w:rPr>
          <w:i/>
        </w:rPr>
        <w:t>Gastroenterologie</w:t>
      </w:r>
      <w:proofErr w:type="spellEnd"/>
      <w:r w:rsidRPr="004D57B3">
        <w:t>,</w:t>
      </w:r>
      <w:r>
        <w:t xml:space="preserve"> </w:t>
      </w:r>
      <w:r w:rsidRPr="004D57B3">
        <w:t>48 (4), 438-440.</w:t>
      </w:r>
    </w:p>
    <w:p w:rsidR="0048417A" w:rsidRPr="004D57B3" w:rsidRDefault="0048417A" w:rsidP="00836B55">
      <w:r w:rsidRPr="004D57B3">
        <w:rPr>
          <w:lang w:val="nl-NL"/>
        </w:rPr>
        <w:t xml:space="preserve">Rotondano, G, Riccio, G et al 2006. </w:t>
      </w:r>
      <w:r w:rsidRPr="004D57B3">
        <w:t xml:space="preserve">Capsule </w:t>
      </w:r>
      <w:proofErr w:type="spellStart"/>
      <w:r w:rsidRPr="004D57B3">
        <w:t>enteroscopy</w:t>
      </w:r>
      <w:proofErr w:type="spellEnd"/>
      <w:r w:rsidRPr="004D57B3">
        <w:t xml:space="preserve"> vs conventional procedures in diagnosing small bowel diseases: A meta-analysis of controlled trials, </w:t>
      </w:r>
      <w:proofErr w:type="spellStart"/>
      <w:r w:rsidRPr="004D57B3">
        <w:rPr>
          <w:i/>
        </w:rPr>
        <w:t>Giornale</w:t>
      </w:r>
      <w:proofErr w:type="spellEnd"/>
      <w:r w:rsidRPr="004D57B3">
        <w:rPr>
          <w:i/>
        </w:rPr>
        <w:t xml:space="preserve"> </w:t>
      </w:r>
      <w:proofErr w:type="spellStart"/>
      <w:r w:rsidRPr="004D57B3">
        <w:rPr>
          <w:i/>
        </w:rPr>
        <w:t>Italiano</w:t>
      </w:r>
      <w:proofErr w:type="spellEnd"/>
      <w:r w:rsidRPr="004D57B3">
        <w:rPr>
          <w:i/>
        </w:rPr>
        <w:t xml:space="preserve"> di </w:t>
      </w:r>
      <w:proofErr w:type="spellStart"/>
      <w:r w:rsidRPr="004D57B3">
        <w:rPr>
          <w:i/>
        </w:rPr>
        <w:t>Endoscopia</w:t>
      </w:r>
      <w:proofErr w:type="spellEnd"/>
      <w:r w:rsidRPr="004D57B3">
        <w:rPr>
          <w:i/>
        </w:rPr>
        <w:t xml:space="preserve"> </w:t>
      </w:r>
      <w:proofErr w:type="spellStart"/>
      <w:r w:rsidRPr="004D57B3">
        <w:rPr>
          <w:i/>
        </w:rPr>
        <w:t>Digestiva</w:t>
      </w:r>
      <w:proofErr w:type="spellEnd"/>
      <w:r w:rsidRPr="004D57B3">
        <w:t>, 29 (4), 331-337.</w:t>
      </w:r>
    </w:p>
    <w:p w:rsidR="0048417A" w:rsidRPr="004D57B3" w:rsidRDefault="0048417A" w:rsidP="00836B55">
      <w:proofErr w:type="spellStart"/>
      <w:proofErr w:type="gramStart"/>
      <w:r w:rsidRPr="004D57B3">
        <w:t>Ruano-Ravina</w:t>
      </w:r>
      <w:proofErr w:type="spellEnd"/>
      <w:r w:rsidRPr="004D57B3">
        <w:t xml:space="preserve"> A</w:t>
      </w:r>
      <w:r>
        <w:t xml:space="preserve"> and</w:t>
      </w:r>
      <w:r w:rsidRPr="004D57B3">
        <w:t xml:space="preserve"> R</w:t>
      </w:r>
      <w:r>
        <w:t>ey</w:t>
      </w:r>
      <w:r w:rsidRPr="004D57B3">
        <w:t>-</w:t>
      </w:r>
      <w:proofErr w:type="spellStart"/>
      <w:r w:rsidRPr="004D57B3">
        <w:t>L</w:t>
      </w:r>
      <w:r>
        <w:t>iste</w:t>
      </w:r>
      <w:proofErr w:type="spellEnd"/>
      <w:r>
        <w:t xml:space="preserve">, </w:t>
      </w:r>
      <w:r w:rsidRPr="004D57B3">
        <w:t>T 2004.</w:t>
      </w:r>
      <w:proofErr w:type="gramEnd"/>
      <w:r w:rsidRPr="004D57B3">
        <w:t xml:space="preserve"> </w:t>
      </w:r>
      <w:proofErr w:type="spellStart"/>
      <w:r w:rsidRPr="004D57B3">
        <w:t>Efectividad</w:t>
      </w:r>
      <w:proofErr w:type="spellEnd"/>
      <w:r w:rsidRPr="004D57B3">
        <w:t xml:space="preserve"> de la </w:t>
      </w:r>
      <w:proofErr w:type="spellStart"/>
      <w:r w:rsidRPr="004D57B3">
        <w:t>capsula</w:t>
      </w:r>
      <w:proofErr w:type="spellEnd"/>
      <w:r w:rsidRPr="004D57B3">
        <w:t xml:space="preserve"> </w:t>
      </w:r>
      <w:proofErr w:type="spellStart"/>
      <w:r w:rsidRPr="004D57B3">
        <w:t>endoscopica</w:t>
      </w:r>
      <w:proofErr w:type="spellEnd"/>
      <w:r w:rsidRPr="004D57B3">
        <w:t xml:space="preserve"> </w:t>
      </w:r>
      <w:proofErr w:type="spellStart"/>
      <w:r w:rsidRPr="004D57B3">
        <w:t>en</w:t>
      </w:r>
      <w:proofErr w:type="spellEnd"/>
      <w:r w:rsidRPr="004D57B3">
        <w:t xml:space="preserve"> la </w:t>
      </w:r>
      <w:proofErr w:type="spellStart"/>
      <w:r w:rsidRPr="004D57B3">
        <w:t>deteccion</w:t>
      </w:r>
      <w:proofErr w:type="spellEnd"/>
      <w:r w:rsidRPr="004D57B3">
        <w:t xml:space="preserve"> de </w:t>
      </w:r>
      <w:proofErr w:type="spellStart"/>
      <w:r w:rsidRPr="004D57B3">
        <w:t>hemorragia</w:t>
      </w:r>
      <w:proofErr w:type="spellEnd"/>
      <w:r w:rsidRPr="004D57B3">
        <w:t xml:space="preserve"> </w:t>
      </w:r>
      <w:proofErr w:type="gramStart"/>
      <w:r w:rsidRPr="004D57B3">
        <w:t>del</w:t>
      </w:r>
      <w:proofErr w:type="gramEnd"/>
      <w:r w:rsidRPr="004D57B3">
        <w:t xml:space="preserve"> </w:t>
      </w:r>
      <w:proofErr w:type="spellStart"/>
      <w:r w:rsidRPr="004D57B3">
        <w:t>intestino</w:t>
      </w:r>
      <w:proofErr w:type="spellEnd"/>
      <w:r w:rsidRPr="004D57B3">
        <w:t xml:space="preserve"> </w:t>
      </w:r>
      <w:proofErr w:type="spellStart"/>
      <w:r w:rsidRPr="004D57B3">
        <w:t>delgado</w:t>
      </w:r>
      <w:proofErr w:type="spellEnd"/>
      <w:r w:rsidRPr="004D57B3">
        <w:t xml:space="preserve"> y </w:t>
      </w:r>
      <w:proofErr w:type="spellStart"/>
      <w:r w:rsidRPr="004D57B3">
        <w:t>en</w:t>
      </w:r>
      <w:proofErr w:type="spellEnd"/>
      <w:r w:rsidRPr="004D57B3">
        <w:t xml:space="preserve"> la </w:t>
      </w:r>
      <w:proofErr w:type="spellStart"/>
      <w:r w:rsidRPr="004D57B3">
        <w:t>enfermedad</w:t>
      </w:r>
      <w:proofErr w:type="spellEnd"/>
      <w:r w:rsidRPr="004D57B3">
        <w:t xml:space="preserve"> de Crohn [Effectiveness of endoscopic capsule for the detection of small-bowel bleeding of unknown origin and for the diagnosis of Crohn's disease], </w:t>
      </w:r>
      <w:proofErr w:type="spellStart"/>
      <w:r w:rsidRPr="004D57B3">
        <w:rPr>
          <w:i/>
          <w:iCs/>
        </w:rPr>
        <w:t>Medicina</w:t>
      </w:r>
      <w:proofErr w:type="spellEnd"/>
      <w:r w:rsidRPr="004D57B3">
        <w:rPr>
          <w:i/>
          <w:iCs/>
        </w:rPr>
        <w:t xml:space="preserve"> </w:t>
      </w:r>
      <w:proofErr w:type="spellStart"/>
      <w:r w:rsidRPr="004D57B3">
        <w:rPr>
          <w:i/>
          <w:iCs/>
        </w:rPr>
        <w:t>Clinica</w:t>
      </w:r>
      <w:proofErr w:type="spellEnd"/>
      <w:r w:rsidRPr="004D57B3">
        <w:t>, 123 (2), 70-76.</w:t>
      </w:r>
    </w:p>
    <w:p w:rsidR="0048417A" w:rsidRPr="004D57B3" w:rsidRDefault="0048417A" w:rsidP="00836B55">
      <w:r w:rsidRPr="004D57B3">
        <w:rPr>
          <w:lang w:val="nl-NL"/>
        </w:rPr>
        <w:t xml:space="preserve">Yang, XS, Zhang, L et al 2006. </w:t>
      </w:r>
      <w:proofErr w:type="gramStart"/>
      <w:r w:rsidRPr="004D57B3">
        <w:t xml:space="preserve">Current diagnostic status, clinical and pathologic manifestation for a Crohn's disease, </w:t>
      </w:r>
      <w:r w:rsidRPr="004D57B3">
        <w:rPr>
          <w:i/>
        </w:rPr>
        <w:t xml:space="preserve">Beijing da </w:t>
      </w:r>
      <w:proofErr w:type="spellStart"/>
      <w:r w:rsidRPr="004D57B3">
        <w:rPr>
          <w:i/>
        </w:rPr>
        <w:t>xue</w:t>
      </w:r>
      <w:proofErr w:type="spellEnd"/>
      <w:r w:rsidRPr="004D57B3">
        <w:rPr>
          <w:i/>
        </w:rPr>
        <w:t xml:space="preserve"> </w:t>
      </w:r>
      <w:proofErr w:type="spellStart"/>
      <w:r w:rsidRPr="004D57B3">
        <w:rPr>
          <w:i/>
        </w:rPr>
        <w:t>xue</w:t>
      </w:r>
      <w:proofErr w:type="spellEnd"/>
      <w:r w:rsidRPr="004D57B3">
        <w:rPr>
          <w:i/>
        </w:rPr>
        <w:t xml:space="preserve"> </w:t>
      </w:r>
      <w:proofErr w:type="spellStart"/>
      <w:r w:rsidRPr="004D57B3">
        <w:rPr>
          <w:i/>
        </w:rPr>
        <w:t>bao.Yi</w:t>
      </w:r>
      <w:proofErr w:type="spellEnd"/>
      <w:r w:rsidRPr="004D57B3">
        <w:rPr>
          <w:i/>
        </w:rPr>
        <w:t xml:space="preserve"> </w:t>
      </w:r>
      <w:proofErr w:type="spellStart"/>
      <w:r w:rsidRPr="004D57B3">
        <w:rPr>
          <w:i/>
        </w:rPr>
        <w:t>xue</w:t>
      </w:r>
      <w:proofErr w:type="spellEnd"/>
      <w:r w:rsidRPr="004D57B3">
        <w:rPr>
          <w:i/>
        </w:rPr>
        <w:t xml:space="preserve"> ban </w:t>
      </w:r>
      <w:r w:rsidRPr="004D57B3">
        <w:t>[Journal of Peking University Health sciences], 38 (4), 407-410.</w:t>
      </w:r>
      <w:proofErr w:type="gramEnd"/>
    </w:p>
    <w:p w:rsidR="0048417A" w:rsidRPr="004D57B3" w:rsidRDefault="0048417A" w:rsidP="00836B55">
      <w:pPr>
        <w:pStyle w:val="Heading3"/>
        <w:tabs>
          <w:tab w:val="left" w:pos="2445"/>
        </w:tabs>
      </w:pPr>
      <w:r w:rsidRPr="004D57B3">
        <w:t>Excluded superseded primary study</w:t>
      </w:r>
    </w:p>
    <w:p w:rsidR="0048417A" w:rsidRPr="004D57B3" w:rsidRDefault="0048417A" w:rsidP="00836B55">
      <w:proofErr w:type="spellStart"/>
      <w:r w:rsidRPr="004D57B3">
        <w:t>Eliakim</w:t>
      </w:r>
      <w:proofErr w:type="spellEnd"/>
      <w:r w:rsidRPr="004D57B3">
        <w:t xml:space="preserve">, R, Fischer, D et al 2003. Wireless capsule video endoscopy is a superior diagnostic tool in comparison to barium follow-through and computerized tomography in patients with suspected Crohn's disease, </w:t>
      </w:r>
      <w:r w:rsidRPr="004D57B3">
        <w:rPr>
          <w:i/>
          <w:iCs/>
        </w:rPr>
        <w:t xml:space="preserve">European Journal of Gastroenterology and </w:t>
      </w:r>
      <w:proofErr w:type="spellStart"/>
      <w:r w:rsidRPr="004D57B3">
        <w:rPr>
          <w:i/>
          <w:iCs/>
        </w:rPr>
        <w:t>Hepatology</w:t>
      </w:r>
      <w:proofErr w:type="spellEnd"/>
      <w:r w:rsidRPr="004D57B3">
        <w:t>, 15 (4), 363-367.</w:t>
      </w:r>
    </w:p>
    <w:p w:rsidR="0048417A" w:rsidRPr="004D57B3" w:rsidRDefault="0048417A" w:rsidP="00836B55">
      <w:pPr>
        <w:sectPr w:rsidR="0048417A" w:rsidRPr="004D57B3" w:rsidSect="00836B55">
          <w:pgSz w:w="11906" w:h="16838"/>
          <w:pgMar w:top="1440" w:right="1440" w:bottom="1440" w:left="1440" w:header="720" w:footer="720" w:gutter="0"/>
          <w:paperSrc w:first="7" w:other="7"/>
          <w:cols w:space="720"/>
          <w:docGrid w:linePitch="326"/>
        </w:sectPr>
      </w:pPr>
    </w:p>
    <w:p w:rsidR="0048417A" w:rsidRPr="004D57B3" w:rsidRDefault="0048417A" w:rsidP="00836B55">
      <w:pPr>
        <w:pStyle w:val="Heading1"/>
      </w:pPr>
      <w:bookmarkStart w:id="276" w:name="_Ref283369258"/>
      <w:bookmarkStart w:id="277" w:name="_Toc296517913"/>
      <w:r w:rsidRPr="004D57B3">
        <w:lastRenderedPageBreak/>
        <w:t xml:space="preserve">Appendix </w:t>
      </w:r>
      <w:r w:rsidR="00AE591B">
        <w:fldChar w:fldCharType="begin"/>
      </w:r>
      <w:r w:rsidR="00AE591B">
        <w:instrText xml:space="preserve"> SEQ Appendix \* ALPHABETIC </w:instrText>
      </w:r>
      <w:r w:rsidR="00AE591B">
        <w:fldChar w:fldCharType="separate"/>
      </w:r>
      <w:r>
        <w:rPr>
          <w:noProof/>
        </w:rPr>
        <w:t>F</w:t>
      </w:r>
      <w:r w:rsidR="00AE591B">
        <w:rPr>
          <w:noProof/>
        </w:rPr>
        <w:fldChar w:fldCharType="end"/>
      </w:r>
      <w:bookmarkEnd w:id="276"/>
      <w:r w:rsidRPr="004D57B3">
        <w:tab/>
        <w:t>Ongoing studies</w:t>
      </w:r>
      <w:bookmarkEnd w:id="277"/>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22"/>
        <w:gridCol w:w="3628"/>
        <w:gridCol w:w="4166"/>
        <w:gridCol w:w="3628"/>
      </w:tblGrid>
      <w:tr w:rsidR="0048417A" w:rsidRPr="004D57B3" w:rsidTr="00836B55">
        <w:trPr>
          <w:trHeight w:val="130"/>
          <w:tblHeader/>
        </w:trPr>
        <w:tc>
          <w:tcPr>
            <w:tcW w:w="904" w:type="pct"/>
            <w:shd w:val="clear" w:color="auto" w:fill="F3F3F3"/>
          </w:tcPr>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Author</w:t>
            </w:r>
            <w:r>
              <w:rPr>
                <w:rFonts w:ascii="Arial Narrow" w:hAnsi="Arial Narrow" w:cs="Arial"/>
                <w:b/>
                <w:sz w:val="18"/>
                <w:szCs w:val="18"/>
              </w:rPr>
              <w:t>/</w:t>
            </w:r>
            <w:r w:rsidRPr="004D57B3">
              <w:rPr>
                <w:rFonts w:ascii="Arial Narrow" w:hAnsi="Arial Narrow" w:cs="Arial"/>
                <w:b/>
                <w:sz w:val="18"/>
                <w:szCs w:val="18"/>
              </w:rPr>
              <w:t>Year</w:t>
            </w:r>
          </w:p>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Setting</w:t>
            </w:r>
          </w:p>
          <w:p w:rsidR="0048417A" w:rsidRPr="0001266B" w:rsidRDefault="0048417A" w:rsidP="00836B55">
            <w:pPr>
              <w:spacing w:before="40" w:after="20"/>
              <w:ind w:left="57" w:right="57" w:firstLine="51"/>
              <w:rPr>
                <w:rFonts w:ascii="Arial Narrow" w:hAnsi="Arial Narrow" w:cs="Arial"/>
                <w:b/>
                <w:sz w:val="18"/>
                <w:szCs w:val="18"/>
              </w:rPr>
            </w:pPr>
            <w:r w:rsidRPr="0001266B">
              <w:rPr>
                <w:rFonts w:ascii="Arial Narrow" w:hAnsi="Arial Narrow" w:cs="Arial"/>
                <w:b/>
                <w:sz w:val="18"/>
                <w:szCs w:val="18"/>
              </w:rPr>
              <w:t>n</w:t>
            </w:r>
          </w:p>
        </w:tc>
        <w:tc>
          <w:tcPr>
            <w:tcW w:w="1301" w:type="pct"/>
            <w:shd w:val="clear" w:color="auto" w:fill="F3F3F3"/>
          </w:tcPr>
          <w:p w:rsidR="0048417A" w:rsidRPr="004D57B3" w:rsidRDefault="0048417A" w:rsidP="00836B55">
            <w:pPr>
              <w:spacing w:before="40" w:after="20"/>
              <w:ind w:left="57" w:right="57" w:firstLine="51"/>
              <w:rPr>
                <w:rFonts w:ascii="Arial Narrow" w:hAnsi="Arial Narrow" w:cs="Arial"/>
                <w:b/>
                <w:sz w:val="18"/>
                <w:szCs w:val="18"/>
              </w:rPr>
            </w:pPr>
            <w:r w:rsidRPr="004D57B3">
              <w:rPr>
                <w:rFonts w:ascii="Arial Narrow" w:hAnsi="Arial Narrow" w:cs="Arial"/>
                <w:b/>
                <w:sz w:val="18"/>
                <w:szCs w:val="18"/>
              </w:rPr>
              <w:t>Study objective</w:t>
            </w:r>
          </w:p>
          <w:p w:rsidR="0048417A" w:rsidRPr="004D57B3" w:rsidRDefault="0048417A" w:rsidP="00836B55">
            <w:pPr>
              <w:spacing w:before="40" w:after="20"/>
              <w:ind w:left="57" w:right="57" w:firstLine="51"/>
              <w:rPr>
                <w:rFonts w:ascii="Arial Narrow" w:hAnsi="Arial Narrow" w:cs="Arial"/>
                <w:b/>
                <w:sz w:val="18"/>
                <w:szCs w:val="18"/>
              </w:rPr>
            </w:pPr>
            <w:r>
              <w:rPr>
                <w:rFonts w:ascii="Arial Narrow" w:hAnsi="Arial Narrow" w:cs="Arial"/>
                <w:b/>
                <w:sz w:val="18"/>
                <w:szCs w:val="18"/>
              </w:rPr>
              <w:t>and</w:t>
            </w:r>
            <w:r w:rsidRPr="004D57B3">
              <w:rPr>
                <w:rFonts w:ascii="Arial Narrow" w:hAnsi="Arial Narrow" w:cs="Arial"/>
                <w:b/>
                <w:sz w:val="18"/>
                <w:szCs w:val="18"/>
              </w:rPr>
              <w:t xml:space="preserve"> design</w:t>
            </w:r>
          </w:p>
        </w:tc>
        <w:tc>
          <w:tcPr>
            <w:tcW w:w="1494" w:type="pct"/>
            <w:shd w:val="clear" w:color="auto" w:fill="F3F3F3"/>
          </w:tcPr>
          <w:p w:rsidR="0048417A" w:rsidRPr="004D57B3" w:rsidRDefault="0048417A" w:rsidP="00836B55">
            <w:pPr>
              <w:spacing w:before="40" w:after="20"/>
              <w:ind w:left="57" w:right="57" w:firstLine="51"/>
              <w:rPr>
                <w:rFonts w:ascii="Arial Narrow" w:hAnsi="Arial Narrow" w:cs="Arial"/>
                <w:b/>
                <w:sz w:val="18"/>
                <w:szCs w:val="18"/>
              </w:rPr>
            </w:pPr>
            <w:r w:rsidRPr="004D57B3">
              <w:rPr>
                <w:rFonts w:ascii="Arial Narrow" w:hAnsi="Arial Narrow" w:cs="Arial"/>
                <w:b/>
                <w:sz w:val="18"/>
                <w:szCs w:val="18"/>
              </w:rPr>
              <w:t>Study population</w:t>
            </w:r>
          </w:p>
        </w:tc>
        <w:tc>
          <w:tcPr>
            <w:tcW w:w="1301" w:type="pct"/>
            <w:shd w:val="clear" w:color="auto" w:fill="F3F3F3"/>
          </w:tcPr>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Results</w:t>
            </w:r>
          </w:p>
        </w:tc>
      </w:tr>
      <w:tr w:rsidR="0048417A" w:rsidRPr="004D57B3" w:rsidTr="00836B55">
        <w:trPr>
          <w:trHeight w:val="6519"/>
        </w:trPr>
        <w:tc>
          <w:tcPr>
            <w:tcW w:w="904" w:type="pct"/>
          </w:tcPr>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NCT01019460</w:t>
            </w:r>
          </w:p>
          <w:p w:rsidR="0048417A" w:rsidRPr="004D57B3" w:rsidRDefault="0048417A" w:rsidP="00836B55">
            <w:pPr>
              <w:spacing w:before="40" w:after="20"/>
              <w:ind w:left="57" w:right="57"/>
              <w:rPr>
                <w:rFonts w:ascii="Arial Narrow" w:hAnsi="Arial Narrow" w:cs="Arial"/>
                <w:sz w:val="18"/>
                <w:szCs w:val="18"/>
              </w:rPr>
            </w:pPr>
          </w:p>
          <w:p w:rsidR="0048417A" w:rsidRPr="004D57B3" w:rsidRDefault="0048417A" w:rsidP="00836B55">
            <w:pPr>
              <w:spacing w:before="40" w:after="20"/>
              <w:ind w:left="57" w:right="57"/>
              <w:rPr>
                <w:rFonts w:ascii="Arial Narrow" w:hAnsi="Arial Narrow" w:cs="Arial"/>
                <w:sz w:val="18"/>
                <w:szCs w:val="18"/>
              </w:rPr>
            </w:pPr>
            <w:r w:rsidRPr="004D57B3">
              <w:rPr>
                <w:rFonts w:ascii="Arial Narrow" w:hAnsi="Arial Narrow" w:cs="Arial"/>
                <w:sz w:val="18"/>
                <w:szCs w:val="18"/>
              </w:rPr>
              <w:t xml:space="preserve">Jensen et al </w:t>
            </w:r>
            <w:r w:rsidRPr="004D57B3">
              <w:rPr>
                <w:rFonts w:ascii="Arial Narrow" w:hAnsi="Arial Narrow" w:cs="Arial"/>
                <w:noProof/>
                <w:sz w:val="18"/>
                <w:szCs w:val="18"/>
              </w:rPr>
              <w:t>(2011)</w:t>
            </w:r>
          </w:p>
          <w:p w:rsidR="0048417A" w:rsidRPr="004D57B3" w:rsidRDefault="0048417A" w:rsidP="00836B55">
            <w:pPr>
              <w:spacing w:before="40" w:after="20"/>
              <w:ind w:left="57" w:right="57"/>
              <w:rPr>
                <w:rFonts w:ascii="Arial Narrow" w:hAnsi="Arial Narrow" w:cs="Arial"/>
                <w:sz w:val="18"/>
                <w:szCs w:val="18"/>
              </w:rPr>
            </w:pPr>
          </w:p>
          <w:p w:rsidR="0048417A" w:rsidRPr="004D57B3" w:rsidRDefault="0048417A" w:rsidP="00836B55">
            <w:pPr>
              <w:spacing w:before="40" w:after="20"/>
              <w:ind w:left="57" w:right="57"/>
              <w:rPr>
                <w:rFonts w:ascii="Arial Narrow" w:hAnsi="Arial Narrow" w:cs="Arial"/>
                <w:sz w:val="18"/>
                <w:szCs w:val="18"/>
              </w:rPr>
            </w:pPr>
            <w:r w:rsidRPr="004D57B3">
              <w:rPr>
                <w:rFonts w:ascii="Arial Narrow" w:hAnsi="Arial Narrow" w:cs="Arial"/>
                <w:sz w:val="18"/>
                <w:szCs w:val="18"/>
              </w:rPr>
              <w:t xml:space="preserve">Denmark-based </w:t>
            </w:r>
          </w:p>
          <w:p w:rsidR="0048417A" w:rsidRPr="004D57B3" w:rsidRDefault="0048417A" w:rsidP="00836B55">
            <w:pPr>
              <w:spacing w:before="40" w:after="20"/>
              <w:ind w:left="57" w:right="57"/>
              <w:rPr>
                <w:rFonts w:ascii="Arial Narrow" w:hAnsi="Arial Narrow" w:cs="Arial"/>
                <w:sz w:val="18"/>
                <w:szCs w:val="18"/>
              </w:rPr>
            </w:pPr>
            <w:r w:rsidRPr="004D57B3">
              <w:rPr>
                <w:rFonts w:ascii="Arial Narrow" w:hAnsi="Arial Narrow" w:cs="Arial"/>
                <w:sz w:val="18"/>
                <w:szCs w:val="18"/>
              </w:rPr>
              <w:t>5 sites</w:t>
            </w:r>
          </w:p>
          <w:p w:rsidR="0048417A" w:rsidRPr="004D57B3" w:rsidRDefault="0048417A" w:rsidP="00836B55">
            <w:pPr>
              <w:spacing w:before="40" w:after="20"/>
              <w:ind w:left="57" w:right="57"/>
              <w:rPr>
                <w:rFonts w:ascii="Arial Narrow" w:hAnsi="Arial Narrow" w:cs="Arial"/>
                <w:sz w:val="18"/>
                <w:szCs w:val="18"/>
              </w:rPr>
            </w:pPr>
            <w:r w:rsidRPr="004D57B3">
              <w:rPr>
                <w:rFonts w:ascii="Arial Narrow" w:hAnsi="Arial Narrow" w:cs="Arial"/>
                <w:sz w:val="18"/>
                <w:szCs w:val="18"/>
              </w:rPr>
              <w:t>Recruitment: From October 2007</w:t>
            </w:r>
          </w:p>
          <w:p w:rsidR="0048417A" w:rsidRPr="004D57B3" w:rsidRDefault="0048417A" w:rsidP="00836B55">
            <w:pPr>
              <w:spacing w:before="40" w:after="20"/>
              <w:ind w:left="57" w:right="57"/>
              <w:rPr>
                <w:rFonts w:ascii="Arial Narrow" w:hAnsi="Arial Narrow" w:cs="Arial"/>
                <w:sz w:val="18"/>
                <w:szCs w:val="18"/>
              </w:rPr>
            </w:pPr>
          </w:p>
          <w:p w:rsidR="0048417A" w:rsidRPr="004D57B3" w:rsidRDefault="0048417A" w:rsidP="00836B55">
            <w:pPr>
              <w:spacing w:before="40" w:after="20"/>
              <w:ind w:left="57" w:right="57"/>
              <w:rPr>
                <w:rFonts w:ascii="Arial Narrow" w:hAnsi="Arial Narrow" w:cs="Arial"/>
                <w:sz w:val="18"/>
                <w:szCs w:val="18"/>
              </w:rPr>
            </w:pPr>
            <w:r>
              <w:rPr>
                <w:rFonts w:ascii="Arial Narrow" w:hAnsi="Arial Narrow" w:cs="Arial"/>
                <w:i/>
                <w:sz w:val="18"/>
                <w:szCs w:val="18"/>
              </w:rPr>
              <w:t>n</w:t>
            </w:r>
            <w:r w:rsidRPr="004D57B3">
              <w:rPr>
                <w:rFonts w:ascii="Arial Narrow" w:hAnsi="Arial Narrow" w:cs="Arial"/>
                <w:sz w:val="18"/>
                <w:szCs w:val="18"/>
              </w:rPr>
              <w:t>=150</w:t>
            </w:r>
          </w:p>
          <w:p w:rsidR="0048417A" w:rsidRPr="004D57B3" w:rsidRDefault="0048417A" w:rsidP="00836B55">
            <w:pPr>
              <w:spacing w:before="40" w:after="20"/>
              <w:ind w:left="57" w:right="57"/>
              <w:rPr>
                <w:rFonts w:ascii="Arial Narrow" w:hAnsi="Arial Narrow" w:cs="Arial"/>
                <w:sz w:val="18"/>
                <w:szCs w:val="18"/>
              </w:rPr>
            </w:pPr>
          </w:p>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Follow-up</w:t>
            </w:r>
          </w:p>
          <w:p w:rsidR="0048417A" w:rsidRPr="004D57B3" w:rsidRDefault="0048417A" w:rsidP="00836B55">
            <w:pPr>
              <w:spacing w:before="40" w:after="20"/>
              <w:ind w:left="57" w:right="57"/>
              <w:rPr>
                <w:rFonts w:ascii="Arial Narrow" w:hAnsi="Arial Narrow" w:cs="Arial"/>
                <w:sz w:val="18"/>
                <w:szCs w:val="18"/>
              </w:rPr>
            </w:pPr>
            <w:r w:rsidRPr="004D57B3">
              <w:rPr>
                <w:rFonts w:ascii="Arial Narrow" w:hAnsi="Arial Narrow" w:cs="Arial"/>
                <w:sz w:val="18"/>
                <w:szCs w:val="18"/>
              </w:rPr>
              <w:t xml:space="preserve">12 months </w:t>
            </w:r>
            <w:r>
              <w:rPr>
                <w:rFonts w:ascii="Arial Narrow" w:hAnsi="Arial Narrow" w:cs="Arial"/>
                <w:sz w:val="18"/>
                <w:szCs w:val="18"/>
              </w:rPr>
              <w:t>follow-up</w:t>
            </w:r>
          </w:p>
          <w:p w:rsidR="0048417A" w:rsidRPr="004D57B3" w:rsidRDefault="0048417A" w:rsidP="00836B55">
            <w:pPr>
              <w:spacing w:before="40" w:after="20"/>
              <w:ind w:left="57" w:right="57"/>
              <w:rPr>
                <w:rFonts w:ascii="Arial Narrow" w:hAnsi="Arial Narrow" w:cs="Arial"/>
                <w:b/>
                <w:sz w:val="18"/>
                <w:szCs w:val="18"/>
              </w:rPr>
            </w:pPr>
          </w:p>
          <w:p w:rsidR="0048417A" w:rsidRPr="004D57B3" w:rsidRDefault="0048417A" w:rsidP="00836B55">
            <w:pPr>
              <w:spacing w:before="40" w:after="20"/>
              <w:ind w:left="57" w:right="57"/>
              <w:rPr>
                <w:rFonts w:ascii="Arial Narrow" w:hAnsi="Arial Narrow" w:cs="Arial"/>
                <w:sz w:val="18"/>
                <w:szCs w:val="18"/>
              </w:rPr>
            </w:pPr>
            <w:r w:rsidRPr="004D57B3">
              <w:rPr>
                <w:rFonts w:ascii="Arial Narrow" w:hAnsi="Arial Narrow" w:cs="Arial"/>
                <w:b/>
                <w:sz w:val="18"/>
                <w:szCs w:val="18"/>
              </w:rPr>
              <w:t>Sponsor/Collaborators:</w:t>
            </w:r>
          </w:p>
          <w:p w:rsidR="0048417A" w:rsidRPr="004D57B3" w:rsidRDefault="0048417A" w:rsidP="00836B55">
            <w:pPr>
              <w:pStyle w:val="TableText"/>
              <w:spacing w:before="0" w:after="0"/>
              <w:ind w:left="57"/>
            </w:pPr>
            <w:r w:rsidRPr="004D57B3">
              <w:t>University of Southern Denmark,</w:t>
            </w:r>
          </w:p>
          <w:p w:rsidR="0048417A" w:rsidRPr="004D57B3" w:rsidRDefault="0048417A" w:rsidP="00836B55">
            <w:pPr>
              <w:pStyle w:val="TableText"/>
              <w:spacing w:before="0" w:after="0"/>
              <w:ind w:left="57"/>
            </w:pPr>
            <w:r w:rsidRPr="004D57B3">
              <w:t>Odense Private Hospital</w:t>
            </w:r>
          </w:p>
          <w:p w:rsidR="0048417A" w:rsidRPr="004D57B3" w:rsidRDefault="0048417A" w:rsidP="00836B55">
            <w:pPr>
              <w:pStyle w:val="TableText"/>
              <w:spacing w:before="0" w:after="0"/>
              <w:ind w:left="57"/>
            </w:pPr>
            <w:proofErr w:type="spellStart"/>
            <w:r w:rsidRPr="004D57B3">
              <w:t>Vejle</w:t>
            </w:r>
            <w:proofErr w:type="spellEnd"/>
            <w:r w:rsidRPr="004D57B3">
              <w:t xml:space="preserve"> Hospital</w:t>
            </w:r>
          </w:p>
          <w:p w:rsidR="0048417A" w:rsidRPr="004D57B3" w:rsidRDefault="0048417A" w:rsidP="00836B55">
            <w:pPr>
              <w:spacing w:before="40" w:after="20"/>
              <w:ind w:left="57" w:right="57"/>
              <w:rPr>
                <w:rFonts w:ascii="Arial Narrow" w:hAnsi="Arial Narrow" w:cs="Arial"/>
                <w:sz w:val="18"/>
                <w:szCs w:val="18"/>
              </w:rPr>
            </w:pPr>
          </w:p>
        </w:tc>
        <w:tc>
          <w:tcPr>
            <w:tcW w:w="1301" w:type="pct"/>
          </w:tcPr>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Objective</w:t>
            </w:r>
            <w:r>
              <w:rPr>
                <w:rFonts w:ascii="Arial Narrow" w:hAnsi="Arial Narrow" w:cs="Arial"/>
                <w:b/>
                <w:sz w:val="18"/>
                <w:szCs w:val="18"/>
              </w:rPr>
              <w:t>:</w:t>
            </w:r>
          </w:p>
          <w:p w:rsidR="0048417A" w:rsidRPr="004D57B3" w:rsidRDefault="0048417A" w:rsidP="00836B55">
            <w:pPr>
              <w:pStyle w:val="TableText"/>
              <w:ind w:left="57"/>
              <w:rPr>
                <w:sz w:val="20"/>
              </w:rPr>
            </w:pPr>
            <w:r w:rsidRPr="004D57B3">
              <w:t>To evaluate three diagnostic methods for assessing small bowel disease in patients with suspected or known Crohn's disease (</w:t>
            </w:r>
            <w:proofErr w:type="spellStart"/>
            <w:r w:rsidRPr="004D57B3">
              <w:t>ileo</w:t>
            </w:r>
            <w:proofErr w:type="spellEnd"/>
            <w:r w:rsidRPr="004D57B3">
              <w:t xml:space="preserve">-colonoscopy, MRI, CT of the small bowel and, if no stenosis was detected, capsule endoscopy). To establish the diagnostic validity and inter-observer agreement of MRI, CT and capsule endoscopy and establish the optimal diagnostic strategy in these </w:t>
            </w:r>
            <w:r>
              <w:t>2</w:t>
            </w:r>
            <w:r w:rsidRPr="004D57B3">
              <w:t xml:space="preserve"> patient categories.</w:t>
            </w:r>
          </w:p>
          <w:p w:rsidR="0048417A" w:rsidRPr="004D57B3" w:rsidRDefault="0048417A" w:rsidP="00836B55">
            <w:pPr>
              <w:spacing w:before="40" w:after="20"/>
              <w:ind w:left="57" w:right="57"/>
              <w:rPr>
                <w:rFonts w:ascii="Arial Narrow" w:hAnsi="Arial Narrow" w:cs="Arial"/>
                <w:sz w:val="18"/>
                <w:szCs w:val="18"/>
              </w:rPr>
            </w:pPr>
          </w:p>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Study design</w:t>
            </w:r>
            <w:r>
              <w:rPr>
                <w:rFonts w:ascii="Arial Narrow" w:hAnsi="Arial Narrow" w:cs="Arial"/>
                <w:b/>
                <w:sz w:val="18"/>
                <w:szCs w:val="18"/>
              </w:rPr>
              <w:t>:</w:t>
            </w:r>
          </w:p>
          <w:p w:rsidR="0048417A" w:rsidRPr="004D57B3" w:rsidRDefault="0048417A" w:rsidP="00836B55">
            <w:pPr>
              <w:pStyle w:val="TableText"/>
              <w:ind w:left="57"/>
            </w:pPr>
            <w:r w:rsidRPr="004D57B3">
              <w:t>Comparative, diagnostic accuracy study. Subject and caregiver are blinded.</w:t>
            </w:r>
          </w:p>
          <w:p w:rsidR="0048417A" w:rsidRPr="004D57B3" w:rsidRDefault="0048417A" w:rsidP="00836B55">
            <w:pPr>
              <w:pStyle w:val="TableText"/>
              <w:ind w:left="57"/>
            </w:pPr>
          </w:p>
          <w:p w:rsidR="0048417A" w:rsidRPr="004D57B3" w:rsidRDefault="0048417A" w:rsidP="00836B55">
            <w:pPr>
              <w:pStyle w:val="TableText"/>
              <w:ind w:left="57"/>
            </w:pPr>
            <w:r w:rsidRPr="004D57B3">
              <w:rPr>
                <w:rFonts w:cs="Arial Narrow"/>
              </w:rPr>
              <w:t>﻿</w:t>
            </w:r>
            <w:r w:rsidRPr="004D57B3">
              <w:t xml:space="preserve">At inclusion all patients will have a standardised work-up including medical history, physical examination, blood and faeces samples and </w:t>
            </w:r>
            <w:proofErr w:type="spellStart"/>
            <w:r w:rsidRPr="004D57B3">
              <w:t>ileo</w:t>
            </w:r>
            <w:proofErr w:type="spellEnd"/>
            <w:r w:rsidRPr="004D57B3">
              <w:t xml:space="preserve">-colonoscopy. Within </w:t>
            </w:r>
            <w:r>
              <w:t>2</w:t>
            </w:r>
            <w:r w:rsidRPr="004D57B3">
              <w:t xml:space="preserve"> weeks MRI and CT scanning of the small intestine are performed (on the same day and in randomised order) and, if no stenosis is found, CE. </w:t>
            </w:r>
          </w:p>
          <w:p w:rsidR="0048417A" w:rsidRPr="004D57B3" w:rsidRDefault="0048417A" w:rsidP="00836B55">
            <w:pPr>
              <w:pStyle w:val="TableText"/>
              <w:ind w:left="57"/>
            </w:pPr>
          </w:p>
          <w:p w:rsidR="0048417A" w:rsidRPr="004D57B3" w:rsidRDefault="0048417A" w:rsidP="00836B55">
            <w:pPr>
              <w:pStyle w:val="TableText"/>
              <w:ind w:left="57"/>
              <w:rPr>
                <w:rFonts w:cs="Arial"/>
                <w:szCs w:val="18"/>
              </w:rPr>
            </w:pPr>
            <w:r w:rsidRPr="004D57B3">
              <w:t xml:space="preserve">All investigations are described in a similar pre-defined and standardised fashion and the radiologist and physician responsible for describing the findings at MRI, CT and CE are blinded to the findings at </w:t>
            </w:r>
            <w:proofErr w:type="spellStart"/>
            <w:r w:rsidRPr="004D57B3">
              <w:t>ileo</w:t>
            </w:r>
            <w:proofErr w:type="spellEnd"/>
            <w:r w:rsidRPr="004D57B3">
              <w:t xml:space="preserve">-colonoscopy and other small bowel examinations. In </w:t>
            </w:r>
            <w:r>
              <w:t>follow-up</w:t>
            </w:r>
            <w:r w:rsidRPr="004D57B3">
              <w:t xml:space="preserve">, the treating physician receives a randomised result (MRI, CT or CE) and patients are followed up for </w:t>
            </w:r>
            <w:r>
              <w:t>12</w:t>
            </w:r>
            <w:r w:rsidRPr="004D57B3">
              <w:t xml:space="preserve"> months to evaluate differences in clinical outcome. </w:t>
            </w:r>
          </w:p>
        </w:tc>
        <w:tc>
          <w:tcPr>
            <w:tcW w:w="1494" w:type="pct"/>
          </w:tcPr>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Inclusion criteria</w:t>
            </w:r>
            <w:r>
              <w:rPr>
                <w:rFonts w:ascii="Arial Narrow" w:hAnsi="Arial Narrow" w:cs="Arial"/>
                <w:b/>
                <w:sz w:val="18"/>
                <w:szCs w:val="18"/>
              </w:rPr>
              <w:t>:</w:t>
            </w:r>
          </w:p>
          <w:p w:rsidR="0048417A" w:rsidRPr="004D57B3" w:rsidRDefault="0048417A" w:rsidP="00836B55">
            <w:pPr>
              <w:pStyle w:val="TableText"/>
              <w:numPr>
                <w:ilvl w:val="0"/>
                <w:numId w:val="12"/>
              </w:numPr>
            </w:pPr>
            <w:r>
              <w:t>a</w:t>
            </w:r>
            <w:r w:rsidRPr="004D57B3">
              <w:t>ge &gt;15 years</w:t>
            </w:r>
          </w:p>
          <w:p w:rsidR="0048417A" w:rsidRPr="004D57B3" w:rsidRDefault="0048417A" w:rsidP="00836B55">
            <w:pPr>
              <w:pStyle w:val="TableText"/>
              <w:numPr>
                <w:ilvl w:val="0"/>
                <w:numId w:val="12"/>
              </w:numPr>
            </w:pPr>
            <w:proofErr w:type="gramStart"/>
            <w:r>
              <w:t>w</w:t>
            </w:r>
            <w:r w:rsidRPr="004D57B3">
              <w:t>ritten</w:t>
            </w:r>
            <w:proofErr w:type="gramEnd"/>
            <w:r w:rsidRPr="004D57B3">
              <w:t xml:space="preserve"> informed consent</w:t>
            </w:r>
            <w:r>
              <w:t>.</w:t>
            </w:r>
          </w:p>
          <w:p w:rsidR="0048417A" w:rsidRPr="004D57B3" w:rsidRDefault="0048417A" w:rsidP="00836B55">
            <w:pPr>
              <w:pStyle w:val="TableText"/>
              <w:ind w:left="57"/>
            </w:pPr>
            <w:r w:rsidRPr="004D57B3">
              <w:t>Patients with established CD included if assessment of small bowel disease was necessary prior to expected surgery or a change in medical therapy.</w:t>
            </w:r>
          </w:p>
          <w:p w:rsidR="0048417A" w:rsidRPr="004D57B3" w:rsidRDefault="0048417A" w:rsidP="00836B55">
            <w:pPr>
              <w:pStyle w:val="TableText"/>
              <w:ind w:left="57"/>
            </w:pPr>
            <w:r w:rsidRPr="004D57B3">
              <w:t>Patients with suspected CD included on either clinical, endoscopic or histological criteria or a combination of these.</w:t>
            </w:r>
          </w:p>
          <w:p w:rsidR="0048417A" w:rsidRPr="004D57B3" w:rsidRDefault="0048417A" w:rsidP="00836B55">
            <w:pPr>
              <w:pStyle w:val="TableText"/>
              <w:numPr>
                <w:ilvl w:val="0"/>
                <w:numId w:val="13"/>
              </w:numPr>
            </w:pPr>
            <w:r w:rsidRPr="004D57B3">
              <w:t xml:space="preserve">Clinical criteria: Diarrhoea and/or abdominal pain for more than 1 month (or repeated episodes) associated with at least </w:t>
            </w:r>
            <w:r>
              <w:t>1</w:t>
            </w:r>
            <w:r w:rsidRPr="004D57B3">
              <w:t xml:space="preserve"> of: CRP </w:t>
            </w:r>
            <w:r>
              <w:t>&gt;</w:t>
            </w:r>
            <w:r w:rsidRPr="004D57B3">
              <w:t>5 mg/l, thrombocytosis, anaemia, fever, weight loss, perianal abscess/fistula or a family history of inflammatory bowel disease.</w:t>
            </w:r>
          </w:p>
          <w:p w:rsidR="0048417A" w:rsidRPr="004D57B3" w:rsidRDefault="0048417A" w:rsidP="00836B55">
            <w:pPr>
              <w:pStyle w:val="TableText"/>
              <w:numPr>
                <w:ilvl w:val="0"/>
                <w:numId w:val="13"/>
              </w:numPr>
            </w:pPr>
            <w:r w:rsidRPr="004D57B3">
              <w:t xml:space="preserve">Endoscopic criteria (≥1): Ulcerations and/or stenosis in the terminal ileum, inflammation in the colon not involving the rectum, and </w:t>
            </w:r>
            <w:proofErr w:type="spellStart"/>
            <w:r w:rsidRPr="004D57B3">
              <w:t>aphthous</w:t>
            </w:r>
            <w:proofErr w:type="spellEnd"/>
            <w:r w:rsidRPr="004D57B3">
              <w:t xml:space="preserve"> ulcerations in the colon.</w:t>
            </w:r>
          </w:p>
          <w:p w:rsidR="0048417A" w:rsidRPr="004D57B3" w:rsidRDefault="0048417A" w:rsidP="00836B55">
            <w:pPr>
              <w:pStyle w:val="TableText"/>
              <w:numPr>
                <w:ilvl w:val="0"/>
                <w:numId w:val="13"/>
              </w:numPr>
            </w:pPr>
            <w:r w:rsidRPr="004D57B3">
              <w:t xml:space="preserve">Histological criteria (≥1): </w:t>
            </w:r>
            <w:proofErr w:type="spellStart"/>
            <w:r w:rsidRPr="004D57B3">
              <w:t>Epitheloid</w:t>
            </w:r>
            <w:proofErr w:type="spellEnd"/>
            <w:r w:rsidRPr="004D57B3">
              <w:t xml:space="preserve"> cell granulomas, chronic inflammation in the lamina </w:t>
            </w:r>
            <w:proofErr w:type="spellStart"/>
            <w:r w:rsidRPr="004D57B3">
              <w:t>muscularis</w:t>
            </w:r>
            <w:proofErr w:type="spellEnd"/>
            <w:r w:rsidRPr="004D57B3">
              <w:t xml:space="preserve"> mucosae or deeper and chronic inflammation in the colon not involving the rectum.</w:t>
            </w:r>
          </w:p>
          <w:p w:rsidR="0048417A" w:rsidRPr="004D57B3" w:rsidRDefault="0048417A" w:rsidP="00836B55">
            <w:pPr>
              <w:pStyle w:val="TableText"/>
              <w:ind w:left="57"/>
              <w:rPr>
                <w:b/>
              </w:rPr>
            </w:pPr>
            <w:r w:rsidRPr="004D57B3">
              <w:rPr>
                <w:b/>
              </w:rPr>
              <w:t>Exclusion criteria</w:t>
            </w:r>
            <w:r>
              <w:rPr>
                <w:b/>
              </w:rPr>
              <w:t>:</w:t>
            </w:r>
          </w:p>
          <w:p w:rsidR="0048417A" w:rsidRPr="004D57B3" w:rsidRDefault="0048417A" w:rsidP="00260BB3">
            <w:pPr>
              <w:pStyle w:val="TableText"/>
              <w:ind w:left="57"/>
              <w:rPr>
                <w:rFonts w:cs="Arial"/>
                <w:szCs w:val="18"/>
              </w:rPr>
            </w:pPr>
            <w:r w:rsidRPr="004D57B3">
              <w:t>Acute bowel obstruction, elevated serum-creatinine, severe claustrophobia, cardiac pacemaker, implanted magnetic foreign bodies, use of NSAIDs, pregnancy and lactation</w:t>
            </w:r>
            <w:r>
              <w:t>.</w:t>
            </w:r>
            <w:r w:rsidR="00260BB3" w:rsidRPr="004D57B3">
              <w:rPr>
                <w:rFonts w:cs="Arial"/>
                <w:szCs w:val="18"/>
              </w:rPr>
              <w:t xml:space="preserve"> </w:t>
            </w:r>
          </w:p>
        </w:tc>
        <w:tc>
          <w:tcPr>
            <w:tcW w:w="1301" w:type="pct"/>
          </w:tcPr>
          <w:p w:rsidR="0048417A" w:rsidRPr="004D57B3" w:rsidRDefault="0048417A" w:rsidP="00836B55">
            <w:pPr>
              <w:spacing w:before="40" w:after="20"/>
              <w:ind w:left="57" w:right="57"/>
              <w:rPr>
                <w:rFonts w:ascii="Arial Narrow" w:hAnsi="Arial Narrow" w:cs="Arial"/>
                <w:b/>
                <w:sz w:val="18"/>
                <w:szCs w:val="18"/>
              </w:rPr>
            </w:pPr>
            <w:r w:rsidRPr="004D57B3">
              <w:rPr>
                <w:rFonts w:ascii="Arial Narrow" w:hAnsi="Arial Narrow" w:cs="Arial"/>
                <w:b/>
                <w:sz w:val="18"/>
                <w:szCs w:val="18"/>
              </w:rPr>
              <w:t>Outcomes</w:t>
            </w:r>
            <w:r>
              <w:rPr>
                <w:rFonts w:ascii="Arial Narrow" w:hAnsi="Arial Narrow" w:cs="Arial"/>
                <w:b/>
                <w:sz w:val="18"/>
                <w:szCs w:val="18"/>
              </w:rPr>
              <w:t>:</w:t>
            </w:r>
          </w:p>
          <w:p w:rsidR="0048417A" w:rsidRPr="004D57B3" w:rsidRDefault="0048417A" w:rsidP="00836B55">
            <w:pPr>
              <w:spacing w:before="40" w:after="20"/>
              <w:ind w:left="57" w:right="57"/>
              <w:rPr>
                <w:rFonts w:ascii="Arial Narrow" w:hAnsi="Arial Narrow" w:cs="Arial"/>
                <w:i/>
                <w:sz w:val="18"/>
                <w:szCs w:val="18"/>
              </w:rPr>
            </w:pPr>
            <w:r w:rsidRPr="004D57B3">
              <w:rPr>
                <w:rFonts w:ascii="Arial Narrow" w:hAnsi="Arial Narrow" w:cs="Arial"/>
                <w:i/>
                <w:sz w:val="18"/>
                <w:szCs w:val="18"/>
              </w:rPr>
              <w:t>Primary end point</w:t>
            </w:r>
          </w:p>
          <w:p w:rsidR="0048417A" w:rsidRPr="004D57B3" w:rsidRDefault="0048417A" w:rsidP="00836B55">
            <w:pPr>
              <w:pStyle w:val="TableText"/>
              <w:ind w:left="57"/>
              <w:rPr>
                <w:sz w:val="20"/>
              </w:rPr>
            </w:pPr>
            <w:r w:rsidRPr="004D57B3">
              <w:t>Sensitivity and specificity for CT, MRI and CE</w:t>
            </w:r>
          </w:p>
          <w:p w:rsidR="0048417A" w:rsidRPr="004D57B3" w:rsidRDefault="0048417A" w:rsidP="00836B55">
            <w:pPr>
              <w:spacing w:before="40" w:after="20"/>
              <w:ind w:left="57" w:right="57"/>
              <w:rPr>
                <w:rFonts w:ascii="Arial Narrow" w:hAnsi="Arial Narrow" w:cs="Arial"/>
                <w:i/>
                <w:sz w:val="18"/>
                <w:szCs w:val="18"/>
              </w:rPr>
            </w:pPr>
          </w:p>
          <w:p w:rsidR="0048417A" w:rsidRPr="004D57B3" w:rsidRDefault="0048417A" w:rsidP="00836B55">
            <w:pPr>
              <w:spacing w:before="40" w:after="20"/>
              <w:ind w:left="57" w:right="57"/>
              <w:rPr>
                <w:rFonts w:ascii="Arial Narrow" w:hAnsi="Arial Narrow" w:cs="Arial"/>
                <w:i/>
                <w:sz w:val="18"/>
                <w:szCs w:val="18"/>
              </w:rPr>
            </w:pPr>
            <w:r w:rsidRPr="004D57B3">
              <w:rPr>
                <w:rFonts w:ascii="Arial Narrow" w:hAnsi="Arial Narrow" w:cs="Arial"/>
                <w:i/>
                <w:sz w:val="18"/>
                <w:szCs w:val="18"/>
              </w:rPr>
              <w:t>Secondary end points</w:t>
            </w:r>
          </w:p>
          <w:p w:rsidR="0048417A" w:rsidRPr="004D57B3" w:rsidRDefault="0048417A" w:rsidP="00836B55">
            <w:pPr>
              <w:pStyle w:val="TableText"/>
              <w:spacing w:before="0"/>
              <w:ind w:left="57"/>
            </w:pPr>
            <w:proofErr w:type="spellStart"/>
            <w:r w:rsidRPr="004D57B3">
              <w:t>Interobserver</w:t>
            </w:r>
            <w:proofErr w:type="spellEnd"/>
            <w:r w:rsidRPr="004D57B3">
              <w:t xml:space="preserve"> variation for CE, MRI and CT </w:t>
            </w:r>
          </w:p>
          <w:p w:rsidR="0048417A" w:rsidRPr="004D57B3" w:rsidRDefault="0048417A" w:rsidP="00836B55">
            <w:pPr>
              <w:pStyle w:val="TableText"/>
              <w:spacing w:before="0"/>
              <w:ind w:left="57"/>
              <w:rPr>
                <w:sz w:val="20"/>
              </w:rPr>
            </w:pPr>
            <w:r w:rsidRPr="004D57B3">
              <w:t>Patient-experienced discomfort</w:t>
            </w:r>
          </w:p>
          <w:p w:rsidR="0048417A" w:rsidRPr="004D57B3" w:rsidRDefault="0048417A" w:rsidP="00836B55">
            <w:pPr>
              <w:spacing w:after="20"/>
              <w:ind w:left="57" w:right="57"/>
              <w:rPr>
                <w:rFonts w:ascii="Arial Narrow" w:hAnsi="Arial Narrow" w:cs="Arial"/>
                <w:sz w:val="18"/>
                <w:szCs w:val="18"/>
              </w:rPr>
            </w:pPr>
          </w:p>
        </w:tc>
      </w:tr>
    </w:tbl>
    <w:p w:rsidR="0048417A" w:rsidRPr="004D57B3" w:rsidRDefault="0048417A" w:rsidP="00836B55">
      <w:pPr>
        <w:ind w:left="0"/>
        <w:sectPr w:rsidR="0048417A" w:rsidRPr="004D57B3" w:rsidSect="00836B55">
          <w:pgSz w:w="16838" w:h="11906" w:orient="landscape"/>
          <w:pgMar w:top="1440" w:right="1440" w:bottom="1440" w:left="1440" w:header="720" w:footer="720" w:gutter="0"/>
          <w:paperSrc w:first="7" w:other="7"/>
          <w:cols w:space="720"/>
          <w:docGrid w:linePitch="326"/>
        </w:sectPr>
      </w:pPr>
    </w:p>
    <w:p w:rsidR="0048417A" w:rsidRPr="004D57B3" w:rsidRDefault="0048417A" w:rsidP="00836B55">
      <w:pPr>
        <w:pStyle w:val="Heading1"/>
        <w:ind w:left="0" w:firstLine="0"/>
      </w:pPr>
      <w:bookmarkStart w:id="278" w:name="_Toc296517914"/>
      <w:bookmarkEnd w:id="272"/>
      <w:r w:rsidRPr="004D57B3">
        <w:lastRenderedPageBreak/>
        <w:t>Glossary and abbreviations</w:t>
      </w:r>
      <w:bookmarkEnd w:id="278"/>
      <w:r w:rsidRPr="004D57B3">
        <w:t xml:space="preserve"> </w:t>
      </w:r>
    </w:p>
    <w:tbl>
      <w:tblPr>
        <w:tblW w:w="0" w:type="auto"/>
        <w:tblInd w:w="720" w:type="dxa"/>
        <w:tblCellMar>
          <w:left w:w="28" w:type="dxa"/>
          <w:right w:w="28" w:type="dxa"/>
        </w:tblCellMar>
        <w:tblLook w:val="01E0" w:firstRow="1" w:lastRow="1" w:firstColumn="1" w:lastColumn="1" w:noHBand="0" w:noVBand="0"/>
      </w:tblPr>
      <w:tblGrid>
        <w:gridCol w:w="1507"/>
        <w:gridCol w:w="6855"/>
      </w:tblGrid>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szCs w:val="24"/>
                <w:lang w:val="en-US" w:eastAsia="en-US"/>
              </w:rPr>
              <w:t>AHMAC</w:t>
            </w:r>
          </w:p>
        </w:tc>
        <w:tc>
          <w:tcPr>
            <w:tcW w:w="6855" w:type="dxa"/>
          </w:tcPr>
          <w:p w:rsidR="0048417A" w:rsidRPr="004D57B3" w:rsidRDefault="0048417A" w:rsidP="00836B55">
            <w:pPr>
              <w:keepNext/>
              <w:tabs>
                <w:tab w:val="left" w:pos="1134"/>
              </w:tabs>
              <w:spacing w:before="40" w:after="40"/>
              <w:ind w:left="0"/>
              <w:rPr>
                <w:bCs/>
              </w:rPr>
            </w:pPr>
            <w:r w:rsidRPr="004D57B3">
              <w:rPr>
                <w:bCs/>
              </w:rPr>
              <w:t>Australian Health Ministers’ Advisory Council</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AIHW</w:t>
            </w:r>
          </w:p>
        </w:tc>
        <w:tc>
          <w:tcPr>
            <w:tcW w:w="6855" w:type="dxa"/>
          </w:tcPr>
          <w:p w:rsidR="0048417A" w:rsidRPr="004D57B3" w:rsidRDefault="0048417A" w:rsidP="00836B55">
            <w:pPr>
              <w:keepNext/>
              <w:tabs>
                <w:tab w:val="left" w:pos="1134"/>
              </w:tabs>
              <w:spacing w:before="40" w:after="40"/>
              <w:ind w:left="0"/>
              <w:rPr>
                <w:bCs/>
              </w:rPr>
            </w:pPr>
            <w:r w:rsidRPr="004D57B3">
              <w:rPr>
                <w:bCs/>
              </w:rPr>
              <w:t>Australian Institute of Health and Welfare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Pr>
                <w:bCs/>
              </w:rPr>
              <w:t>ALOS</w:t>
            </w:r>
          </w:p>
        </w:tc>
        <w:tc>
          <w:tcPr>
            <w:tcW w:w="6855" w:type="dxa"/>
          </w:tcPr>
          <w:p w:rsidR="0048417A" w:rsidRPr="004D57B3" w:rsidRDefault="0048417A" w:rsidP="00836B55">
            <w:pPr>
              <w:keepNext/>
              <w:tabs>
                <w:tab w:val="left" w:pos="1134"/>
              </w:tabs>
              <w:spacing w:before="40" w:after="40"/>
              <w:ind w:left="0"/>
              <w:rPr>
                <w:bCs/>
              </w:rPr>
            </w:pPr>
            <w:r>
              <w:rPr>
                <w:bCs/>
              </w:rPr>
              <w:t>average length of stay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AR-DRG</w:t>
            </w:r>
          </w:p>
        </w:tc>
        <w:tc>
          <w:tcPr>
            <w:tcW w:w="6855" w:type="dxa"/>
          </w:tcPr>
          <w:p w:rsidR="0048417A" w:rsidRPr="004D57B3" w:rsidRDefault="0048417A" w:rsidP="00836B55">
            <w:pPr>
              <w:keepNext/>
              <w:tabs>
                <w:tab w:val="left" w:pos="1134"/>
              </w:tabs>
              <w:spacing w:before="40" w:after="40"/>
              <w:ind w:left="0"/>
              <w:rPr>
                <w:bCs/>
              </w:rPr>
            </w:pPr>
            <w:r w:rsidRPr="004D57B3">
              <w:rPr>
                <w:bCs/>
              </w:rPr>
              <w:t>Australian refined diagnosis related groups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AU</w:t>
            </w:r>
          </w:p>
        </w:tc>
        <w:tc>
          <w:tcPr>
            <w:tcW w:w="6855" w:type="dxa"/>
          </w:tcPr>
          <w:p w:rsidR="0048417A" w:rsidRPr="004D57B3" w:rsidRDefault="0048417A" w:rsidP="00836B55">
            <w:pPr>
              <w:keepNext/>
              <w:tabs>
                <w:tab w:val="left" w:pos="1134"/>
              </w:tabs>
              <w:spacing w:before="40" w:after="40"/>
              <w:ind w:left="0"/>
              <w:rPr>
                <w:bCs/>
              </w:rPr>
            </w:pPr>
            <w:r w:rsidRPr="004D57B3">
              <w:rPr>
                <w:bCs/>
              </w:rPr>
              <w:t>abdominal ultrasound</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AUC</w:t>
            </w:r>
          </w:p>
        </w:tc>
        <w:tc>
          <w:tcPr>
            <w:tcW w:w="6855" w:type="dxa"/>
          </w:tcPr>
          <w:p w:rsidR="0048417A" w:rsidRPr="004D57B3" w:rsidRDefault="0048417A" w:rsidP="00836B55">
            <w:pPr>
              <w:keepNext/>
              <w:tabs>
                <w:tab w:val="left" w:pos="1134"/>
              </w:tabs>
              <w:spacing w:before="40" w:after="40"/>
              <w:ind w:left="0"/>
              <w:rPr>
                <w:bCs/>
              </w:rPr>
            </w:pPr>
            <w:r w:rsidRPr="004D57B3">
              <w:rPr>
                <w:bCs/>
              </w:rPr>
              <w:t>area under the curve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C+IL</w:t>
            </w:r>
          </w:p>
        </w:tc>
        <w:tc>
          <w:tcPr>
            <w:tcW w:w="6855" w:type="dxa"/>
          </w:tcPr>
          <w:p w:rsidR="0048417A" w:rsidRPr="004D57B3" w:rsidRDefault="0048417A" w:rsidP="00836B55">
            <w:pPr>
              <w:keepNext/>
              <w:tabs>
                <w:tab w:val="left" w:pos="1134"/>
              </w:tabs>
              <w:spacing w:before="40" w:after="40"/>
              <w:ind w:left="0"/>
              <w:rPr>
                <w:bCs/>
              </w:rPr>
            </w:pPr>
            <w:r w:rsidRPr="004D57B3">
              <w:rPr>
                <w:bCs/>
              </w:rPr>
              <w:t xml:space="preserve">colonoscopy with attempted </w:t>
            </w:r>
            <w:proofErr w:type="spellStart"/>
            <w:r w:rsidRPr="004D57B3">
              <w:rPr>
                <w:bCs/>
              </w:rPr>
              <w:t>ileoscopy</w:t>
            </w:r>
            <w:proofErr w:type="spellEnd"/>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CD</w:t>
            </w:r>
          </w:p>
        </w:tc>
        <w:tc>
          <w:tcPr>
            <w:tcW w:w="6855" w:type="dxa"/>
          </w:tcPr>
          <w:p w:rsidR="0048417A" w:rsidRPr="004D57B3" w:rsidRDefault="0048417A" w:rsidP="00836B55">
            <w:pPr>
              <w:keepNext/>
              <w:tabs>
                <w:tab w:val="left" w:pos="1134"/>
              </w:tabs>
              <w:spacing w:before="40" w:after="40"/>
              <w:ind w:left="0"/>
              <w:rPr>
                <w:bCs/>
              </w:rPr>
            </w:pPr>
            <w:r w:rsidRPr="004D57B3">
              <w:rPr>
                <w:bCs/>
              </w:rPr>
              <w:t>Crohn’s disease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CE</w:t>
            </w:r>
          </w:p>
        </w:tc>
        <w:tc>
          <w:tcPr>
            <w:tcW w:w="6855" w:type="dxa"/>
          </w:tcPr>
          <w:p w:rsidR="0048417A" w:rsidRPr="004D57B3" w:rsidRDefault="0048417A" w:rsidP="00836B55">
            <w:pPr>
              <w:keepNext/>
              <w:tabs>
                <w:tab w:val="left" w:pos="1134"/>
              </w:tabs>
              <w:spacing w:before="40" w:after="40"/>
              <w:ind w:left="0"/>
              <w:rPr>
                <w:bCs/>
              </w:rPr>
            </w:pPr>
            <w:r>
              <w:rPr>
                <w:bCs/>
              </w:rPr>
              <w:t>C</w:t>
            </w:r>
            <w:r w:rsidRPr="004D57B3">
              <w:rPr>
                <w:bCs/>
              </w:rPr>
              <w:t>apsule endoscopy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CEA</w:t>
            </w:r>
          </w:p>
        </w:tc>
        <w:tc>
          <w:tcPr>
            <w:tcW w:w="6855" w:type="dxa"/>
          </w:tcPr>
          <w:p w:rsidR="0048417A" w:rsidRPr="004D57B3" w:rsidRDefault="0048417A" w:rsidP="00836B55">
            <w:pPr>
              <w:keepNext/>
              <w:tabs>
                <w:tab w:val="left" w:pos="1134"/>
              </w:tabs>
              <w:spacing w:before="40" w:after="40"/>
              <w:ind w:left="0"/>
              <w:rPr>
                <w:bCs/>
              </w:rPr>
            </w:pPr>
            <w:r w:rsidRPr="004D57B3">
              <w:rPr>
                <w:bCs/>
              </w:rPr>
              <w:t>cost-effectiveness analysis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CI</w:t>
            </w:r>
          </w:p>
        </w:tc>
        <w:tc>
          <w:tcPr>
            <w:tcW w:w="6855" w:type="dxa"/>
          </w:tcPr>
          <w:p w:rsidR="0048417A" w:rsidRPr="004D57B3" w:rsidRDefault="0048417A" w:rsidP="00836B55">
            <w:pPr>
              <w:keepNext/>
              <w:tabs>
                <w:tab w:val="left" w:pos="1134"/>
              </w:tabs>
              <w:spacing w:before="40" w:after="40"/>
              <w:ind w:left="0"/>
              <w:rPr>
                <w:bCs/>
              </w:rPr>
            </w:pPr>
            <w:r w:rsidRPr="004D57B3">
              <w:rPr>
                <w:bCs/>
              </w:rPr>
              <w:t>confidence interval</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Pr>
                <w:bCs/>
              </w:rPr>
              <w:t>CRD</w:t>
            </w:r>
          </w:p>
        </w:tc>
        <w:tc>
          <w:tcPr>
            <w:tcW w:w="6855" w:type="dxa"/>
          </w:tcPr>
          <w:p w:rsidR="0048417A" w:rsidRPr="004D57B3" w:rsidRDefault="0048417A" w:rsidP="00836B55">
            <w:pPr>
              <w:keepNext/>
              <w:tabs>
                <w:tab w:val="left" w:pos="1134"/>
              </w:tabs>
              <w:spacing w:before="40" w:after="40"/>
              <w:ind w:left="0"/>
              <w:rPr>
                <w:bCs/>
              </w:rPr>
            </w:pPr>
            <w:r>
              <w:rPr>
                <w:bCs/>
              </w:rPr>
              <w:t>Centre for Reviews and Dissemination</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CRP</w:t>
            </w:r>
          </w:p>
        </w:tc>
        <w:tc>
          <w:tcPr>
            <w:tcW w:w="6855" w:type="dxa"/>
          </w:tcPr>
          <w:p w:rsidR="0048417A" w:rsidRPr="004D57B3" w:rsidRDefault="0048417A" w:rsidP="00836B55">
            <w:pPr>
              <w:keepNext/>
              <w:tabs>
                <w:tab w:val="left" w:pos="1134"/>
              </w:tabs>
              <w:spacing w:before="40" w:after="40"/>
              <w:ind w:left="0"/>
              <w:rPr>
                <w:bCs/>
              </w:rPr>
            </w:pPr>
            <w:r w:rsidRPr="004D57B3">
              <w:rPr>
                <w:bCs/>
              </w:rPr>
              <w:t>C-reactive protein</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CT</w:t>
            </w:r>
          </w:p>
        </w:tc>
        <w:tc>
          <w:tcPr>
            <w:tcW w:w="6855" w:type="dxa"/>
          </w:tcPr>
          <w:p w:rsidR="0048417A" w:rsidRPr="004D57B3" w:rsidRDefault="0048417A" w:rsidP="00836B55">
            <w:pPr>
              <w:keepNext/>
              <w:tabs>
                <w:tab w:val="left" w:pos="1134"/>
              </w:tabs>
              <w:spacing w:before="40" w:after="40"/>
              <w:ind w:left="0"/>
              <w:rPr>
                <w:bCs/>
              </w:rPr>
            </w:pPr>
            <w:r w:rsidRPr="004D57B3">
              <w:rPr>
                <w:bCs/>
              </w:rPr>
              <w:t>computed tomography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CTE</w:t>
            </w:r>
          </w:p>
        </w:tc>
        <w:tc>
          <w:tcPr>
            <w:tcW w:w="6855" w:type="dxa"/>
          </w:tcPr>
          <w:p w:rsidR="0048417A" w:rsidRPr="004D57B3" w:rsidRDefault="0048417A" w:rsidP="00836B55">
            <w:pPr>
              <w:keepNext/>
              <w:tabs>
                <w:tab w:val="left" w:pos="1134"/>
              </w:tabs>
              <w:spacing w:before="40" w:after="40"/>
              <w:ind w:left="0"/>
              <w:rPr>
                <w:bCs/>
              </w:rPr>
            </w:pPr>
            <w:r w:rsidRPr="004D57B3">
              <w:rPr>
                <w:bCs/>
              </w:rPr>
              <w:t xml:space="preserve">computed tomography with </w:t>
            </w:r>
            <w:proofErr w:type="spellStart"/>
            <w:r w:rsidRPr="004D57B3">
              <w:rPr>
                <w:bCs/>
              </w:rPr>
              <w:t>enterography</w:t>
            </w:r>
            <w:proofErr w:type="spellEnd"/>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CUA</w:t>
            </w:r>
          </w:p>
        </w:tc>
        <w:tc>
          <w:tcPr>
            <w:tcW w:w="6855" w:type="dxa"/>
          </w:tcPr>
          <w:p w:rsidR="0048417A" w:rsidRPr="004D57B3" w:rsidRDefault="0048417A" w:rsidP="00836B55">
            <w:pPr>
              <w:keepNext/>
              <w:tabs>
                <w:tab w:val="left" w:pos="1134"/>
              </w:tabs>
              <w:spacing w:before="40" w:after="40"/>
              <w:ind w:left="0"/>
              <w:rPr>
                <w:bCs/>
              </w:rPr>
            </w:pPr>
            <w:r w:rsidRPr="004D57B3">
              <w:rPr>
                <w:bCs/>
              </w:rPr>
              <w:t>cost-utility analysis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DOR</w:t>
            </w:r>
          </w:p>
        </w:tc>
        <w:tc>
          <w:tcPr>
            <w:tcW w:w="6855" w:type="dxa"/>
          </w:tcPr>
          <w:p w:rsidR="0048417A" w:rsidRPr="004D57B3" w:rsidRDefault="0048417A" w:rsidP="00836B55">
            <w:pPr>
              <w:keepNext/>
              <w:tabs>
                <w:tab w:val="left" w:pos="1134"/>
              </w:tabs>
              <w:spacing w:before="40" w:after="40"/>
              <w:ind w:left="0"/>
              <w:rPr>
                <w:bCs/>
              </w:rPr>
            </w:pPr>
            <w:r w:rsidRPr="004D57B3">
              <w:rPr>
                <w:bCs/>
              </w:rPr>
              <w:t>diagnostic odds ratio</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ED</w:t>
            </w:r>
          </w:p>
        </w:tc>
        <w:tc>
          <w:tcPr>
            <w:tcW w:w="6855" w:type="dxa"/>
          </w:tcPr>
          <w:p w:rsidR="0048417A" w:rsidRPr="004D57B3" w:rsidRDefault="0048417A" w:rsidP="00836B55">
            <w:pPr>
              <w:keepNext/>
              <w:tabs>
                <w:tab w:val="left" w:pos="1134"/>
              </w:tabs>
              <w:spacing w:before="40" w:after="40"/>
              <w:ind w:left="0"/>
            </w:pPr>
            <w:r w:rsidRPr="004D57B3">
              <w:t>emergency department</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EGD</w:t>
            </w:r>
          </w:p>
        </w:tc>
        <w:tc>
          <w:tcPr>
            <w:tcW w:w="6855" w:type="dxa"/>
          </w:tcPr>
          <w:p w:rsidR="0048417A" w:rsidRPr="004D57B3" w:rsidRDefault="0048417A" w:rsidP="00836B55">
            <w:pPr>
              <w:keepNext/>
              <w:tabs>
                <w:tab w:val="left" w:pos="1134"/>
              </w:tabs>
              <w:spacing w:before="40" w:after="40"/>
              <w:ind w:left="0"/>
              <w:rPr>
                <w:bCs/>
              </w:rPr>
            </w:pPr>
            <w:proofErr w:type="spellStart"/>
            <w:r w:rsidRPr="004D57B3">
              <w:t>oesophagogastroduodenoscopy</w:t>
            </w:r>
            <w:proofErr w:type="spellEnd"/>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ESR</w:t>
            </w:r>
          </w:p>
        </w:tc>
        <w:tc>
          <w:tcPr>
            <w:tcW w:w="6855" w:type="dxa"/>
          </w:tcPr>
          <w:p w:rsidR="0048417A" w:rsidRPr="004D57B3" w:rsidRDefault="0048417A" w:rsidP="00836B55">
            <w:pPr>
              <w:keepNext/>
              <w:tabs>
                <w:tab w:val="left" w:pos="1134"/>
              </w:tabs>
              <w:spacing w:before="40" w:after="40"/>
              <w:ind w:left="0"/>
              <w:rPr>
                <w:bCs/>
              </w:rPr>
            </w:pPr>
            <w:r w:rsidRPr="004D57B3">
              <w:rPr>
                <w:bCs/>
              </w:rPr>
              <w:t>erythrocyte sedimentation rate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ET</w:t>
            </w:r>
          </w:p>
        </w:tc>
        <w:tc>
          <w:tcPr>
            <w:tcW w:w="6855" w:type="dxa"/>
          </w:tcPr>
          <w:p w:rsidR="0048417A" w:rsidRPr="004D57B3" w:rsidRDefault="0048417A" w:rsidP="00836B55">
            <w:pPr>
              <w:keepNext/>
              <w:tabs>
                <w:tab w:val="left" w:pos="1134"/>
              </w:tabs>
              <w:spacing w:before="40" w:after="40"/>
              <w:ind w:left="0"/>
              <w:rPr>
                <w:bCs/>
              </w:rPr>
            </w:pPr>
            <w:r w:rsidRPr="004D57B3">
              <w:rPr>
                <w:bCs/>
              </w:rPr>
              <w:t>empirical treatment</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FEM</w:t>
            </w:r>
          </w:p>
        </w:tc>
        <w:tc>
          <w:tcPr>
            <w:tcW w:w="6855" w:type="dxa"/>
          </w:tcPr>
          <w:p w:rsidR="0048417A" w:rsidRPr="004D57B3" w:rsidRDefault="0048417A" w:rsidP="00836B55">
            <w:pPr>
              <w:keepNext/>
              <w:tabs>
                <w:tab w:val="left" w:pos="1134"/>
              </w:tabs>
              <w:spacing w:before="40" w:after="40"/>
              <w:ind w:left="0"/>
              <w:rPr>
                <w:bCs/>
              </w:rPr>
            </w:pPr>
            <w:r w:rsidRPr="004D57B3">
              <w:rPr>
                <w:bCs/>
              </w:rPr>
              <w:t>fixed effects model</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FN</w:t>
            </w:r>
          </w:p>
        </w:tc>
        <w:tc>
          <w:tcPr>
            <w:tcW w:w="6855" w:type="dxa"/>
          </w:tcPr>
          <w:p w:rsidR="0048417A" w:rsidRPr="004D57B3" w:rsidRDefault="0048417A" w:rsidP="00836B55">
            <w:pPr>
              <w:keepNext/>
              <w:tabs>
                <w:tab w:val="left" w:pos="1134"/>
              </w:tabs>
              <w:spacing w:before="40" w:after="40"/>
              <w:ind w:left="0"/>
              <w:rPr>
                <w:bCs/>
              </w:rPr>
            </w:pPr>
            <w:r>
              <w:rPr>
                <w:bCs/>
              </w:rPr>
              <w:t>f</w:t>
            </w:r>
            <w:r w:rsidRPr="004D57B3">
              <w:rPr>
                <w:bCs/>
              </w:rPr>
              <w:t>alse</w:t>
            </w:r>
            <w:r>
              <w:rPr>
                <w:bCs/>
              </w:rPr>
              <w:t>-</w:t>
            </w:r>
            <w:r w:rsidRPr="004D57B3">
              <w:rPr>
                <w:bCs/>
              </w:rPr>
              <w:t>negative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FP</w:t>
            </w:r>
          </w:p>
        </w:tc>
        <w:tc>
          <w:tcPr>
            <w:tcW w:w="6855" w:type="dxa"/>
          </w:tcPr>
          <w:p w:rsidR="0048417A" w:rsidRPr="004D57B3" w:rsidRDefault="0048417A" w:rsidP="00836B55">
            <w:pPr>
              <w:keepNext/>
              <w:tabs>
                <w:tab w:val="left" w:pos="1134"/>
              </w:tabs>
              <w:spacing w:before="40" w:after="40"/>
              <w:ind w:left="0"/>
              <w:rPr>
                <w:bCs/>
              </w:rPr>
            </w:pPr>
            <w:r>
              <w:rPr>
                <w:bCs/>
              </w:rPr>
              <w:t>f</w:t>
            </w:r>
            <w:r w:rsidRPr="004D57B3">
              <w:rPr>
                <w:bCs/>
              </w:rPr>
              <w:t>alse</w:t>
            </w:r>
            <w:r>
              <w:rPr>
                <w:bCs/>
              </w:rPr>
              <w:t>-</w:t>
            </w:r>
            <w:r w:rsidRPr="004D57B3">
              <w:rPr>
                <w:bCs/>
              </w:rPr>
              <w:t>positive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GP</w:t>
            </w:r>
          </w:p>
        </w:tc>
        <w:tc>
          <w:tcPr>
            <w:tcW w:w="6855" w:type="dxa"/>
          </w:tcPr>
          <w:p w:rsidR="0048417A" w:rsidRPr="004D57B3" w:rsidRDefault="0048417A" w:rsidP="00836B55">
            <w:pPr>
              <w:keepNext/>
              <w:tabs>
                <w:tab w:val="left" w:pos="1134"/>
              </w:tabs>
              <w:spacing w:before="40" w:after="40"/>
              <w:ind w:left="0"/>
              <w:rPr>
                <w:bCs/>
              </w:rPr>
            </w:pPr>
            <w:r w:rsidRPr="004D57B3">
              <w:rPr>
                <w:bCs/>
              </w:rPr>
              <w:t>general practitioner</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proofErr w:type="spellStart"/>
            <w:r w:rsidRPr="004D57B3">
              <w:rPr>
                <w:bCs/>
              </w:rPr>
              <w:t>HRQoL</w:t>
            </w:r>
            <w:proofErr w:type="spellEnd"/>
          </w:p>
        </w:tc>
        <w:tc>
          <w:tcPr>
            <w:tcW w:w="6855" w:type="dxa"/>
          </w:tcPr>
          <w:p w:rsidR="0048417A" w:rsidRPr="004D57B3" w:rsidRDefault="0048417A" w:rsidP="00836B55">
            <w:pPr>
              <w:keepNext/>
              <w:tabs>
                <w:tab w:val="left" w:pos="1134"/>
              </w:tabs>
              <w:spacing w:before="40" w:after="40"/>
              <w:ind w:left="0"/>
              <w:rPr>
                <w:bCs/>
              </w:rPr>
            </w:pPr>
            <w:r>
              <w:rPr>
                <w:bCs/>
              </w:rPr>
              <w:t>h</w:t>
            </w:r>
            <w:r w:rsidRPr="004D57B3">
              <w:rPr>
                <w:bCs/>
              </w:rPr>
              <w:t>ealt</w:t>
            </w:r>
            <w:r>
              <w:rPr>
                <w:bCs/>
              </w:rPr>
              <w:t>h-</w:t>
            </w:r>
            <w:r w:rsidRPr="004D57B3">
              <w:rPr>
                <w:bCs/>
              </w:rPr>
              <w:t>related quality of life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HTA</w:t>
            </w:r>
          </w:p>
        </w:tc>
        <w:tc>
          <w:tcPr>
            <w:tcW w:w="6855" w:type="dxa"/>
          </w:tcPr>
          <w:p w:rsidR="0048417A" w:rsidRPr="004D57B3" w:rsidRDefault="0048417A" w:rsidP="00836B55">
            <w:pPr>
              <w:keepNext/>
              <w:tabs>
                <w:tab w:val="left" w:pos="1134"/>
              </w:tabs>
              <w:spacing w:before="40" w:after="40"/>
              <w:ind w:left="0"/>
              <w:rPr>
                <w:bCs/>
              </w:rPr>
            </w:pPr>
            <w:r w:rsidRPr="004D57B3">
              <w:rPr>
                <w:bCs/>
              </w:rPr>
              <w:t>health technology assessment</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IBD</w:t>
            </w:r>
          </w:p>
        </w:tc>
        <w:tc>
          <w:tcPr>
            <w:tcW w:w="6855" w:type="dxa"/>
          </w:tcPr>
          <w:p w:rsidR="0048417A" w:rsidRPr="004D57B3" w:rsidRDefault="0048417A" w:rsidP="00836B55">
            <w:pPr>
              <w:keepNext/>
              <w:tabs>
                <w:tab w:val="left" w:pos="1134"/>
              </w:tabs>
              <w:spacing w:before="40" w:after="40"/>
              <w:ind w:left="0"/>
              <w:rPr>
                <w:bCs/>
              </w:rPr>
            </w:pPr>
            <w:r w:rsidRPr="004D57B3">
              <w:rPr>
                <w:bCs/>
              </w:rPr>
              <w:t>inflammatory bowel disease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ICD</w:t>
            </w:r>
          </w:p>
        </w:tc>
        <w:tc>
          <w:tcPr>
            <w:tcW w:w="6855" w:type="dxa"/>
          </w:tcPr>
          <w:p w:rsidR="0048417A" w:rsidRPr="004D57B3" w:rsidRDefault="0048417A" w:rsidP="00836B55">
            <w:pPr>
              <w:keepNext/>
              <w:tabs>
                <w:tab w:val="left" w:pos="1134"/>
              </w:tabs>
              <w:spacing w:before="40" w:after="40"/>
              <w:ind w:left="0"/>
              <w:rPr>
                <w:bCs/>
              </w:rPr>
            </w:pPr>
            <w:r w:rsidRPr="004D57B3">
              <w:rPr>
                <w:bCs/>
              </w:rPr>
              <w:t>international classification of disease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Pr>
                <w:bCs/>
              </w:rPr>
              <w:t>ICCE</w:t>
            </w:r>
          </w:p>
        </w:tc>
        <w:tc>
          <w:tcPr>
            <w:tcW w:w="6855" w:type="dxa"/>
          </w:tcPr>
          <w:p w:rsidR="0048417A" w:rsidRPr="004D57B3" w:rsidRDefault="0048417A" w:rsidP="00836B55">
            <w:pPr>
              <w:keepNext/>
              <w:tabs>
                <w:tab w:val="left" w:pos="1134"/>
              </w:tabs>
              <w:spacing w:before="40" w:after="40"/>
              <w:ind w:left="0"/>
              <w:rPr>
                <w:bCs/>
              </w:rPr>
            </w:pPr>
            <w:r>
              <w:rPr>
                <w:bCs/>
              </w:rPr>
              <w:t>International Conference on Capsule Endoscopy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IV</w:t>
            </w:r>
          </w:p>
        </w:tc>
        <w:tc>
          <w:tcPr>
            <w:tcW w:w="6855" w:type="dxa"/>
          </w:tcPr>
          <w:p w:rsidR="0048417A" w:rsidRPr="004D57B3" w:rsidRDefault="0048417A" w:rsidP="00836B55">
            <w:pPr>
              <w:keepNext/>
              <w:tabs>
                <w:tab w:val="left" w:pos="1134"/>
              </w:tabs>
              <w:spacing w:before="40" w:after="40"/>
              <w:ind w:left="0"/>
              <w:rPr>
                <w:noProof/>
                <w:lang w:val="nl-NL"/>
              </w:rPr>
            </w:pPr>
            <w:r w:rsidRPr="004D57B3">
              <w:rPr>
                <w:noProof/>
                <w:lang w:val="nl-NL"/>
              </w:rPr>
              <w:t>intravenous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KCE</w:t>
            </w:r>
          </w:p>
        </w:tc>
        <w:tc>
          <w:tcPr>
            <w:tcW w:w="6855" w:type="dxa"/>
          </w:tcPr>
          <w:p w:rsidR="0048417A" w:rsidRPr="004D57B3" w:rsidRDefault="0048417A" w:rsidP="00836B55">
            <w:pPr>
              <w:keepNext/>
              <w:tabs>
                <w:tab w:val="left" w:pos="1134"/>
              </w:tabs>
              <w:spacing w:before="40" w:after="40"/>
              <w:ind w:left="0"/>
              <w:rPr>
                <w:bCs/>
                <w:lang w:val="nl-NL"/>
              </w:rPr>
            </w:pPr>
            <w:r w:rsidRPr="004D57B3">
              <w:rPr>
                <w:noProof/>
                <w:lang w:val="nl-NL"/>
              </w:rPr>
              <w:t>Federaal Kenniscentrum voor de Gezondheidszorg</w:t>
            </w:r>
            <w:r w:rsidRPr="004D57B3">
              <w:rPr>
                <w:lang w:val="nl-NL"/>
              </w:rPr>
              <w:t xml:space="preserve"> (Belgium Health Care Knowledge Centre)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LFT</w:t>
            </w:r>
          </w:p>
        </w:tc>
        <w:tc>
          <w:tcPr>
            <w:tcW w:w="6855" w:type="dxa"/>
          </w:tcPr>
          <w:p w:rsidR="0048417A" w:rsidRPr="004D57B3" w:rsidRDefault="0048417A" w:rsidP="00836B55">
            <w:pPr>
              <w:keepNext/>
              <w:tabs>
                <w:tab w:val="left" w:pos="1134"/>
              </w:tabs>
              <w:spacing w:before="40" w:after="40"/>
              <w:ind w:left="0"/>
              <w:rPr>
                <w:bCs/>
              </w:rPr>
            </w:pPr>
            <w:r w:rsidRPr="004D57B3">
              <w:rPr>
                <w:bCs/>
              </w:rPr>
              <w:t>liver function test</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LR</w:t>
            </w:r>
          </w:p>
        </w:tc>
        <w:tc>
          <w:tcPr>
            <w:tcW w:w="6855" w:type="dxa"/>
          </w:tcPr>
          <w:p w:rsidR="0048417A" w:rsidRPr="004D57B3" w:rsidRDefault="0048417A" w:rsidP="00836B55">
            <w:pPr>
              <w:keepNext/>
              <w:tabs>
                <w:tab w:val="left" w:pos="1134"/>
              </w:tabs>
              <w:spacing w:before="40" w:after="40"/>
              <w:ind w:left="0"/>
              <w:rPr>
                <w:bCs/>
              </w:rPr>
            </w:pPr>
            <w:r w:rsidRPr="004D57B3">
              <w:rPr>
                <w:bCs/>
              </w:rPr>
              <w:t>likelihood ratio</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LR</w:t>
            </w:r>
            <w:r>
              <w:rPr>
                <w:bCs/>
              </w:rPr>
              <w:t>–</w:t>
            </w:r>
          </w:p>
        </w:tc>
        <w:tc>
          <w:tcPr>
            <w:tcW w:w="6855" w:type="dxa"/>
          </w:tcPr>
          <w:p w:rsidR="0048417A" w:rsidRPr="004D57B3" w:rsidRDefault="0048417A" w:rsidP="00836B55">
            <w:pPr>
              <w:keepNext/>
              <w:tabs>
                <w:tab w:val="left" w:pos="1134"/>
              </w:tabs>
              <w:spacing w:before="40" w:after="40"/>
              <w:ind w:left="0"/>
              <w:rPr>
                <w:bCs/>
              </w:rPr>
            </w:pPr>
            <w:r w:rsidRPr="004D57B3">
              <w:rPr>
                <w:bCs/>
              </w:rPr>
              <w:t>negative likelihood ratio</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LR+</w:t>
            </w:r>
          </w:p>
        </w:tc>
        <w:tc>
          <w:tcPr>
            <w:tcW w:w="6855" w:type="dxa"/>
          </w:tcPr>
          <w:p w:rsidR="0048417A" w:rsidRPr="004D57B3" w:rsidRDefault="0048417A" w:rsidP="00836B55">
            <w:pPr>
              <w:keepNext/>
              <w:tabs>
                <w:tab w:val="left" w:pos="1134"/>
              </w:tabs>
              <w:spacing w:before="40" w:after="40"/>
              <w:ind w:left="0"/>
              <w:rPr>
                <w:bCs/>
              </w:rPr>
            </w:pPr>
            <w:r w:rsidRPr="004D57B3">
              <w:rPr>
                <w:bCs/>
              </w:rPr>
              <w:t>positive likelihood ratio</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lastRenderedPageBreak/>
              <w:t>LTFU</w:t>
            </w:r>
          </w:p>
        </w:tc>
        <w:tc>
          <w:tcPr>
            <w:tcW w:w="6855" w:type="dxa"/>
          </w:tcPr>
          <w:p w:rsidR="0048417A" w:rsidRPr="004D57B3" w:rsidRDefault="0048417A" w:rsidP="00836B55">
            <w:pPr>
              <w:keepNext/>
              <w:tabs>
                <w:tab w:val="left" w:pos="1134"/>
              </w:tabs>
              <w:spacing w:before="40" w:after="40"/>
              <w:ind w:left="0"/>
              <w:rPr>
                <w:bCs/>
              </w:rPr>
            </w:pPr>
            <w:r>
              <w:rPr>
                <w:bCs/>
              </w:rPr>
              <w:t>l</w:t>
            </w:r>
            <w:r w:rsidRPr="004D57B3">
              <w:rPr>
                <w:bCs/>
              </w:rPr>
              <w:t>ong</w:t>
            </w:r>
            <w:r>
              <w:rPr>
                <w:bCs/>
              </w:rPr>
              <w:t>-</w:t>
            </w:r>
            <w:r w:rsidRPr="004D57B3">
              <w:rPr>
                <w:bCs/>
              </w:rPr>
              <w:t xml:space="preserve">term </w:t>
            </w:r>
            <w:r>
              <w:rPr>
                <w:bCs/>
              </w:rPr>
              <w:t>follow-up</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MACCS</w:t>
            </w:r>
          </w:p>
        </w:tc>
        <w:tc>
          <w:tcPr>
            <w:tcW w:w="6855" w:type="dxa"/>
          </w:tcPr>
          <w:p w:rsidR="0048417A" w:rsidRPr="004D57B3" w:rsidRDefault="0048417A" w:rsidP="00836B55">
            <w:pPr>
              <w:keepNext/>
              <w:tabs>
                <w:tab w:val="left" w:pos="1134"/>
              </w:tabs>
              <w:spacing w:before="40" w:after="40"/>
              <w:ind w:left="0"/>
              <w:rPr>
                <w:bCs/>
              </w:rPr>
            </w:pPr>
            <w:r w:rsidRPr="004D57B3">
              <w:rPr>
                <w:bCs/>
              </w:rPr>
              <w:t xml:space="preserve">Multi </w:t>
            </w:r>
            <w:proofErr w:type="spellStart"/>
            <w:r w:rsidRPr="004D57B3">
              <w:rPr>
                <w:bCs/>
              </w:rPr>
              <w:t>Center</w:t>
            </w:r>
            <w:proofErr w:type="spellEnd"/>
            <w:r w:rsidRPr="004D57B3">
              <w:rPr>
                <w:bCs/>
              </w:rPr>
              <w:t xml:space="preserve"> Australian Capsule Endoscopy in Patients with Suspected Crohn’s Disease Study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MAS</w:t>
            </w:r>
          </w:p>
        </w:tc>
        <w:tc>
          <w:tcPr>
            <w:tcW w:w="6855" w:type="dxa"/>
          </w:tcPr>
          <w:p w:rsidR="0048417A" w:rsidRPr="004D57B3" w:rsidRDefault="0048417A" w:rsidP="00836B55">
            <w:pPr>
              <w:keepNext/>
              <w:tabs>
                <w:tab w:val="left" w:pos="1134"/>
              </w:tabs>
              <w:spacing w:before="40" w:after="40"/>
              <w:ind w:left="0"/>
              <w:rPr>
                <w:bCs/>
              </w:rPr>
            </w:pPr>
            <w:r w:rsidRPr="004D57B3">
              <w:rPr>
                <w:bCs/>
              </w:rPr>
              <w:t>Medical Advisory Secretariat (Ontario, Canada)</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MBS</w:t>
            </w:r>
          </w:p>
        </w:tc>
        <w:tc>
          <w:tcPr>
            <w:tcW w:w="6855" w:type="dxa"/>
          </w:tcPr>
          <w:p w:rsidR="0048417A" w:rsidRPr="004D57B3" w:rsidRDefault="0048417A" w:rsidP="00836B55">
            <w:pPr>
              <w:keepNext/>
              <w:tabs>
                <w:tab w:val="left" w:pos="1134"/>
              </w:tabs>
              <w:spacing w:before="40" w:after="40"/>
              <w:ind w:left="0"/>
              <w:rPr>
                <w:bCs/>
              </w:rPr>
            </w:pPr>
            <w:r w:rsidRPr="004D57B3">
              <w:rPr>
                <w:bCs/>
              </w:rPr>
              <w:t>Medicare Benefits Schedule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MR</w:t>
            </w:r>
          </w:p>
        </w:tc>
        <w:tc>
          <w:tcPr>
            <w:tcW w:w="6855" w:type="dxa"/>
          </w:tcPr>
          <w:p w:rsidR="0048417A" w:rsidRPr="004D57B3" w:rsidRDefault="0048417A" w:rsidP="00836B55">
            <w:pPr>
              <w:keepNext/>
              <w:tabs>
                <w:tab w:val="left" w:pos="1134"/>
              </w:tabs>
              <w:spacing w:before="40" w:after="40"/>
              <w:ind w:left="0"/>
              <w:rPr>
                <w:bCs/>
              </w:rPr>
            </w:pPr>
            <w:r w:rsidRPr="004D57B3">
              <w:rPr>
                <w:bCs/>
              </w:rPr>
              <w:t xml:space="preserve">magnetic resonance imaging with or without </w:t>
            </w:r>
            <w:proofErr w:type="spellStart"/>
            <w:r w:rsidRPr="004D57B3">
              <w:rPr>
                <w:bCs/>
              </w:rPr>
              <w:t>enterography</w:t>
            </w:r>
            <w:proofErr w:type="spellEnd"/>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MRE</w:t>
            </w:r>
          </w:p>
        </w:tc>
        <w:tc>
          <w:tcPr>
            <w:tcW w:w="6855" w:type="dxa"/>
          </w:tcPr>
          <w:p w:rsidR="0048417A" w:rsidRPr="004D57B3" w:rsidRDefault="0048417A" w:rsidP="00836B55">
            <w:pPr>
              <w:keepNext/>
              <w:tabs>
                <w:tab w:val="left" w:pos="1134"/>
              </w:tabs>
              <w:spacing w:before="40" w:after="40"/>
              <w:ind w:left="0"/>
              <w:rPr>
                <w:bCs/>
              </w:rPr>
            </w:pPr>
            <w:r w:rsidRPr="004D57B3">
              <w:rPr>
                <w:bCs/>
              </w:rPr>
              <w:t xml:space="preserve">magnetic resonance imaging with </w:t>
            </w:r>
            <w:proofErr w:type="spellStart"/>
            <w:r w:rsidRPr="004D57B3">
              <w:rPr>
                <w:bCs/>
              </w:rPr>
              <w:t>enterography</w:t>
            </w:r>
            <w:proofErr w:type="spellEnd"/>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MRI</w:t>
            </w:r>
          </w:p>
        </w:tc>
        <w:tc>
          <w:tcPr>
            <w:tcW w:w="6855" w:type="dxa"/>
          </w:tcPr>
          <w:p w:rsidR="0048417A" w:rsidRPr="004D57B3" w:rsidRDefault="0048417A" w:rsidP="00836B55">
            <w:pPr>
              <w:keepNext/>
              <w:tabs>
                <w:tab w:val="left" w:pos="1134"/>
              </w:tabs>
              <w:spacing w:before="40" w:after="40"/>
              <w:ind w:left="0"/>
              <w:rPr>
                <w:bCs/>
              </w:rPr>
            </w:pPr>
            <w:r w:rsidRPr="004D57B3">
              <w:rPr>
                <w:bCs/>
              </w:rPr>
              <w:t xml:space="preserve">magnetic resonance imaging without </w:t>
            </w:r>
            <w:proofErr w:type="spellStart"/>
            <w:r w:rsidRPr="004D57B3">
              <w:rPr>
                <w:bCs/>
              </w:rPr>
              <w:t>enterography</w:t>
            </w:r>
            <w:proofErr w:type="spellEnd"/>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MS</w:t>
            </w:r>
          </w:p>
        </w:tc>
        <w:tc>
          <w:tcPr>
            <w:tcW w:w="6855" w:type="dxa"/>
          </w:tcPr>
          <w:p w:rsidR="0048417A" w:rsidRPr="004D57B3" w:rsidRDefault="0048417A" w:rsidP="00836B55">
            <w:pPr>
              <w:keepNext/>
              <w:tabs>
                <w:tab w:val="left" w:pos="1134"/>
              </w:tabs>
              <w:spacing w:before="40" w:after="40"/>
              <w:ind w:left="0"/>
              <w:rPr>
                <w:bCs/>
              </w:rPr>
            </w:pPr>
            <w:r w:rsidRPr="004D57B3">
              <w:rPr>
                <w:bCs/>
              </w:rPr>
              <w:t>microbiological stool tests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MSAC</w:t>
            </w:r>
          </w:p>
        </w:tc>
        <w:tc>
          <w:tcPr>
            <w:tcW w:w="6855" w:type="dxa"/>
          </w:tcPr>
          <w:p w:rsidR="0048417A" w:rsidRPr="004D57B3" w:rsidRDefault="0048417A" w:rsidP="00836B55">
            <w:pPr>
              <w:keepNext/>
              <w:tabs>
                <w:tab w:val="left" w:pos="1134"/>
              </w:tabs>
              <w:spacing w:before="40" w:after="40"/>
              <w:ind w:left="0"/>
              <w:rPr>
                <w:bCs/>
              </w:rPr>
            </w:pPr>
            <w:r w:rsidRPr="004D57B3">
              <w:rPr>
                <w:bCs/>
              </w:rPr>
              <w:t>Medical Services Advisory Committee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NHMRC</w:t>
            </w:r>
          </w:p>
        </w:tc>
        <w:tc>
          <w:tcPr>
            <w:tcW w:w="6855" w:type="dxa"/>
          </w:tcPr>
          <w:p w:rsidR="0048417A" w:rsidRPr="004D57B3" w:rsidRDefault="0048417A" w:rsidP="00836B55">
            <w:pPr>
              <w:keepNext/>
              <w:tabs>
                <w:tab w:val="left" w:pos="1134"/>
              </w:tabs>
              <w:spacing w:before="40" w:after="40"/>
              <w:ind w:left="0"/>
              <w:rPr>
                <w:bCs/>
              </w:rPr>
            </w:pPr>
            <w:r w:rsidRPr="004D57B3">
              <w:rPr>
                <w:bCs/>
              </w:rPr>
              <w:t>National Health and Medical Research Council</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NICE</w:t>
            </w:r>
          </w:p>
        </w:tc>
        <w:tc>
          <w:tcPr>
            <w:tcW w:w="6855" w:type="dxa"/>
          </w:tcPr>
          <w:p w:rsidR="0048417A" w:rsidRPr="004D57B3" w:rsidRDefault="0048417A" w:rsidP="00836B55">
            <w:pPr>
              <w:keepNext/>
              <w:tabs>
                <w:tab w:val="left" w:pos="1134"/>
              </w:tabs>
              <w:spacing w:before="40" w:after="40"/>
              <w:ind w:left="0"/>
              <w:rPr>
                <w:bCs/>
              </w:rPr>
            </w:pPr>
            <w:r w:rsidRPr="004D57B3">
              <w:rPr>
                <w:bCs/>
              </w:rPr>
              <w:t xml:space="preserve">National Institute for </w:t>
            </w:r>
            <w:r>
              <w:rPr>
                <w:bCs/>
              </w:rPr>
              <w:t xml:space="preserve">Health and </w:t>
            </w:r>
            <w:r w:rsidRPr="004D57B3">
              <w:rPr>
                <w:bCs/>
              </w:rPr>
              <w:t>Clinical Excellence (UK)</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NPV</w:t>
            </w:r>
          </w:p>
        </w:tc>
        <w:tc>
          <w:tcPr>
            <w:tcW w:w="6855" w:type="dxa"/>
          </w:tcPr>
          <w:p w:rsidR="0048417A" w:rsidRPr="004D57B3" w:rsidRDefault="0048417A" w:rsidP="00836B55">
            <w:pPr>
              <w:keepNext/>
              <w:tabs>
                <w:tab w:val="left" w:pos="1134"/>
              </w:tabs>
              <w:spacing w:before="40" w:after="40"/>
              <w:ind w:left="0"/>
              <w:rPr>
                <w:bCs/>
              </w:rPr>
            </w:pPr>
            <w:r w:rsidRPr="004D57B3">
              <w:rPr>
                <w:bCs/>
              </w:rPr>
              <w:t>negative predictive value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nr</w:t>
            </w:r>
          </w:p>
        </w:tc>
        <w:tc>
          <w:tcPr>
            <w:tcW w:w="6855" w:type="dxa"/>
          </w:tcPr>
          <w:p w:rsidR="0048417A" w:rsidRPr="004D57B3" w:rsidRDefault="0048417A" w:rsidP="00836B55">
            <w:pPr>
              <w:keepNext/>
              <w:tabs>
                <w:tab w:val="left" w:pos="1134"/>
              </w:tabs>
              <w:spacing w:before="40" w:after="40"/>
              <w:ind w:left="0"/>
              <w:rPr>
                <w:bCs/>
              </w:rPr>
            </w:pPr>
            <w:r w:rsidRPr="004D57B3">
              <w:rPr>
                <w:bCs/>
              </w:rPr>
              <w:t>not reported</w:t>
            </w:r>
          </w:p>
        </w:tc>
      </w:tr>
      <w:tr w:rsidR="0048417A" w:rsidRPr="002A7611" w:rsidTr="00836B55">
        <w:tc>
          <w:tcPr>
            <w:tcW w:w="1507" w:type="dxa"/>
          </w:tcPr>
          <w:p w:rsidR="0048417A" w:rsidRPr="004D57B3" w:rsidRDefault="0048417A" w:rsidP="00836B55">
            <w:pPr>
              <w:keepNext/>
              <w:tabs>
                <w:tab w:val="left" w:pos="1134"/>
              </w:tabs>
              <w:spacing w:before="40" w:after="40"/>
              <w:ind w:left="0"/>
              <w:rPr>
                <w:bCs/>
              </w:rPr>
            </w:pPr>
            <w:r w:rsidRPr="004D57B3">
              <w:rPr>
                <w:bCs/>
              </w:rPr>
              <w:t>NSAIDs</w:t>
            </w:r>
          </w:p>
        </w:tc>
        <w:tc>
          <w:tcPr>
            <w:tcW w:w="6855" w:type="dxa"/>
          </w:tcPr>
          <w:p w:rsidR="0048417A" w:rsidRPr="004D57B3" w:rsidRDefault="0048417A" w:rsidP="00836B55">
            <w:pPr>
              <w:keepNext/>
              <w:tabs>
                <w:tab w:val="left" w:pos="1134"/>
              </w:tabs>
              <w:spacing w:before="40" w:after="40"/>
              <w:ind w:left="0"/>
              <w:rPr>
                <w:bCs/>
              </w:rPr>
            </w:pPr>
            <w:r w:rsidRPr="004D57B3">
              <w:rPr>
                <w:bCs/>
              </w:rPr>
              <w:t>nonsteroidal anti-inflammatory drugs</w:t>
            </w:r>
          </w:p>
        </w:tc>
      </w:tr>
      <w:tr w:rsidR="0048417A" w:rsidRPr="004D57B3" w:rsidTr="00836B55">
        <w:tc>
          <w:tcPr>
            <w:tcW w:w="1507" w:type="dxa"/>
          </w:tcPr>
          <w:p w:rsidR="0048417A" w:rsidRPr="004D57B3" w:rsidDel="002A7611" w:rsidRDefault="0048417A" w:rsidP="00836B55">
            <w:pPr>
              <w:keepNext/>
              <w:tabs>
                <w:tab w:val="left" w:pos="1134"/>
              </w:tabs>
              <w:spacing w:before="40" w:after="40"/>
              <w:ind w:left="0"/>
              <w:rPr>
                <w:bCs/>
              </w:rPr>
            </w:pPr>
            <w:r>
              <w:rPr>
                <w:bCs/>
              </w:rPr>
              <w:t>OGIB</w:t>
            </w:r>
          </w:p>
        </w:tc>
        <w:tc>
          <w:tcPr>
            <w:tcW w:w="6855" w:type="dxa"/>
          </w:tcPr>
          <w:p w:rsidR="0048417A" w:rsidRPr="004D57B3" w:rsidDel="002A7611" w:rsidRDefault="0048417A" w:rsidP="00836B55">
            <w:pPr>
              <w:keepNext/>
              <w:tabs>
                <w:tab w:val="left" w:pos="1134"/>
              </w:tabs>
              <w:spacing w:before="40" w:after="40"/>
              <w:ind w:left="0"/>
              <w:rPr>
                <w:bCs/>
              </w:rPr>
            </w:pPr>
            <w:r>
              <w:rPr>
                <w:bCs/>
              </w:rPr>
              <w:t>obscure gastrointestinal bleeding</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Pr>
                <w:bCs/>
              </w:rPr>
              <w:t>p</w:t>
            </w:r>
          </w:p>
        </w:tc>
        <w:tc>
          <w:tcPr>
            <w:tcW w:w="6855" w:type="dxa"/>
          </w:tcPr>
          <w:p w:rsidR="0048417A" w:rsidRPr="004D57B3" w:rsidRDefault="0048417A" w:rsidP="00836B55">
            <w:pPr>
              <w:keepNext/>
              <w:tabs>
                <w:tab w:val="left" w:pos="1134"/>
              </w:tabs>
              <w:spacing w:before="40" w:after="40"/>
              <w:ind w:left="0"/>
              <w:rPr>
                <w:bCs/>
              </w:rPr>
            </w:pPr>
            <w:r>
              <w:rPr>
                <w:bCs/>
              </w:rPr>
              <w:t>p-value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PBS</w:t>
            </w:r>
          </w:p>
        </w:tc>
        <w:tc>
          <w:tcPr>
            <w:tcW w:w="6855" w:type="dxa"/>
          </w:tcPr>
          <w:p w:rsidR="0048417A" w:rsidRPr="004D57B3" w:rsidRDefault="0048417A" w:rsidP="00836B55">
            <w:pPr>
              <w:keepNext/>
              <w:tabs>
                <w:tab w:val="left" w:pos="1134"/>
              </w:tabs>
              <w:spacing w:before="40" w:after="40"/>
              <w:ind w:left="0"/>
              <w:rPr>
                <w:bCs/>
              </w:rPr>
            </w:pPr>
            <w:r w:rsidRPr="004D57B3">
              <w:rPr>
                <w:bCs/>
              </w:rPr>
              <w:t>Pharmaceutical Benefits Scheme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PJS</w:t>
            </w:r>
          </w:p>
        </w:tc>
        <w:tc>
          <w:tcPr>
            <w:tcW w:w="6855" w:type="dxa"/>
          </w:tcPr>
          <w:p w:rsidR="0048417A" w:rsidRPr="004D57B3" w:rsidRDefault="0048417A" w:rsidP="00836B55">
            <w:pPr>
              <w:keepNext/>
              <w:tabs>
                <w:tab w:val="left" w:pos="1134"/>
              </w:tabs>
              <w:spacing w:before="40" w:after="40"/>
              <w:ind w:left="0"/>
              <w:rPr>
                <w:bCs/>
              </w:rPr>
            </w:pPr>
            <w:proofErr w:type="spellStart"/>
            <w:r w:rsidRPr="004D57B3">
              <w:rPr>
                <w:bCs/>
              </w:rPr>
              <w:t>Peutz-Jeghers</w:t>
            </w:r>
            <w:proofErr w:type="spellEnd"/>
            <w:r w:rsidRPr="004D57B3">
              <w:rPr>
                <w:bCs/>
              </w:rPr>
              <w:t xml:space="preserve"> </w:t>
            </w:r>
            <w:r>
              <w:rPr>
                <w:bCs/>
              </w:rPr>
              <w:t>s</w:t>
            </w:r>
            <w:r w:rsidRPr="004D57B3">
              <w:rPr>
                <w:bCs/>
              </w:rPr>
              <w:t>yndrome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PPICO</w:t>
            </w:r>
          </w:p>
        </w:tc>
        <w:tc>
          <w:tcPr>
            <w:tcW w:w="6855" w:type="dxa"/>
          </w:tcPr>
          <w:p w:rsidR="0048417A" w:rsidRPr="004D57B3" w:rsidRDefault="0048417A" w:rsidP="00836B55">
            <w:pPr>
              <w:keepNext/>
              <w:tabs>
                <w:tab w:val="left" w:pos="1134"/>
              </w:tabs>
              <w:spacing w:before="40" w:after="40"/>
              <w:ind w:left="0"/>
              <w:rPr>
                <w:bCs/>
              </w:rPr>
            </w:pPr>
            <w:r w:rsidRPr="004D57B3">
              <w:rPr>
                <w:rFonts w:cs="Arial"/>
                <w:szCs w:val="24"/>
              </w:rPr>
              <w:t>Population, Prior tests, Intervention, Comparator, Outcomes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PPV</w:t>
            </w:r>
          </w:p>
        </w:tc>
        <w:tc>
          <w:tcPr>
            <w:tcW w:w="6855" w:type="dxa"/>
          </w:tcPr>
          <w:p w:rsidR="0048417A" w:rsidRPr="004D57B3" w:rsidRDefault="0048417A" w:rsidP="00836B55">
            <w:pPr>
              <w:keepNext/>
              <w:tabs>
                <w:tab w:val="left" w:pos="1134"/>
              </w:tabs>
              <w:spacing w:before="40" w:after="40"/>
              <w:ind w:left="0"/>
              <w:rPr>
                <w:bCs/>
              </w:rPr>
            </w:pPr>
            <w:r w:rsidRPr="004D57B3">
              <w:rPr>
                <w:bCs/>
              </w:rPr>
              <w:t>positive predictive value</w:t>
            </w:r>
          </w:p>
        </w:tc>
      </w:tr>
      <w:tr w:rsidR="0048417A" w:rsidRPr="004D57B3" w:rsidTr="00836B55">
        <w:tc>
          <w:tcPr>
            <w:tcW w:w="1507" w:type="dxa"/>
          </w:tcPr>
          <w:p w:rsidR="0048417A" w:rsidRPr="004D57B3" w:rsidRDefault="0048417A" w:rsidP="00836B55">
            <w:pPr>
              <w:keepNext/>
              <w:tabs>
                <w:tab w:val="left" w:pos="1134"/>
              </w:tabs>
              <w:spacing w:before="40" w:after="40"/>
              <w:ind w:left="0"/>
              <w:rPr>
                <w:rFonts w:cs="Arial"/>
              </w:rPr>
            </w:pPr>
            <w:r w:rsidRPr="004D57B3">
              <w:rPr>
                <w:rFonts w:cs="Arial"/>
              </w:rPr>
              <w:t>Q*</w:t>
            </w:r>
          </w:p>
        </w:tc>
        <w:tc>
          <w:tcPr>
            <w:tcW w:w="6855" w:type="dxa"/>
          </w:tcPr>
          <w:p w:rsidR="0048417A" w:rsidRPr="004D57B3" w:rsidRDefault="0048417A" w:rsidP="00836B55">
            <w:pPr>
              <w:keepNext/>
              <w:tabs>
                <w:tab w:val="left" w:pos="1134"/>
              </w:tabs>
              <w:spacing w:before="40" w:after="40"/>
              <w:ind w:left="0"/>
              <w:rPr>
                <w:rFonts w:cs="Arial"/>
              </w:rPr>
            </w:pPr>
            <w:r w:rsidRPr="004D57B3">
              <w:rPr>
                <w:rFonts w:cs="Arial"/>
              </w:rPr>
              <w:t>Cochran’s Q* test</w:t>
            </w:r>
          </w:p>
        </w:tc>
      </w:tr>
      <w:tr w:rsidR="0048417A" w:rsidRPr="004D57B3" w:rsidTr="00836B55">
        <w:tc>
          <w:tcPr>
            <w:tcW w:w="1507" w:type="dxa"/>
          </w:tcPr>
          <w:p w:rsidR="0048417A" w:rsidRPr="004D57B3" w:rsidRDefault="0048417A" w:rsidP="00836B55">
            <w:pPr>
              <w:keepNext/>
              <w:tabs>
                <w:tab w:val="left" w:pos="1134"/>
              </w:tabs>
              <w:spacing w:before="40" w:after="40"/>
              <w:ind w:left="0"/>
              <w:rPr>
                <w:rFonts w:cs="Arial"/>
              </w:rPr>
            </w:pPr>
            <w:r w:rsidRPr="004D57B3">
              <w:rPr>
                <w:rFonts w:cs="Arial"/>
              </w:rPr>
              <w:t>QALY</w:t>
            </w:r>
          </w:p>
        </w:tc>
        <w:tc>
          <w:tcPr>
            <w:tcW w:w="6855" w:type="dxa"/>
          </w:tcPr>
          <w:p w:rsidR="0048417A" w:rsidRPr="004D57B3" w:rsidRDefault="0048417A" w:rsidP="00836B55">
            <w:pPr>
              <w:keepNext/>
              <w:tabs>
                <w:tab w:val="left" w:pos="1134"/>
              </w:tabs>
              <w:spacing w:before="40" w:after="40"/>
              <w:ind w:left="0"/>
              <w:rPr>
                <w:rFonts w:cs="Arial"/>
              </w:rPr>
            </w:pPr>
            <w:r>
              <w:rPr>
                <w:rFonts w:cs="Arial"/>
              </w:rPr>
              <w:t>q</w:t>
            </w:r>
            <w:r w:rsidRPr="004D57B3">
              <w:rPr>
                <w:rFonts w:cs="Arial"/>
              </w:rPr>
              <w:t>uality</w:t>
            </w:r>
            <w:r>
              <w:rPr>
                <w:rFonts w:cs="Arial"/>
              </w:rPr>
              <w:t>-</w:t>
            </w:r>
            <w:r w:rsidRPr="004D57B3">
              <w:rPr>
                <w:rFonts w:cs="Arial"/>
              </w:rPr>
              <w:t>adjusted life year</w:t>
            </w:r>
          </w:p>
        </w:tc>
      </w:tr>
      <w:tr w:rsidR="0048417A" w:rsidRPr="004D57B3" w:rsidTr="00836B55">
        <w:tc>
          <w:tcPr>
            <w:tcW w:w="1507" w:type="dxa"/>
          </w:tcPr>
          <w:p w:rsidR="0048417A" w:rsidRPr="004D57B3" w:rsidRDefault="0048417A" w:rsidP="00836B55">
            <w:pPr>
              <w:keepNext/>
              <w:tabs>
                <w:tab w:val="left" w:pos="1134"/>
              </w:tabs>
              <w:spacing w:before="40" w:after="40"/>
              <w:ind w:left="0"/>
            </w:pPr>
            <w:r w:rsidRPr="004D57B3">
              <w:rPr>
                <w:rFonts w:cs="Arial"/>
              </w:rPr>
              <w:t>QUADAS</w:t>
            </w:r>
          </w:p>
        </w:tc>
        <w:tc>
          <w:tcPr>
            <w:tcW w:w="6855" w:type="dxa"/>
          </w:tcPr>
          <w:p w:rsidR="0048417A" w:rsidRPr="004D57B3" w:rsidRDefault="0048417A" w:rsidP="00836B55">
            <w:pPr>
              <w:keepNext/>
              <w:tabs>
                <w:tab w:val="left" w:pos="1134"/>
              </w:tabs>
              <w:spacing w:before="40" w:after="40"/>
              <w:ind w:left="0"/>
            </w:pPr>
            <w:r w:rsidRPr="004D57B3">
              <w:rPr>
                <w:rFonts w:cs="Arial"/>
              </w:rPr>
              <w:t>Quality Assessment of Studies of Diagnostic Accuracy Included in Meta-Analyses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t>QUOROM</w:t>
            </w:r>
          </w:p>
        </w:tc>
        <w:tc>
          <w:tcPr>
            <w:tcW w:w="6855" w:type="dxa"/>
          </w:tcPr>
          <w:p w:rsidR="0048417A" w:rsidRPr="004D57B3" w:rsidRDefault="0048417A" w:rsidP="00836B55">
            <w:pPr>
              <w:keepNext/>
              <w:tabs>
                <w:tab w:val="left" w:pos="1134"/>
              </w:tabs>
              <w:spacing w:before="40" w:after="40"/>
              <w:ind w:left="0"/>
            </w:pPr>
            <w:r w:rsidRPr="004D57B3">
              <w:t>Quality of Reporting of Meta-analyses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Pr>
                <w:bCs/>
              </w:rPr>
              <w:t xml:space="preserve">ref </w:t>
            </w:r>
            <w:proofErr w:type="spellStart"/>
            <w:r>
              <w:rPr>
                <w:bCs/>
              </w:rPr>
              <w:t>std</w:t>
            </w:r>
            <w:proofErr w:type="spellEnd"/>
          </w:p>
        </w:tc>
        <w:tc>
          <w:tcPr>
            <w:tcW w:w="6855" w:type="dxa"/>
          </w:tcPr>
          <w:p w:rsidR="0048417A" w:rsidRPr="004D57B3" w:rsidRDefault="0048417A" w:rsidP="00836B55">
            <w:pPr>
              <w:keepNext/>
              <w:tabs>
                <w:tab w:val="left" w:pos="1134"/>
              </w:tabs>
              <w:spacing w:before="40" w:after="40"/>
              <w:ind w:left="0"/>
            </w:pPr>
            <w:r>
              <w:t>reference standard</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REM</w:t>
            </w:r>
          </w:p>
        </w:tc>
        <w:tc>
          <w:tcPr>
            <w:tcW w:w="6855" w:type="dxa"/>
          </w:tcPr>
          <w:p w:rsidR="0048417A" w:rsidRPr="004D57B3" w:rsidRDefault="0048417A" w:rsidP="00836B55">
            <w:pPr>
              <w:keepNext/>
              <w:tabs>
                <w:tab w:val="left" w:pos="1134"/>
              </w:tabs>
              <w:spacing w:before="40" w:after="40"/>
              <w:ind w:left="0"/>
            </w:pPr>
            <w:r w:rsidRPr="004D57B3">
              <w:t>random effects model</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ROC</w:t>
            </w:r>
          </w:p>
        </w:tc>
        <w:tc>
          <w:tcPr>
            <w:tcW w:w="6855" w:type="dxa"/>
          </w:tcPr>
          <w:p w:rsidR="0048417A" w:rsidRPr="004D57B3" w:rsidRDefault="0048417A" w:rsidP="00836B55">
            <w:pPr>
              <w:keepNext/>
              <w:tabs>
                <w:tab w:val="left" w:pos="1134"/>
              </w:tabs>
              <w:spacing w:before="40" w:after="40"/>
              <w:ind w:left="0"/>
            </w:pPr>
            <w:r w:rsidRPr="004D57B3">
              <w:t>receiver operating characteristic</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SBE</w:t>
            </w:r>
          </w:p>
        </w:tc>
        <w:tc>
          <w:tcPr>
            <w:tcW w:w="6855" w:type="dxa"/>
          </w:tcPr>
          <w:p w:rsidR="0048417A" w:rsidRPr="004D57B3" w:rsidRDefault="0048417A" w:rsidP="00836B55">
            <w:pPr>
              <w:keepNext/>
              <w:tabs>
                <w:tab w:val="left" w:pos="1134"/>
              </w:tabs>
              <w:spacing w:before="40" w:after="40"/>
              <w:ind w:left="0"/>
            </w:pPr>
            <w:r w:rsidRPr="004D57B3">
              <w:t xml:space="preserve">small bowel </w:t>
            </w:r>
            <w:proofErr w:type="spellStart"/>
            <w:r w:rsidRPr="004D57B3">
              <w:t>enteroclysis</w:t>
            </w:r>
            <w:proofErr w:type="spellEnd"/>
            <w:r w:rsidRPr="004D57B3">
              <w:t xml:space="preserve"> (barium imaging with </w:t>
            </w:r>
            <w:proofErr w:type="spellStart"/>
            <w:r w:rsidRPr="004D57B3">
              <w:t>enteroclysis</w:t>
            </w:r>
            <w:proofErr w:type="spellEnd"/>
            <w:r w:rsidRPr="004D57B3">
              <w:t>)</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SBFT</w:t>
            </w:r>
          </w:p>
        </w:tc>
        <w:tc>
          <w:tcPr>
            <w:tcW w:w="6855" w:type="dxa"/>
          </w:tcPr>
          <w:p w:rsidR="0048417A" w:rsidRPr="004D57B3" w:rsidRDefault="0048417A" w:rsidP="00836B55">
            <w:pPr>
              <w:keepNext/>
              <w:tabs>
                <w:tab w:val="left" w:pos="1134"/>
              </w:tabs>
              <w:spacing w:before="40" w:after="40"/>
              <w:ind w:left="0"/>
            </w:pPr>
            <w:r>
              <w:t>small bowel follow-through</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SBR</w:t>
            </w:r>
          </w:p>
        </w:tc>
        <w:tc>
          <w:tcPr>
            <w:tcW w:w="6855" w:type="dxa"/>
          </w:tcPr>
          <w:p w:rsidR="0048417A" w:rsidRPr="004D57B3" w:rsidRDefault="0048417A" w:rsidP="00836B55">
            <w:pPr>
              <w:keepNext/>
              <w:tabs>
                <w:tab w:val="left" w:pos="1134"/>
              </w:tabs>
              <w:spacing w:before="40" w:after="40"/>
              <w:ind w:left="0"/>
            </w:pPr>
            <w:r w:rsidRPr="004D57B3">
              <w:t>small bowel radiology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SBS</w:t>
            </w:r>
          </w:p>
        </w:tc>
        <w:tc>
          <w:tcPr>
            <w:tcW w:w="6855" w:type="dxa"/>
          </w:tcPr>
          <w:p w:rsidR="0048417A" w:rsidRPr="004D57B3" w:rsidRDefault="0048417A" w:rsidP="00836B55">
            <w:pPr>
              <w:keepNext/>
              <w:tabs>
                <w:tab w:val="left" w:pos="1134"/>
              </w:tabs>
              <w:spacing w:before="40" w:after="40"/>
              <w:ind w:left="0"/>
            </w:pPr>
            <w:r w:rsidRPr="004D57B3">
              <w:t>small bowel series</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SD</w:t>
            </w:r>
          </w:p>
        </w:tc>
        <w:tc>
          <w:tcPr>
            <w:tcW w:w="6855" w:type="dxa"/>
          </w:tcPr>
          <w:p w:rsidR="0048417A" w:rsidRPr="004D57B3" w:rsidRDefault="0048417A" w:rsidP="00836B55">
            <w:pPr>
              <w:keepNext/>
              <w:tabs>
                <w:tab w:val="left" w:pos="1134"/>
              </w:tabs>
              <w:spacing w:before="40" w:after="40"/>
              <w:ind w:left="0"/>
            </w:pPr>
            <w:r w:rsidRPr="004D57B3">
              <w:t>standard deviation</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proofErr w:type="spellStart"/>
            <w:r w:rsidRPr="004D57B3">
              <w:rPr>
                <w:bCs/>
              </w:rPr>
              <w:t>sn</w:t>
            </w:r>
            <w:proofErr w:type="spellEnd"/>
          </w:p>
        </w:tc>
        <w:tc>
          <w:tcPr>
            <w:tcW w:w="6855" w:type="dxa"/>
          </w:tcPr>
          <w:p w:rsidR="0048417A" w:rsidRPr="004D57B3" w:rsidRDefault="0048417A" w:rsidP="00836B55">
            <w:pPr>
              <w:keepNext/>
              <w:tabs>
                <w:tab w:val="left" w:pos="1134"/>
              </w:tabs>
              <w:spacing w:before="40" w:after="40"/>
              <w:ind w:left="0"/>
              <w:rPr>
                <w:bCs/>
              </w:rPr>
            </w:pPr>
            <w:r w:rsidRPr="004D57B3">
              <w:rPr>
                <w:bCs/>
              </w:rPr>
              <w:t>sensitivity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proofErr w:type="spellStart"/>
            <w:r w:rsidRPr="004D57B3">
              <w:rPr>
                <w:bCs/>
              </w:rPr>
              <w:t>sp</w:t>
            </w:r>
            <w:proofErr w:type="spellEnd"/>
          </w:p>
        </w:tc>
        <w:tc>
          <w:tcPr>
            <w:tcW w:w="6855" w:type="dxa"/>
          </w:tcPr>
          <w:p w:rsidR="0048417A" w:rsidRPr="004D57B3" w:rsidRDefault="0048417A" w:rsidP="00836B55">
            <w:pPr>
              <w:keepNext/>
              <w:tabs>
                <w:tab w:val="left" w:pos="1134"/>
              </w:tabs>
              <w:spacing w:before="40" w:after="40"/>
              <w:ind w:left="0"/>
              <w:rPr>
                <w:bCs/>
              </w:rPr>
            </w:pPr>
            <w:r w:rsidRPr="004D57B3">
              <w:rPr>
                <w:bCs/>
              </w:rPr>
              <w:t>specificity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SR</w:t>
            </w:r>
          </w:p>
        </w:tc>
        <w:tc>
          <w:tcPr>
            <w:tcW w:w="6855" w:type="dxa"/>
          </w:tcPr>
          <w:p w:rsidR="0048417A" w:rsidRPr="004D57B3" w:rsidRDefault="0048417A" w:rsidP="00836B55">
            <w:pPr>
              <w:keepNext/>
              <w:tabs>
                <w:tab w:val="left" w:pos="1134"/>
              </w:tabs>
              <w:spacing w:before="40" w:after="40"/>
              <w:ind w:left="0"/>
              <w:rPr>
                <w:bCs/>
              </w:rPr>
            </w:pPr>
            <w:r w:rsidRPr="004D57B3">
              <w:rPr>
                <w:bCs/>
              </w:rPr>
              <w:t>systematic review</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TGA</w:t>
            </w:r>
          </w:p>
        </w:tc>
        <w:tc>
          <w:tcPr>
            <w:tcW w:w="6855" w:type="dxa"/>
          </w:tcPr>
          <w:p w:rsidR="0048417A" w:rsidRPr="004D57B3" w:rsidRDefault="0048417A" w:rsidP="00836B55">
            <w:pPr>
              <w:keepNext/>
              <w:tabs>
                <w:tab w:val="left" w:pos="1134"/>
              </w:tabs>
              <w:spacing w:before="40" w:after="40"/>
              <w:ind w:left="0"/>
              <w:rPr>
                <w:bCs/>
              </w:rPr>
            </w:pPr>
            <w:r w:rsidRPr="004D57B3">
              <w:rPr>
                <w:bCs/>
              </w:rPr>
              <w:t>Therapeutic Goods Administration</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TN</w:t>
            </w:r>
          </w:p>
        </w:tc>
        <w:tc>
          <w:tcPr>
            <w:tcW w:w="6855" w:type="dxa"/>
          </w:tcPr>
          <w:p w:rsidR="0048417A" w:rsidRPr="004D57B3" w:rsidRDefault="0048417A" w:rsidP="00836B55">
            <w:pPr>
              <w:keepNext/>
              <w:tabs>
                <w:tab w:val="left" w:pos="1134"/>
              </w:tabs>
              <w:spacing w:before="40" w:after="40"/>
              <w:ind w:left="0"/>
              <w:rPr>
                <w:bCs/>
              </w:rPr>
            </w:pPr>
            <w:r>
              <w:rPr>
                <w:bCs/>
              </w:rPr>
              <w:t>t</w:t>
            </w:r>
            <w:r w:rsidRPr="004D57B3">
              <w:rPr>
                <w:bCs/>
              </w:rPr>
              <w:t>rue</w:t>
            </w:r>
            <w:r>
              <w:rPr>
                <w:bCs/>
              </w:rPr>
              <w:t>-</w:t>
            </w:r>
            <w:r w:rsidRPr="004D57B3">
              <w:rPr>
                <w:bCs/>
              </w:rPr>
              <w:t>negative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TNF</w:t>
            </w:r>
          </w:p>
        </w:tc>
        <w:tc>
          <w:tcPr>
            <w:tcW w:w="6855" w:type="dxa"/>
          </w:tcPr>
          <w:p w:rsidR="0048417A" w:rsidRPr="004D57B3" w:rsidRDefault="0048417A" w:rsidP="00836B55">
            <w:pPr>
              <w:keepNext/>
              <w:tabs>
                <w:tab w:val="left" w:pos="1134"/>
              </w:tabs>
              <w:spacing w:before="40" w:after="40"/>
              <w:ind w:left="0"/>
              <w:rPr>
                <w:bCs/>
              </w:rPr>
            </w:pPr>
            <w:r w:rsidRPr="004D57B3">
              <w:rPr>
                <w:bCs/>
              </w:rPr>
              <w:t>tumour necrosis factor</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lastRenderedPageBreak/>
              <w:t>TP</w:t>
            </w:r>
          </w:p>
        </w:tc>
        <w:tc>
          <w:tcPr>
            <w:tcW w:w="6855" w:type="dxa"/>
          </w:tcPr>
          <w:p w:rsidR="0048417A" w:rsidRPr="004D57B3" w:rsidRDefault="0048417A" w:rsidP="00836B55">
            <w:pPr>
              <w:keepNext/>
              <w:tabs>
                <w:tab w:val="left" w:pos="1134"/>
              </w:tabs>
              <w:spacing w:before="40" w:after="40"/>
              <w:ind w:left="0"/>
              <w:rPr>
                <w:bCs/>
              </w:rPr>
            </w:pPr>
            <w:r w:rsidRPr="004D57B3">
              <w:rPr>
                <w:bCs/>
              </w:rPr>
              <w:t>true</w:t>
            </w:r>
            <w:r>
              <w:rPr>
                <w:bCs/>
              </w:rPr>
              <w:t>-</w:t>
            </w:r>
            <w:r w:rsidRPr="004D57B3">
              <w:rPr>
                <w:bCs/>
              </w:rPr>
              <w:t>positive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U&amp;E</w:t>
            </w:r>
          </w:p>
        </w:tc>
        <w:tc>
          <w:tcPr>
            <w:tcW w:w="6855" w:type="dxa"/>
          </w:tcPr>
          <w:p w:rsidR="0048417A" w:rsidRPr="004D57B3" w:rsidRDefault="0048417A" w:rsidP="00836B55">
            <w:pPr>
              <w:keepNext/>
              <w:tabs>
                <w:tab w:val="left" w:pos="1134"/>
              </w:tabs>
              <w:spacing w:before="40" w:after="40"/>
              <w:ind w:left="0"/>
              <w:rPr>
                <w:bCs/>
              </w:rPr>
            </w:pPr>
            <w:r w:rsidRPr="004D57B3">
              <w:rPr>
                <w:bCs/>
              </w:rPr>
              <w:t>urea, electrolytes and creatinine</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UE</w:t>
            </w:r>
          </w:p>
        </w:tc>
        <w:tc>
          <w:tcPr>
            <w:tcW w:w="6855" w:type="dxa"/>
          </w:tcPr>
          <w:p w:rsidR="0048417A" w:rsidRPr="004D57B3" w:rsidRDefault="0048417A" w:rsidP="00836B55">
            <w:pPr>
              <w:keepNext/>
              <w:tabs>
                <w:tab w:val="left" w:pos="1134"/>
              </w:tabs>
              <w:spacing w:before="40" w:after="40"/>
              <w:ind w:left="0"/>
              <w:rPr>
                <w:bCs/>
              </w:rPr>
            </w:pPr>
            <w:r w:rsidRPr="004D57B3">
              <w:rPr>
                <w:bCs/>
              </w:rPr>
              <w:t>upper endoscopy</w:t>
            </w:r>
          </w:p>
        </w:tc>
      </w:tr>
      <w:tr w:rsidR="0048417A" w:rsidRPr="004D57B3" w:rsidTr="00836B55">
        <w:tc>
          <w:tcPr>
            <w:tcW w:w="1507" w:type="dxa"/>
          </w:tcPr>
          <w:p w:rsidR="0048417A" w:rsidRPr="004D57B3" w:rsidRDefault="0048417A" w:rsidP="00836B55">
            <w:pPr>
              <w:keepNext/>
              <w:tabs>
                <w:tab w:val="left" w:pos="1134"/>
              </w:tabs>
              <w:spacing w:before="40" w:after="40"/>
              <w:ind w:left="0"/>
              <w:rPr>
                <w:bCs/>
              </w:rPr>
            </w:pPr>
            <w:r w:rsidRPr="004D57B3">
              <w:rPr>
                <w:bCs/>
              </w:rPr>
              <w:t>WHO</w:t>
            </w:r>
          </w:p>
        </w:tc>
        <w:tc>
          <w:tcPr>
            <w:tcW w:w="6855" w:type="dxa"/>
          </w:tcPr>
          <w:p w:rsidR="0048417A" w:rsidRPr="004D57B3" w:rsidRDefault="0048417A" w:rsidP="00836B55">
            <w:pPr>
              <w:keepNext/>
              <w:tabs>
                <w:tab w:val="left" w:pos="1134"/>
              </w:tabs>
              <w:spacing w:before="40" w:after="40"/>
              <w:ind w:left="0"/>
              <w:rPr>
                <w:bCs/>
              </w:rPr>
            </w:pPr>
            <w:r w:rsidRPr="004D57B3">
              <w:rPr>
                <w:bCs/>
              </w:rPr>
              <w:t>World Health Organi</w:t>
            </w:r>
            <w:r>
              <w:rPr>
                <w:bCs/>
              </w:rPr>
              <w:t>z</w:t>
            </w:r>
            <w:r w:rsidRPr="004D57B3">
              <w:rPr>
                <w:bCs/>
              </w:rPr>
              <w:t>ation</w:t>
            </w:r>
          </w:p>
        </w:tc>
      </w:tr>
    </w:tbl>
    <w:p w:rsidR="0048417A" w:rsidRPr="004D57B3" w:rsidRDefault="0048417A" w:rsidP="00836B55"/>
    <w:p w:rsidR="0048417A" w:rsidRPr="004D57B3" w:rsidRDefault="0048417A" w:rsidP="00836B55"/>
    <w:p w:rsidR="0048417A" w:rsidRPr="004D57B3" w:rsidRDefault="0048417A" w:rsidP="00836B55"/>
    <w:p w:rsidR="0048417A" w:rsidRPr="004D57B3" w:rsidRDefault="0048417A">
      <w:pPr>
        <w:pStyle w:val="Heading1"/>
      </w:pPr>
      <w:bookmarkStart w:id="279" w:name="_Toc296517915"/>
      <w:r w:rsidRPr="004D57B3">
        <w:lastRenderedPageBreak/>
        <w:t>References</w:t>
      </w:r>
      <w:bookmarkEnd w:id="279"/>
      <w:r w:rsidRPr="004D57B3">
        <w:t xml:space="preserve"> </w:t>
      </w:r>
    </w:p>
    <w:p w:rsidR="0048417A" w:rsidRDefault="0048417A" w:rsidP="00836B55">
      <w:pPr>
        <w:tabs>
          <w:tab w:val="right" w:pos="540"/>
          <w:tab w:val="left" w:pos="720"/>
        </w:tabs>
        <w:ind w:hanging="720"/>
        <w:rPr>
          <w:noProof/>
        </w:rPr>
      </w:pPr>
      <w:r>
        <w:rPr>
          <w:noProof/>
        </w:rPr>
        <w:tab/>
        <w:t xml:space="preserve">1. </w:t>
      </w:r>
      <w:r>
        <w:rPr>
          <w:noProof/>
        </w:rPr>
        <w:tab/>
        <w:t xml:space="preserve">Albert, JG, Martiny, F et al 2005. Diagnosis of small bowel Crohn's disease: A prospective comparison of capsule endoscopy with magnetic resonance imaging and fluoroscopic enteroclysis, </w:t>
      </w:r>
      <w:r w:rsidRPr="00B6474E">
        <w:rPr>
          <w:i/>
          <w:noProof/>
        </w:rPr>
        <w:t>Gut</w:t>
      </w:r>
      <w:r>
        <w:rPr>
          <w:noProof/>
        </w:rPr>
        <w:t>, 54 (12), 1721-1727.</w:t>
      </w:r>
    </w:p>
    <w:p w:rsidR="0048417A" w:rsidRDefault="0048417A" w:rsidP="00836B55">
      <w:pPr>
        <w:tabs>
          <w:tab w:val="right" w:pos="540"/>
          <w:tab w:val="left" w:pos="720"/>
        </w:tabs>
        <w:ind w:hanging="720"/>
        <w:rPr>
          <w:noProof/>
        </w:rPr>
      </w:pPr>
      <w:r>
        <w:rPr>
          <w:noProof/>
        </w:rPr>
        <w:tab/>
        <w:t xml:space="preserve">2. </w:t>
      </w:r>
      <w:r>
        <w:rPr>
          <w:noProof/>
        </w:rPr>
        <w:tab/>
        <w:t xml:space="preserve">ABS (Australian Bureau of Statistics) 2009. </w:t>
      </w:r>
      <w:r w:rsidRPr="00B6474E">
        <w:rPr>
          <w:i/>
          <w:noProof/>
        </w:rPr>
        <w:t>Population by age and sex, Australian states and territories Jun 2009, Cat 3201.0.</w:t>
      </w:r>
      <w:r>
        <w:rPr>
          <w:noProof/>
        </w:rPr>
        <w:t xml:space="preserve"> Canberra: Australian Bureau of Statistics.</w:t>
      </w:r>
    </w:p>
    <w:p w:rsidR="0048417A" w:rsidRDefault="0048417A" w:rsidP="00836B55">
      <w:pPr>
        <w:tabs>
          <w:tab w:val="right" w:pos="540"/>
          <w:tab w:val="left" w:pos="720"/>
        </w:tabs>
        <w:ind w:hanging="720"/>
        <w:rPr>
          <w:noProof/>
        </w:rPr>
      </w:pPr>
      <w:r>
        <w:rPr>
          <w:noProof/>
        </w:rPr>
        <w:tab/>
        <w:t xml:space="preserve">3. </w:t>
      </w:r>
      <w:r>
        <w:rPr>
          <w:noProof/>
        </w:rPr>
        <w:tab/>
        <w:t xml:space="preserve">AIHW (Australian Institute of Health and Welfare) 2008, </w:t>
      </w:r>
      <w:r w:rsidRPr="00B6474E">
        <w:rPr>
          <w:i/>
          <w:noProof/>
        </w:rPr>
        <w:t xml:space="preserve">Projection of Australian health care expenditure by disease, 2003 to 2033, Health and welfare expenditure series No. 36,  Cat. No. HWE43 </w:t>
      </w:r>
      <w:r>
        <w:rPr>
          <w:noProof/>
        </w:rPr>
        <w:t xml:space="preserve">[Internet]. Australian Institute of Health and Welfare, Canberra. Available from: </w:t>
      </w:r>
      <w:r w:rsidRPr="00B0412F">
        <w:rPr>
          <w:noProof/>
          <w:u w:val="single"/>
        </w:rPr>
        <w:t>http://www.aihw.gov.au/publications/hwe/pahced03-33/pahced03-33.pdf</w:t>
      </w:r>
      <w:r>
        <w:rPr>
          <w:noProof/>
        </w:rPr>
        <w:t xml:space="preserve"> [Accessed 6 October 2010].</w:t>
      </w:r>
    </w:p>
    <w:p w:rsidR="0048417A" w:rsidRDefault="0048417A" w:rsidP="00836B55">
      <w:pPr>
        <w:tabs>
          <w:tab w:val="right" w:pos="540"/>
          <w:tab w:val="left" w:pos="720"/>
        </w:tabs>
        <w:ind w:hanging="720"/>
        <w:rPr>
          <w:noProof/>
        </w:rPr>
      </w:pPr>
      <w:r>
        <w:rPr>
          <w:noProof/>
        </w:rPr>
        <w:tab/>
        <w:t xml:space="preserve">4. </w:t>
      </w:r>
      <w:r>
        <w:rPr>
          <w:noProof/>
        </w:rPr>
        <w:tab/>
        <w:t xml:space="preserve">AIHW 2010, </w:t>
      </w:r>
      <w:r w:rsidRPr="00B6474E">
        <w:rPr>
          <w:i/>
          <w:noProof/>
        </w:rPr>
        <w:t xml:space="preserve">Health system expenditure on disease and injury in Australia, 2004-05, Health and welfare expenditure series, Number 36, Cat No. HSE87 </w:t>
      </w:r>
      <w:r>
        <w:rPr>
          <w:noProof/>
        </w:rPr>
        <w:t xml:space="preserve">[Internet]. Australian Institute of Health and Welfare, Canberra. Available from: </w:t>
      </w:r>
      <w:r w:rsidRPr="00B0412F">
        <w:rPr>
          <w:noProof/>
          <w:u w:val="single"/>
        </w:rPr>
        <w:t>http://www.aihw.gov.au/publications/hse/87/10632.pdf</w:t>
      </w:r>
      <w:r>
        <w:rPr>
          <w:noProof/>
        </w:rPr>
        <w:t xml:space="preserve"> [Accessed 6 October 2010].</w:t>
      </w:r>
    </w:p>
    <w:p w:rsidR="0048417A" w:rsidRDefault="0048417A" w:rsidP="00836B55">
      <w:pPr>
        <w:tabs>
          <w:tab w:val="right" w:pos="540"/>
          <w:tab w:val="left" w:pos="720"/>
        </w:tabs>
        <w:ind w:hanging="720"/>
        <w:rPr>
          <w:noProof/>
        </w:rPr>
      </w:pPr>
      <w:r>
        <w:rPr>
          <w:noProof/>
        </w:rPr>
        <w:tab/>
        <w:t xml:space="preserve">5. </w:t>
      </w:r>
      <w:r>
        <w:rPr>
          <w:noProof/>
        </w:rPr>
        <w:tab/>
        <w:t xml:space="preserve">AIHW 2011, </w:t>
      </w:r>
      <w:r w:rsidRPr="00B6474E">
        <w:rPr>
          <w:i/>
          <w:noProof/>
        </w:rPr>
        <w:t xml:space="preserve">AIHW National Hospital Morbidity Database </w:t>
      </w:r>
      <w:r>
        <w:rPr>
          <w:noProof/>
        </w:rPr>
        <w:t xml:space="preserve">[Internet]. Commonwealth of Australia, Australian Institute of Health and Welfare, Canberra. Available from: </w:t>
      </w:r>
      <w:r w:rsidRPr="00B0412F">
        <w:rPr>
          <w:noProof/>
          <w:u w:val="single"/>
        </w:rPr>
        <w:t>http://www.aihw.gov.au/hospitals/datacubes/datacube_pdx.cfm</w:t>
      </w:r>
      <w:r>
        <w:rPr>
          <w:noProof/>
        </w:rPr>
        <w:t xml:space="preserve"> [Accessed 4 January 2011].</w:t>
      </w:r>
    </w:p>
    <w:p w:rsidR="0048417A" w:rsidRDefault="0048417A" w:rsidP="00836B55">
      <w:pPr>
        <w:tabs>
          <w:tab w:val="right" w:pos="540"/>
          <w:tab w:val="left" w:pos="720"/>
        </w:tabs>
        <w:ind w:hanging="720"/>
        <w:rPr>
          <w:noProof/>
        </w:rPr>
      </w:pPr>
      <w:r>
        <w:rPr>
          <w:noProof/>
        </w:rPr>
        <w:tab/>
        <w:t xml:space="preserve">6. </w:t>
      </w:r>
      <w:r>
        <w:rPr>
          <w:noProof/>
        </w:rPr>
        <w:tab/>
        <w:t xml:space="preserve">Baumgart, DC and Sandborn, WJ 2007. Inflammatory bowel disease: clinical aspects and established and evolving therapies, </w:t>
      </w:r>
      <w:r w:rsidRPr="00B6474E">
        <w:rPr>
          <w:i/>
          <w:noProof/>
        </w:rPr>
        <w:t>Lancet</w:t>
      </w:r>
      <w:r>
        <w:rPr>
          <w:noProof/>
        </w:rPr>
        <w:t>, 369 (9573), 1641-1657.</w:t>
      </w:r>
    </w:p>
    <w:p w:rsidR="0048417A" w:rsidRDefault="0048417A" w:rsidP="00836B55">
      <w:pPr>
        <w:tabs>
          <w:tab w:val="right" w:pos="540"/>
          <w:tab w:val="left" w:pos="720"/>
        </w:tabs>
        <w:ind w:hanging="720"/>
        <w:rPr>
          <w:noProof/>
        </w:rPr>
      </w:pPr>
      <w:r>
        <w:rPr>
          <w:noProof/>
        </w:rPr>
        <w:tab/>
        <w:t xml:space="preserve">7. </w:t>
      </w:r>
      <w:r>
        <w:rPr>
          <w:noProof/>
        </w:rPr>
        <w:tab/>
        <w:t xml:space="preserve">Begg, S, Vos, T et al 2007, </w:t>
      </w:r>
      <w:r w:rsidRPr="00B6474E">
        <w:rPr>
          <w:i/>
          <w:noProof/>
        </w:rPr>
        <w:t>The burden of disease and injury in Australia 2003, Annex Table 10.</w:t>
      </w:r>
      <w:r>
        <w:rPr>
          <w:noProof/>
        </w:rPr>
        <w:t xml:space="preserve"> PHE 82. Canberra: Australian Institute of Health and Welfare.</w:t>
      </w:r>
    </w:p>
    <w:p w:rsidR="0048417A" w:rsidRDefault="0048417A" w:rsidP="00836B55">
      <w:pPr>
        <w:tabs>
          <w:tab w:val="right" w:pos="540"/>
          <w:tab w:val="left" w:pos="720"/>
        </w:tabs>
        <w:ind w:hanging="720"/>
        <w:rPr>
          <w:noProof/>
        </w:rPr>
      </w:pPr>
      <w:r>
        <w:rPr>
          <w:noProof/>
        </w:rPr>
        <w:tab/>
        <w:t xml:space="preserve">8. </w:t>
      </w:r>
      <w:r>
        <w:rPr>
          <w:noProof/>
        </w:rPr>
        <w:tab/>
        <w:t xml:space="preserve">Bernstein, CN, Blanchard, JF et al 1999. Epidemiology of Crohn's disease and ulcerative colitis in a central Canadian province: A population-based study, </w:t>
      </w:r>
      <w:r w:rsidRPr="00B6474E">
        <w:rPr>
          <w:i/>
          <w:noProof/>
        </w:rPr>
        <w:t>American Journal of Epidemiology</w:t>
      </w:r>
      <w:r>
        <w:rPr>
          <w:noProof/>
        </w:rPr>
        <w:t>, 149 (10), 916-924.</w:t>
      </w:r>
    </w:p>
    <w:p w:rsidR="0048417A" w:rsidRDefault="0048417A" w:rsidP="00836B55">
      <w:pPr>
        <w:tabs>
          <w:tab w:val="right" w:pos="540"/>
          <w:tab w:val="left" w:pos="720"/>
        </w:tabs>
        <w:ind w:hanging="720"/>
        <w:rPr>
          <w:noProof/>
        </w:rPr>
      </w:pPr>
      <w:r>
        <w:rPr>
          <w:noProof/>
        </w:rPr>
        <w:tab/>
        <w:t xml:space="preserve">9. </w:t>
      </w:r>
      <w:r>
        <w:rPr>
          <w:noProof/>
        </w:rPr>
        <w:tab/>
        <w:t xml:space="preserve">Briggs, A, Sculpher, Met al 2006, </w:t>
      </w:r>
      <w:r w:rsidRPr="00B6474E">
        <w:rPr>
          <w:i/>
          <w:noProof/>
        </w:rPr>
        <w:t>Decision modelling for health economic evaluation</w:t>
      </w:r>
      <w:r>
        <w:rPr>
          <w:noProof/>
        </w:rPr>
        <w:t>, New York: Oxford University Press.</w:t>
      </w:r>
    </w:p>
    <w:p w:rsidR="0048417A" w:rsidRDefault="0048417A" w:rsidP="00836B55">
      <w:pPr>
        <w:tabs>
          <w:tab w:val="right" w:pos="540"/>
          <w:tab w:val="left" w:pos="720"/>
        </w:tabs>
        <w:ind w:hanging="720"/>
        <w:rPr>
          <w:noProof/>
        </w:rPr>
      </w:pPr>
      <w:r>
        <w:rPr>
          <w:noProof/>
        </w:rPr>
        <w:tab/>
        <w:t xml:space="preserve">10. </w:t>
      </w:r>
      <w:r>
        <w:rPr>
          <w:noProof/>
        </w:rPr>
        <w:tab/>
        <w:t xml:space="preserve">Casciani, E, Masselli, G et al 2011. MR enterography versus capsule endoscopy in paediatric patients with suspected Crohn's disease, </w:t>
      </w:r>
      <w:r w:rsidRPr="00B6474E">
        <w:rPr>
          <w:i/>
          <w:noProof/>
        </w:rPr>
        <w:t>European Radiology</w:t>
      </w:r>
      <w:r>
        <w:rPr>
          <w:noProof/>
        </w:rPr>
        <w:t>, 21 (4), 823-831. [Previously published as Epub 2010 Oct 5].</w:t>
      </w:r>
    </w:p>
    <w:p w:rsidR="0048417A" w:rsidRDefault="0048417A" w:rsidP="00836B55">
      <w:pPr>
        <w:tabs>
          <w:tab w:val="right" w:pos="540"/>
          <w:tab w:val="left" w:pos="720"/>
        </w:tabs>
        <w:ind w:hanging="720"/>
        <w:rPr>
          <w:noProof/>
        </w:rPr>
      </w:pPr>
      <w:r>
        <w:rPr>
          <w:noProof/>
        </w:rPr>
        <w:tab/>
        <w:t xml:space="preserve">11. </w:t>
      </w:r>
      <w:r>
        <w:rPr>
          <w:noProof/>
        </w:rPr>
        <w:tab/>
        <w:t xml:space="preserve">CRD (Centre for Reviews and Dissemination) 2009, </w:t>
      </w:r>
      <w:r w:rsidRPr="00B6474E">
        <w:rPr>
          <w:i/>
          <w:noProof/>
        </w:rPr>
        <w:t xml:space="preserve">Systematic reviews: CRD's guidance for undertaking reviews in health care </w:t>
      </w:r>
      <w:r>
        <w:rPr>
          <w:noProof/>
        </w:rPr>
        <w:t xml:space="preserve">[Internet]. University of York. Available from: </w:t>
      </w:r>
      <w:r w:rsidRPr="00EB2F22">
        <w:rPr>
          <w:noProof/>
          <w:u w:val="single"/>
        </w:rPr>
        <w:t>http://www.york.ac.uk/inst/crd/pdf/Systematic_Reviews.pdf</w:t>
      </w:r>
      <w:r>
        <w:rPr>
          <w:noProof/>
        </w:rPr>
        <w:t xml:space="preserve"> [Accessed 6 April 2011].</w:t>
      </w:r>
    </w:p>
    <w:p w:rsidR="0048417A" w:rsidRDefault="0048417A" w:rsidP="00836B55">
      <w:pPr>
        <w:tabs>
          <w:tab w:val="right" w:pos="540"/>
          <w:tab w:val="left" w:pos="720"/>
        </w:tabs>
        <w:ind w:hanging="720"/>
        <w:rPr>
          <w:noProof/>
        </w:rPr>
      </w:pPr>
      <w:r>
        <w:rPr>
          <w:noProof/>
        </w:rPr>
        <w:tab/>
        <w:t xml:space="preserve">12. </w:t>
      </w:r>
      <w:r>
        <w:rPr>
          <w:noProof/>
        </w:rPr>
        <w:tab/>
        <w:t xml:space="preserve">Cheifetz, AS, Kornbluth, AA et al 2006. The risk of retention of the capsule endoscope in patients with known or suspected Crohn's disease, </w:t>
      </w:r>
      <w:r w:rsidRPr="00B6474E">
        <w:rPr>
          <w:i/>
          <w:noProof/>
        </w:rPr>
        <w:t>American Journal of Gastroenterology</w:t>
      </w:r>
      <w:r>
        <w:rPr>
          <w:noProof/>
        </w:rPr>
        <w:t>, 101 (10), 2218-2222.</w:t>
      </w:r>
    </w:p>
    <w:p w:rsidR="0048417A" w:rsidRDefault="0048417A" w:rsidP="00836B55">
      <w:pPr>
        <w:tabs>
          <w:tab w:val="right" w:pos="540"/>
          <w:tab w:val="left" w:pos="720"/>
        </w:tabs>
        <w:ind w:hanging="720"/>
        <w:rPr>
          <w:noProof/>
        </w:rPr>
      </w:pPr>
      <w:r>
        <w:rPr>
          <w:noProof/>
        </w:rPr>
        <w:lastRenderedPageBreak/>
        <w:tab/>
        <w:t xml:space="preserve">13. </w:t>
      </w:r>
      <w:r>
        <w:rPr>
          <w:noProof/>
        </w:rPr>
        <w:tab/>
        <w:t xml:space="preserve">Chen, M and Khanduja, KS 1997. Intubation of the ileocecal valve made easy, </w:t>
      </w:r>
      <w:r w:rsidRPr="00B6474E">
        <w:rPr>
          <w:i/>
          <w:noProof/>
        </w:rPr>
        <w:t>Diseases of the Colon &amp; Rectum</w:t>
      </w:r>
      <w:r>
        <w:rPr>
          <w:noProof/>
        </w:rPr>
        <w:t>, 40 (4), 494-496.</w:t>
      </w:r>
    </w:p>
    <w:p w:rsidR="0048417A" w:rsidRDefault="0048417A" w:rsidP="00836B55">
      <w:pPr>
        <w:tabs>
          <w:tab w:val="right" w:pos="540"/>
          <w:tab w:val="left" w:pos="720"/>
        </w:tabs>
        <w:ind w:hanging="720"/>
        <w:rPr>
          <w:noProof/>
        </w:rPr>
      </w:pPr>
      <w:r>
        <w:rPr>
          <w:noProof/>
        </w:rPr>
        <w:tab/>
        <w:t xml:space="preserve">14. </w:t>
      </w:r>
      <w:r>
        <w:rPr>
          <w:noProof/>
        </w:rPr>
        <w:tab/>
        <w:t xml:space="preserve">Chong, AKH, Taylor, A et al 2005. Capsule endoscopy vs. push enteroscopy and enteroclysis in suspected small-bowel Crohn's disease, </w:t>
      </w:r>
      <w:r w:rsidRPr="00B6474E">
        <w:rPr>
          <w:i/>
          <w:noProof/>
        </w:rPr>
        <w:t>Gastrointestinal Endoscopy</w:t>
      </w:r>
      <w:r>
        <w:rPr>
          <w:noProof/>
        </w:rPr>
        <w:t>, 61 (2), 255-261.</w:t>
      </w:r>
    </w:p>
    <w:p w:rsidR="0048417A" w:rsidRDefault="0048417A" w:rsidP="00836B55">
      <w:pPr>
        <w:tabs>
          <w:tab w:val="right" w:pos="540"/>
          <w:tab w:val="left" w:pos="720"/>
        </w:tabs>
        <w:ind w:hanging="720"/>
        <w:rPr>
          <w:noProof/>
        </w:rPr>
      </w:pPr>
      <w:r>
        <w:rPr>
          <w:noProof/>
        </w:rPr>
        <w:tab/>
        <w:t xml:space="preserve">15. </w:t>
      </w:r>
      <w:r>
        <w:rPr>
          <w:noProof/>
        </w:rPr>
        <w:tab/>
        <w:t xml:space="preserve">Commonwealth of Australia 2010, </w:t>
      </w:r>
      <w:r w:rsidRPr="00B6474E">
        <w:rPr>
          <w:i/>
          <w:noProof/>
        </w:rPr>
        <w:t>National hospital cost data collection, cost report round 13 (2008-2009), Private hospitals - AR-DRG 5.1.</w:t>
      </w:r>
      <w:r>
        <w:rPr>
          <w:noProof/>
        </w:rPr>
        <w:t xml:space="preserve">  Canberra: Commonwealth of Australia.</w:t>
      </w:r>
    </w:p>
    <w:p w:rsidR="0048417A" w:rsidRDefault="0048417A" w:rsidP="00836B55">
      <w:pPr>
        <w:tabs>
          <w:tab w:val="right" w:pos="540"/>
          <w:tab w:val="left" w:pos="720"/>
        </w:tabs>
        <w:ind w:hanging="720"/>
        <w:rPr>
          <w:noProof/>
        </w:rPr>
      </w:pPr>
      <w:r>
        <w:rPr>
          <w:noProof/>
        </w:rPr>
        <w:tab/>
        <w:t xml:space="preserve">16. </w:t>
      </w:r>
      <w:r>
        <w:rPr>
          <w:noProof/>
        </w:rPr>
        <w:tab/>
        <w:t xml:space="preserve">Commonwealth of Australia 2011a, </w:t>
      </w:r>
      <w:r w:rsidRPr="00B6474E">
        <w:rPr>
          <w:i/>
          <w:noProof/>
        </w:rPr>
        <w:t xml:space="preserve">Medicare Benefits Schedule </w:t>
      </w:r>
      <w:r>
        <w:rPr>
          <w:noProof/>
        </w:rPr>
        <w:t xml:space="preserve">[Internet]. Commonwealth of Australia, Department of Health and Ageing, Available from: </w:t>
      </w:r>
      <w:r w:rsidRPr="00B0412F">
        <w:rPr>
          <w:noProof/>
          <w:u w:val="single"/>
        </w:rPr>
        <w:t>http://www.health.gov.au/internet/mbsonline/publishing.nsf/Content/Medicare-Benefits-Schedule-MBS-1</w:t>
      </w:r>
      <w:r>
        <w:rPr>
          <w:noProof/>
        </w:rPr>
        <w:t xml:space="preserve"> [Accessed 4 February 2011].</w:t>
      </w:r>
    </w:p>
    <w:p w:rsidR="0048417A" w:rsidRDefault="0048417A" w:rsidP="00836B55">
      <w:pPr>
        <w:tabs>
          <w:tab w:val="right" w:pos="540"/>
          <w:tab w:val="left" w:pos="720"/>
        </w:tabs>
        <w:ind w:hanging="720"/>
        <w:rPr>
          <w:noProof/>
        </w:rPr>
      </w:pPr>
      <w:r>
        <w:rPr>
          <w:noProof/>
        </w:rPr>
        <w:tab/>
        <w:t xml:space="preserve">17. </w:t>
      </w:r>
      <w:r>
        <w:rPr>
          <w:noProof/>
        </w:rPr>
        <w:tab/>
        <w:t xml:space="preserve">Commonwealth of Australia 2011b, </w:t>
      </w:r>
      <w:r w:rsidRPr="00B6474E">
        <w:rPr>
          <w:i/>
          <w:noProof/>
        </w:rPr>
        <w:t xml:space="preserve">Pharmaceutical Benefits Scheme </w:t>
      </w:r>
      <w:r>
        <w:rPr>
          <w:noProof/>
        </w:rPr>
        <w:t xml:space="preserve">[Internet]. Commonwealth of Australia, Department of Health and Ageing, Available from: </w:t>
      </w:r>
      <w:r w:rsidRPr="00B0412F">
        <w:rPr>
          <w:noProof/>
          <w:u w:val="single"/>
        </w:rPr>
        <w:t>http://www.pbs.gov.au/pbs/home</w:t>
      </w:r>
      <w:r>
        <w:rPr>
          <w:noProof/>
        </w:rPr>
        <w:t xml:space="preserve"> [Accessed 10 February 2011].</w:t>
      </w:r>
    </w:p>
    <w:p w:rsidR="0048417A" w:rsidRDefault="0048417A" w:rsidP="00836B55">
      <w:pPr>
        <w:tabs>
          <w:tab w:val="right" w:pos="540"/>
          <w:tab w:val="left" w:pos="720"/>
        </w:tabs>
        <w:ind w:hanging="720"/>
        <w:rPr>
          <w:noProof/>
        </w:rPr>
      </w:pPr>
      <w:r>
        <w:rPr>
          <w:noProof/>
        </w:rPr>
        <w:tab/>
        <w:t xml:space="preserve">18. </w:t>
      </w:r>
      <w:r>
        <w:rPr>
          <w:noProof/>
        </w:rPr>
        <w:tab/>
        <w:t xml:space="preserve">De Bona, M, Bellumat, A et al 2006. Capsule endoscopy findings in patients with suspected Crohn's disease and biochemical markers of inflammation, </w:t>
      </w:r>
      <w:r w:rsidRPr="00B6474E">
        <w:rPr>
          <w:i/>
          <w:noProof/>
        </w:rPr>
        <w:t>Digestive and Liver Disease</w:t>
      </w:r>
      <w:r>
        <w:rPr>
          <w:noProof/>
        </w:rPr>
        <w:t>, 38 (5), 331-335.</w:t>
      </w:r>
    </w:p>
    <w:p w:rsidR="0048417A" w:rsidRDefault="0048417A" w:rsidP="00836B55">
      <w:pPr>
        <w:tabs>
          <w:tab w:val="right" w:pos="540"/>
          <w:tab w:val="left" w:pos="720"/>
        </w:tabs>
        <w:ind w:hanging="720"/>
        <w:rPr>
          <w:noProof/>
        </w:rPr>
      </w:pPr>
      <w:r>
        <w:rPr>
          <w:noProof/>
        </w:rPr>
        <w:tab/>
        <w:t xml:space="preserve">19. </w:t>
      </w:r>
      <w:r>
        <w:rPr>
          <w:noProof/>
        </w:rPr>
        <w:tab/>
        <w:t xml:space="preserve">Dionisio, PM, Gurudu, SR et al 2010. Capsule endoscopy has a significantly higher diagnostic yield in patients with suspected and established small-bowel Crohn's disease: A meta-analysis, </w:t>
      </w:r>
      <w:r w:rsidRPr="00B6474E">
        <w:rPr>
          <w:i/>
          <w:noProof/>
        </w:rPr>
        <w:t>American Journal of Gastroenterology</w:t>
      </w:r>
      <w:r>
        <w:rPr>
          <w:noProof/>
        </w:rPr>
        <w:t>, 105 (6), 1240-1248.</w:t>
      </w:r>
    </w:p>
    <w:p w:rsidR="0048417A" w:rsidRDefault="0048417A" w:rsidP="00836B55">
      <w:pPr>
        <w:tabs>
          <w:tab w:val="right" w:pos="540"/>
          <w:tab w:val="left" w:pos="720"/>
        </w:tabs>
        <w:ind w:hanging="720"/>
        <w:rPr>
          <w:noProof/>
        </w:rPr>
      </w:pPr>
      <w:r>
        <w:rPr>
          <w:noProof/>
        </w:rPr>
        <w:tab/>
        <w:t xml:space="preserve">20. </w:t>
      </w:r>
      <w:r>
        <w:rPr>
          <w:noProof/>
        </w:rPr>
        <w:tab/>
        <w:t xml:space="preserve">Drummond, F, Sculpher, Met al 2005, </w:t>
      </w:r>
      <w:r w:rsidRPr="00B6474E">
        <w:rPr>
          <w:i/>
          <w:noProof/>
        </w:rPr>
        <w:t>Methods for the economic evaluation of health care programmes</w:t>
      </w:r>
      <w:r>
        <w:rPr>
          <w:noProof/>
        </w:rPr>
        <w:t>, 3rd edn, Oxford: Oxford University Press.</w:t>
      </w:r>
    </w:p>
    <w:p w:rsidR="0048417A" w:rsidRDefault="0048417A" w:rsidP="00836B55">
      <w:pPr>
        <w:tabs>
          <w:tab w:val="right" w:pos="540"/>
          <w:tab w:val="left" w:pos="720"/>
        </w:tabs>
        <w:ind w:hanging="720"/>
        <w:rPr>
          <w:noProof/>
        </w:rPr>
      </w:pPr>
      <w:r>
        <w:rPr>
          <w:noProof/>
        </w:rPr>
        <w:tab/>
        <w:t xml:space="preserve">21. </w:t>
      </w:r>
      <w:r>
        <w:rPr>
          <w:noProof/>
        </w:rPr>
        <w:tab/>
        <w:t xml:space="preserve">Efthymiou, A, Viazis, N et al 2009. Wireless capsule endoscopy versus enteroclysis in the diagnosis of small-bowel Crohn's disease, </w:t>
      </w:r>
      <w:r w:rsidRPr="00B6474E">
        <w:rPr>
          <w:i/>
          <w:noProof/>
        </w:rPr>
        <w:t>European Journal of Gastroenterology and Hepatology</w:t>
      </w:r>
      <w:r>
        <w:rPr>
          <w:noProof/>
        </w:rPr>
        <w:t>, 21 (8), 866-871.</w:t>
      </w:r>
    </w:p>
    <w:p w:rsidR="0048417A" w:rsidRDefault="0048417A" w:rsidP="00836B55">
      <w:pPr>
        <w:tabs>
          <w:tab w:val="right" w:pos="540"/>
          <w:tab w:val="left" w:pos="720"/>
        </w:tabs>
        <w:ind w:hanging="720"/>
        <w:rPr>
          <w:noProof/>
        </w:rPr>
      </w:pPr>
      <w:r>
        <w:rPr>
          <w:noProof/>
        </w:rPr>
        <w:tab/>
        <w:t xml:space="preserve">22. </w:t>
      </w:r>
      <w:r>
        <w:rPr>
          <w:noProof/>
        </w:rPr>
        <w:tab/>
        <w:t xml:space="preserve">Eliakim, R, Fischer, D et al 2003. Wireless capsule video endoscopy is a superior diagnostic tool in comparison to barium follow-through and computerized tomography in patients with suspected Crohn's disease, </w:t>
      </w:r>
      <w:r w:rsidRPr="00B6474E">
        <w:rPr>
          <w:i/>
          <w:noProof/>
        </w:rPr>
        <w:t>European Journal of Gastroenterology and Hepatology</w:t>
      </w:r>
      <w:r>
        <w:rPr>
          <w:noProof/>
        </w:rPr>
        <w:t>, 15 (4), 363-367.</w:t>
      </w:r>
    </w:p>
    <w:p w:rsidR="0048417A" w:rsidRDefault="0048417A" w:rsidP="00836B55">
      <w:pPr>
        <w:tabs>
          <w:tab w:val="right" w:pos="540"/>
          <w:tab w:val="left" w:pos="720"/>
        </w:tabs>
        <w:ind w:hanging="720"/>
        <w:rPr>
          <w:noProof/>
        </w:rPr>
      </w:pPr>
      <w:r>
        <w:rPr>
          <w:noProof/>
        </w:rPr>
        <w:tab/>
        <w:t xml:space="preserve">23. </w:t>
      </w:r>
      <w:r>
        <w:rPr>
          <w:noProof/>
        </w:rPr>
        <w:tab/>
        <w:t xml:space="preserve">Eliakim, R, Suissa, A et al 2004. Wireless capsule video endoscopy compared to barium follow-through and computerised tomography in patients with suspected Crohn's disease - Final report, </w:t>
      </w:r>
      <w:r w:rsidRPr="00B6474E">
        <w:rPr>
          <w:i/>
          <w:noProof/>
        </w:rPr>
        <w:t>Digestive and Liver Disease</w:t>
      </w:r>
      <w:r>
        <w:rPr>
          <w:noProof/>
        </w:rPr>
        <w:t>, 36 (8), 519-522.</w:t>
      </w:r>
    </w:p>
    <w:p w:rsidR="0048417A" w:rsidRDefault="0048417A" w:rsidP="00836B55">
      <w:pPr>
        <w:tabs>
          <w:tab w:val="right" w:pos="540"/>
          <w:tab w:val="left" w:pos="720"/>
        </w:tabs>
        <w:ind w:hanging="720"/>
        <w:rPr>
          <w:noProof/>
        </w:rPr>
      </w:pPr>
      <w:r>
        <w:rPr>
          <w:noProof/>
        </w:rPr>
        <w:tab/>
        <w:t xml:space="preserve">24. </w:t>
      </w:r>
      <w:r>
        <w:rPr>
          <w:noProof/>
        </w:rPr>
        <w:tab/>
        <w:t xml:space="preserve">Figueiredo, P, Almeida, N et al 2010. Small-bowel capsule endoscopy in patients with suspected Crohn's disease-diagnostic value and complications, </w:t>
      </w:r>
      <w:r w:rsidRPr="00B6474E">
        <w:rPr>
          <w:i/>
          <w:noProof/>
        </w:rPr>
        <w:t>Diagnostic &amp; Therapeutic Endoscopy</w:t>
      </w:r>
      <w:r>
        <w:rPr>
          <w:noProof/>
        </w:rPr>
        <w:t>, 2010 (2010), Epub 101284.</w:t>
      </w:r>
    </w:p>
    <w:p w:rsidR="0048417A" w:rsidRDefault="0048417A" w:rsidP="00836B55">
      <w:pPr>
        <w:tabs>
          <w:tab w:val="right" w:pos="540"/>
          <w:tab w:val="left" w:pos="720"/>
        </w:tabs>
        <w:ind w:hanging="720"/>
        <w:rPr>
          <w:noProof/>
        </w:rPr>
      </w:pPr>
      <w:r>
        <w:rPr>
          <w:noProof/>
        </w:rPr>
        <w:tab/>
        <w:t xml:space="preserve">25. </w:t>
      </w:r>
      <w:r>
        <w:rPr>
          <w:noProof/>
        </w:rPr>
        <w:tab/>
        <w:t xml:space="preserve">Fletcher, JG 2009. CT enterography technique: theme and variations., </w:t>
      </w:r>
      <w:r w:rsidRPr="00B6474E">
        <w:rPr>
          <w:i/>
          <w:noProof/>
        </w:rPr>
        <w:t>Abdominal Imaging</w:t>
      </w:r>
      <w:r>
        <w:rPr>
          <w:noProof/>
        </w:rPr>
        <w:t>, 34 (3), 283-288.</w:t>
      </w:r>
    </w:p>
    <w:p w:rsidR="0048417A" w:rsidRDefault="0048417A" w:rsidP="00836B55">
      <w:pPr>
        <w:tabs>
          <w:tab w:val="right" w:pos="540"/>
          <w:tab w:val="left" w:pos="720"/>
        </w:tabs>
        <w:ind w:hanging="720"/>
        <w:rPr>
          <w:noProof/>
        </w:rPr>
      </w:pPr>
      <w:r>
        <w:rPr>
          <w:noProof/>
        </w:rPr>
        <w:tab/>
        <w:t xml:space="preserve">26. </w:t>
      </w:r>
      <w:r>
        <w:rPr>
          <w:noProof/>
        </w:rPr>
        <w:tab/>
        <w:t xml:space="preserve">Ge, ZZ, Hu, YB et al 2004. Capsule endoscopy in diagnosis of small bowel Crohn's disease, </w:t>
      </w:r>
      <w:r w:rsidRPr="00B6474E">
        <w:rPr>
          <w:i/>
          <w:noProof/>
        </w:rPr>
        <w:t>World Journal of Gastroenterology</w:t>
      </w:r>
      <w:r>
        <w:rPr>
          <w:noProof/>
        </w:rPr>
        <w:t>, 10 (9), 1349-1352.</w:t>
      </w:r>
    </w:p>
    <w:p w:rsidR="0048417A" w:rsidRDefault="0048417A" w:rsidP="00836B55">
      <w:pPr>
        <w:tabs>
          <w:tab w:val="right" w:pos="540"/>
          <w:tab w:val="left" w:pos="720"/>
        </w:tabs>
        <w:ind w:hanging="720"/>
        <w:rPr>
          <w:noProof/>
        </w:rPr>
      </w:pPr>
      <w:r>
        <w:rPr>
          <w:noProof/>
        </w:rPr>
        <w:lastRenderedPageBreak/>
        <w:tab/>
        <w:t xml:space="preserve">27. </w:t>
      </w:r>
      <w:r>
        <w:rPr>
          <w:noProof/>
        </w:rPr>
        <w:tab/>
        <w:t xml:space="preserve">Gearry, RB, Ajlouni, Y et al 2007. 5-Aminosalicylic acid (mesalazine) use in Crohn's disease: a survey of the opinions and practice of Australian gastroenterologists, </w:t>
      </w:r>
      <w:r w:rsidRPr="00B6474E">
        <w:rPr>
          <w:i/>
          <w:noProof/>
        </w:rPr>
        <w:t>Inflammatory Bowel Diseases</w:t>
      </w:r>
      <w:r>
        <w:rPr>
          <w:noProof/>
        </w:rPr>
        <w:t>, 13 (8), 1009-1015.</w:t>
      </w:r>
    </w:p>
    <w:p w:rsidR="0048417A" w:rsidRDefault="0048417A" w:rsidP="00836B55">
      <w:pPr>
        <w:tabs>
          <w:tab w:val="right" w:pos="540"/>
          <w:tab w:val="left" w:pos="720"/>
        </w:tabs>
        <w:ind w:hanging="720"/>
        <w:rPr>
          <w:noProof/>
        </w:rPr>
      </w:pPr>
      <w:r>
        <w:rPr>
          <w:noProof/>
        </w:rPr>
        <w:tab/>
        <w:t xml:space="preserve">28. </w:t>
      </w:r>
      <w:r>
        <w:rPr>
          <w:noProof/>
        </w:rPr>
        <w:tab/>
        <w:t xml:space="preserve">Gearry, RB, Richardson, A et al 2006. High incidence of Crohn's disease in Canterbury, New Zealand: Results of an epidemiologic study, </w:t>
      </w:r>
      <w:r w:rsidRPr="00B6474E">
        <w:rPr>
          <w:i/>
          <w:noProof/>
        </w:rPr>
        <w:t>Inflammatory Bowel Diseases</w:t>
      </w:r>
      <w:r>
        <w:rPr>
          <w:noProof/>
        </w:rPr>
        <w:t>, 12 (10), 936-943.</w:t>
      </w:r>
    </w:p>
    <w:p w:rsidR="0048417A" w:rsidRDefault="0048417A" w:rsidP="00836B55">
      <w:pPr>
        <w:tabs>
          <w:tab w:val="right" w:pos="540"/>
          <w:tab w:val="left" w:pos="720"/>
        </w:tabs>
        <w:ind w:hanging="720"/>
        <w:rPr>
          <w:noProof/>
        </w:rPr>
      </w:pPr>
      <w:r>
        <w:rPr>
          <w:noProof/>
        </w:rPr>
        <w:tab/>
        <w:t xml:space="preserve">29. </w:t>
      </w:r>
      <w:r>
        <w:rPr>
          <w:noProof/>
        </w:rPr>
        <w:tab/>
        <w:t xml:space="preserve">Gibson, PR 2009. Overview of inflammatory bowel disease in Australia in the last 50 years., </w:t>
      </w:r>
      <w:r w:rsidRPr="00B6474E">
        <w:rPr>
          <w:i/>
          <w:noProof/>
        </w:rPr>
        <w:t>Journal of Gastroenterology &amp; Hepatology</w:t>
      </w:r>
      <w:r>
        <w:rPr>
          <w:noProof/>
        </w:rPr>
        <w:t>, 24 (Suppl 3), S63-S68.</w:t>
      </w:r>
    </w:p>
    <w:p w:rsidR="0048417A" w:rsidRDefault="0048417A" w:rsidP="00836B55">
      <w:pPr>
        <w:tabs>
          <w:tab w:val="right" w:pos="540"/>
          <w:tab w:val="left" w:pos="720"/>
        </w:tabs>
        <w:ind w:hanging="720"/>
        <w:rPr>
          <w:noProof/>
        </w:rPr>
      </w:pPr>
      <w:r>
        <w:rPr>
          <w:noProof/>
        </w:rPr>
        <w:tab/>
        <w:t xml:space="preserve">30. </w:t>
      </w:r>
      <w:r>
        <w:rPr>
          <w:noProof/>
        </w:rPr>
        <w:tab/>
        <w:t xml:space="preserve">Girelli, CM, Porta, P et al 2007. Clinical outcome of patients examined by capsule endoscopy for suspected small bowel Crohn's disease, </w:t>
      </w:r>
      <w:r w:rsidRPr="00B6474E">
        <w:rPr>
          <w:i/>
          <w:noProof/>
        </w:rPr>
        <w:t>Digestive and Liver Disease</w:t>
      </w:r>
      <w:r>
        <w:rPr>
          <w:noProof/>
        </w:rPr>
        <w:t>, 39 (2), 148-154.</w:t>
      </w:r>
    </w:p>
    <w:p w:rsidR="0048417A" w:rsidRDefault="0048417A" w:rsidP="00836B55">
      <w:pPr>
        <w:tabs>
          <w:tab w:val="right" w:pos="540"/>
          <w:tab w:val="left" w:pos="720"/>
        </w:tabs>
        <w:ind w:hanging="720"/>
        <w:rPr>
          <w:noProof/>
        </w:rPr>
      </w:pPr>
      <w:r>
        <w:rPr>
          <w:noProof/>
        </w:rPr>
        <w:tab/>
        <w:t xml:space="preserve">31. </w:t>
      </w:r>
      <w:r>
        <w:rPr>
          <w:noProof/>
        </w:rPr>
        <w:tab/>
        <w:t xml:space="preserve">Gold, M, Siegel, Jet al 1996, </w:t>
      </w:r>
      <w:r w:rsidRPr="00B6474E">
        <w:rPr>
          <w:i/>
          <w:noProof/>
        </w:rPr>
        <w:t>Cost-effectiveness in health and medicine</w:t>
      </w:r>
      <w:r>
        <w:rPr>
          <w:noProof/>
        </w:rPr>
        <w:t>, New York: Oxford University Press.</w:t>
      </w:r>
    </w:p>
    <w:p w:rsidR="0048417A" w:rsidRDefault="0048417A" w:rsidP="00836B55">
      <w:pPr>
        <w:tabs>
          <w:tab w:val="right" w:pos="540"/>
          <w:tab w:val="left" w:pos="720"/>
        </w:tabs>
        <w:ind w:hanging="720"/>
        <w:rPr>
          <w:noProof/>
        </w:rPr>
      </w:pPr>
      <w:r>
        <w:rPr>
          <w:noProof/>
        </w:rPr>
        <w:tab/>
        <w:t xml:space="preserve">32. </w:t>
      </w:r>
      <w:r>
        <w:rPr>
          <w:noProof/>
        </w:rPr>
        <w:tab/>
        <w:t xml:space="preserve">Goldfarb, NI, Pizzi, LT et al 2004. Diagnosing Crohn's disease: An economic analysis comparing wireless capsule endoscopy with traditional diagnostic procedures, </w:t>
      </w:r>
      <w:r w:rsidRPr="00B6474E">
        <w:rPr>
          <w:i/>
          <w:noProof/>
        </w:rPr>
        <w:t>Disease Management</w:t>
      </w:r>
      <w:r>
        <w:rPr>
          <w:noProof/>
        </w:rPr>
        <w:t>, 7 (4), 292-304.</w:t>
      </w:r>
    </w:p>
    <w:p w:rsidR="0048417A" w:rsidRDefault="0048417A" w:rsidP="00836B55">
      <w:pPr>
        <w:tabs>
          <w:tab w:val="right" w:pos="540"/>
          <w:tab w:val="left" w:pos="720"/>
        </w:tabs>
        <w:ind w:hanging="720"/>
        <w:rPr>
          <w:noProof/>
        </w:rPr>
      </w:pPr>
      <w:r>
        <w:rPr>
          <w:noProof/>
        </w:rPr>
        <w:tab/>
        <w:t xml:space="preserve">33. </w:t>
      </w:r>
      <w:r>
        <w:rPr>
          <w:noProof/>
        </w:rPr>
        <w:tab/>
        <w:t xml:space="preserve">Guilhon de Araujo Sant'Anna AM, Dubois, J et al 2005. Wireless capsule endoscopy for obscure small-bowel disorders: final results of the first pediatric controlled trial, </w:t>
      </w:r>
      <w:r w:rsidRPr="00B6474E">
        <w:rPr>
          <w:i/>
          <w:noProof/>
        </w:rPr>
        <w:t>Clinical gastroenterology and hepatology: The official clinical practice journal of the American Gastroenterological Association</w:t>
      </w:r>
      <w:r>
        <w:rPr>
          <w:noProof/>
        </w:rPr>
        <w:t>, 3 (3), 264-270.</w:t>
      </w:r>
    </w:p>
    <w:p w:rsidR="0048417A" w:rsidRDefault="0048417A" w:rsidP="00836B55">
      <w:pPr>
        <w:tabs>
          <w:tab w:val="right" w:pos="540"/>
          <w:tab w:val="left" w:pos="720"/>
        </w:tabs>
        <w:ind w:hanging="720"/>
        <w:rPr>
          <w:noProof/>
        </w:rPr>
      </w:pPr>
      <w:r>
        <w:rPr>
          <w:noProof/>
        </w:rPr>
        <w:tab/>
        <w:t xml:space="preserve">34. </w:t>
      </w:r>
      <w:r>
        <w:rPr>
          <w:noProof/>
        </w:rPr>
        <w:tab/>
        <w:t xml:space="preserve">Guyatt, GH, Tugwell, PX et al 1986. The role of before-after studies of therapeutic impact in the evaluation of diagnostic technologies, </w:t>
      </w:r>
      <w:r w:rsidRPr="00B6474E">
        <w:rPr>
          <w:i/>
          <w:noProof/>
        </w:rPr>
        <w:t>Journal of Chronic Diseases</w:t>
      </w:r>
      <w:r>
        <w:rPr>
          <w:noProof/>
        </w:rPr>
        <w:t>, 39 (4), 295-304.</w:t>
      </w:r>
    </w:p>
    <w:p w:rsidR="0048417A" w:rsidRDefault="0048417A" w:rsidP="00836B55">
      <w:pPr>
        <w:tabs>
          <w:tab w:val="right" w:pos="540"/>
          <w:tab w:val="left" w:pos="720"/>
        </w:tabs>
        <w:ind w:hanging="720"/>
        <w:rPr>
          <w:noProof/>
        </w:rPr>
      </w:pPr>
      <w:r>
        <w:rPr>
          <w:noProof/>
        </w:rPr>
        <w:tab/>
        <w:t xml:space="preserve">35. </w:t>
      </w:r>
      <w:r>
        <w:rPr>
          <w:noProof/>
        </w:rPr>
        <w:tab/>
        <w:t xml:space="preserve">Hayes Inc 2008, </w:t>
      </w:r>
      <w:r w:rsidRPr="00B6474E">
        <w:rPr>
          <w:i/>
          <w:noProof/>
        </w:rPr>
        <w:t>Capsule endoscopy for diagnostic imaging of the small bowel.</w:t>
      </w:r>
      <w:r>
        <w:rPr>
          <w:noProof/>
        </w:rPr>
        <w:t xml:space="preserve">  Lansdale, PA: Hayes Inc.</w:t>
      </w:r>
    </w:p>
    <w:p w:rsidR="0048417A" w:rsidRDefault="0048417A" w:rsidP="00836B55">
      <w:pPr>
        <w:tabs>
          <w:tab w:val="right" w:pos="540"/>
          <w:tab w:val="left" w:pos="720"/>
        </w:tabs>
        <w:ind w:hanging="720"/>
        <w:rPr>
          <w:noProof/>
        </w:rPr>
      </w:pPr>
      <w:r>
        <w:rPr>
          <w:noProof/>
        </w:rPr>
        <w:tab/>
        <w:t xml:space="preserve">36. </w:t>
      </w:r>
      <w:r>
        <w:rPr>
          <w:noProof/>
        </w:rPr>
        <w:tab/>
        <w:t xml:space="preserve">Herrerias, JM, Caunedo, A et al 2003. Capsule endoscopy in patients with suspected Crohn's disease and negative endoscopy, </w:t>
      </w:r>
      <w:r w:rsidRPr="00B6474E">
        <w:rPr>
          <w:i/>
          <w:noProof/>
        </w:rPr>
        <w:t>Endoscopy</w:t>
      </w:r>
      <w:r>
        <w:rPr>
          <w:noProof/>
        </w:rPr>
        <w:t>, 35 (7), 564-568.</w:t>
      </w:r>
    </w:p>
    <w:p w:rsidR="0048417A" w:rsidRDefault="0048417A" w:rsidP="00836B55">
      <w:pPr>
        <w:tabs>
          <w:tab w:val="right" w:pos="540"/>
          <w:tab w:val="left" w:pos="720"/>
        </w:tabs>
        <w:ind w:hanging="720"/>
        <w:rPr>
          <w:noProof/>
        </w:rPr>
      </w:pPr>
      <w:r>
        <w:rPr>
          <w:noProof/>
        </w:rPr>
        <w:tab/>
        <w:t xml:space="preserve">37. </w:t>
      </w:r>
      <w:r>
        <w:rPr>
          <w:noProof/>
        </w:rPr>
        <w:tab/>
        <w:t xml:space="preserve">Jensen, M, Nathan, T et al 2011. Diagnostic accuracy of capsule endoscopy for small bowel Crohn's disease is superior to that of MR enterography or CT enterography, </w:t>
      </w:r>
      <w:r w:rsidRPr="00B6474E">
        <w:rPr>
          <w:i/>
          <w:noProof/>
        </w:rPr>
        <w:t>Clinical Gastroenterology &amp; Hepatology</w:t>
      </w:r>
      <w:r>
        <w:rPr>
          <w:noProof/>
        </w:rPr>
        <w:t>, 9 (2), 124-129.</w:t>
      </w:r>
    </w:p>
    <w:p w:rsidR="0048417A" w:rsidRDefault="0048417A" w:rsidP="00836B55">
      <w:pPr>
        <w:tabs>
          <w:tab w:val="right" w:pos="540"/>
          <w:tab w:val="left" w:pos="720"/>
        </w:tabs>
        <w:ind w:hanging="720"/>
        <w:rPr>
          <w:noProof/>
        </w:rPr>
      </w:pPr>
      <w:r>
        <w:rPr>
          <w:noProof/>
        </w:rPr>
        <w:tab/>
        <w:t xml:space="preserve">38. </w:t>
      </w:r>
      <w:r>
        <w:rPr>
          <w:noProof/>
        </w:rPr>
        <w:tab/>
        <w:t xml:space="preserve">Ladas, SD, Triantafyllou, K et al 2010. European Society of Gastrointestinal Endoscopy (ESGE): Recommendations (2009) on clinical use of video capsule endoscopy to investigate small-bowel, esophageal and colonic diseases, </w:t>
      </w:r>
      <w:r w:rsidRPr="00B6474E">
        <w:rPr>
          <w:i/>
          <w:noProof/>
        </w:rPr>
        <w:t>Endoscopy</w:t>
      </w:r>
      <w:r>
        <w:rPr>
          <w:noProof/>
        </w:rPr>
        <w:t>, 42 (3), 220-227.</w:t>
      </w:r>
    </w:p>
    <w:p w:rsidR="0048417A" w:rsidRDefault="0048417A" w:rsidP="00836B55">
      <w:pPr>
        <w:tabs>
          <w:tab w:val="right" w:pos="540"/>
          <w:tab w:val="left" w:pos="720"/>
        </w:tabs>
        <w:ind w:hanging="720"/>
        <w:rPr>
          <w:noProof/>
        </w:rPr>
      </w:pPr>
      <w:r>
        <w:rPr>
          <w:noProof/>
        </w:rPr>
        <w:tab/>
        <w:t xml:space="preserve">39. </w:t>
      </w:r>
      <w:r>
        <w:rPr>
          <w:noProof/>
        </w:rPr>
        <w:tab/>
        <w:t xml:space="preserve">Leighton, JA, Gralnek, IM et al 2009. Capsule endoscopy in suspected small bowel Crohn's disease: Economic impact of disease diagnosis and treatment, </w:t>
      </w:r>
      <w:r w:rsidRPr="00B6474E">
        <w:rPr>
          <w:i/>
          <w:noProof/>
        </w:rPr>
        <w:t>World Journal of Gastroenterology</w:t>
      </w:r>
      <w:r>
        <w:rPr>
          <w:noProof/>
        </w:rPr>
        <w:t>, 15 (45), 5685-5692.</w:t>
      </w:r>
    </w:p>
    <w:p w:rsidR="0048417A" w:rsidRDefault="0048417A" w:rsidP="00836B55">
      <w:pPr>
        <w:tabs>
          <w:tab w:val="right" w:pos="540"/>
          <w:tab w:val="left" w:pos="720"/>
        </w:tabs>
        <w:ind w:hanging="720"/>
        <w:rPr>
          <w:noProof/>
        </w:rPr>
      </w:pPr>
      <w:r>
        <w:rPr>
          <w:noProof/>
        </w:rPr>
        <w:tab/>
        <w:t xml:space="preserve">40. </w:t>
      </w:r>
      <w:r>
        <w:rPr>
          <w:noProof/>
        </w:rPr>
        <w:tab/>
        <w:t xml:space="preserve">Leighton, JA, Triester, SL et al 2006. Capsule endoscopy: a meta-analysis for use with obscure gastrointestinal bleeding and Crohn's disease, </w:t>
      </w:r>
      <w:r w:rsidRPr="00B6474E">
        <w:rPr>
          <w:i/>
          <w:noProof/>
        </w:rPr>
        <w:t xml:space="preserve">Gastrointestinal </w:t>
      </w:r>
      <w:r>
        <w:rPr>
          <w:i/>
          <w:noProof/>
        </w:rPr>
        <w:t>E</w:t>
      </w:r>
      <w:r w:rsidRPr="00B6474E">
        <w:rPr>
          <w:i/>
          <w:noProof/>
        </w:rPr>
        <w:t xml:space="preserve">ndoscopy </w:t>
      </w:r>
      <w:r>
        <w:rPr>
          <w:i/>
          <w:noProof/>
        </w:rPr>
        <w:t>C</w:t>
      </w:r>
      <w:r w:rsidRPr="00B6474E">
        <w:rPr>
          <w:i/>
          <w:noProof/>
        </w:rPr>
        <w:t>linics of North America</w:t>
      </w:r>
      <w:r>
        <w:rPr>
          <w:noProof/>
        </w:rPr>
        <w:t>, 16 (2), 229-250.</w:t>
      </w:r>
    </w:p>
    <w:p w:rsidR="0048417A" w:rsidRDefault="0048417A" w:rsidP="00836B55">
      <w:pPr>
        <w:tabs>
          <w:tab w:val="right" w:pos="540"/>
          <w:tab w:val="left" w:pos="720"/>
        </w:tabs>
        <w:ind w:hanging="720"/>
        <w:rPr>
          <w:noProof/>
        </w:rPr>
      </w:pPr>
      <w:r>
        <w:rPr>
          <w:noProof/>
        </w:rPr>
        <w:lastRenderedPageBreak/>
        <w:tab/>
        <w:t xml:space="preserve">41. </w:t>
      </w:r>
      <w:r>
        <w:rPr>
          <w:noProof/>
        </w:rPr>
        <w:tab/>
        <w:t xml:space="preserve">Levesque, BG, Cipriano, LE et al 2010. Cost-effectiveness of alternative imaging strategies for the diagnosis of small-bowel Crohn's disease, </w:t>
      </w:r>
      <w:r w:rsidRPr="00B6474E">
        <w:rPr>
          <w:i/>
          <w:noProof/>
        </w:rPr>
        <w:t>Clinical Gastroenterology and Hepatology</w:t>
      </w:r>
      <w:r>
        <w:rPr>
          <w:noProof/>
        </w:rPr>
        <w:t>, 8 (3), 261-267.</w:t>
      </w:r>
    </w:p>
    <w:p w:rsidR="0048417A" w:rsidRDefault="0048417A" w:rsidP="00836B55">
      <w:pPr>
        <w:tabs>
          <w:tab w:val="right" w:pos="540"/>
          <w:tab w:val="left" w:pos="720"/>
        </w:tabs>
        <w:ind w:hanging="720"/>
        <w:rPr>
          <w:noProof/>
        </w:rPr>
      </w:pPr>
      <w:r>
        <w:rPr>
          <w:noProof/>
        </w:rPr>
        <w:tab/>
        <w:t xml:space="preserve">42. </w:t>
      </w:r>
      <w:r>
        <w:rPr>
          <w:noProof/>
        </w:rPr>
        <w:tab/>
        <w:t xml:space="preserve">Louis, E, Collard, A et al 2001. Behaviour of Crohn's disease according to the Vienna classification: Changing pattern over the course of the disease, </w:t>
      </w:r>
      <w:r w:rsidRPr="00B6474E">
        <w:rPr>
          <w:i/>
          <w:noProof/>
        </w:rPr>
        <w:t>Gut</w:t>
      </w:r>
      <w:r>
        <w:rPr>
          <w:noProof/>
        </w:rPr>
        <w:t>, 49 (6), 777-782.</w:t>
      </w:r>
    </w:p>
    <w:p w:rsidR="0048417A" w:rsidRDefault="0048417A" w:rsidP="00836B55">
      <w:pPr>
        <w:tabs>
          <w:tab w:val="right" w:pos="540"/>
          <w:tab w:val="left" w:pos="720"/>
        </w:tabs>
        <w:ind w:hanging="720"/>
        <w:rPr>
          <w:noProof/>
        </w:rPr>
      </w:pPr>
      <w:r>
        <w:rPr>
          <w:noProof/>
        </w:rPr>
        <w:tab/>
        <w:t xml:space="preserve">43. </w:t>
      </w:r>
      <w:r>
        <w:rPr>
          <w:noProof/>
        </w:rPr>
        <w:tab/>
        <w:t xml:space="preserve">Markova, I, Kluchova, K et al 2010. Small bowel imaging - still a radiologic approach?, </w:t>
      </w:r>
      <w:r w:rsidRPr="00B6474E">
        <w:rPr>
          <w:i/>
          <w:noProof/>
        </w:rPr>
        <w:t>Biomedical Papers of the Medical Faculty of Palacky University in Olomouc, Czech Republic</w:t>
      </w:r>
      <w:r>
        <w:rPr>
          <w:noProof/>
        </w:rPr>
        <w:t>, 154 (2), 123-132.</w:t>
      </w:r>
    </w:p>
    <w:p w:rsidR="0048417A" w:rsidRDefault="0048417A" w:rsidP="00836B55">
      <w:pPr>
        <w:tabs>
          <w:tab w:val="right" w:pos="540"/>
          <w:tab w:val="left" w:pos="720"/>
        </w:tabs>
        <w:ind w:hanging="720"/>
        <w:rPr>
          <w:noProof/>
        </w:rPr>
      </w:pPr>
      <w:r>
        <w:rPr>
          <w:noProof/>
        </w:rPr>
        <w:tab/>
        <w:t xml:space="preserve">44. </w:t>
      </w:r>
      <w:r>
        <w:rPr>
          <w:noProof/>
        </w:rPr>
        <w:tab/>
        <w:t xml:space="preserve">Marmo, R, Rotondano, G et al 2005. Meta-analysis: capsule enteroscopy vs. conventional modalities in diagnosis of small bowel diseases, </w:t>
      </w:r>
      <w:r w:rsidRPr="00B6474E">
        <w:rPr>
          <w:i/>
          <w:noProof/>
        </w:rPr>
        <w:t>Alimentary Pharmacology &amp; Therapeutics</w:t>
      </w:r>
      <w:r>
        <w:rPr>
          <w:noProof/>
        </w:rPr>
        <w:t>, 22 (7), 595-604.</w:t>
      </w:r>
    </w:p>
    <w:p w:rsidR="0048417A" w:rsidRDefault="0048417A" w:rsidP="00836B55">
      <w:pPr>
        <w:tabs>
          <w:tab w:val="right" w:pos="540"/>
          <w:tab w:val="left" w:pos="720"/>
        </w:tabs>
        <w:ind w:hanging="720"/>
        <w:rPr>
          <w:noProof/>
        </w:rPr>
      </w:pPr>
      <w:r>
        <w:rPr>
          <w:noProof/>
        </w:rPr>
        <w:tab/>
        <w:t xml:space="preserve">45. </w:t>
      </w:r>
      <w:r>
        <w:rPr>
          <w:noProof/>
        </w:rPr>
        <w:tab/>
        <w:t xml:space="preserve">Medical Advisory Secretariat - Ontario Ministry of Health and Long-Term Care (MAS) 2003. Wireless capsule endoscopy: an evidence-based analysis, </w:t>
      </w:r>
      <w:r w:rsidRPr="00B6474E">
        <w:rPr>
          <w:i/>
          <w:noProof/>
        </w:rPr>
        <w:t>Ontario Health Technology Assessment Series</w:t>
      </w:r>
      <w:r>
        <w:rPr>
          <w:noProof/>
        </w:rPr>
        <w:t xml:space="preserve">, 3 (2). </w:t>
      </w:r>
    </w:p>
    <w:p w:rsidR="0048417A" w:rsidRDefault="0048417A" w:rsidP="00836B55">
      <w:pPr>
        <w:tabs>
          <w:tab w:val="right" w:pos="540"/>
          <w:tab w:val="left" w:pos="720"/>
        </w:tabs>
        <w:ind w:hanging="720"/>
        <w:rPr>
          <w:noProof/>
        </w:rPr>
      </w:pPr>
      <w:r>
        <w:rPr>
          <w:noProof/>
        </w:rPr>
        <w:tab/>
        <w:t xml:space="preserve">46. </w:t>
      </w:r>
      <w:r>
        <w:rPr>
          <w:noProof/>
        </w:rPr>
        <w:tab/>
        <w:t xml:space="preserve">MSAC (Medical Services Advisory Committee) 2003, </w:t>
      </w:r>
      <w:r w:rsidRPr="00B6474E">
        <w:rPr>
          <w:i/>
          <w:noProof/>
        </w:rPr>
        <w:t>M2A® Capsule Endoscopy for the evaluation of obscure gastrointestinal bleeding in adult patients.</w:t>
      </w:r>
      <w:r>
        <w:rPr>
          <w:noProof/>
        </w:rPr>
        <w:t xml:space="preserve"> MSAC Application 1057. Canberra: Commonwealth of Australia.</w:t>
      </w:r>
    </w:p>
    <w:p w:rsidR="0048417A" w:rsidRDefault="0048417A" w:rsidP="00836B55">
      <w:pPr>
        <w:tabs>
          <w:tab w:val="right" w:pos="540"/>
          <w:tab w:val="left" w:pos="720"/>
        </w:tabs>
        <w:ind w:hanging="720"/>
        <w:rPr>
          <w:noProof/>
        </w:rPr>
      </w:pPr>
      <w:r>
        <w:rPr>
          <w:noProof/>
        </w:rPr>
        <w:tab/>
        <w:t xml:space="preserve">47. </w:t>
      </w:r>
      <w:r>
        <w:rPr>
          <w:noProof/>
        </w:rPr>
        <w:tab/>
        <w:t xml:space="preserve">MSAC 2005, </w:t>
      </w:r>
      <w:r w:rsidRPr="00B6474E">
        <w:rPr>
          <w:i/>
          <w:noProof/>
        </w:rPr>
        <w:t>Guidelines for the assessment of diagnostic technologies.</w:t>
      </w:r>
      <w:r>
        <w:rPr>
          <w:noProof/>
        </w:rPr>
        <w:t xml:space="preserve">  Canberra: Commonwealth of Australia.</w:t>
      </w:r>
    </w:p>
    <w:p w:rsidR="0048417A" w:rsidRDefault="0048417A" w:rsidP="00836B55">
      <w:pPr>
        <w:tabs>
          <w:tab w:val="right" w:pos="540"/>
          <w:tab w:val="left" w:pos="720"/>
        </w:tabs>
        <w:ind w:hanging="720"/>
        <w:rPr>
          <w:noProof/>
        </w:rPr>
      </w:pPr>
      <w:r>
        <w:rPr>
          <w:noProof/>
        </w:rPr>
        <w:tab/>
        <w:t xml:space="preserve">48. </w:t>
      </w:r>
      <w:r>
        <w:rPr>
          <w:noProof/>
        </w:rPr>
        <w:tab/>
        <w:t xml:space="preserve">MSAC 2007, </w:t>
      </w:r>
      <w:r w:rsidRPr="00B6474E">
        <w:rPr>
          <w:i/>
          <w:noProof/>
        </w:rPr>
        <w:t>Review of application of PillCam® capsule endoscopy (formerly known as M2A®) for the surveillance of Peutz-Jeghers syndrome.</w:t>
      </w:r>
      <w:r>
        <w:rPr>
          <w:noProof/>
        </w:rPr>
        <w:t xml:space="preserve"> MSAC Application 1119. Canberra: Commonwealth of Australia.</w:t>
      </w:r>
    </w:p>
    <w:p w:rsidR="0048417A" w:rsidRDefault="0048417A" w:rsidP="00836B55">
      <w:pPr>
        <w:tabs>
          <w:tab w:val="right" w:pos="540"/>
          <w:tab w:val="left" w:pos="720"/>
        </w:tabs>
        <w:ind w:hanging="720"/>
        <w:rPr>
          <w:noProof/>
        </w:rPr>
      </w:pPr>
      <w:r>
        <w:rPr>
          <w:noProof/>
        </w:rPr>
        <w:tab/>
        <w:t xml:space="preserve">49. </w:t>
      </w:r>
      <w:r>
        <w:rPr>
          <w:noProof/>
        </w:rPr>
        <w:tab/>
        <w:t xml:space="preserve">Moher, D, Cook, DJ et al 1999. Improving the quality of reports of meta-analyses of randomised controlled trials: The QUOROM statement. Quality of Reporting of Meta-analyses, </w:t>
      </w:r>
      <w:r w:rsidRPr="00B6474E">
        <w:rPr>
          <w:i/>
          <w:noProof/>
        </w:rPr>
        <w:t>Lancet</w:t>
      </w:r>
      <w:r>
        <w:rPr>
          <w:noProof/>
        </w:rPr>
        <w:t>, 354 (9193), 1896-1900.</w:t>
      </w:r>
    </w:p>
    <w:p w:rsidR="0048417A" w:rsidRDefault="0048417A" w:rsidP="00836B55">
      <w:pPr>
        <w:tabs>
          <w:tab w:val="right" w:pos="540"/>
          <w:tab w:val="left" w:pos="720"/>
        </w:tabs>
        <w:ind w:hanging="720"/>
        <w:rPr>
          <w:noProof/>
        </w:rPr>
      </w:pPr>
      <w:r>
        <w:rPr>
          <w:noProof/>
        </w:rPr>
        <w:tab/>
        <w:t xml:space="preserve">50. </w:t>
      </w:r>
      <w:r>
        <w:rPr>
          <w:noProof/>
        </w:rPr>
        <w:tab/>
        <w:t xml:space="preserve">Morrison, G, Headon, B et al 2009. Update in inflammatory bowel disease, </w:t>
      </w:r>
      <w:r w:rsidRPr="00B6474E">
        <w:rPr>
          <w:i/>
          <w:noProof/>
        </w:rPr>
        <w:t>Australian Family Physician</w:t>
      </w:r>
      <w:r>
        <w:rPr>
          <w:noProof/>
        </w:rPr>
        <w:t>, 38 (12), 956-961.</w:t>
      </w:r>
    </w:p>
    <w:p w:rsidR="0048417A" w:rsidRDefault="0048417A" w:rsidP="00836B55">
      <w:pPr>
        <w:tabs>
          <w:tab w:val="right" w:pos="540"/>
          <w:tab w:val="left" w:pos="720"/>
        </w:tabs>
        <w:ind w:hanging="720"/>
        <w:rPr>
          <w:noProof/>
        </w:rPr>
      </w:pPr>
      <w:r>
        <w:rPr>
          <w:noProof/>
        </w:rPr>
        <w:tab/>
        <w:t xml:space="preserve">51. </w:t>
      </w:r>
      <w:r>
        <w:rPr>
          <w:noProof/>
        </w:rPr>
        <w:tab/>
        <w:t xml:space="preserve">Mow, WS, Lo, SK et al 2004. Initial experience with wireless capsule enteroscopy in the diagnosis and management of inflammatory bowel disease, </w:t>
      </w:r>
      <w:r w:rsidRPr="00B6474E">
        <w:rPr>
          <w:i/>
          <w:noProof/>
        </w:rPr>
        <w:t>Clinical Gastroenterology &amp; Hepatology</w:t>
      </w:r>
      <w:r>
        <w:rPr>
          <w:noProof/>
        </w:rPr>
        <w:t>, 2 (1), 31-40.</w:t>
      </w:r>
    </w:p>
    <w:p w:rsidR="0048417A" w:rsidRDefault="0048417A" w:rsidP="00836B55">
      <w:pPr>
        <w:tabs>
          <w:tab w:val="right" w:pos="540"/>
          <w:tab w:val="left" w:pos="720"/>
        </w:tabs>
        <w:ind w:hanging="720"/>
        <w:rPr>
          <w:noProof/>
        </w:rPr>
      </w:pPr>
      <w:r>
        <w:rPr>
          <w:noProof/>
        </w:rPr>
        <w:tab/>
        <w:t xml:space="preserve">52. </w:t>
      </w:r>
      <w:r>
        <w:rPr>
          <w:noProof/>
        </w:rPr>
        <w:tab/>
        <w:t xml:space="preserve">Mueller, E, Schwander, B et al 2004, </w:t>
      </w:r>
      <w:r w:rsidRPr="00B6474E">
        <w:rPr>
          <w:i/>
          <w:noProof/>
        </w:rPr>
        <w:t>Clinical and economic evaluation of the diagnostic method of capsule endoscopy for examination of the small intestine.</w:t>
      </w:r>
      <w:r>
        <w:rPr>
          <w:noProof/>
        </w:rPr>
        <w:t xml:space="preserve">  Köln: Deutsche Agentur für Health Technology Assessment des DIMDI - DAHTA@DIMDI.</w:t>
      </w:r>
    </w:p>
    <w:p w:rsidR="0048417A" w:rsidRDefault="0048417A" w:rsidP="00836B55">
      <w:pPr>
        <w:tabs>
          <w:tab w:val="right" w:pos="540"/>
          <w:tab w:val="left" w:pos="720"/>
        </w:tabs>
        <w:ind w:hanging="720"/>
        <w:rPr>
          <w:noProof/>
        </w:rPr>
      </w:pPr>
      <w:r>
        <w:rPr>
          <w:noProof/>
        </w:rPr>
        <w:tab/>
        <w:t xml:space="preserve">53. </w:t>
      </w:r>
      <w:r>
        <w:rPr>
          <w:noProof/>
        </w:rPr>
        <w:tab/>
        <w:t xml:space="preserve">Mundy, L and Merlin, T 2003, </w:t>
      </w:r>
      <w:r w:rsidRPr="00B6474E">
        <w:rPr>
          <w:i/>
          <w:noProof/>
        </w:rPr>
        <w:t>Capsule endoscopy for the diagnosis of small bowel diseases. Horizon scanning prioritising summary - Volume 1 Number 10.</w:t>
      </w:r>
      <w:r>
        <w:rPr>
          <w:noProof/>
        </w:rPr>
        <w:t xml:space="preserve">  Canberra: Commonwealth of Australia.</w:t>
      </w:r>
    </w:p>
    <w:p w:rsidR="0048417A" w:rsidRDefault="0048417A" w:rsidP="00836B55">
      <w:pPr>
        <w:tabs>
          <w:tab w:val="right" w:pos="540"/>
          <w:tab w:val="left" w:pos="720"/>
        </w:tabs>
        <w:ind w:hanging="720"/>
        <w:rPr>
          <w:noProof/>
        </w:rPr>
      </w:pPr>
      <w:r>
        <w:rPr>
          <w:noProof/>
        </w:rPr>
        <w:tab/>
        <w:t xml:space="preserve">54. </w:t>
      </w:r>
      <w:r>
        <w:rPr>
          <w:noProof/>
        </w:rPr>
        <w:tab/>
        <w:t xml:space="preserve">Munoz-Navas, M 2009. Capsule endoscopy, </w:t>
      </w:r>
      <w:r w:rsidRPr="00B6474E">
        <w:rPr>
          <w:i/>
          <w:noProof/>
        </w:rPr>
        <w:t>World Journal of Gastroenterology</w:t>
      </w:r>
      <w:r>
        <w:rPr>
          <w:noProof/>
        </w:rPr>
        <w:t>, 15 (13), 1584-1586.</w:t>
      </w:r>
    </w:p>
    <w:p w:rsidR="0048417A" w:rsidRDefault="0048417A" w:rsidP="00836B55">
      <w:pPr>
        <w:tabs>
          <w:tab w:val="right" w:pos="540"/>
          <w:tab w:val="left" w:pos="720"/>
        </w:tabs>
        <w:ind w:hanging="720"/>
        <w:rPr>
          <w:noProof/>
        </w:rPr>
      </w:pPr>
      <w:r>
        <w:rPr>
          <w:noProof/>
        </w:rPr>
        <w:tab/>
        <w:t xml:space="preserve">55. </w:t>
      </w:r>
      <w:r>
        <w:rPr>
          <w:noProof/>
        </w:rPr>
        <w:tab/>
        <w:t xml:space="preserve">Nakamura, T and Terano, A 2008. Capsule endoscopy: Past, present, and future, </w:t>
      </w:r>
      <w:r w:rsidRPr="00B6474E">
        <w:rPr>
          <w:i/>
          <w:noProof/>
        </w:rPr>
        <w:t>Journal of Gastroenterology</w:t>
      </w:r>
      <w:r>
        <w:rPr>
          <w:noProof/>
        </w:rPr>
        <w:t>, 43 (2), 93-99.</w:t>
      </w:r>
    </w:p>
    <w:p w:rsidR="0048417A" w:rsidRDefault="0048417A" w:rsidP="00836B55">
      <w:pPr>
        <w:tabs>
          <w:tab w:val="right" w:pos="540"/>
          <w:tab w:val="left" w:pos="720"/>
        </w:tabs>
        <w:ind w:hanging="720"/>
        <w:rPr>
          <w:noProof/>
        </w:rPr>
      </w:pPr>
      <w:r>
        <w:rPr>
          <w:noProof/>
        </w:rPr>
        <w:lastRenderedPageBreak/>
        <w:tab/>
        <w:t xml:space="preserve">56. </w:t>
      </w:r>
      <w:r>
        <w:rPr>
          <w:noProof/>
        </w:rPr>
        <w:tab/>
        <w:t xml:space="preserve">NHMRC (National Health and Medical Research Council) 1999, </w:t>
      </w:r>
      <w:r w:rsidRPr="00B6474E">
        <w:rPr>
          <w:i/>
          <w:noProof/>
        </w:rPr>
        <w:t>A guide to the development, implementation and evaluation of clinical practice guidelines.</w:t>
      </w:r>
      <w:r>
        <w:rPr>
          <w:noProof/>
        </w:rPr>
        <w:t xml:space="preserve">  National Health and Medical Research Council: Commonwealth of Australia.</w:t>
      </w:r>
    </w:p>
    <w:p w:rsidR="0048417A" w:rsidRDefault="0048417A" w:rsidP="00836B55">
      <w:pPr>
        <w:tabs>
          <w:tab w:val="right" w:pos="540"/>
          <w:tab w:val="left" w:pos="720"/>
        </w:tabs>
        <w:ind w:hanging="720"/>
        <w:rPr>
          <w:noProof/>
        </w:rPr>
      </w:pPr>
      <w:r>
        <w:rPr>
          <w:noProof/>
        </w:rPr>
        <w:tab/>
        <w:t xml:space="preserve">57. </w:t>
      </w:r>
      <w:r>
        <w:rPr>
          <w:noProof/>
        </w:rPr>
        <w:tab/>
        <w:t xml:space="preserve">NHMRC 2000a, </w:t>
      </w:r>
      <w:r w:rsidRPr="00B6474E">
        <w:rPr>
          <w:i/>
          <w:noProof/>
        </w:rPr>
        <w:t>How to review the evidence: systematic identification and review of the scientific literature.</w:t>
      </w:r>
      <w:r>
        <w:rPr>
          <w:noProof/>
        </w:rPr>
        <w:t xml:space="preserve">  Canberra: National Health and Medical Research Council; Commonwealth of Australia.</w:t>
      </w:r>
    </w:p>
    <w:p w:rsidR="0048417A" w:rsidRDefault="0048417A" w:rsidP="00836B55">
      <w:pPr>
        <w:tabs>
          <w:tab w:val="right" w:pos="540"/>
          <w:tab w:val="left" w:pos="720"/>
        </w:tabs>
        <w:ind w:hanging="720"/>
        <w:rPr>
          <w:noProof/>
        </w:rPr>
      </w:pPr>
      <w:r>
        <w:rPr>
          <w:noProof/>
        </w:rPr>
        <w:tab/>
        <w:t xml:space="preserve">58. </w:t>
      </w:r>
      <w:r>
        <w:rPr>
          <w:noProof/>
        </w:rPr>
        <w:tab/>
        <w:t xml:space="preserve">NHMRC 2000b, </w:t>
      </w:r>
      <w:r w:rsidRPr="00B6474E">
        <w:rPr>
          <w:i/>
          <w:noProof/>
        </w:rPr>
        <w:t>How to use the evidence: assessment and application of scientific evidence.</w:t>
      </w:r>
      <w:r>
        <w:rPr>
          <w:noProof/>
        </w:rPr>
        <w:t xml:space="preserve">  Canberra: National Health and Medical Research Council; Commonwealth of Australia.</w:t>
      </w:r>
    </w:p>
    <w:p w:rsidR="0048417A" w:rsidRDefault="0048417A" w:rsidP="00836B55">
      <w:pPr>
        <w:tabs>
          <w:tab w:val="right" w:pos="540"/>
          <w:tab w:val="left" w:pos="720"/>
        </w:tabs>
        <w:ind w:hanging="720"/>
        <w:rPr>
          <w:noProof/>
        </w:rPr>
      </w:pPr>
      <w:r>
        <w:rPr>
          <w:noProof/>
        </w:rPr>
        <w:tab/>
        <w:t xml:space="preserve">59. </w:t>
      </w:r>
      <w:r>
        <w:rPr>
          <w:noProof/>
        </w:rPr>
        <w:tab/>
        <w:t xml:space="preserve">NHMRC 2008, </w:t>
      </w:r>
      <w:r w:rsidRPr="00B6474E">
        <w:rPr>
          <w:i/>
          <w:noProof/>
        </w:rPr>
        <w:t>NHMRC additional levels of evidence and grades for recommendations for developers of guidelines:</w:t>
      </w:r>
      <w:r w:rsidRPr="00B6474E">
        <w:rPr>
          <w:b/>
          <w:i/>
          <w:noProof/>
        </w:rPr>
        <w:t xml:space="preserve"> </w:t>
      </w:r>
      <w:r w:rsidRPr="00B6474E">
        <w:rPr>
          <w:i/>
          <w:noProof/>
        </w:rPr>
        <w:t>stage 2 consultation.</w:t>
      </w:r>
      <w:r>
        <w:rPr>
          <w:noProof/>
        </w:rPr>
        <w:t xml:space="preserve">  Canberra: National Health and Medical Research Council, Commonwealth of Australia.</w:t>
      </w:r>
    </w:p>
    <w:p w:rsidR="0048417A" w:rsidRDefault="0048417A" w:rsidP="00836B55">
      <w:pPr>
        <w:tabs>
          <w:tab w:val="right" w:pos="540"/>
          <w:tab w:val="left" w:pos="720"/>
        </w:tabs>
        <w:ind w:hanging="720"/>
        <w:rPr>
          <w:noProof/>
        </w:rPr>
      </w:pPr>
      <w:r>
        <w:rPr>
          <w:noProof/>
        </w:rPr>
        <w:tab/>
        <w:t xml:space="preserve">60. </w:t>
      </w:r>
      <w:r>
        <w:rPr>
          <w:noProof/>
        </w:rPr>
        <w:tab/>
        <w:t xml:space="preserve">NHMRC 2009, </w:t>
      </w:r>
      <w:r w:rsidRPr="00B6474E">
        <w:rPr>
          <w:i/>
          <w:noProof/>
        </w:rPr>
        <w:t>NHMRC levels of evidence and grades for recommendations for developers of guidelines.</w:t>
      </w:r>
      <w:r>
        <w:rPr>
          <w:noProof/>
        </w:rPr>
        <w:t xml:space="preserve">  Canberra: National Health and Medical Research Council, Commonwealth of Australia.</w:t>
      </w:r>
    </w:p>
    <w:p w:rsidR="0048417A" w:rsidRDefault="0048417A" w:rsidP="00836B55">
      <w:pPr>
        <w:tabs>
          <w:tab w:val="right" w:pos="540"/>
          <w:tab w:val="left" w:pos="720"/>
        </w:tabs>
        <w:ind w:hanging="720"/>
        <w:rPr>
          <w:noProof/>
        </w:rPr>
      </w:pPr>
      <w:r>
        <w:rPr>
          <w:noProof/>
        </w:rPr>
        <w:tab/>
        <w:t xml:space="preserve">61. </w:t>
      </w:r>
      <w:r>
        <w:rPr>
          <w:noProof/>
        </w:rPr>
        <w:tab/>
        <w:t xml:space="preserve">NICE (National Institute for Clinical Excellence) 2004, </w:t>
      </w:r>
      <w:r w:rsidRPr="00B6474E">
        <w:rPr>
          <w:rFonts w:ascii="FBMHKC+Arial,Bold" w:hAnsi="FBMHKC+Arial,Bold"/>
          <w:i/>
          <w:noProof/>
        </w:rPr>
        <w:t>Interventional procedures overview of wireless capsule endoscopy</w:t>
      </w:r>
      <w:r w:rsidRPr="00B6474E">
        <w:rPr>
          <w:i/>
          <w:noProof/>
        </w:rPr>
        <w:t>.</w:t>
      </w:r>
      <w:r>
        <w:rPr>
          <w:noProof/>
        </w:rPr>
        <w:t xml:space="preserve">  UK: National Institute for Clinical Excellence.</w:t>
      </w:r>
    </w:p>
    <w:p w:rsidR="0048417A" w:rsidRDefault="0048417A" w:rsidP="00836B55">
      <w:pPr>
        <w:tabs>
          <w:tab w:val="right" w:pos="540"/>
          <w:tab w:val="left" w:pos="720"/>
        </w:tabs>
        <w:ind w:hanging="720"/>
        <w:rPr>
          <w:noProof/>
        </w:rPr>
      </w:pPr>
      <w:r>
        <w:rPr>
          <w:noProof/>
        </w:rPr>
        <w:tab/>
        <w:t xml:space="preserve">62. </w:t>
      </w:r>
      <w:r>
        <w:rPr>
          <w:noProof/>
        </w:rPr>
        <w:tab/>
        <w:t xml:space="preserve">Osterman, MT 2006. Risky business? Crohn's disease-related mortality, </w:t>
      </w:r>
      <w:r w:rsidRPr="00B6474E">
        <w:rPr>
          <w:i/>
          <w:noProof/>
        </w:rPr>
        <w:t>Inflammatory Bowel Diseases</w:t>
      </w:r>
      <w:r>
        <w:rPr>
          <w:noProof/>
        </w:rPr>
        <w:t>, 12 (3), 246-248.</w:t>
      </w:r>
    </w:p>
    <w:p w:rsidR="0048417A" w:rsidRDefault="0048417A" w:rsidP="00836B55">
      <w:pPr>
        <w:tabs>
          <w:tab w:val="right" w:pos="540"/>
          <w:tab w:val="left" w:pos="720"/>
        </w:tabs>
        <w:ind w:hanging="720"/>
        <w:rPr>
          <w:noProof/>
        </w:rPr>
      </w:pPr>
      <w:r>
        <w:rPr>
          <w:noProof/>
        </w:rPr>
        <w:tab/>
        <w:t xml:space="preserve">63. </w:t>
      </w:r>
      <w:r>
        <w:rPr>
          <w:noProof/>
        </w:rPr>
        <w:tab/>
        <w:t xml:space="preserve">Pihl-Lesnovska, K, Hjortswang, H et al 2010. Patients' perspective of factors influencing quality of life while living with Crohn disease, </w:t>
      </w:r>
      <w:r w:rsidRPr="00B6474E">
        <w:rPr>
          <w:i/>
          <w:noProof/>
        </w:rPr>
        <w:t>Gastroenterology Nursing</w:t>
      </w:r>
      <w:r>
        <w:rPr>
          <w:noProof/>
        </w:rPr>
        <w:t>, 33 (1), 37-44.</w:t>
      </w:r>
    </w:p>
    <w:p w:rsidR="0048417A" w:rsidRDefault="0048417A" w:rsidP="00836B55">
      <w:pPr>
        <w:tabs>
          <w:tab w:val="right" w:pos="540"/>
          <w:tab w:val="left" w:pos="720"/>
        </w:tabs>
        <w:ind w:hanging="720"/>
        <w:rPr>
          <w:noProof/>
        </w:rPr>
      </w:pPr>
      <w:r>
        <w:rPr>
          <w:noProof/>
        </w:rPr>
        <w:tab/>
        <w:t xml:space="preserve">64. </w:t>
      </w:r>
      <w:r>
        <w:rPr>
          <w:noProof/>
        </w:rPr>
        <w:tab/>
        <w:t xml:space="preserve">Poelmans, J, Hulstaert, F et al 2006, </w:t>
      </w:r>
      <w:r w:rsidRPr="00B6474E">
        <w:rPr>
          <w:i/>
          <w:noProof/>
        </w:rPr>
        <w:t>Capsule endoscopy [Endoscopie par capsule]: HTA report.</w:t>
      </w:r>
      <w:r>
        <w:rPr>
          <w:noProof/>
        </w:rPr>
        <w:t xml:space="preserve"> KCE Report vol. 25 B. Belgium: KCE.</w:t>
      </w:r>
    </w:p>
    <w:p w:rsidR="0048417A" w:rsidRDefault="0048417A" w:rsidP="00836B55">
      <w:pPr>
        <w:tabs>
          <w:tab w:val="right" w:pos="540"/>
          <w:tab w:val="left" w:pos="720"/>
        </w:tabs>
        <w:ind w:hanging="720"/>
        <w:rPr>
          <w:noProof/>
        </w:rPr>
      </w:pPr>
      <w:r>
        <w:rPr>
          <w:noProof/>
        </w:rPr>
        <w:tab/>
        <w:t xml:space="preserve">65. </w:t>
      </w:r>
      <w:r>
        <w:rPr>
          <w:noProof/>
        </w:rPr>
        <w:tab/>
        <w:t xml:space="preserve">Richardson, WS, Wilson, MC et al 1995. The well-built clinical question: a key to evidence-based decisions, </w:t>
      </w:r>
      <w:r w:rsidRPr="00B6474E">
        <w:rPr>
          <w:i/>
          <w:noProof/>
        </w:rPr>
        <w:t>ACP Journal Club</w:t>
      </w:r>
      <w:r>
        <w:rPr>
          <w:noProof/>
        </w:rPr>
        <w:t>, 123 (3), A12-A13.</w:t>
      </w:r>
    </w:p>
    <w:p w:rsidR="0048417A" w:rsidRDefault="0048417A" w:rsidP="00836B55">
      <w:pPr>
        <w:tabs>
          <w:tab w:val="right" w:pos="540"/>
          <w:tab w:val="left" w:pos="720"/>
        </w:tabs>
        <w:ind w:hanging="720"/>
        <w:rPr>
          <w:noProof/>
        </w:rPr>
      </w:pPr>
      <w:r>
        <w:rPr>
          <w:noProof/>
        </w:rPr>
        <w:tab/>
        <w:t xml:space="preserve">66. </w:t>
      </w:r>
      <w:r>
        <w:rPr>
          <w:noProof/>
        </w:rPr>
        <w:tab/>
        <w:t xml:space="preserve">Rubin, GP, Hungin, AP et al 2000. Inflammatory bowel disease: epidemiology and management in an English general practice population, </w:t>
      </w:r>
      <w:r w:rsidRPr="00B6474E">
        <w:rPr>
          <w:i/>
          <w:noProof/>
        </w:rPr>
        <w:t>Alimentary Pharmacology &amp; Therapeutics</w:t>
      </w:r>
      <w:r>
        <w:rPr>
          <w:noProof/>
        </w:rPr>
        <w:t>, 14 (12), 1553-1559.</w:t>
      </w:r>
    </w:p>
    <w:p w:rsidR="0048417A" w:rsidRDefault="0048417A" w:rsidP="00836B55">
      <w:pPr>
        <w:tabs>
          <w:tab w:val="right" w:pos="540"/>
          <w:tab w:val="left" w:pos="720"/>
        </w:tabs>
        <w:ind w:hanging="720"/>
        <w:rPr>
          <w:noProof/>
        </w:rPr>
      </w:pPr>
      <w:r>
        <w:rPr>
          <w:noProof/>
        </w:rPr>
        <w:tab/>
        <w:t xml:space="preserve">67. </w:t>
      </w:r>
      <w:r>
        <w:rPr>
          <w:noProof/>
        </w:rPr>
        <w:tab/>
        <w:t xml:space="preserve">Satsangi, J, Silverberg, MS et al 2006. The Montreal classification of inflammatory bowel disease: Controversies, consensus, and implications, </w:t>
      </w:r>
      <w:r w:rsidRPr="00B6474E">
        <w:rPr>
          <w:i/>
          <w:noProof/>
        </w:rPr>
        <w:t>Gut</w:t>
      </w:r>
      <w:r>
        <w:rPr>
          <w:noProof/>
        </w:rPr>
        <w:t>, 55 (6), 749-753.</w:t>
      </w:r>
    </w:p>
    <w:p w:rsidR="0048417A" w:rsidRDefault="0048417A" w:rsidP="00836B55">
      <w:pPr>
        <w:tabs>
          <w:tab w:val="right" w:pos="540"/>
          <w:tab w:val="left" w:pos="720"/>
        </w:tabs>
        <w:ind w:hanging="720"/>
        <w:rPr>
          <w:noProof/>
        </w:rPr>
      </w:pPr>
      <w:r>
        <w:rPr>
          <w:noProof/>
        </w:rPr>
        <w:tab/>
        <w:t xml:space="preserve">68. </w:t>
      </w:r>
      <w:r>
        <w:rPr>
          <w:noProof/>
        </w:rPr>
        <w:tab/>
        <w:t xml:space="preserve">Schnoll-Sussman, F and Kulkarni, K 2008. Risks of capsule endoscopy, </w:t>
      </w:r>
      <w:r w:rsidRPr="00B6474E">
        <w:rPr>
          <w:i/>
          <w:noProof/>
        </w:rPr>
        <w:t>Techniques in Gastrointestinal Endoscopy</w:t>
      </w:r>
      <w:r>
        <w:rPr>
          <w:noProof/>
        </w:rPr>
        <w:t>, 10 (1), 25-30.</w:t>
      </w:r>
    </w:p>
    <w:p w:rsidR="0048417A" w:rsidRDefault="0048417A" w:rsidP="00836B55">
      <w:pPr>
        <w:tabs>
          <w:tab w:val="right" w:pos="540"/>
          <w:tab w:val="left" w:pos="720"/>
        </w:tabs>
        <w:ind w:hanging="720"/>
        <w:rPr>
          <w:noProof/>
        </w:rPr>
      </w:pPr>
      <w:r>
        <w:rPr>
          <w:noProof/>
        </w:rPr>
        <w:tab/>
        <w:t xml:space="preserve">69. </w:t>
      </w:r>
      <w:r>
        <w:rPr>
          <w:noProof/>
        </w:rPr>
        <w:tab/>
        <w:t xml:space="preserve">Selby, W, Appleyard, M et al 2008, </w:t>
      </w:r>
      <w:r w:rsidRPr="00B6474E">
        <w:rPr>
          <w:i/>
          <w:noProof/>
        </w:rPr>
        <w:t>Clinical study report MA-36 - Draft - Evaluation of capsule endoscopy in patients with suspected small bowel Crohn's disease.</w:t>
      </w:r>
      <w:r>
        <w:rPr>
          <w:noProof/>
        </w:rPr>
        <w:t xml:space="preserve"> Unpublished.</w:t>
      </w:r>
    </w:p>
    <w:p w:rsidR="0048417A" w:rsidRDefault="0048417A" w:rsidP="00836B55">
      <w:pPr>
        <w:tabs>
          <w:tab w:val="right" w:pos="540"/>
          <w:tab w:val="left" w:pos="720"/>
        </w:tabs>
        <w:ind w:hanging="720"/>
        <w:rPr>
          <w:noProof/>
        </w:rPr>
      </w:pPr>
      <w:r>
        <w:rPr>
          <w:noProof/>
        </w:rPr>
        <w:tab/>
        <w:t xml:space="preserve">70. </w:t>
      </w:r>
      <w:r>
        <w:rPr>
          <w:noProof/>
        </w:rPr>
        <w:tab/>
        <w:t xml:space="preserve">Shivananda, S, Lennard-Jones, J et al 1996. Incidence of inflammatory bowel disease across Europe: Is there a difference between north and south? Results of the European Collaborative Study on Inflammatory Bowel Disease (EC-IBD), </w:t>
      </w:r>
      <w:r w:rsidRPr="00B6474E">
        <w:rPr>
          <w:i/>
          <w:noProof/>
        </w:rPr>
        <w:t>Gut</w:t>
      </w:r>
      <w:r>
        <w:rPr>
          <w:noProof/>
        </w:rPr>
        <w:t>, 39 (5), 690-697.</w:t>
      </w:r>
    </w:p>
    <w:p w:rsidR="0048417A" w:rsidRDefault="0048417A" w:rsidP="00836B55">
      <w:pPr>
        <w:tabs>
          <w:tab w:val="right" w:pos="540"/>
          <w:tab w:val="left" w:pos="720"/>
        </w:tabs>
        <w:ind w:hanging="720"/>
        <w:rPr>
          <w:noProof/>
        </w:rPr>
      </w:pPr>
      <w:r>
        <w:rPr>
          <w:noProof/>
        </w:rPr>
        <w:tab/>
        <w:t xml:space="preserve">71. </w:t>
      </w:r>
      <w:r>
        <w:rPr>
          <w:noProof/>
        </w:rPr>
        <w:tab/>
        <w:t xml:space="preserve">Sidhu, R, Sanders, DS et al 2008. Guidelines on small bowel enteroscopy and capsule endoscopy in adults, </w:t>
      </w:r>
      <w:r w:rsidRPr="00B6474E">
        <w:rPr>
          <w:i/>
          <w:noProof/>
        </w:rPr>
        <w:t>Gut</w:t>
      </w:r>
      <w:r>
        <w:rPr>
          <w:noProof/>
        </w:rPr>
        <w:t>, 57 (1), 125-136.</w:t>
      </w:r>
    </w:p>
    <w:p w:rsidR="0048417A" w:rsidRDefault="0048417A" w:rsidP="00836B55">
      <w:pPr>
        <w:tabs>
          <w:tab w:val="right" w:pos="540"/>
          <w:tab w:val="left" w:pos="720"/>
        </w:tabs>
        <w:ind w:hanging="720"/>
        <w:rPr>
          <w:noProof/>
        </w:rPr>
      </w:pPr>
      <w:r>
        <w:rPr>
          <w:noProof/>
        </w:rPr>
        <w:lastRenderedPageBreak/>
        <w:tab/>
        <w:t xml:space="preserve">72. </w:t>
      </w:r>
      <w:r>
        <w:rPr>
          <w:noProof/>
        </w:rPr>
        <w:tab/>
        <w:t xml:space="preserve">TGA (Therapeutic Goods Administration) 2011, </w:t>
      </w:r>
      <w:r w:rsidRPr="00B6474E">
        <w:rPr>
          <w:i/>
          <w:noProof/>
        </w:rPr>
        <w:t xml:space="preserve">Australian Register of Therapeutic Goods </w:t>
      </w:r>
      <w:r>
        <w:rPr>
          <w:noProof/>
        </w:rPr>
        <w:t xml:space="preserve">[Internet]. Australian Government, Therapeutic Goods Administration, Department of Health and Ageing. Available from: </w:t>
      </w:r>
      <w:r w:rsidRPr="00B0412F">
        <w:rPr>
          <w:noProof/>
          <w:u w:val="single"/>
        </w:rPr>
        <w:t>http://www.tga.gov.au/</w:t>
      </w:r>
      <w:r>
        <w:rPr>
          <w:noProof/>
        </w:rPr>
        <w:t xml:space="preserve"> [Accessed 4 January 2011].</w:t>
      </w:r>
    </w:p>
    <w:p w:rsidR="0048417A" w:rsidRDefault="0048417A" w:rsidP="00836B55">
      <w:pPr>
        <w:tabs>
          <w:tab w:val="right" w:pos="540"/>
          <w:tab w:val="left" w:pos="720"/>
        </w:tabs>
        <w:ind w:hanging="720"/>
        <w:rPr>
          <w:noProof/>
        </w:rPr>
      </w:pPr>
      <w:r>
        <w:rPr>
          <w:noProof/>
        </w:rPr>
        <w:tab/>
        <w:t xml:space="preserve">73. </w:t>
      </w:r>
      <w:r>
        <w:rPr>
          <w:noProof/>
        </w:rPr>
        <w:tab/>
        <w:t xml:space="preserve">Triester, SL, Leighton, JA et al 2006. A meta-analysis of the yield of capsule endoscopy compared to other diagnostic modalities in patients with non-stricturing small bowel Crohn's disease, </w:t>
      </w:r>
      <w:r w:rsidRPr="00B6474E">
        <w:rPr>
          <w:i/>
          <w:noProof/>
        </w:rPr>
        <w:t>American Journal of Gastroenterology</w:t>
      </w:r>
      <w:r>
        <w:rPr>
          <w:noProof/>
        </w:rPr>
        <w:t>, 101 (5), 954-964.</w:t>
      </w:r>
    </w:p>
    <w:p w:rsidR="0048417A" w:rsidRDefault="0048417A" w:rsidP="00836B55">
      <w:pPr>
        <w:tabs>
          <w:tab w:val="right" w:pos="540"/>
          <w:tab w:val="left" w:pos="720"/>
        </w:tabs>
        <w:ind w:hanging="720"/>
        <w:rPr>
          <w:noProof/>
        </w:rPr>
      </w:pPr>
      <w:r>
        <w:rPr>
          <w:noProof/>
        </w:rPr>
        <w:tab/>
        <w:t xml:space="preserve">74. </w:t>
      </w:r>
      <w:r>
        <w:rPr>
          <w:noProof/>
        </w:rPr>
        <w:tab/>
        <w:t xml:space="preserve">Tukey, M, Pleskow, D et al 2009. The utility of capsule endoscopy in patients with suspected Crohn's disease, </w:t>
      </w:r>
      <w:r w:rsidRPr="00B6474E">
        <w:rPr>
          <w:i/>
          <w:noProof/>
        </w:rPr>
        <w:t>American Journal of Gastroenterology</w:t>
      </w:r>
      <w:r>
        <w:rPr>
          <w:noProof/>
        </w:rPr>
        <w:t>, 104 (11), 2734-2739.</w:t>
      </w:r>
    </w:p>
    <w:p w:rsidR="0048417A" w:rsidRDefault="0048417A" w:rsidP="00836B55">
      <w:pPr>
        <w:tabs>
          <w:tab w:val="right" w:pos="540"/>
          <w:tab w:val="left" w:pos="720"/>
        </w:tabs>
        <w:ind w:hanging="720"/>
        <w:rPr>
          <w:noProof/>
        </w:rPr>
      </w:pPr>
      <w:r>
        <w:rPr>
          <w:noProof/>
        </w:rPr>
        <w:tab/>
        <w:t xml:space="preserve">75. </w:t>
      </w:r>
      <w:r>
        <w:rPr>
          <w:noProof/>
        </w:rPr>
        <w:tab/>
        <w:t xml:space="preserve">Valle, J, Alcantara, M et al 2006. Clinical features of patients with negative results from traditional diagnostic work-up and Crohn's disease findings from capsule endoscopy, </w:t>
      </w:r>
      <w:r w:rsidRPr="00B6474E">
        <w:rPr>
          <w:i/>
          <w:noProof/>
        </w:rPr>
        <w:t>Journal of Clinical Gastroenterology</w:t>
      </w:r>
      <w:r>
        <w:rPr>
          <w:noProof/>
        </w:rPr>
        <w:t>, 40 (8), 692-696.</w:t>
      </w:r>
    </w:p>
    <w:p w:rsidR="0048417A" w:rsidRDefault="0048417A" w:rsidP="00836B55">
      <w:pPr>
        <w:tabs>
          <w:tab w:val="right" w:pos="540"/>
          <w:tab w:val="left" w:pos="720"/>
        </w:tabs>
        <w:ind w:hanging="720"/>
        <w:rPr>
          <w:noProof/>
        </w:rPr>
      </w:pPr>
      <w:r>
        <w:rPr>
          <w:noProof/>
        </w:rPr>
        <w:tab/>
        <w:t xml:space="preserve">76. </w:t>
      </w:r>
      <w:r>
        <w:rPr>
          <w:noProof/>
        </w:rPr>
        <w:tab/>
        <w:t xml:space="preserve">Van Assche, G, Dignass, A et al 2010. The second European evidence-based Consensus on the diagnosis and management of Crohn's disease: Definitions and diagnosis, </w:t>
      </w:r>
      <w:r w:rsidRPr="00B6474E">
        <w:rPr>
          <w:i/>
          <w:noProof/>
        </w:rPr>
        <w:t>Journal of Crohn's and Colitis</w:t>
      </w:r>
      <w:r>
        <w:rPr>
          <w:noProof/>
        </w:rPr>
        <w:t>, 4 (1), 7-27.</w:t>
      </w:r>
    </w:p>
    <w:p w:rsidR="0048417A" w:rsidRDefault="0048417A" w:rsidP="00836B55">
      <w:pPr>
        <w:tabs>
          <w:tab w:val="right" w:pos="540"/>
          <w:tab w:val="left" w:pos="720"/>
        </w:tabs>
        <w:ind w:hanging="720"/>
        <w:rPr>
          <w:noProof/>
        </w:rPr>
      </w:pPr>
      <w:r>
        <w:rPr>
          <w:noProof/>
        </w:rPr>
        <w:tab/>
        <w:t xml:space="preserve">77. </w:t>
      </w:r>
      <w:r>
        <w:rPr>
          <w:noProof/>
        </w:rPr>
        <w:tab/>
        <w:t xml:space="preserve">Varela-Lema, L and Ruano-Ravina, A 2005, </w:t>
      </w:r>
      <w:r w:rsidRPr="00B6474E">
        <w:rPr>
          <w:i/>
          <w:noProof/>
        </w:rPr>
        <w:t>Diagnostic effectiveness, security and clinical usefulness of capsule endoscopy in the diagnosis of small bowel disorders.</w:t>
      </w:r>
      <w:r>
        <w:rPr>
          <w:noProof/>
        </w:rPr>
        <w:t xml:space="preserve"> INF2005/04. Santiago de ComPostela, Spain: Galician Agency for Health Technology Assessment (AVALIA-T).</w:t>
      </w:r>
    </w:p>
    <w:p w:rsidR="0048417A" w:rsidRDefault="0048417A" w:rsidP="00836B55">
      <w:pPr>
        <w:tabs>
          <w:tab w:val="right" w:pos="540"/>
          <w:tab w:val="left" w:pos="720"/>
        </w:tabs>
        <w:ind w:hanging="720"/>
        <w:rPr>
          <w:noProof/>
        </w:rPr>
      </w:pPr>
      <w:r>
        <w:rPr>
          <w:noProof/>
        </w:rPr>
        <w:tab/>
        <w:t xml:space="preserve">78. </w:t>
      </w:r>
      <w:r>
        <w:rPr>
          <w:noProof/>
        </w:rPr>
        <w:tab/>
        <w:t xml:space="preserve">Varela-Lema, L and Ruano-Ravina, A 2006. Development and use of a quality scale for assessing studies that analyze the diagnostic capacity of capsule endoscopy, </w:t>
      </w:r>
      <w:r w:rsidRPr="00B6474E">
        <w:rPr>
          <w:i/>
          <w:noProof/>
        </w:rPr>
        <w:t>Endoscopy</w:t>
      </w:r>
      <w:r>
        <w:rPr>
          <w:noProof/>
        </w:rPr>
        <w:t>, 38 (12), 1261-1267.</w:t>
      </w:r>
    </w:p>
    <w:p w:rsidR="0048417A" w:rsidRDefault="0048417A" w:rsidP="00836B55">
      <w:pPr>
        <w:tabs>
          <w:tab w:val="right" w:pos="540"/>
          <w:tab w:val="left" w:pos="720"/>
        </w:tabs>
        <w:ind w:hanging="720"/>
        <w:rPr>
          <w:noProof/>
        </w:rPr>
      </w:pPr>
      <w:r>
        <w:rPr>
          <w:noProof/>
        </w:rPr>
        <w:tab/>
        <w:t xml:space="preserve">79. </w:t>
      </w:r>
      <w:r>
        <w:rPr>
          <w:noProof/>
        </w:rPr>
        <w:tab/>
        <w:t xml:space="preserve">Varela-Lema, L and Ruano-Ravina, A 2008. Effectiveness and safety of capsule endoscopy in the diagnosis of small bowel diseases, </w:t>
      </w:r>
      <w:r w:rsidRPr="00B6474E">
        <w:rPr>
          <w:i/>
          <w:noProof/>
        </w:rPr>
        <w:t>Journal of Clinical Gastroenterology</w:t>
      </w:r>
      <w:r>
        <w:rPr>
          <w:noProof/>
        </w:rPr>
        <w:t>, 42 (5), 466-471.</w:t>
      </w:r>
    </w:p>
    <w:p w:rsidR="0048417A" w:rsidRDefault="0048417A" w:rsidP="00836B55">
      <w:pPr>
        <w:tabs>
          <w:tab w:val="right" w:pos="540"/>
          <w:tab w:val="left" w:pos="720"/>
        </w:tabs>
        <w:ind w:hanging="720"/>
        <w:rPr>
          <w:noProof/>
        </w:rPr>
      </w:pPr>
      <w:r>
        <w:rPr>
          <w:noProof/>
        </w:rPr>
        <w:tab/>
        <w:t xml:space="preserve">80. </w:t>
      </w:r>
      <w:r>
        <w:rPr>
          <w:noProof/>
        </w:rPr>
        <w:tab/>
        <w:t xml:space="preserve">Whiting, P, Rutjes, AW et al 2003. The development of QUADAS: A tool for the quality assessment of studies of diagnostic accuracy included in systematic reviews, </w:t>
      </w:r>
      <w:r w:rsidRPr="00B6474E">
        <w:rPr>
          <w:i/>
          <w:noProof/>
        </w:rPr>
        <w:t>BMC Medical Research Methodology</w:t>
      </w:r>
      <w:r>
        <w:rPr>
          <w:noProof/>
        </w:rPr>
        <w:t xml:space="preserve">, 3: 25 </w:t>
      </w:r>
    </w:p>
    <w:p w:rsidR="0048417A" w:rsidRDefault="0048417A" w:rsidP="00836B55">
      <w:pPr>
        <w:tabs>
          <w:tab w:val="right" w:pos="540"/>
          <w:tab w:val="left" w:pos="720"/>
        </w:tabs>
        <w:ind w:hanging="720"/>
        <w:rPr>
          <w:noProof/>
        </w:rPr>
      </w:pPr>
      <w:r>
        <w:rPr>
          <w:noProof/>
        </w:rPr>
        <w:tab/>
        <w:t xml:space="preserve">81. </w:t>
      </w:r>
      <w:r>
        <w:rPr>
          <w:noProof/>
        </w:rPr>
        <w:tab/>
        <w:t xml:space="preserve">Wilson, J, Hair, C et al 2010. High incidence of inflammatory bowel disease in Australia: A prospective population-based Australian incidence study, </w:t>
      </w:r>
      <w:r w:rsidRPr="00B6474E">
        <w:rPr>
          <w:i/>
          <w:noProof/>
        </w:rPr>
        <w:t>Inflammatory Bowel Diseases</w:t>
      </w:r>
      <w:r>
        <w:rPr>
          <w:noProof/>
        </w:rPr>
        <w:t>, 16 (9), 1550-1556.</w:t>
      </w:r>
    </w:p>
    <w:p w:rsidR="0048417A" w:rsidRDefault="0048417A" w:rsidP="00836B55">
      <w:pPr>
        <w:tabs>
          <w:tab w:val="right" w:pos="540"/>
          <w:tab w:val="left" w:pos="720"/>
        </w:tabs>
        <w:spacing w:after="0"/>
        <w:ind w:hanging="720"/>
        <w:rPr>
          <w:noProof/>
        </w:rPr>
      </w:pPr>
      <w:r>
        <w:rPr>
          <w:noProof/>
        </w:rPr>
        <w:tab/>
        <w:t xml:space="preserve">82. </w:t>
      </w:r>
      <w:r>
        <w:rPr>
          <w:noProof/>
        </w:rPr>
        <w:tab/>
        <w:t xml:space="preserve">Yamada, T. 2009. </w:t>
      </w:r>
      <w:r w:rsidRPr="00B6474E">
        <w:rPr>
          <w:i/>
          <w:noProof/>
        </w:rPr>
        <w:t xml:space="preserve">Textbook of gastroenterology, </w:t>
      </w:r>
      <w:r>
        <w:rPr>
          <w:i/>
          <w:noProof/>
        </w:rPr>
        <w:t>5</w:t>
      </w:r>
      <w:r w:rsidRPr="00EB2F22">
        <w:rPr>
          <w:i/>
          <w:noProof/>
          <w:vertAlign w:val="superscript"/>
        </w:rPr>
        <w:t>th</w:t>
      </w:r>
      <w:r>
        <w:rPr>
          <w:i/>
          <w:noProof/>
        </w:rPr>
        <w:t xml:space="preserve"> edn</w:t>
      </w:r>
      <w:r w:rsidRPr="00B6474E">
        <w:rPr>
          <w:i/>
          <w:noProof/>
        </w:rPr>
        <w:t>.</w:t>
      </w:r>
      <w:r>
        <w:rPr>
          <w:noProof/>
        </w:rPr>
        <w:t xml:space="preserve"> Chichester, West Sussex; Hoboken, NJ: Blackwell.</w:t>
      </w:r>
    </w:p>
    <w:p w:rsidR="0048417A" w:rsidRDefault="0048417A" w:rsidP="00836B55">
      <w:pPr>
        <w:tabs>
          <w:tab w:val="right" w:pos="540"/>
          <w:tab w:val="left" w:pos="720"/>
        </w:tabs>
        <w:spacing w:after="0"/>
        <w:ind w:hanging="720"/>
        <w:rPr>
          <w:noProof/>
        </w:rPr>
      </w:pPr>
    </w:p>
    <w:p w:rsidR="0048417A" w:rsidRPr="00484F13" w:rsidRDefault="0048417A" w:rsidP="00836B55">
      <w:r w:rsidRPr="004D57B3">
        <w:fldChar w:fldCharType="begin"/>
      </w:r>
      <w:r w:rsidRPr="004D57B3">
        <w:instrText xml:space="preserve"> ADDIN </w:instrText>
      </w:r>
      <w:r w:rsidRPr="004D57B3">
        <w:fldChar w:fldCharType="end"/>
      </w:r>
    </w:p>
    <w:p w:rsidR="0048417A" w:rsidRDefault="0048417A"/>
    <w:sectPr w:rsidR="0048417A" w:rsidSect="00836B55">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00" w:rsidRDefault="00B81800" w:rsidP="005C020D">
      <w:pPr>
        <w:spacing w:after="0"/>
      </w:pPr>
      <w:r>
        <w:separator/>
      </w:r>
    </w:p>
  </w:endnote>
  <w:endnote w:type="continuationSeparator" w:id="0">
    <w:p w:rsidR="00B81800" w:rsidRDefault="00B81800" w:rsidP="005C0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Humanist521BT-Roman">
    <w:panose1 w:val="00000000000000000000"/>
    <w:charset w:val="4D"/>
    <w:family w:val="roman"/>
    <w:notTrueType/>
    <w:pitch w:val="default"/>
    <w:sig w:usb0="00000003" w:usb1="00000000" w:usb2="00000000" w:usb3="00000000" w:csb0="00000001" w:csb1="00000000"/>
  </w:font>
  <w:font w:name="Humanist521BT-Ital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dvTT2acb703b">
    <w:panose1 w:val="00000000000000000000"/>
    <w:charset w:val="00"/>
    <w:family w:val="roman"/>
    <w:notTrueType/>
    <w:pitch w:val="default"/>
    <w:sig w:usb0="00000003" w:usb1="00000000" w:usb2="00000000" w:usb3="00000000" w:csb0="00000001" w:csb1="00000000"/>
  </w:font>
  <w:font w:name="AdvTT2acb703b+20">
    <w:panose1 w:val="00000000000000000000"/>
    <w:charset w:val="00"/>
    <w:family w:val="swiss"/>
    <w:notTrueType/>
    <w:pitch w:val="default"/>
    <w:sig w:usb0="00000003" w:usb1="00000000" w:usb2="00000000" w:usb3="00000000" w:csb0="00000001" w:csb1="00000000"/>
  </w:font>
  <w:font w:name="FBMHKC+Arial,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Pr="00AF2E5C" w:rsidRDefault="00B81800" w:rsidP="00836B55">
    <w:pPr>
      <w:pStyle w:val="Footer"/>
      <w:pBdr>
        <w:top w:val="single" w:sz="4" w:space="1" w:color="auto"/>
      </w:pBdr>
      <w:tabs>
        <w:tab w:val="clear" w:pos="9000"/>
        <w:tab w:val="left" w:pos="630"/>
        <w:tab w:val="left" w:pos="709"/>
        <w:tab w:val="left" w:pos="3261"/>
        <w:tab w:val="right" w:pos="8931"/>
      </w:tabs>
      <w:ind w:left="658" w:right="95" w:hanging="14"/>
      <w:jc w:val="center"/>
      <w:rPr>
        <w:rFonts w:cs="Arial"/>
      </w:rPr>
    </w:pPr>
    <w:r>
      <w:rPr>
        <w:rStyle w:val="PageNumber"/>
        <w:rFonts w:cs="Arial"/>
        <w:b/>
      </w:rPr>
      <w:t xml:space="preserve">Page </w:t>
    </w:r>
    <w:r w:rsidRPr="000B0364">
      <w:rPr>
        <w:rStyle w:val="PageNumber"/>
        <w:rFonts w:cs="Arial"/>
        <w:b/>
      </w:rPr>
      <w:fldChar w:fldCharType="begin"/>
    </w:r>
    <w:r w:rsidRPr="000B0364">
      <w:rPr>
        <w:rStyle w:val="PageNumber"/>
        <w:rFonts w:cs="Arial"/>
        <w:b/>
      </w:rPr>
      <w:instrText xml:space="preserve"> PAGE </w:instrText>
    </w:r>
    <w:r w:rsidRPr="000B0364">
      <w:rPr>
        <w:rStyle w:val="PageNumber"/>
        <w:rFonts w:cs="Arial"/>
        <w:b/>
      </w:rPr>
      <w:fldChar w:fldCharType="separate"/>
    </w:r>
    <w:r>
      <w:rPr>
        <w:rStyle w:val="PageNumber"/>
        <w:rFonts w:cs="Arial"/>
        <w:b/>
        <w:noProof/>
      </w:rPr>
      <w:t>ii</w:t>
    </w:r>
    <w:r w:rsidRPr="000B0364">
      <w:rPr>
        <w:rStyle w:val="PageNumber"/>
        <w:rFonts w:cs="Arial"/>
        <w:b/>
      </w:rPr>
      <w:fldChar w:fldCharType="end"/>
    </w:r>
    <w:r>
      <w:rPr>
        <w:rStyle w:val="PageNumber"/>
        <w:rFonts w:cs="Arial"/>
        <w:b/>
      </w:rPr>
      <w:t xml:space="preserve"> of </w:t>
    </w:r>
    <w:r w:rsidRPr="00894FB1">
      <w:rPr>
        <w:rStyle w:val="PageNumber"/>
        <w:rFonts w:cs="Arial"/>
        <w:b/>
      </w:rPr>
      <w:fldChar w:fldCharType="begin"/>
    </w:r>
    <w:r w:rsidRPr="00894FB1">
      <w:rPr>
        <w:rStyle w:val="PageNumber"/>
        <w:rFonts w:cs="Arial"/>
        <w:b/>
      </w:rPr>
      <w:instrText xml:space="preserve"> NUMPAGES </w:instrText>
    </w:r>
    <w:r w:rsidRPr="00894FB1">
      <w:rPr>
        <w:rStyle w:val="PageNumber"/>
        <w:rFonts w:cs="Arial"/>
        <w:b/>
      </w:rPr>
      <w:fldChar w:fldCharType="separate"/>
    </w:r>
    <w:r>
      <w:rPr>
        <w:rStyle w:val="PageNumber"/>
        <w:rFonts w:cs="Arial"/>
        <w:b/>
        <w:noProof/>
      </w:rPr>
      <w:t>138</w:t>
    </w:r>
    <w:r w:rsidRPr="00894FB1">
      <w:rPr>
        <w:rStyle w:val="PageNumber"/>
        <w:rFonts w:cs="Arial"/>
        <w:b/>
      </w:rPr>
      <w:fldChar w:fldCharType="end"/>
    </w:r>
    <w:r w:rsidRPr="000B0364">
      <w:rPr>
        <w:rStyle w:val="PageNumber"/>
        <w:rFonts w:cs="Arial"/>
        <w:b/>
      </w:rPr>
      <w:tab/>
    </w:r>
    <w:r w:rsidRPr="000B0364">
      <w:rPr>
        <w:rStyle w:val="PageNumber"/>
        <w:rFonts w:cs="Arial"/>
        <w:b/>
      </w:rPr>
      <w:tab/>
    </w:r>
    <w:proofErr w:type="spellStart"/>
    <w:r>
      <w:rPr>
        <w:rFonts w:cs="Arial"/>
      </w:rPr>
      <w:t>PillCam</w:t>
    </w:r>
    <w:proofErr w:type="spellEnd"/>
    <w:r w:rsidRPr="001818C5">
      <w:rPr>
        <w:noProof/>
        <w:vertAlign w:val="superscript"/>
      </w:rPr>
      <w:t>®</w:t>
    </w:r>
    <w:r>
      <w:rPr>
        <w:noProof/>
        <w:vertAlign w:val="superscript"/>
      </w:rPr>
      <w:t xml:space="preserve"> </w:t>
    </w:r>
    <w:r>
      <w:rPr>
        <w:noProof/>
      </w:rPr>
      <w:t>for Crohn’s disease 1146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Pr="00C76CF1" w:rsidRDefault="00B81800" w:rsidP="005B7AF5">
    <w:pPr>
      <w:pStyle w:val="Footer"/>
      <w:pBdr>
        <w:top w:val="none" w:sz="0" w:space="0" w:color="auto"/>
      </w:pBd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Pr="00C843FF" w:rsidRDefault="00B81800" w:rsidP="005B7AF5">
    <w:pPr>
      <w:pStyle w:val="Footer"/>
      <w:pBdr>
        <w:top w:val="single" w:sz="4" w:space="1" w:color="auto"/>
      </w:pBdr>
      <w:tabs>
        <w:tab w:val="left" w:pos="5103"/>
        <w:tab w:val="left" w:pos="6804"/>
      </w:tabs>
      <w:ind w:left="709"/>
      <w:rPr>
        <w:rStyle w:val="PageNumber"/>
        <w:rFonts w:cs="Arial"/>
      </w:rPr>
    </w:pPr>
    <w:r>
      <w:rPr>
        <w:rFonts w:cs="Arial"/>
      </w:rPr>
      <w:t xml:space="preserve">Capsule endoscopy for Crohn’s disease 1146 </w:t>
    </w:r>
    <w:r>
      <w:rPr>
        <w:rStyle w:val="PageNumber"/>
        <w:rFonts w:cs="Arial"/>
      </w:rPr>
      <w:fldChar w:fldCharType="begin"/>
    </w:r>
    <w:r>
      <w:rPr>
        <w:rStyle w:val="PageNumber"/>
        <w:rFonts w:cs="Arial"/>
      </w:rPr>
      <w:instrText xml:space="preserve"> PAGE  \* roman </w:instrText>
    </w:r>
    <w:r>
      <w:rPr>
        <w:rStyle w:val="PageNumber"/>
        <w:rFonts w:cs="Arial"/>
      </w:rPr>
      <w:fldChar w:fldCharType="separate"/>
    </w:r>
    <w:r w:rsidR="000E4781">
      <w:rPr>
        <w:rStyle w:val="PageNumber"/>
        <w:rFonts w:cs="Arial"/>
        <w:noProof/>
      </w:rPr>
      <w:t>xvi</w:t>
    </w:r>
    <w:r>
      <w:rPr>
        <w:rStyle w:val="PageNumber"/>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Pr="00730C7A" w:rsidRDefault="00B81800" w:rsidP="005B7AF5">
    <w:pPr>
      <w:pStyle w:val="Footer"/>
      <w:pBdr>
        <w:top w:val="single" w:sz="4" w:space="0" w:color="auto"/>
      </w:pBdr>
      <w:tabs>
        <w:tab w:val="clear" w:pos="9000"/>
        <w:tab w:val="left" w:pos="709"/>
        <w:tab w:val="left" w:pos="4111"/>
        <w:tab w:val="left" w:pos="7371"/>
        <w:tab w:val="right" w:pos="9043"/>
        <w:tab w:val="right" w:pos="13998"/>
      </w:tabs>
      <w:ind w:left="709"/>
      <w:rPr>
        <w:rStyle w:val="PageNumber"/>
      </w:rPr>
    </w:pPr>
    <w:r>
      <w:rPr>
        <w:rFonts w:cs="Arial"/>
      </w:rPr>
      <w:t>Capsule endoscopy</w:t>
    </w:r>
    <w:r>
      <w:rPr>
        <w:noProof/>
        <w:vertAlign w:val="superscript"/>
      </w:rPr>
      <w:t xml:space="preserve"> </w:t>
    </w:r>
    <w:r w:rsidRPr="00DC43A6">
      <w:rPr>
        <w:noProof/>
      </w:rPr>
      <w:t>for Crohn’s disease 1146</w:t>
    </w:r>
    <w:r>
      <w:tab/>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A109BB">
      <w:rPr>
        <w:noProof/>
        <w:snapToGrid w:val="0"/>
        <w:lang w:eastAsia="en-US"/>
      </w:rPr>
      <w:t>23</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A109BB">
      <w:rPr>
        <w:noProof/>
        <w:snapToGrid w:val="0"/>
        <w:lang w:eastAsia="en-US"/>
      </w:rPr>
      <w:t>139</w:t>
    </w:r>
    <w:r>
      <w:rPr>
        <w:snapToGrid w:val="0"/>
        <w:lang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Pr="009A3655" w:rsidRDefault="00B81800" w:rsidP="00836B55">
    <w:pPr>
      <w:pStyle w:val="Footer"/>
      <w:pBdr>
        <w:top w:val="single" w:sz="4" w:space="1" w:color="auto"/>
      </w:pBdr>
      <w:tabs>
        <w:tab w:val="clear" w:pos="9000"/>
        <w:tab w:val="left" w:pos="2835"/>
        <w:tab w:val="right" w:pos="6804"/>
      </w:tabs>
      <w:jc w:val="center"/>
      <w:rPr>
        <w:rStyle w:val="PageNumber"/>
        <w:rFonts w:cs="Arial"/>
      </w:rPr>
    </w:pPr>
    <w:r>
      <w:rPr>
        <w:rFonts w:cs="Arial"/>
      </w:rPr>
      <w:t>Capsule endoscopy for Crohn’s disease 1146</w:t>
    </w:r>
    <w:r w:rsidR="000E4781">
      <w:rPr>
        <w:rFonts w:cs="Arial"/>
      </w:rPr>
      <w:tab/>
    </w:r>
    <w:r w:rsidR="000E4781">
      <w:rPr>
        <w:rFonts w:cs="Arial"/>
      </w:rPr>
      <w:tab/>
    </w:r>
    <w:r w:rsidRPr="005C020D">
      <w:rPr>
        <w:rStyle w:val="PageNumber"/>
        <w:rFonts w:ascii="Arial" w:hAnsi="Arial" w:cs="Arial"/>
        <w:b/>
        <w:snapToGrid w:val="0"/>
        <w:sz w:val="20"/>
        <w:lang w:eastAsia="en-US"/>
      </w:rPr>
      <w:t xml:space="preserve">Page </w:t>
    </w:r>
    <w:r w:rsidRPr="005C020D">
      <w:rPr>
        <w:rStyle w:val="PageNumber"/>
        <w:rFonts w:ascii="Arial" w:hAnsi="Arial" w:cs="Arial"/>
        <w:b/>
        <w:snapToGrid w:val="0"/>
        <w:sz w:val="20"/>
        <w:lang w:eastAsia="en-US"/>
      </w:rPr>
      <w:fldChar w:fldCharType="begin"/>
    </w:r>
    <w:r w:rsidRPr="005C020D">
      <w:rPr>
        <w:rStyle w:val="PageNumber"/>
        <w:rFonts w:ascii="Arial" w:hAnsi="Arial" w:cs="Arial"/>
        <w:b/>
        <w:snapToGrid w:val="0"/>
        <w:sz w:val="20"/>
        <w:lang w:eastAsia="en-US"/>
      </w:rPr>
      <w:instrText xml:space="preserve"> PAGE </w:instrText>
    </w:r>
    <w:r w:rsidRPr="005C020D">
      <w:rPr>
        <w:rStyle w:val="PageNumber"/>
        <w:rFonts w:ascii="Arial" w:hAnsi="Arial" w:cs="Arial"/>
        <w:b/>
        <w:snapToGrid w:val="0"/>
        <w:sz w:val="20"/>
        <w:lang w:eastAsia="en-US"/>
      </w:rPr>
      <w:fldChar w:fldCharType="separate"/>
    </w:r>
    <w:r w:rsidR="000E4781">
      <w:rPr>
        <w:rStyle w:val="PageNumber"/>
        <w:rFonts w:ascii="Arial" w:hAnsi="Arial" w:cs="Arial"/>
        <w:b/>
        <w:noProof/>
        <w:snapToGrid w:val="0"/>
        <w:sz w:val="20"/>
        <w:lang w:eastAsia="en-US"/>
      </w:rPr>
      <w:t>46</w:t>
    </w:r>
    <w:r w:rsidRPr="005C020D">
      <w:rPr>
        <w:rStyle w:val="PageNumber"/>
        <w:rFonts w:ascii="Arial" w:hAnsi="Arial" w:cs="Arial"/>
        <w:b/>
        <w:snapToGrid w:val="0"/>
        <w:sz w:val="20"/>
        <w:lang w:eastAsia="en-US"/>
      </w:rPr>
      <w:fldChar w:fldCharType="end"/>
    </w:r>
    <w:r w:rsidRPr="005C020D">
      <w:rPr>
        <w:rStyle w:val="PageNumber"/>
        <w:rFonts w:ascii="Arial" w:hAnsi="Arial" w:cs="Arial"/>
        <w:b/>
        <w:snapToGrid w:val="0"/>
        <w:sz w:val="20"/>
        <w:lang w:eastAsia="en-US"/>
      </w:rPr>
      <w:t xml:space="preserve"> of </w:t>
    </w:r>
    <w:r w:rsidRPr="005C020D">
      <w:rPr>
        <w:rStyle w:val="PageNumber"/>
        <w:rFonts w:ascii="Arial" w:hAnsi="Arial" w:cs="Arial"/>
        <w:b/>
        <w:snapToGrid w:val="0"/>
        <w:sz w:val="20"/>
        <w:lang w:eastAsia="en-US"/>
      </w:rPr>
      <w:fldChar w:fldCharType="begin"/>
    </w:r>
    <w:r w:rsidRPr="005C020D">
      <w:rPr>
        <w:rStyle w:val="PageNumber"/>
        <w:rFonts w:ascii="Arial" w:hAnsi="Arial" w:cs="Arial"/>
        <w:b/>
        <w:snapToGrid w:val="0"/>
        <w:sz w:val="20"/>
        <w:lang w:eastAsia="en-US"/>
      </w:rPr>
      <w:instrText xml:space="preserve"> NUMPAGES </w:instrText>
    </w:r>
    <w:r w:rsidRPr="005C020D">
      <w:rPr>
        <w:rStyle w:val="PageNumber"/>
        <w:rFonts w:ascii="Arial" w:hAnsi="Arial" w:cs="Arial"/>
        <w:b/>
        <w:snapToGrid w:val="0"/>
        <w:sz w:val="20"/>
        <w:lang w:eastAsia="en-US"/>
      </w:rPr>
      <w:fldChar w:fldCharType="separate"/>
    </w:r>
    <w:r w:rsidR="000E4781">
      <w:rPr>
        <w:rStyle w:val="PageNumber"/>
        <w:rFonts w:ascii="Arial" w:hAnsi="Arial" w:cs="Arial"/>
        <w:b/>
        <w:noProof/>
        <w:snapToGrid w:val="0"/>
        <w:sz w:val="20"/>
        <w:lang w:eastAsia="en-US"/>
      </w:rPr>
      <w:t>138</w:t>
    </w:r>
    <w:r w:rsidRPr="005C020D">
      <w:rPr>
        <w:rStyle w:val="PageNumber"/>
        <w:rFonts w:ascii="Arial" w:hAnsi="Arial" w:cs="Arial"/>
        <w:b/>
        <w:snapToGrid w:val="0"/>
        <w:sz w:val="20"/>
        <w:lang w:eastAsia="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Pr="009A3655" w:rsidRDefault="00B81800" w:rsidP="00836B55">
    <w:pPr>
      <w:pStyle w:val="Footer"/>
      <w:pBdr>
        <w:top w:val="single" w:sz="4" w:space="1" w:color="auto"/>
      </w:pBdr>
      <w:tabs>
        <w:tab w:val="clear" w:pos="9000"/>
        <w:tab w:val="left" w:pos="3969"/>
        <w:tab w:val="right" w:pos="8931"/>
        <w:tab w:val="right" w:pos="13892"/>
      </w:tabs>
      <w:rPr>
        <w:rStyle w:val="PageNumber"/>
        <w:rFonts w:cs="Arial"/>
      </w:rPr>
    </w:pPr>
    <w:r>
      <w:rPr>
        <w:rFonts w:cs="Arial"/>
      </w:rPr>
      <w:t>Capsule endoscopy</w:t>
    </w:r>
    <w:r>
      <w:rPr>
        <w:noProof/>
        <w:vertAlign w:val="superscript"/>
      </w:rPr>
      <w:t xml:space="preserve"> </w:t>
    </w:r>
    <w:r w:rsidRPr="00DC43A6">
      <w:rPr>
        <w:noProof/>
      </w:rPr>
      <w:t>for Crohn’s</w:t>
    </w:r>
    <w:r>
      <w:rPr>
        <w:noProof/>
        <w:vertAlign w:val="superscript"/>
      </w:rPr>
      <w:t xml:space="preserve"> </w:t>
    </w:r>
    <w:r>
      <w:rPr>
        <w:rFonts w:cs="Arial"/>
      </w:rPr>
      <w:t>disease 1146</w:t>
    </w:r>
    <w:r>
      <w:rPr>
        <w:rFonts w:cs="Arial"/>
      </w:rPr>
      <w:tab/>
    </w:r>
    <w:r w:rsidRPr="00014EC1">
      <w:rPr>
        <w:rFonts w:cs="Arial"/>
      </w:rPr>
      <w:t xml:space="preserve">Page </w:t>
    </w:r>
    <w:r w:rsidRPr="00014EC1">
      <w:rPr>
        <w:rFonts w:cs="Arial"/>
      </w:rPr>
      <w:fldChar w:fldCharType="begin"/>
    </w:r>
    <w:r w:rsidRPr="00014EC1">
      <w:rPr>
        <w:rFonts w:cs="Arial"/>
      </w:rPr>
      <w:instrText xml:space="preserve"> PAGE </w:instrText>
    </w:r>
    <w:r w:rsidRPr="00014EC1">
      <w:rPr>
        <w:rFonts w:cs="Arial"/>
      </w:rPr>
      <w:fldChar w:fldCharType="separate"/>
    </w:r>
    <w:r w:rsidR="00260BB3">
      <w:rPr>
        <w:rFonts w:cs="Arial"/>
        <w:noProof/>
      </w:rPr>
      <w:t>51</w:t>
    </w:r>
    <w:r w:rsidRPr="00014EC1">
      <w:rPr>
        <w:rFonts w:cs="Arial"/>
      </w:rPr>
      <w:fldChar w:fldCharType="end"/>
    </w:r>
    <w:r w:rsidRPr="00014EC1">
      <w:rPr>
        <w:rFonts w:cs="Arial"/>
      </w:rPr>
      <w:t xml:space="preserve"> of </w:t>
    </w:r>
    <w:r w:rsidRPr="00014EC1">
      <w:rPr>
        <w:rFonts w:cs="Arial"/>
      </w:rPr>
      <w:fldChar w:fldCharType="begin"/>
    </w:r>
    <w:r w:rsidRPr="00014EC1">
      <w:rPr>
        <w:rFonts w:cs="Arial"/>
      </w:rPr>
      <w:instrText xml:space="preserve"> NUMPAGES </w:instrText>
    </w:r>
    <w:r w:rsidRPr="00014EC1">
      <w:rPr>
        <w:rFonts w:cs="Arial"/>
      </w:rPr>
      <w:fldChar w:fldCharType="separate"/>
    </w:r>
    <w:r w:rsidR="00260BB3">
      <w:rPr>
        <w:rFonts w:cs="Arial"/>
        <w:noProof/>
      </w:rPr>
      <w:t>139</w:t>
    </w:r>
    <w:r w:rsidRPr="00014EC1">
      <w:rPr>
        <w:rFonts w:cs="Aria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Pr="00F568FA" w:rsidRDefault="00B81800" w:rsidP="00836B55">
    <w:pPr>
      <w:pStyle w:val="Footer"/>
      <w:pBdr>
        <w:top w:val="single" w:sz="4" w:space="1" w:color="auto"/>
      </w:pBdr>
      <w:tabs>
        <w:tab w:val="clear" w:pos="9000"/>
        <w:tab w:val="left" w:pos="714"/>
        <w:tab w:val="left" w:pos="2835"/>
        <w:tab w:val="right" w:pos="8931"/>
        <w:tab w:val="right" w:pos="13892"/>
      </w:tabs>
      <w:rPr>
        <w:rStyle w:val="PageNumber"/>
        <w:rFonts w:cs="Arial"/>
        <w:b/>
      </w:rPr>
    </w:pPr>
    <w:r w:rsidRPr="00F568FA">
      <w:rPr>
        <w:rStyle w:val="PageNumber"/>
        <w:rFonts w:cs="Arial"/>
        <w:b/>
        <w:snapToGrid w:val="0"/>
        <w:lang w:eastAsia="en-US"/>
      </w:rPr>
      <w:t xml:space="preserve">Page </w:t>
    </w:r>
    <w:r w:rsidRPr="00F568FA">
      <w:rPr>
        <w:rStyle w:val="PageNumber"/>
        <w:rFonts w:cs="Arial"/>
        <w:b/>
        <w:snapToGrid w:val="0"/>
        <w:lang w:eastAsia="en-US"/>
      </w:rPr>
      <w:fldChar w:fldCharType="begin"/>
    </w:r>
    <w:r w:rsidRPr="00F568FA">
      <w:rPr>
        <w:rStyle w:val="PageNumber"/>
        <w:rFonts w:cs="Arial"/>
        <w:b/>
        <w:snapToGrid w:val="0"/>
        <w:lang w:eastAsia="en-US"/>
      </w:rPr>
      <w:instrText xml:space="preserve"> PAGE </w:instrText>
    </w:r>
    <w:r w:rsidRPr="00F568FA">
      <w:rPr>
        <w:rStyle w:val="PageNumber"/>
        <w:rFonts w:cs="Arial"/>
        <w:b/>
        <w:snapToGrid w:val="0"/>
        <w:lang w:eastAsia="en-US"/>
      </w:rPr>
      <w:fldChar w:fldCharType="separate"/>
    </w:r>
    <w:r>
      <w:rPr>
        <w:rStyle w:val="PageNumber"/>
        <w:rFonts w:cs="Arial"/>
        <w:b/>
        <w:noProof/>
        <w:snapToGrid w:val="0"/>
        <w:lang w:eastAsia="en-US"/>
      </w:rPr>
      <w:t>134</w:t>
    </w:r>
    <w:r w:rsidRPr="00F568FA">
      <w:rPr>
        <w:rStyle w:val="PageNumber"/>
        <w:rFonts w:cs="Arial"/>
        <w:b/>
        <w:snapToGrid w:val="0"/>
        <w:lang w:eastAsia="en-US"/>
      </w:rPr>
      <w:fldChar w:fldCharType="end"/>
    </w:r>
    <w:r w:rsidRPr="00F568FA">
      <w:rPr>
        <w:rStyle w:val="PageNumber"/>
        <w:rFonts w:cs="Arial"/>
        <w:b/>
        <w:snapToGrid w:val="0"/>
        <w:lang w:eastAsia="en-US"/>
      </w:rPr>
      <w:t xml:space="preserve"> of </w:t>
    </w:r>
    <w:r w:rsidRPr="00F568FA">
      <w:rPr>
        <w:rStyle w:val="PageNumber"/>
        <w:rFonts w:cs="Arial"/>
        <w:b/>
        <w:snapToGrid w:val="0"/>
        <w:lang w:eastAsia="en-US"/>
      </w:rPr>
      <w:fldChar w:fldCharType="begin"/>
    </w:r>
    <w:r w:rsidRPr="00F568FA">
      <w:rPr>
        <w:rStyle w:val="PageNumber"/>
        <w:rFonts w:cs="Arial"/>
        <w:b/>
        <w:snapToGrid w:val="0"/>
        <w:lang w:eastAsia="en-US"/>
      </w:rPr>
      <w:instrText xml:space="preserve"> NUMPAGES </w:instrText>
    </w:r>
    <w:r w:rsidRPr="00F568FA">
      <w:rPr>
        <w:rStyle w:val="PageNumber"/>
        <w:rFonts w:cs="Arial"/>
        <w:b/>
        <w:snapToGrid w:val="0"/>
        <w:lang w:eastAsia="en-US"/>
      </w:rPr>
      <w:fldChar w:fldCharType="separate"/>
    </w:r>
    <w:r>
      <w:rPr>
        <w:rStyle w:val="PageNumber"/>
        <w:rFonts w:cs="Arial"/>
        <w:b/>
        <w:noProof/>
        <w:snapToGrid w:val="0"/>
        <w:lang w:eastAsia="en-US"/>
      </w:rPr>
      <w:t>138</w:t>
    </w:r>
    <w:r w:rsidRPr="00F568FA">
      <w:rPr>
        <w:rStyle w:val="PageNumber"/>
        <w:rFonts w:cs="Arial"/>
        <w:b/>
        <w:snapToGrid w:val="0"/>
        <w:lang w:eastAsia="en-US"/>
      </w:rPr>
      <w:fldChar w:fldCharType="end"/>
    </w:r>
    <w:r w:rsidRPr="00F568FA">
      <w:rPr>
        <w:rStyle w:val="PageNumber"/>
        <w:rFonts w:cs="Arial"/>
        <w:b/>
      </w:rPr>
      <w:tab/>
    </w:r>
    <w:r>
      <w:rPr>
        <w:rFonts w:cs="Arial"/>
      </w:rPr>
      <w:tab/>
      <w:t>Capsule endoscopy</w:t>
    </w:r>
    <w:r>
      <w:rPr>
        <w:noProof/>
        <w:vertAlign w:val="superscript"/>
      </w:rPr>
      <w:t xml:space="preserve"> </w:t>
    </w:r>
    <w:r w:rsidRPr="00DC43A6">
      <w:rPr>
        <w:noProof/>
      </w:rPr>
      <w:t>for Crohn’s disease 1146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00" w:rsidRDefault="00B81800" w:rsidP="005C020D">
      <w:pPr>
        <w:spacing w:after="0"/>
      </w:pPr>
      <w:r>
        <w:separator/>
      </w:r>
    </w:p>
  </w:footnote>
  <w:footnote w:type="continuationSeparator" w:id="0">
    <w:p w:rsidR="00B81800" w:rsidRDefault="00B81800" w:rsidP="005C02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Default="00B81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Default="00B81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Default="00B818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Default="00B818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Default="00B818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0" w:rsidRDefault="00B81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AF0"/>
    <w:multiLevelType w:val="hybridMultilevel"/>
    <w:tmpl w:val="CCC2A65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
    <w:nsid w:val="005D20DD"/>
    <w:multiLevelType w:val="hybridMultilevel"/>
    <w:tmpl w:val="FE7C68F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
    <w:nsid w:val="00D64421"/>
    <w:multiLevelType w:val="hybridMultilevel"/>
    <w:tmpl w:val="C8C4AAB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
    <w:nsid w:val="00FD2775"/>
    <w:multiLevelType w:val="hybridMultilevel"/>
    <w:tmpl w:val="CE925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1205711"/>
    <w:multiLevelType w:val="hybridMultilevel"/>
    <w:tmpl w:val="BC269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1390B66"/>
    <w:multiLevelType w:val="hybridMultilevel"/>
    <w:tmpl w:val="76FE8AE0"/>
    <w:lvl w:ilvl="0" w:tplc="FDBE2130">
      <w:start w:val="1"/>
      <w:numFmt w:val="decimal"/>
      <w:lvlText w:val="%1."/>
      <w:lvlJc w:val="left"/>
      <w:pPr>
        <w:ind w:left="1080" w:hanging="360"/>
      </w:pPr>
      <w:rPr>
        <w:rFonts w:cs="Times New Roman" w:hint="default"/>
        <w:sz w:val="16"/>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033124CA"/>
    <w:multiLevelType w:val="hybridMultilevel"/>
    <w:tmpl w:val="5504E39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3C43489"/>
    <w:multiLevelType w:val="hybridMultilevel"/>
    <w:tmpl w:val="6D76E8CC"/>
    <w:lvl w:ilvl="0" w:tplc="0C090001">
      <w:start w:val="1"/>
      <w:numFmt w:val="bullet"/>
      <w:lvlText w:val=""/>
      <w:lvlJc w:val="left"/>
      <w:pPr>
        <w:tabs>
          <w:tab w:val="num" w:pos="405"/>
        </w:tabs>
        <w:ind w:left="405" w:hanging="360"/>
      </w:pPr>
      <w:rPr>
        <w:rFonts w:ascii="Symbol" w:hAnsi="Symbol" w:hint="default"/>
        <w:color w:val="auto"/>
      </w:rPr>
    </w:lvl>
    <w:lvl w:ilvl="1" w:tplc="0C090003">
      <w:start w:val="1"/>
      <w:numFmt w:val="bullet"/>
      <w:lvlText w:val=""/>
      <w:lvlJc w:val="left"/>
      <w:pPr>
        <w:tabs>
          <w:tab w:val="num" w:pos="1485"/>
        </w:tabs>
        <w:ind w:left="1485" w:hanging="360"/>
      </w:pPr>
      <w:rPr>
        <w:rFonts w:ascii="Symbol" w:hAnsi="Symbol" w:hint="default"/>
        <w:color w:val="auto"/>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8">
    <w:nsid w:val="04C817DA"/>
    <w:multiLevelType w:val="hybridMultilevel"/>
    <w:tmpl w:val="78EEC352"/>
    <w:lvl w:ilvl="0" w:tplc="0C090001">
      <w:start w:val="1"/>
      <w:numFmt w:val="bullet"/>
      <w:lvlText w:val=""/>
      <w:lvlJc w:val="left"/>
      <w:pPr>
        <w:tabs>
          <w:tab w:val="num" w:pos="405"/>
        </w:tabs>
        <w:ind w:left="405" w:hanging="360"/>
      </w:pPr>
      <w:rPr>
        <w:rFonts w:ascii="Symbol" w:hAnsi="Symbol" w:hint="default"/>
        <w:color w:val="auto"/>
      </w:rPr>
    </w:lvl>
    <w:lvl w:ilvl="1" w:tplc="0C090003">
      <w:start w:val="1"/>
      <w:numFmt w:val="bullet"/>
      <w:lvlText w:val=""/>
      <w:lvlJc w:val="left"/>
      <w:pPr>
        <w:tabs>
          <w:tab w:val="num" w:pos="1485"/>
        </w:tabs>
        <w:ind w:left="1485" w:hanging="360"/>
      </w:pPr>
      <w:rPr>
        <w:rFonts w:ascii="Symbol" w:hAnsi="Symbol" w:hint="default"/>
        <w:color w:val="auto"/>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9">
    <w:nsid w:val="07230B5F"/>
    <w:multiLevelType w:val="hybridMultilevel"/>
    <w:tmpl w:val="DA48BF0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0">
    <w:nsid w:val="09122B32"/>
    <w:multiLevelType w:val="hybridMultilevel"/>
    <w:tmpl w:val="C6B46A6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1">
    <w:nsid w:val="13C655C3"/>
    <w:multiLevelType w:val="hybridMultilevel"/>
    <w:tmpl w:val="9F5AAF0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nsid w:val="17111A96"/>
    <w:multiLevelType w:val="hybridMultilevel"/>
    <w:tmpl w:val="311A18EE"/>
    <w:lvl w:ilvl="0" w:tplc="0C090001">
      <w:start w:val="1"/>
      <w:numFmt w:val="bullet"/>
      <w:lvlText w:val=""/>
      <w:lvlJc w:val="left"/>
      <w:pPr>
        <w:ind w:left="317" w:hanging="360"/>
      </w:pPr>
      <w:rPr>
        <w:rFonts w:ascii="Symbol" w:hAnsi="Symbol" w:hint="default"/>
      </w:rPr>
    </w:lvl>
    <w:lvl w:ilvl="1" w:tplc="0C090003" w:tentative="1">
      <w:start w:val="1"/>
      <w:numFmt w:val="bullet"/>
      <w:lvlText w:val="o"/>
      <w:lvlJc w:val="left"/>
      <w:pPr>
        <w:ind w:left="1497" w:hanging="360"/>
      </w:pPr>
      <w:rPr>
        <w:rFonts w:ascii="Courier New" w:hAnsi="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nsid w:val="17F4260F"/>
    <w:multiLevelType w:val="hybridMultilevel"/>
    <w:tmpl w:val="761C9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8DE30B0"/>
    <w:multiLevelType w:val="hybridMultilevel"/>
    <w:tmpl w:val="9CDC4650"/>
    <w:lvl w:ilvl="0" w:tplc="0130C824">
      <w:start w:val="1"/>
      <w:numFmt w:val="decimal"/>
      <w:lvlText w:val="%1."/>
      <w:lvlJc w:val="left"/>
      <w:pPr>
        <w:ind w:left="417" w:hanging="360"/>
      </w:pPr>
      <w:rPr>
        <w:rFonts w:cs="Times New Roman" w:hint="default"/>
      </w:rPr>
    </w:lvl>
    <w:lvl w:ilvl="1" w:tplc="0C090019" w:tentative="1">
      <w:start w:val="1"/>
      <w:numFmt w:val="lowerLetter"/>
      <w:lvlText w:val="%2."/>
      <w:lvlJc w:val="left"/>
      <w:pPr>
        <w:ind w:left="1137" w:hanging="360"/>
      </w:pPr>
      <w:rPr>
        <w:rFonts w:cs="Times New Roman"/>
      </w:rPr>
    </w:lvl>
    <w:lvl w:ilvl="2" w:tplc="0C09001B" w:tentative="1">
      <w:start w:val="1"/>
      <w:numFmt w:val="lowerRoman"/>
      <w:lvlText w:val="%3."/>
      <w:lvlJc w:val="right"/>
      <w:pPr>
        <w:ind w:left="1857" w:hanging="180"/>
      </w:pPr>
      <w:rPr>
        <w:rFonts w:cs="Times New Roman"/>
      </w:rPr>
    </w:lvl>
    <w:lvl w:ilvl="3" w:tplc="0C09000F" w:tentative="1">
      <w:start w:val="1"/>
      <w:numFmt w:val="decimal"/>
      <w:lvlText w:val="%4."/>
      <w:lvlJc w:val="left"/>
      <w:pPr>
        <w:ind w:left="2577" w:hanging="360"/>
      </w:pPr>
      <w:rPr>
        <w:rFonts w:cs="Times New Roman"/>
      </w:rPr>
    </w:lvl>
    <w:lvl w:ilvl="4" w:tplc="0C090019" w:tentative="1">
      <w:start w:val="1"/>
      <w:numFmt w:val="lowerLetter"/>
      <w:lvlText w:val="%5."/>
      <w:lvlJc w:val="left"/>
      <w:pPr>
        <w:ind w:left="3297" w:hanging="360"/>
      </w:pPr>
      <w:rPr>
        <w:rFonts w:cs="Times New Roman"/>
      </w:rPr>
    </w:lvl>
    <w:lvl w:ilvl="5" w:tplc="0C09001B" w:tentative="1">
      <w:start w:val="1"/>
      <w:numFmt w:val="lowerRoman"/>
      <w:lvlText w:val="%6."/>
      <w:lvlJc w:val="right"/>
      <w:pPr>
        <w:ind w:left="4017" w:hanging="180"/>
      </w:pPr>
      <w:rPr>
        <w:rFonts w:cs="Times New Roman"/>
      </w:rPr>
    </w:lvl>
    <w:lvl w:ilvl="6" w:tplc="0C09000F" w:tentative="1">
      <w:start w:val="1"/>
      <w:numFmt w:val="decimal"/>
      <w:lvlText w:val="%7."/>
      <w:lvlJc w:val="left"/>
      <w:pPr>
        <w:ind w:left="4737" w:hanging="360"/>
      </w:pPr>
      <w:rPr>
        <w:rFonts w:cs="Times New Roman"/>
      </w:rPr>
    </w:lvl>
    <w:lvl w:ilvl="7" w:tplc="0C090019" w:tentative="1">
      <w:start w:val="1"/>
      <w:numFmt w:val="lowerLetter"/>
      <w:lvlText w:val="%8."/>
      <w:lvlJc w:val="left"/>
      <w:pPr>
        <w:ind w:left="5457" w:hanging="360"/>
      </w:pPr>
      <w:rPr>
        <w:rFonts w:cs="Times New Roman"/>
      </w:rPr>
    </w:lvl>
    <w:lvl w:ilvl="8" w:tplc="0C09001B" w:tentative="1">
      <w:start w:val="1"/>
      <w:numFmt w:val="lowerRoman"/>
      <w:lvlText w:val="%9."/>
      <w:lvlJc w:val="right"/>
      <w:pPr>
        <w:ind w:left="6177" w:hanging="180"/>
      </w:pPr>
      <w:rPr>
        <w:rFonts w:cs="Times New Roman"/>
      </w:rPr>
    </w:lvl>
  </w:abstractNum>
  <w:abstractNum w:abstractNumId="15">
    <w:nsid w:val="1DDC31DA"/>
    <w:multiLevelType w:val="hybridMultilevel"/>
    <w:tmpl w:val="51B4D190"/>
    <w:lvl w:ilvl="0" w:tplc="0C090003">
      <w:start w:val="1"/>
      <w:numFmt w:val="bullet"/>
      <w:lvlText w:val="o"/>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1E085E61"/>
    <w:multiLevelType w:val="hybridMultilevel"/>
    <w:tmpl w:val="0B1A2EAE"/>
    <w:lvl w:ilvl="0" w:tplc="0C090001">
      <w:start w:val="1"/>
      <w:numFmt w:val="bullet"/>
      <w:lvlText w:val=""/>
      <w:lvlJc w:val="left"/>
      <w:pPr>
        <w:ind w:left="1854" w:hanging="720"/>
      </w:pPr>
      <w:rPr>
        <w:rFonts w:ascii="Symbol" w:hAnsi="Symbol"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7">
    <w:nsid w:val="1E2934ED"/>
    <w:multiLevelType w:val="hybridMultilevel"/>
    <w:tmpl w:val="49DE619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8">
    <w:nsid w:val="1FCB5927"/>
    <w:multiLevelType w:val="hybridMultilevel"/>
    <w:tmpl w:val="DD662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89F0B22"/>
    <w:multiLevelType w:val="hybridMultilevel"/>
    <w:tmpl w:val="814A612C"/>
    <w:lvl w:ilvl="0" w:tplc="0C090001">
      <w:start w:val="1"/>
      <w:numFmt w:val="bullet"/>
      <w:lvlText w:val=""/>
      <w:lvlJc w:val="left"/>
      <w:pPr>
        <w:tabs>
          <w:tab w:val="num" w:pos="405"/>
        </w:tabs>
        <w:ind w:left="405" w:hanging="360"/>
      </w:pPr>
      <w:rPr>
        <w:rFonts w:ascii="Symbol" w:hAnsi="Symbol" w:hint="default"/>
        <w:color w:val="auto"/>
      </w:rPr>
    </w:lvl>
    <w:lvl w:ilvl="1" w:tplc="0C090003">
      <w:start w:val="1"/>
      <w:numFmt w:val="bullet"/>
      <w:lvlText w:val=""/>
      <w:lvlJc w:val="left"/>
      <w:pPr>
        <w:tabs>
          <w:tab w:val="num" w:pos="1485"/>
        </w:tabs>
        <w:ind w:left="1485" w:hanging="360"/>
      </w:pPr>
      <w:rPr>
        <w:rFonts w:ascii="Symbol" w:hAnsi="Symbol" w:hint="default"/>
        <w:color w:val="auto"/>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0">
    <w:nsid w:val="2A5D7C5B"/>
    <w:multiLevelType w:val="hybridMultilevel"/>
    <w:tmpl w:val="090687C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1">
    <w:nsid w:val="2E15175F"/>
    <w:multiLevelType w:val="hybridMultilevel"/>
    <w:tmpl w:val="AF362AD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2">
    <w:nsid w:val="2FBB544E"/>
    <w:multiLevelType w:val="hybridMultilevel"/>
    <w:tmpl w:val="03D09B8A"/>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81707B"/>
    <w:multiLevelType w:val="hybridMultilevel"/>
    <w:tmpl w:val="8CD43578"/>
    <w:lvl w:ilvl="0" w:tplc="1BD64BA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nsid w:val="38490FA0"/>
    <w:multiLevelType w:val="hybridMultilevel"/>
    <w:tmpl w:val="2758A9A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5">
    <w:nsid w:val="3AEF2ED8"/>
    <w:multiLevelType w:val="hybridMultilevel"/>
    <w:tmpl w:val="BE4E6A7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6">
    <w:nsid w:val="40D1653E"/>
    <w:multiLevelType w:val="hybridMultilevel"/>
    <w:tmpl w:val="9E9AE5AC"/>
    <w:lvl w:ilvl="0" w:tplc="0C090001">
      <w:start w:val="1"/>
      <w:numFmt w:val="bullet"/>
      <w:lvlText w:val=""/>
      <w:lvlJc w:val="left"/>
      <w:pPr>
        <w:ind w:left="417" w:hanging="360"/>
      </w:pPr>
      <w:rPr>
        <w:rFonts w:ascii="Symbol" w:hAnsi="Symbol" w:hint="default"/>
        <w:sz w:val="16"/>
      </w:rPr>
    </w:lvl>
    <w:lvl w:ilvl="1" w:tplc="0C090001"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7">
    <w:nsid w:val="40F95C44"/>
    <w:multiLevelType w:val="hybridMultilevel"/>
    <w:tmpl w:val="B34C110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8">
    <w:nsid w:val="44B92D7A"/>
    <w:multiLevelType w:val="hybridMultilevel"/>
    <w:tmpl w:val="DC6E0E3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9">
    <w:nsid w:val="46933506"/>
    <w:multiLevelType w:val="hybridMultilevel"/>
    <w:tmpl w:val="DF402AA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0">
    <w:nsid w:val="47B244F7"/>
    <w:multiLevelType w:val="hybridMultilevel"/>
    <w:tmpl w:val="9D462914"/>
    <w:lvl w:ilvl="0" w:tplc="FFFFFFFF">
      <w:start w:val="1"/>
      <w:numFmt w:val="decimal"/>
      <w:lvlText w:val="%1."/>
      <w:lvlJc w:val="left"/>
      <w:pPr>
        <w:ind w:left="360" w:hanging="360"/>
      </w:pPr>
      <w:rPr>
        <w:rFonts w:cs="Times New Roman" w:hint="default"/>
      </w:rPr>
    </w:lvl>
    <w:lvl w:ilvl="1" w:tplc="0C090003">
      <w:start w:val="1"/>
      <w:numFmt w:val="decimal"/>
      <w:lvlText w:val="%2)"/>
      <w:lvlJc w:val="left"/>
      <w:pPr>
        <w:ind w:left="1080" w:hanging="360"/>
      </w:pPr>
      <w:rPr>
        <w:rFonts w:cs="Times New Roman" w:hint="default"/>
      </w:rPr>
    </w:lvl>
    <w:lvl w:ilvl="2" w:tplc="0C090005" w:tentative="1">
      <w:start w:val="1"/>
      <w:numFmt w:val="lowerRoman"/>
      <w:lvlText w:val="%3."/>
      <w:lvlJc w:val="right"/>
      <w:pPr>
        <w:ind w:left="1800" w:hanging="180"/>
      </w:pPr>
      <w:rPr>
        <w:rFonts w:cs="Times New Roman"/>
      </w:rPr>
    </w:lvl>
    <w:lvl w:ilvl="3" w:tplc="0C090001" w:tentative="1">
      <w:start w:val="1"/>
      <w:numFmt w:val="decimal"/>
      <w:lvlText w:val="%4."/>
      <w:lvlJc w:val="left"/>
      <w:pPr>
        <w:ind w:left="2520" w:hanging="360"/>
      </w:pPr>
      <w:rPr>
        <w:rFonts w:cs="Times New Roman"/>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31">
    <w:nsid w:val="4C0D42D3"/>
    <w:multiLevelType w:val="hybridMultilevel"/>
    <w:tmpl w:val="BFBC20E8"/>
    <w:lvl w:ilvl="0" w:tplc="D5664A44">
      <w:start w:val="1"/>
      <w:numFmt w:val="bullet"/>
      <w:lvlText w:val=""/>
      <w:lvlJc w:val="left"/>
      <w:pPr>
        <w:ind w:left="360" w:hanging="360"/>
      </w:pPr>
      <w:rPr>
        <w:rFonts w:ascii="Symbol" w:hAnsi="Symbol" w:hint="default"/>
        <w:sz w:val="16"/>
      </w:rPr>
    </w:lvl>
    <w:lvl w:ilvl="1" w:tplc="A3A6BE9E" w:tentative="1">
      <w:start w:val="1"/>
      <w:numFmt w:val="bullet"/>
      <w:lvlText w:val="o"/>
      <w:lvlJc w:val="left"/>
      <w:pPr>
        <w:ind w:left="1080" w:hanging="360"/>
      </w:pPr>
      <w:rPr>
        <w:rFonts w:ascii="Courier New" w:hAnsi="Courier New" w:hint="default"/>
      </w:rPr>
    </w:lvl>
    <w:lvl w:ilvl="2" w:tplc="6B566532" w:tentative="1">
      <w:start w:val="1"/>
      <w:numFmt w:val="bullet"/>
      <w:lvlText w:val=""/>
      <w:lvlJc w:val="left"/>
      <w:pPr>
        <w:ind w:left="1800" w:hanging="360"/>
      </w:pPr>
      <w:rPr>
        <w:rFonts w:ascii="Wingdings" w:hAnsi="Wingdings" w:hint="default"/>
      </w:rPr>
    </w:lvl>
    <w:lvl w:ilvl="3" w:tplc="B97EB0A0" w:tentative="1">
      <w:start w:val="1"/>
      <w:numFmt w:val="bullet"/>
      <w:lvlText w:val=""/>
      <w:lvlJc w:val="left"/>
      <w:pPr>
        <w:ind w:left="2520" w:hanging="360"/>
      </w:pPr>
      <w:rPr>
        <w:rFonts w:ascii="Symbol" w:hAnsi="Symbol" w:hint="default"/>
      </w:rPr>
    </w:lvl>
    <w:lvl w:ilvl="4" w:tplc="8CA6556A" w:tentative="1">
      <w:start w:val="1"/>
      <w:numFmt w:val="bullet"/>
      <w:lvlText w:val="o"/>
      <w:lvlJc w:val="left"/>
      <w:pPr>
        <w:ind w:left="3240" w:hanging="360"/>
      </w:pPr>
      <w:rPr>
        <w:rFonts w:ascii="Courier New" w:hAnsi="Courier New" w:hint="default"/>
      </w:rPr>
    </w:lvl>
    <w:lvl w:ilvl="5" w:tplc="34E00116" w:tentative="1">
      <w:start w:val="1"/>
      <w:numFmt w:val="bullet"/>
      <w:lvlText w:val=""/>
      <w:lvlJc w:val="left"/>
      <w:pPr>
        <w:ind w:left="3960" w:hanging="360"/>
      </w:pPr>
      <w:rPr>
        <w:rFonts w:ascii="Wingdings" w:hAnsi="Wingdings" w:hint="default"/>
      </w:rPr>
    </w:lvl>
    <w:lvl w:ilvl="6" w:tplc="1B6EC7EE" w:tentative="1">
      <w:start w:val="1"/>
      <w:numFmt w:val="bullet"/>
      <w:lvlText w:val=""/>
      <w:lvlJc w:val="left"/>
      <w:pPr>
        <w:ind w:left="4680" w:hanging="360"/>
      </w:pPr>
      <w:rPr>
        <w:rFonts w:ascii="Symbol" w:hAnsi="Symbol" w:hint="default"/>
      </w:rPr>
    </w:lvl>
    <w:lvl w:ilvl="7" w:tplc="977CD44A" w:tentative="1">
      <w:start w:val="1"/>
      <w:numFmt w:val="bullet"/>
      <w:lvlText w:val="o"/>
      <w:lvlJc w:val="left"/>
      <w:pPr>
        <w:ind w:left="5400" w:hanging="360"/>
      </w:pPr>
      <w:rPr>
        <w:rFonts w:ascii="Courier New" w:hAnsi="Courier New" w:hint="default"/>
      </w:rPr>
    </w:lvl>
    <w:lvl w:ilvl="8" w:tplc="9CCA8B88" w:tentative="1">
      <w:start w:val="1"/>
      <w:numFmt w:val="bullet"/>
      <w:lvlText w:val=""/>
      <w:lvlJc w:val="left"/>
      <w:pPr>
        <w:ind w:left="6120" w:hanging="360"/>
      </w:pPr>
      <w:rPr>
        <w:rFonts w:ascii="Wingdings" w:hAnsi="Wingdings" w:hint="default"/>
      </w:rPr>
    </w:lvl>
  </w:abstractNum>
  <w:abstractNum w:abstractNumId="32">
    <w:nsid w:val="4C3D7EF4"/>
    <w:multiLevelType w:val="hybridMultilevel"/>
    <w:tmpl w:val="346A2768"/>
    <w:lvl w:ilvl="0" w:tplc="0C090001">
      <w:start w:val="1"/>
      <w:numFmt w:val="bullet"/>
      <w:lvlText w:val=""/>
      <w:lvlJc w:val="left"/>
      <w:pPr>
        <w:ind w:left="405" w:hanging="360"/>
      </w:pPr>
      <w:rPr>
        <w:rFonts w:ascii="Symbol" w:hAnsi="Symbol" w:hint="default"/>
      </w:rPr>
    </w:lvl>
    <w:lvl w:ilvl="1" w:tplc="0C090001" w:tentative="1">
      <w:start w:val="1"/>
      <w:numFmt w:val="bullet"/>
      <w:lvlText w:val="o"/>
      <w:lvlJc w:val="left"/>
      <w:pPr>
        <w:ind w:left="1125" w:hanging="360"/>
      </w:pPr>
      <w:rPr>
        <w:rFonts w:ascii="Courier New" w:hAnsi="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33">
    <w:nsid w:val="4F134854"/>
    <w:multiLevelType w:val="hybridMultilevel"/>
    <w:tmpl w:val="03D2C6C2"/>
    <w:lvl w:ilvl="0" w:tplc="7FB6DAAE">
      <w:start w:val="1"/>
      <w:numFmt w:val="bullet"/>
      <w:pStyle w:val="Taabletextcharcharchar"/>
      <w:lvlText w:val=""/>
      <w:lvlJc w:val="left"/>
      <w:pPr>
        <w:tabs>
          <w:tab w:val="num" w:pos="360"/>
        </w:tabs>
        <w:ind w:left="360" w:hanging="360"/>
      </w:pPr>
      <w:rPr>
        <w:rFonts w:ascii="Symbol" w:hAnsi="Symbol" w:hint="default"/>
        <w:sz w:val="16"/>
      </w:rPr>
    </w:lvl>
    <w:lvl w:ilvl="1" w:tplc="0C090019">
      <w:start w:val="1"/>
      <w:numFmt w:val="decimal"/>
      <w:lvlText w:val="%2."/>
      <w:lvlJc w:val="left"/>
      <w:pPr>
        <w:tabs>
          <w:tab w:val="num" w:pos="1440"/>
        </w:tabs>
        <w:ind w:left="1440" w:hanging="360"/>
      </w:pPr>
      <w:rPr>
        <w:rFonts w:cs="Times New Roman" w:hint="default"/>
        <w:sz w:val="16"/>
        <w:szCs w:val="16"/>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4">
    <w:nsid w:val="50191E49"/>
    <w:multiLevelType w:val="hybridMultilevel"/>
    <w:tmpl w:val="0080731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E17A75"/>
    <w:multiLevelType w:val="hybridMultilevel"/>
    <w:tmpl w:val="4CAE24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nsid w:val="555D2150"/>
    <w:multiLevelType w:val="hybridMultilevel"/>
    <w:tmpl w:val="6A6074A4"/>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66E728A"/>
    <w:multiLevelType w:val="hybridMultilevel"/>
    <w:tmpl w:val="E3361B78"/>
    <w:lvl w:ilvl="0" w:tplc="0C090001">
      <w:start w:val="1"/>
      <w:numFmt w:val="bullet"/>
      <w:lvlText w:val=""/>
      <w:lvlJc w:val="left"/>
      <w:pPr>
        <w:ind w:left="531" w:hanging="360"/>
      </w:pPr>
      <w:rPr>
        <w:rFonts w:ascii="Symbol" w:hAnsi="Symbol" w:hint="default"/>
      </w:rPr>
    </w:lvl>
    <w:lvl w:ilvl="1" w:tplc="0C090003" w:tentative="1">
      <w:start w:val="1"/>
      <w:numFmt w:val="bullet"/>
      <w:lvlText w:val="o"/>
      <w:lvlJc w:val="left"/>
      <w:pPr>
        <w:ind w:left="1251" w:hanging="360"/>
      </w:pPr>
      <w:rPr>
        <w:rFonts w:ascii="Courier New" w:hAnsi="Courier New" w:hint="default"/>
      </w:rPr>
    </w:lvl>
    <w:lvl w:ilvl="2" w:tplc="0C090005" w:tentative="1">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38">
    <w:nsid w:val="5751085A"/>
    <w:multiLevelType w:val="hybridMultilevel"/>
    <w:tmpl w:val="093458D4"/>
    <w:lvl w:ilvl="0" w:tplc="D428B0DE">
      <w:start w:val="1"/>
      <w:numFmt w:val="decimal"/>
      <w:lvlText w:val="%1."/>
      <w:lvlJc w:val="left"/>
      <w:pPr>
        <w:ind w:left="1080" w:hanging="360"/>
      </w:pPr>
      <w:rPr>
        <w:rFonts w:cs="Times New Roman" w:hint="default"/>
      </w:rPr>
    </w:lvl>
    <w:lvl w:ilvl="1" w:tplc="D1EA9B9C" w:tentative="1">
      <w:start w:val="1"/>
      <w:numFmt w:val="lowerLetter"/>
      <w:lvlText w:val="%2."/>
      <w:lvlJc w:val="left"/>
      <w:pPr>
        <w:ind w:left="1800" w:hanging="360"/>
      </w:pPr>
      <w:rPr>
        <w:rFonts w:cs="Times New Roman"/>
      </w:rPr>
    </w:lvl>
    <w:lvl w:ilvl="2" w:tplc="2092C4E2" w:tentative="1">
      <w:start w:val="1"/>
      <w:numFmt w:val="lowerRoman"/>
      <w:lvlText w:val="%3."/>
      <w:lvlJc w:val="right"/>
      <w:pPr>
        <w:ind w:left="2520" w:hanging="180"/>
      </w:pPr>
      <w:rPr>
        <w:rFonts w:cs="Times New Roman"/>
      </w:rPr>
    </w:lvl>
    <w:lvl w:ilvl="3" w:tplc="B86CBECC" w:tentative="1">
      <w:start w:val="1"/>
      <w:numFmt w:val="decimal"/>
      <w:lvlText w:val="%4."/>
      <w:lvlJc w:val="left"/>
      <w:pPr>
        <w:ind w:left="3240" w:hanging="360"/>
      </w:pPr>
      <w:rPr>
        <w:rFonts w:cs="Times New Roman"/>
      </w:rPr>
    </w:lvl>
    <w:lvl w:ilvl="4" w:tplc="2E665070" w:tentative="1">
      <w:start w:val="1"/>
      <w:numFmt w:val="lowerLetter"/>
      <w:lvlText w:val="%5."/>
      <w:lvlJc w:val="left"/>
      <w:pPr>
        <w:ind w:left="3960" w:hanging="360"/>
      </w:pPr>
      <w:rPr>
        <w:rFonts w:cs="Times New Roman"/>
      </w:rPr>
    </w:lvl>
    <w:lvl w:ilvl="5" w:tplc="5EF08D88" w:tentative="1">
      <w:start w:val="1"/>
      <w:numFmt w:val="lowerRoman"/>
      <w:lvlText w:val="%6."/>
      <w:lvlJc w:val="right"/>
      <w:pPr>
        <w:ind w:left="4680" w:hanging="180"/>
      </w:pPr>
      <w:rPr>
        <w:rFonts w:cs="Times New Roman"/>
      </w:rPr>
    </w:lvl>
    <w:lvl w:ilvl="6" w:tplc="FBFA391E" w:tentative="1">
      <w:start w:val="1"/>
      <w:numFmt w:val="decimal"/>
      <w:lvlText w:val="%7."/>
      <w:lvlJc w:val="left"/>
      <w:pPr>
        <w:ind w:left="5400" w:hanging="360"/>
      </w:pPr>
      <w:rPr>
        <w:rFonts w:cs="Times New Roman"/>
      </w:rPr>
    </w:lvl>
    <w:lvl w:ilvl="7" w:tplc="BCBAACCC" w:tentative="1">
      <w:start w:val="1"/>
      <w:numFmt w:val="lowerLetter"/>
      <w:lvlText w:val="%8."/>
      <w:lvlJc w:val="left"/>
      <w:pPr>
        <w:ind w:left="6120" w:hanging="360"/>
      </w:pPr>
      <w:rPr>
        <w:rFonts w:cs="Times New Roman"/>
      </w:rPr>
    </w:lvl>
    <w:lvl w:ilvl="8" w:tplc="86109D2E" w:tentative="1">
      <w:start w:val="1"/>
      <w:numFmt w:val="lowerRoman"/>
      <w:lvlText w:val="%9."/>
      <w:lvlJc w:val="right"/>
      <w:pPr>
        <w:ind w:left="6840" w:hanging="180"/>
      </w:pPr>
      <w:rPr>
        <w:rFonts w:cs="Times New Roman"/>
      </w:rPr>
    </w:lvl>
  </w:abstractNum>
  <w:abstractNum w:abstractNumId="39">
    <w:nsid w:val="5A1C23C8"/>
    <w:multiLevelType w:val="hybridMultilevel"/>
    <w:tmpl w:val="B8146CB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0">
    <w:nsid w:val="5A24613C"/>
    <w:multiLevelType w:val="hybridMultilevel"/>
    <w:tmpl w:val="53C87B90"/>
    <w:lvl w:ilvl="0" w:tplc="8F36B1C4">
      <w:start w:val="1"/>
      <w:numFmt w:val="decimal"/>
      <w:lvlText w:val="%1."/>
      <w:lvlJc w:val="left"/>
      <w:pPr>
        <w:ind w:left="1080" w:hanging="360"/>
      </w:pPr>
      <w:rPr>
        <w:rFonts w:cs="Times New Roman" w:hint="default"/>
      </w:rPr>
    </w:lvl>
    <w:lvl w:ilvl="1" w:tplc="1A8CCEB6" w:tentative="1">
      <w:start w:val="1"/>
      <w:numFmt w:val="lowerLetter"/>
      <w:lvlText w:val="%2."/>
      <w:lvlJc w:val="left"/>
      <w:pPr>
        <w:ind w:left="1800" w:hanging="360"/>
      </w:pPr>
      <w:rPr>
        <w:rFonts w:cs="Times New Roman"/>
      </w:rPr>
    </w:lvl>
    <w:lvl w:ilvl="2" w:tplc="D3BC6954" w:tentative="1">
      <w:start w:val="1"/>
      <w:numFmt w:val="lowerRoman"/>
      <w:lvlText w:val="%3."/>
      <w:lvlJc w:val="right"/>
      <w:pPr>
        <w:ind w:left="2520" w:hanging="180"/>
      </w:pPr>
      <w:rPr>
        <w:rFonts w:cs="Times New Roman"/>
      </w:rPr>
    </w:lvl>
    <w:lvl w:ilvl="3" w:tplc="4A2E4974" w:tentative="1">
      <w:start w:val="1"/>
      <w:numFmt w:val="decimal"/>
      <w:lvlText w:val="%4."/>
      <w:lvlJc w:val="left"/>
      <w:pPr>
        <w:ind w:left="3240" w:hanging="360"/>
      </w:pPr>
      <w:rPr>
        <w:rFonts w:cs="Times New Roman"/>
      </w:rPr>
    </w:lvl>
    <w:lvl w:ilvl="4" w:tplc="6A687350" w:tentative="1">
      <w:start w:val="1"/>
      <w:numFmt w:val="lowerLetter"/>
      <w:lvlText w:val="%5."/>
      <w:lvlJc w:val="left"/>
      <w:pPr>
        <w:ind w:left="3960" w:hanging="360"/>
      </w:pPr>
      <w:rPr>
        <w:rFonts w:cs="Times New Roman"/>
      </w:rPr>
    </w:lvl>
    <w:lvl w:ilvl="5" w:tplc="3C8876C8" w:tentative="1">
      <w:start w:val="1"/>
      <w:numFmt w:val="lowerRoman"/>
      <w:lvlText w:val="%6."/>
      <w:lvlJc w:val="right"/>
      <w:pPr>
        <w:ind w:left="4680" w:hanging="180"/>
      </w:pPr>
      <w:rPr>
        <w:rFonts w:cs="Times New Roman"/>
      </w:rPr>
    </w:lvl>
    <w:lvl w:ilvl="6" w:tplc="743E0E72" w:tentative="1">
      <w:start w:val="1"/>
      <w:numFmt w:val="decimal"/>
      <w:lvlText w:val="%7."/>
      <w:lvlJc w:val="left"/>
      <w:pPr>
        <w:ind w:left="5400" w:hanging="360"/>
      </w:pPr>
      <w:rPr>
        <w:rFonts w:cs="Times New Roman"/>
      </w:rPr>
    </w:lvl>
    <w:lvl w:ilvl="7" w:tplc="AA44884A" w:tentative="1">
      <w:start w:val="1"/>
      <w:numFmt w:val="lowerLetter"/>
      <w:lvlText w:val="%8."/>
      <w:lvlJc w:val="left"/>
      <w:pPr>
        <w:ind w:left="6120" w:hanging="360"/>
      </w:pPr>
      <w:rPr>
        <w:rFonts w:cs="Times New Roman"/>
      </w:rPr>
    </w:lvl>
    <w:lvl w:ilvl="8" w:tplc="016E2E02" w:tentative="1">
      <w:start w:val="1"/>
      <w:numFmt w:val="lowerRoman"/>
      <w:lvlText w:val="%9."/>
      <w:lvlJc w:val="right"/>
      <w:pPr>
        <w:ind w:left="6840" w:hanging="180"/>
      </w:pPr>
      <w:rPr>
        <w:rFonts w:cs="Times New Roman"/>
      </w:rPr>
    </w:lvl>
  </w:abstractNum>
  <w:abstractNum w:abstractNumId="41">
    <w:nsid w:val="5BAF2157"/>
    <w:multiLevelType w:val="hybridMultilevel"/>
    <w:tmpl w:val="90209F32"/>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42">
    <w:nsid w:val="5BC61056"/>
    <w:multiLevelType w:val="hybridMultilevel"/>
    <w:tmpl w:val="2C344C1E"/>
    <w:lvl w:ilvl="0" w:tplc="7438012C">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43">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44">
    <w:nsid w:val="61060124"/>
    <w:multiLevelType w:val="hybridMultilevel"/>
    <w:tmpl w:val="79D43142"/>
    <w:lvl w:ilvl="0" w:tplc="BE2073FA">
      <w:start w:val="1"/>
      <w:numFmt w:val="bullet"/>
      <w:pStyle w:val="TableTextBullet"/>
      <w:lvlText w:val=""/>
      <w:lvlJc w:val="left"/>
      <w:pPr>
        <w:tabs>
          <w:tab w:val="num" w:pos="612"/>
        </w:tabs>
        <w:ind w:left="601" w:hanging="272"/>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712"/>
        </w:tabs>
        <w:ind w:left="1712" w:hanging="360"/>
      </w:pPr>
      <w:rPr>
        <w:rFonts w:ascii="Courier New" w:hAnsi="Courier New" w:hint="default"/>
      </w:rPr>
    </w:lvl>
    <w:lvl w:ilvl="2" w:tplc="0C090005" w:tentative="1">
      <w:start w:val="1"/>
      <w:numFmt w:val="bullet"/>
      <w:lvlText w:val=""/>
      <w:lvlJc w:val="left"/>
      <w:pPr>
        <w:tabs>
          <w:tab w:val="num" w:pos="2432"/>
        </w:tabs>
        <w:ind w:left="2432" w:hanging="360"/>
      </w:pPr>
      <w:rPr>
        <w:rFonts w:ascii="Wingdings" w:hAnsi="Wingdings" w:hint="default"/>
      </w:rPr>
    </w:lvl>
    <w:lvl w:ilvl="3" w:tplc="0C090001" w:tentative="1">
      <w:start w:val="1"/>
      <w:numFmt w:val="bullet"/>
      <w:lvlText w:val=""/>
      <w:lvlJc w:val="left"/>
      <w:pPr>
        <w:tabs>
          <w:tab w:val="num" w:pos="3152"/>
        </w:tabs>
        <w:ind w:left="3152" w:hanging="360"/>
      </w:pPr>
      <w:rPr>
        <w:rFonts w:ascii="Symbol" w:hAnsi="Symbol" w:hint="default"/>
      </w:rPr>
    </w:lvl>
    <w:lvl w:ilvl="4" w:tplc="0C090003" w:tentative="1">
      <w:start w:val="1"/>
      <w:numFmt w:val="bullet"/>
      <w:lvlText w:val="o"/>
      <w:lvlJc w:val="left"/>
      <w:pPr>
        <w:tabs>
          <w:tab w:val="num" w:pos="3872"/>
        </w:tabs>
        <w:ind w:left="3872" w:hanging="360"/>
      </w:pPr>
      <w:rPr>
        <w:rFonts w:ascii="Courier New" w:hAnsi="Courier New" w:hint="default"/>
      </w:rPr>
    </w:lvl>
    <w:lvl w:ilvl="5" w:tplc="0C090005" w:tentative="1">
      <w:start w:val="1"/>
      <w:numFmt w:val="bullet"/>
      <w:lvlText w:val=""/>
      <w:lvlJc w:val="left"/>
      <w:pPr>
        <w:tabs>
          <w:tab w:val="num" w:pos="4592"/>
        </w:tabs>
        <w:ind w:left="4592" w:hanging="360"/>
      </w:pPr>
      <w:rPr>
        <w:rFonts w:ascii="Wingdings" w:hAnsi="Wingdings" w:hint="default"/>
      </w:rPr>
    </w:lvl>
    <w:lvl w:ilvl="6" w:tplc="0C090001" w:tentative="1">
      <w:start w:val="1"/>
      <w:numFmt w:val="bullet"/>
      <w:lvlText w:val=""/>
      <w:lvlJc w:val="left"/>
      <w:pPr>
        <w:tabs>
          <w:tab w:val="num" w:pos="5312"/>
        </w:tabs>
        <w:ind w:left="5312" w:hanging="360"/>
      </w:pPr>
      <w:rPr>
        <w:rFonts w:ascii="Symbol" w:hAnsi="Symbol" w:hint="default"/>
      </w:rPr>
    </w:lvl>
    <w:lvl w:ilvl="7" w:tplc="0C090003" w:tentative="1">
      <w:start w:val="1"/>
      <w:numFmt w:val="bullet"/>
      <w:lvlText w:val="o"/>
      <w:lvlJc w:val="left"/>
      <w:pPr>
        <w:tabs>
          <w:tab w:val="num" w:pos="6032"/>
        </w:tabs>
        <w:ind w:left="6032" w:hanging="360"/>
      </w:pPr>
      <w:rPr>
        <w:rFonts w:ascii="Courier New" w:hAnsi="Courier New" w:hint="default"/>
      </w:rPr>
    </w:lvl>
    <w:lvl w:ilvl="8" w:tplc="0C090005" w:tentative="1">
      <w:start w:val="1"/>
      <w:numFmt w:val="bullet"/>
      <w:lvlText w:val=""/>
      <w:lvlJc w:val="left"/>
      <w:pPr>
        <w:tabs>
          <w:tab w:val="num" w:pos="6752"/>
        </w:tabs>
        <w:ind w:left="6752" w:hanging="360"/>
      </w:pPr>
      <w:rPr>
        <w:rFonts w:ascii="Wingdings" w:hAnsi="Wingdings" w:hint="default"/>
      </w:rPr>
    </w:lvl>
  </w:abstractNum>
  <w:abstractNum w:abstractNumId="45">
    <w:nsid w:val="62A0656D"/>
    <w:multiLevelType w:val="hybridMultilevel"/>
    <w:tmpl w:val="A94689F6"/>
    <w:lvl w:ilvl="0" w:tplc="CBB44F02">
      <w:start w:val="1"/>
      <w:numFmt w:val="bullet"/>
      <w:lvlText w:val=""/>
      <w:lvlJc w:val="left"/>
      <w:pPr>
        <w:tabs>
          <w:tab w:val="num" w:pos="360"/>
        </w:tabs>
        <w:ind w:left="360" w:hanging="360"/>
      </w:pPr>
      <w:rPr>
        <w:rFonts w:ascii="Symbol" w:hAnsi="Symbol" w:hint="default"/>
        <w:color w:val="auto"/>
        <w:sz w:val="22"/>
      </w:rPr>
    </w:lvl>
    <w:lvl w:ilvl="1" w:tplc="0C090019">
      <w:start w:val="1"/>
      <w:numFmt w:val="bullet"/>
      <w:lvlText w:val="o"/>
      <w:lvlJc w:val="left"/>
      <w:pPr>
        <w:tabs>
          <w:tab w:val="num" w:pos="1440"/>
        </w:tabs>
        <w:ind w:left="1440" w:hanging="360"/>
      </w:pPr>
      <w:rPr>
        <w:rFonts w:ascii="Courier New" w:hAnsi="Courier New" w:hint="default"/>
        <w:color w:val="auto"/>
        <w:sz w:val="22"/>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6">
    <w:nsid w:val="63161D6F"/>
    <w:multiLevelType w:val="hybridMultilevel"/>
    <w:tmpl w:val="22CA0A5C"/>
    <w:lvl w:ilvl="0" w:tplc="9F8C644E">
      <w:start w:val="1"/>
      <w:numFmt w:val="bullet"/>
      <w:lvlText w:val="-"/>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7">
    <w:nsid w:val="63EB0D86"/>
    <w:multiLevelType w:val="hybridMultilevel"/>
    <w:tmpl w:val="CFC08810"/>
    <w:lvl w:ilvl="0" w:tplc="0C090001">
      <w:start w:val="1"/>
      <w:numFmt w:val="decimal"/>
      <w:lvlText w:val="%1."/>
      <w:lvlJc w:val="left"/>
      <w:pPr>
        <w:ind w:left="1080" w:hanging="360"/>
      </w:pPr>
      <w:rPr>
        <w:rFonts w:cs="Times New Roman" w:hint="default"/>
      </w:rPr>
    </w:lvl>
    <w:lvl w:ilvl="1" w:tplc="0C090003" w:tentative="1">
      <w:start w:val="1"/>
      <w:numFmt w:val="lowerLetter"/>
      <w:lvlText w:val="%2."/>
      <w:lvlJc w:val="left"/>
      <w:pPr>
        <w:ind w:left="1800" w:hanging="360"/>
      </w:pPr>
      <w:rPr>
        <w:rFonts w:cs="Times New Roman"/>
      </w:rPr>
    </w:lvl>
    <w:lvl w:ilvl="2" w:tplc="0C090005" w:tentative="1">
      <w:start w:val="1"/>
      <w:numFmt w:val="lowerRoman"/>
      <w:lvlText w:val="%3."/>
      <w:lvlJc w:val="right"/>
      <w:pPr>
        <w:ind w:left="2520" w:hanging="180"/>
      </w:pPr>
      <w:rPr>
        <w:rFonts w:cs="Times New Roman"/>
      </w:rPr>
    </w:lvl>
    <w:lvl w:ilvl="3" w:tplc="0C090001" w:tentative="1">
      <w:start w:val="1"/>
      <w:numFmt w:val="decimal"/>
      <w:lvlText w:val="%4."/>
      <w:lvlJc w:val="left"/>
      <w:pPr>
        <w:ind w:left="3240" w:hanging="360"/>
      </w:pPr>
      <w:rPr>
        <w:rFonts w:cs="Times New Roman"/>
      </w:rPr>
    </w:lvl>
    <w:lvl w:ilvl="4" w:tplc="0C090003" w:tentative="1">
      <w:start w:val="1"/>
      <w:numFmt w:val="lowerLetter"/>
      <w:lvlText w:val="%5."/>
      <w:lvlJc w:val="left"/>
      <w:pPr>
        <w:ind w:left="3960" w:hanging="360"/>
      </w:pPr>
      <w:rPr>
        <w:rFonts w:cs="Times New Roman"/>
      </w:rPr>
    </w:lvl>
    <w:lvl w:ilvl="5" w:tplc="0C090005" w:tentative="1">
      <w:start w:val="1"/>
      <w:numFmt w:val="lowerRoman"/>
      <w:lvlText w:val="%6."/>
      <w:lvlJc w:val="right"/>
      <w:pPr>
        <w:ind w:left="4680" w:hanging="180"/>
      </w:pPr>
      <w:rPr>
        <w:rFonts w:cs="Times New Roman"/>
      </w:rPr>
    </w:lvl>
    <w:lvl w:ilvl="6" w:tplc="0C090001" w:tentative="1">
      <w:start w:val="1"/>
      <w:numFmt w:val="decimal"/>
      <w:lvlText w:val="%7."/>
      <w:lvlJc w:val="left"/>
      <w:pPr>
        <w:ind w:left="5400" w:hanging="360"/>
      </w:pPr>
      <w:rPr>
        <w:rFonts w:cs="Times New Roman"/>
      </w:rPr>
    </w:lvl>
    <w:lvl w:ilvl="7" w:tplc="0C090003" w:tentative="1">
      <w:start w:val="1"/>
      <w:numFmt w:val="lowerLetter"/>
      <w:lvlText w:val="%8."/>
      <w:lvlJc w:val="left"/>
      <w:pPr>
        <w:ind w:left="6120" w:hanging="360"/>
      </w:pPr>
      <w:rPr>
        <w:rFonts w:cs="Times New Roman"/>
      </w:rPr>
    </w:lvl>
    <w:lvl w:ilvl="8" w:tplc="0C090005" w:tentative="1">
      <w:start w:val="1"/>
      <w:numFmt w:val="lowerRoman"/>
      <w:lvlText w:val="%9."/>
      <w:lvlJc w:val="right"/>
      <w:pPr>
        <w:ind w:left="6840" w:hanging="180"/>
      </w:pPr>
      <w:rPr>
        <w:rFonts w:cs="Times New Roman"/>
      </w:rPr>
    </w:lvl>
  </w:abstractNum>
  <w:abstractNum w:abstractNumId="48">
    <w:nsid w:val="64AD0ADA"/>
    <w:multiLevelType w:val="hybridMultilevel"/>
    <w:tmpl w:val="DFBE0CBA"/>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9">
    <w:nsid w:val="68AE1E13"/>
    <w:multiLevelType w:val="hybridMultilevel"/>
    <w:tmpl w:val="C76899AA"/>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0">
    <w:nsid w:val="69B0573F"/>
    <w:multiLevelType w:val="hybridMultilevel"/>
    <w:tmpl w:val="C1BA7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70136854"/>
    <w:multiLevelType w:val="hybridMultilevel"/>
    <w:tmpl w:val="34CCD778"/>
    <w:lvl w:ilvl="0" w:tplc="0C090001">
      <w:start w:val="1"/>
      <w:numFmt w:val="bullet"/>
      <w:lvlText w:val=""/>
      <w:lvlJc w:val="left"/>
      <w:pPr>
        <w:tabs>
          <w:tab w:val="num" w:pos="442"/>
        </w:tabs>
        <w:ind w:left="442" w:hanging="360"/>
      </w:pPr>
      <w:rPr>
        <w:rFonts w:ascii="Symbol" w:hAnsi="Symbol" w:hint="default"/>
        <w:color w:val="auto"/>
      </w:rPr>
    </w:lvl>
    <w:lvl w:ilvl="1" w:tplc="0C090003">
      <w:start w:val="1"/>
      <w:numFmt w:val="bullet"/>
      <w:lvlText w:val=""/>
      <w:lvlJc w:val="left"/>
      <w:pPr>
        <w:tabs>
          <w:tab w:val="num" w:pos="1522"/>
        </w:tabs>
        <w:ind w:left="1522" w:hanging="360"/>
      </w:pPr>
      <w:rPr>
        <w:rFonts w:ascii="Symbol" w:hAnsi="Symbol" w:hint="default"/>
        <w:color w:val="auto"/>
      </w:rPr>
    </w:lvl>
    <w:lvl w:ilvl="2" w:tplc="0C090005" w:tentative="1">
      <w:start w:val="1"/>
      <w:numFmt w:val="bullet"/>
      <w:lvlText w:val=""/>
      <w:lvlJc w:val="left"/>
      <w:pPr>
        <w:tabs>
          <w:tab w:val="num" w:pos="2242"/>
        </w:tabs>
        <w:ind w:left="2242" w:hanging="360"/>
      </w:pPr>
      <w:rPr>
        <w:rFonts w:ascii="Wingdings" w:hAnsi="Wingdings" w:hint="default"/>
      </w:rPr>
    </w:lvl>
    <w:lvl w:ilvl="3" w:tplc="0C090001" w:tentative="1">
      <w:start w:val="1"/>
      <w:numFmt w:val="bullet"/>
      <w:lvlText w:val=""/>
      <w:lvlJc w:val="left"/>
      <w:pPr>
        <w:tabs>
          <w:tab w:val="num" w:pos="2962"/>
        </w:tabs>
        <w:ind w:left="2962" w:hanging="360"/>
      </w:pPr>
      <w:rPr>
        <w:rFonts w:ascii="Symbol" w:hAnsi="Symbol" w:hint="default"/>
      </w:rPr>
    </w:lvl>
    <w:lvl w:ilvl="4" w:tplc="0C090003" w:tentative="1">
      <w:start w:val="1"/>
      <w:numFmt w:val="bullet"/>
      <w:lvlText w:val="o"/>
      <w:lvlJc w:val="left"/>
      <w:pPr>
        <w:tabs>
          <w:tab w:val="num" w:pos="3682"/>
        </w:tabs>
        <w:ind w:left="3682" w:hanging="360"/>
      </w:pPr>
      <w:rPr>
        <w:rFonts w:ascii="Courier New" w:hAnsi="Courier New" w:hint="default"/>
      </w:rPr>
    </w:lvl>
    <w:lvl w:ilvl="5" w:tplc="0C090005" w:tentative="1">
      <w:start w:val="1"/>
      <w:numFmt w:val="bullet"/>
      <w:lvlText w:val=""/>
      <w:lvlJc w:val="left"/>
      <w:pPr>
        <w:tabs>
          <w:tab w:val="num" w:pos="4402"/>
        </w:tabs>
        <w:ind w:left="4402" w:hanging="360"/>
      </w:pPr>
      <w:rPr>
        <w:rFonts w:ascii="Wingdings" w:hAnsi="Wingdings" w:hint="default"/>
      </w:rPr>
    </w:lvl>
    <w:lvl w:ilvl="6" w:tplc="0C090001" w:tentative="1">
      <w:start w:val="1"/>
      <w:numFmt w:val="bullet"/>
      <w:lvlText w:val=""/>
      <w:lvlJc w:val="left"/>
      <w:pPr>
        <w:tabs>
          <w:tab w:val="num" w:pos="5122"/>
        </w:tabs>
        <w:ind w:left="5122" w:hanging="360"/>
      </w:pPr>
      <w:rPr>
        <w:rFonts w:ascii="Symbol" w:hAnsi="Symbol" w:hint="default"/>
      </w:rPr>
    </w:lvl>
    <w:lvl w:ilvl="7" w:tplc="0C090003" w:tentative="1">
      <w:start w:val="1"/>
      <w:numFmt w:val="bullet"/>
      <w:lvlText w:val="o"/>
      <w:lvlJc w:val="left"/>
      <w:pPr>
        <w:tabs>
          <w:tab w:val="num" w:pos="5842"/>
        </w:tabs>
        <w:ind w:left="5842" w:hanging="360"/>
      </w:pPr>
      <w:rPr>
        <w:rFonts w:ascii="Courier New" w:hAnsi="Courier New" w:hint="default"/>
      </w:rPr>
    </w:lvl>
    <w:lvl w:ilvl="8" w:tplc="0C090005" w:tentative="1">
      <w:start w:val="1"/>
      <w:numFmt w:val="bullet"/>
      <w:lvlText w:val=""/>
      <w:lvlJc w:val="left"/>
      <w:pPr>
        <w:tabs>
          <w:tab w:val="num" w:pos="6562"/>
        </w:tabs>
        <w:ind w:left="6562" w:hanging="360"/>
      </w:pPr>
      <w:rPr>
        <w:rFonts w:ascii="Wingdings" w:hAnsi="Wingdings" w:hint="default"/>
      </w:rPr>
    </w:lvl>
  </w:abstractNum>
  <w:abstractNum w:abstractNumId="52">
    <w:nsid w:val="70FE1A4B"/>
    <w:multiLevelType w:val="hybridMultilevel"/>
    <w:tmpl w:val="B5EA508E"/>
    <w:lvl w:ilvl="0" w:tplc="D2C45AC6">
      <w:start w:val="1"/>
      <w:numFmt w:val="decimal"/>
      <w:lvlText w:val="%1."/>
      <w:lvlJc w:val="left"/>
      <w:pPr>
        <w:ind w:left="360" w:hanging="360"/>
      </w:pPr>
      <w:rPr>
        <w:rFonts w:cs="Times New Roman"/>
      </w:rPr>
    </w:lvl>
    <w:lvl w:ilvl="1" w:tplc="59EE5A98"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3">
    <w:nsid w:val="73210CC6"/>
    <w:multiLevelType w:val="hybridMultilevel"/>
    <w:tmpl w:val="90441D44"/>
    <w:lvl w:ilvl="0" w:tplc="0C090001">
      <w:start w:val="1"/>
      <w:numFmt w:val="bullet"/>
      <w:lvlText w:val=""/>
      <w:lvlJc w:val="left"/>
      <w:pPr>
        <w:tabs>
          <w:tab w:val="num" w:pos="442"/>
        </w:tabs>
        <w:ind w:left="442" w:hanging="360"/>
      </w:pPr>
      <w:rPr>
        <w:rFonts w:ascii="Symbol" w:hAnsi="Symbol" w:hint="default"/>
        <w:color w:val="auto"/>
      </w:rPr>
    </w:lvl>
    <w:lvl w:ilvl="1" w:tplc="0C090003">
      <w:start w:val="1"/>
      <w:numFmt w:val="bullet"/>
      <w:lvlText w:val=""/>
      <w:lvlJc w:val="left"/>
      <w:pPr>
        <w:tabs>
          <w:tab w:val="num" w:pos="1522"/>
        </w:tabs>
        <w:ind w:left="1522" w:hanging="360"/>
      </w:pPr>
      <w:rPr>
        <w:rFonts w:ascii="Symbol" w:hAnsi="Symbol" w:hint="default"/>
        <w:color w:val="auto"/>
      </w:rPr>
    </w:lvl>
    <w:lvl w:ilvl="2" w:tplc="0C090005" w:tentative="1">
      <w:start w:val="1"/>
      <w:numFmt w:val="bullet"/>
      <w:lvlText w:val=""/>
      <w:lvlJc w:val="left"/>
      <w:pPr>
        <w:tabs>
          <w:tab w:val="num" w:pos="2242"/>
        </w:tabs>
        <w:ind w:left="2242" w:hanging="360"/>
      </w:pPr>
      <w:rPr>
        <w:rFonts w:ascii="Wingdings" w:hAnsi="Wingdings" w:hint="default"/>
      </w:rPr>
    </w:lvl>
    <w:lvl w:ilvl="3" w:tplc="0C090001" w:tentative="1">
      <w:start w:val="1"/>
      <w:numFmt w:val="bullet"/>
      <w:lvlText w:val=""/>
      <w:lvlJc w:val="left"/>
      <w:pPr>
        <w:tabs>
          <w:tab w:val="num" w:pos="2962"/>
        </w:tabs>
        <w:ind w:left="2962" w:hanging="360"/>
      </w:pPr>
      <w:rPr>
        <w:rFonts w:ascii="Symbol" w:hAnsi="Symbol" w:hint="default"/>
      </w:rPr>
    </w:lvl>
    <w:lvl w:ilvl="4" w:tplc="0C090003" w:tentative="1">
      <w:start w:val="1"/>
      <w:numFmt w:val="bullet"/>
      <w:lvlText w:val="o"/>
      <w:lvlJc w:val="left"/>
      <w:pPr>
        <w:tabs>
          <w:tab w:val="num" w:pos="3682"/>
        </w:tabs>
        <w:ind w:left="3682" w:hanging="360"/>
      </w:pPr>
      <w:rPr>
        <w:rFonts w:ascii="Courier New" w:hAnsi="Courier New" w:hint="default"/>
      </w:rPr>
    </w:lvl>
    <w:lvl w:ilvl="5" w:tplc="0C090005" w:tentative="1">
      <w:start w:val="1"/>
      <w:numFmt w:val="bullet"/>
      <w:lvlText w:val=""/>
      <w:lvlJc w:val="left"/>
      <w:pPr>
        <w:tabs>
          <w:tab w:val="num" w:pos="4402"/>
        </w:tabs>
        <w:ind w:left="4402" w:hanging="360"/>
      </w:pPr>
      <w:rPr>
        <w:rFonts w:ascii="Wingdings" w:hAnsi="Wingdings" w:hint="default"/>
      </w:rPr>
    </w:lvl>
    <w:lvl w:ilvl="6" w:tplc="0C090001" w:tentative="1">
      <w:start w:val="1"/>
      <w:numFmt w:val="bullet"/>
      <w:lvlText w:val=""/>
      <w:lvlJc w:val="left"/>
      <w:pPr>
        <w:tabs>
          <w:tab w:val="num" w:pos="5122"/>
        </w:tabs>
        <w:ind w:left="5122" w:hanging="360"/>
      </w:pPr>
      <w:rPr>
        <w:rFonts w:ascii="Symbol" w:hAnsi="Symbol" w:hint="default"/>
      </w:rPr>
    </w:lvl>
    <w:lvl w:ilvl="7" w:tplc="0C090003" w:tentative="1">
      <w:start w:val="1"/>
      <w:numFmt w:val="bullet"/>
      <w:lvlText w:val="o"/>
      <w:lvlJc w:val="left"/>
      <w:pPr>
        <w:tabs>
          <w:tab w:val="num" w:pos="5842"/>
        </w:tabs>
        <w:ind w:left="5842" w:hanging="360"/>
      </w:pPr>
      <w:rPr>
        <w:rFonts w:ascii="Courier New" w:hAnsi="Courier New" w:hint="default"/>
      </w:rPr>
    </w:lvl>
    <w:lvl w:ilvl="8" w:tplc="0C090005" w:tentative="1">
      <w:start w:val="1"/>
      <w:numFmt w:val="bullet"/>
      <w:lvlText w:val=""/>
      <w:lvlJc w:val="left"/>
      <w:pPr>
        <w:tabs>
          <w:tab w:val="num" w:pos="6562"/>
        </w:tabs>
        <w:ind w:left="6562" w:hanging="360"/>
      </w:pPr>
      <w:rPr>
        <w:rFonts w:ascii="Wingdings" w:hAnsi="Wingdings" w:hint="default"/>
      </w:rPr>
    </w:lvl>
  </w:abstractNum>
  <w:abstractNum w:abstractNumId="54">
    <w:nsid w:val="78547655"/>
    <w:multiLevelType w:val="hybridMultilevel"/>
    <w:tmpl w:val="C7A0D2D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5">
    <w:nsid w:val="789661C4"/>
    <w:multiLevelType w:val="hybridMultilevel"/>
    <w:tmpl w:val="EE223A4A"/>
    <w:lvl w:ilvl="0" w:tplc="0C090001">
      <w:start w:val="1"/>
      <w:numFmt w:val="bullet"/>
      <w:lvlText w:val=""/>
      <w:lvlJc w:val="left"/>
      <w:pPr>
        <w:ind w:left="1440" w:hanging="360"/>
      </w:pPr>
      <w:rPr>
        <w:rFonts w:ascii="Symbol" w:hAnsi="Symbol" w:hint="default"/>
        <w:sz w:val="24"/>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6">
    <w:nsid w:val="78B63548"/>
    <w:multiLevelType w:val="hybridMultilevel"/>
    <w:tmpl w:val="767E21F6"/>
    <w:lvl w:ilvl="0" w:tplc="0C090001">
      <w:start w:val="1"/>
      <w:numFmt w:val="bullet"/>
      <w:lvlText w:val=""/>
      <w:lvlJc w:val="left"/>
      <w:pPr>
        <w:ind w:left="417" w:hanging="360"/>
      </w:pPr>
      <w:rPr>
        <w:rFonts w:ascii="Symbol" w:hAnsi="Symbol" w:hint="default"/>
      </w:rPr>
    </w:lvl>
    <w:lvl w:ilvl="1" w:tplc="C74C37B0" w:tentative="1">
      <w:start w:val="1"/>
      <w:numFmt w:val="bullet"/>
      <w:lvlText w:val="o"/>
      <w:lvlJc w:val="left"/>
      <w:pPr>
        <w:ind w:left="1137" w:hanging="360"/>
      </w:pPr>
      <w:rPr>
        <w:rFonts w:ascii="Courier New" w:hAnsi="Courier New" w:hint="default"/>
      </w:rPr>
    </w:lvl>
    <w:lvl w:ilvl="2" w:tplc="A768C874" w:tentative="1">
      <w:start w:val="1"/>
      <w:numFmt w:val="bullet"/>
      <w:lvlText w:val=""/>
      <w:lvlJc w:val="left"/>
      <w:pPr>
        <w:ind w:left="1857" w:hanging="360"/>
      </w:pPr>
      <w:rPr>
        <w:rFonts w:ascii="Wingdings" w:hAnsi="Wingdings" w:hint="default"/>
      </w:rPr>
    </w:lvl>
    <w:lvl w:ilvl="3" w:tplc="BD26EBE0" w:tentative="1">
      <w:start w:val="1"/>
      <w:numFmt w:val="bullet"/>
      <w:lvlText w:val=""/>
      <w:lvlJc w:val="left"/>
      <w:pPr>
        <w:ind w:left="2577" w:hanging="360"/>
      </w:pPr>
      <w:rPr>
        <w:rFonts w:ascii="Symbol" w:hAnsi="Symbol" w:hint="default"/>
      </w:rPr>
    </w:lvl>
    <w:lvl w:ilvl="4" w:tplc="97E22E48" w:tentative="1">
      <w:start w:val="1"/>
      <w:numFmt w:val="bullet"/>
      <w:lvlText w:val="o"/>
      <w:lvlJc w:val="left"/>
      <w:pPr>
        <w:ind w:left="3297" w:hanging="360"/>
      </w:pPr>
      <w:rPr>
        <w:rFonts w:ascii="Courier New" w:hAnsi="Courier New" w:hint="default"/>
      </w:rPr>
    </w:lvl>
    <w:lvl w:ilvl="5" w:tplc="DE364292" w:tentative="1">
      <w:start w:val="1"/>
      <w:numFmt w:val="bullet"/>
      <w:lvlText w:val=""/>
      <w:lvlJc w:val="left"/>
      <w:pPr>
        <w:ind w:left="4017" w:hanging="360"/>
      </w:pPr>
      <w:rPr>
        <w:rFonts w:ascii="Wingdings" w:hAnsi="Wingdings" w:hint="default"/>
      </w:rPr>
    </w:lvl>
    <w:lvl w:ilvl="6" w:tplc="48AEA2A4" w:tentative="1">
      <w:start w:val="1"/>
      <w:numFmt w:val="bullet"/>
      <w:lvlText w:val=""/>
      <w:lvlJc w:val="left"/>
      <w:pPr>
        <w:ind w:left="4737" w:hanging="360"/>
      </w:pPr>
      <w:rPr>
        <w:rFonts w:ascii="Symbol" w:hAnsi="Symbol" w:hint="default"/>
      </w:rPr>
    </w:lvl>
    <w:lvl w:ilvl="7" w:tplc="D5BAE42E" w:tentative="1">
      <w:start w:val="1"/>
      <w:numFmt w:val="bullet"/>
      <w:lvlText w:val="o"/>
      <w:lvlJc w:val="left"/>
      <w:pPr>
        <w:ind w:left="5457" w:hanging="360"/>
      </w:pPr>
      <w:rPr>
        <w:rFonts w:ascii="Courier New" w:hAnsi="Courier New" w:hint="default"/>
      </w:rPr>
    </w:lvl>
    <w:lvl w:ilvl="8" w:tplc="5C02159E" w:tentative="1">
      <w:start w:val="1"/>
      <w:numFmt w:val="bullet"/>
      <w:lvlText w:val=""/>
      <w:lvlJc w:val="left"/>
      <w:pPr>
        <w:ind w:left="6177" w:hanging="360"/>
      </w:pPr>
      <w:rPr>
        <w:rFonts w:ascii="Wingdings" w:hAnsi="Wingdings" w:hint="default"/>
      </w:rPr>
    </w:lvl>
  </w:abstractNum>
  <w:abstractNum w:abstractNumId="57">
    <w:nsid w:val="794229D3"/>
    <w:multiLevelType w:val="hybridMultilevel"/>
    <w:tmpl w:val="7EFC3138"/>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8">
    <w:nsid w:val="7F360152"/>
    <w:multiLevelType w:val="hybridMultilevel"/>
    <w:tmpl w:val="93F8270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hint="default"/>
      </w:rPr>
    </w:lvl>
    <w:lvl w:ilvl="8" w:tplc="0C090005" w:tentative="1">
      <w:start w:val="1"/>
      <w:numFmt w:val="bullet"/>
      <w:lvlText w:val=""/>
      <w:lvlJc w:val="left"/>
      <w:pPr>
        <w:ind w:left="6177" w:hanging="360"/>
      </w:pPr>
      <w:rPr>
        <w:rFonts w:ascii="Wingdings" w:hAnsi="Wingdings" w:hint="default"/>
      </w:rPr>
    </w:lvl>
  </w:abstractNum>
  <w:num w:numId="1">
    <w:abstractNumId w:val="43"/>
  </w:num>
  <w:num w:numId="2">
    <w:abstractNumId w:val="35"/>
  </w:num>
  <w:num w:numId="3">
    <w:abstractNumId w:val="52"/>
  </w:num>
  <w:num w:numId="4">
    <w:abstractNumId w:val="30"/>
  </w:num>
  <w:num w:numId="5">
    <w:abstractNumId w:val="45"/>
  </w:num>
  <w:num w:numId="6">
    <w:abstractNumId w:val="57"/>
  </w:num>
  <w:num w:numId="7">
    <w:abstractNumId w:val="40"/>
  </w:num>
  <w:num w:numId="8">
    <w:abstractNumId w:val="47"/>
  </w:num>
  <w:num w:numId="9">
    <w:abstractNumId w:val="18"/>
  </w:num>
  <w:num w:numId="10">
    <w:abstractNumId w:val="3"/>
  </w:num>
  <w:num w:numId="11">
    <w:abstractNumId w:val="5"/>
  </w:num>
  <w:num w:numId="12">
    <w:abstractNumId w:val="26"/>
  </w:num>
  <w:num w:numId="13">
    <w:abstractNumId w:val="2"/>
  </w:num>
  <w:num w:numId="14">
    <w:abstractNumId w:val="38"/>
  </w:num>
  <w:num w:numId="15">
    <w:abstractNumId w:val="33"/>
  </w:num>
  <w:num w:numId="16">
    <w:abstractNumId w:val="31"/>
  </w:num>
  <w:num w:numId="17">
    <w:abstractNumId w:val="44"/>
  </w:num>
  <w:num w:numId="18">
    <w:abstractNumId w:val="14"/>
  </w:num>
  <w:num w:numId="19">
    <w:abstractNumId w:val="6"/>
  </w:num>
  <w:num w:numId="20">
    <w:abstractNumId w:val="42"/>
  </w:num>
  <w:num w:numId="21">
    <w:abstractNumId w:val="22"/>
  </w:num>
  <w:num w:numId="22">
    <w:abstractNumId w:val="34"/>
  </w:num>
  <w:num w:numId="23">
    <w:abstractNumId w:val="56"/>
  </w:num>
  <w:num w:numId="24">
    <w:abstractNumId w:val="20"/>
  </w:num>
  <w:num w:numId="25">
    <w:abstractNumId w:val="36"/>
  </w:num>
  <w:num w:numId="26">
    <w:abstractNumId w:val="32"/>
  </w:num>
  <w:num w:numId="27">
    <w:abstractNumId w:val="51"/>
  </w:num>
  <w:num w:numId="28">
    <w:abstractNumId w:val="53"/>
  </w:num>
  <w:num w:numId="29">
    <w:abstractNumId w:val="19"/>
  </w:num>
  <w:num w:numId="30">
    <w:abstractNumId w:val="8"/>
  </w:num>
  <w:num w:numId="31">
    <w:abstractNumId w:val="7"/>
  </w:num>
  <w:num w:numId="32">
    <w:abstractNumId w:val="4"/>
  </w:num>
  <w:num w:numId="33">
    <w:abstractNumId w:val="13"/>
  </w:num>
  <w:num w:numId="34">
    <w:abstractNumId w:val="16"/>
  </w:num>
  <w:num w:numId="35">
    <w:abstractNumId w:val="23"/>
  </w:num>
  <w:num w:numId="36">
    <w:abstractNumId w:val="55"/>
  </w:num>
  <w:num w:numId="37">
    <w:abstractNumId w:val="0"/>
  </w:num>
  <w:num w:numId="38">
    <w:abstractNumId w:val="12"/>
  </w:num>
  <w:num w:numId="39">
    <w:abstractNumId w:val="50"/>
  </w:num>
  <w:num w:numId="40">
    <w:abstractNumId w:val="58"/>
  </w:num>
  <w:num w:numId="41">
    <w:abstractNumId w:val="9"/>
  </w:num>
  <w:num w:numId="42">
    <w:abstractNumId w:val="41"/>
  </w:num>
  <w:num w:numId="43">
    <w:abstractNumId w:val="37"/>
  </w:num>
  <w:num w:numId="44">
    <w:abstractNumId w:val="11"/>
  </w:num>
  <w:num w:numId="45">
    <w:abstractNumId w:val="17"/>
  </w:num>
  <w:num w:numId="46">
    <w:abstractNumId w:val="21"/>
  </w:num>
  <w:num w:numId="47">
    <w:abstractNumId w:val="28"/>
  </w:num>
  <w:num w:numId="48">
    <w:abstractNumId w:val="49"/>
  </w:num>
  <w:num w:numId="49">
    <w:abstractNumId w:val="25"/>
  </w:num>
  <w:num w:numId="50">
    <w:abstractNumId w:val="39"/>
  </w:num>
  <w:num w:numId="51">
    <w:abstractNumId w:val="29"/>
  </w:num>
  <w:num w:numId="52">
    <w:abstractNumId w:val="10"/>
  </w:num>
  <w:num w:numId="53">
    <w:abstractNumId w:val="27"/>
  </w:num>
  <w:num w:numId="54">
    <w:abstractNumId w:val="24"/>
  </w:num>
  <w:num w:numId="55">
    <w:abstractNumId w:val="1"/>
  </w:num>
  <w:num w:numId="56">
    <w:abstractNumId w:val="54"/>
  </w:num>
  <w:num w:numId="57">
    <w:abstractNumId w:val="48"/>
  </w:num>
  <w:num w:numId="58">
    <w:abstractNumId w:val="15"/>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B0412F"/>
    <w:rsid w:val="0000704B"/>
    <w:rsid w:val="0001266B"/>
    <w:rsid w:val="000145C1"/>
    <w:rsid w:val="00014EC1"/>
    <w:rsid w:val="000360E5"/>
    <w:rsid w:val="00064E64"/>
    <w:rsid w:val="00090327"/>
    <w:rsid w:val="000B0364"/>
    <w:rsid w:val="000E2333"/>
    <w:rsid w:val="000E4781"/>
    <w:rsid w:val="00105218"/>
    <w:rsid w:val="00153FB0"/>
    <w:rsid w:val="00161265"/>
    <w:rsid w:val="00175BD8"/>
    <w:rsid w:val="001818C5"/>
    <w:rsid w:val="00196462"/>
    <w:rsid w:val="001B636E"/>
    <w:rsid w:val="001C3F9C"/>
    <w:rsid w:val="002069B1"/>
    <w:rsid w:val="002074E1"/>
    <w:rsid w:val="00216BAE"/>
    <w:rsid w:val="0022174E"/>
    <w:rsid w:val="002356B4"/>
    <w:rsid w:val="00241C87"/>
    <w:rsid w:val="00246134"/>
    <w:rsid w:val="00260BB3"/>
    <w:rsid w:val="002820A4"/>
    <w:rsid w:val="002A7611"/>
    <w:rsid w:val="002B103D"/>
    <w:rsid w:val="002B2F64"/>
    <w:rsid w:val="002C461B"/>
    <w:rsid w:val="002F47D4"/>
    <w:rsid w:val="002F4A4F"/>
    <w:rsid w:val="003024A0"/>
    <w:rsid w:val="00305282"/>
    <w:rsid w:val="00311CA4"/>
    <w:rsid w:val="00312EF2"/>
    <w:rsid w:val="003A18FD"/>
    <w:rsid w:val="003B67A4"/>
    <w:rsid w:val="003E0042"/>
    <w:rsid w:val="004269B3"/>
    <w:rsid w:val="004376A2"/>
    <w:rsid w:val="00443B2B"/>
    <w:rsid w:val="00451951"/>
    <w:rsid w:val="0048417A"/>
    <w:rsid w:val="00484F13"/>
    <w:rsid w:val="0049635E"/>
    <w:rsid w:val="0049767E"/>
    <w:rsid w:val="004B1BBD"/>
    <w:rsid w:val="004B2EB5"/>
    <w:rsid w:val="004C6B15"/>
    <w:rsid w:val="004D57B3"/>
    <w:rsid w:val="00517CA3"/>
    <w:rsid w:val="0053410C"/>
    <w:rsid w:val="0054292A"/>
    <w:rsid w:val="00547DED"/>
    <w:rsid w:val="005607ED"/>
    <w:rsid w:val="00563680"/>
    <w:rsid w:val="00571990"/>
    <w:rsid w:val="00574158"/>
    <w:rsid w:val="00574491"/>
    <w:rsid w:val="00590616"/>
    <w:rsid w:val="00597317"/>
    <w:rsid w:val="005A4FB7"/>
    <w:rsid w:val="005B7AF5"/>
    <w:rsid w:val="005C020D"/>
    <w:rsid w:val="00617712"/>
    <w:rsid w:val="00620E1D"/>
    <w:rsid w:val="00652A93"/>
    <w:rsid w:val="00692B21"/>
    <w:rsid w:val="006B6F3B"/>
    <w:rsid w:val="006C2D8A"/>
    <w:rsid w:val="006D6577"/>
    <w:rsid w:val="006E23E7"/>
    <w:rsid w:val="0070643D"/>
    <w:rsid w:val="007244CF"/>
    <w:rsid w:val="007308D2"/>
    <w:rsid w:val="00730C7A"/>
    <w:rsid w:val="007404DF"/>
    <w:rsid w:val="00757485"/>
    <w:rsid w:val="00764557"/>
    <w:rsid w:val="007E53A7"/>
    <w:rsid w:val="00836B55"/>
    <w:rsid w:val="008425C8"/>
    <w:rsid w:val="00894FB1"/>
    <w:rsid w:val="0089665D"/>
    <w:rsid w:val="00904F79"/>
    <w:rsid w:val="00912F79"/>
    <w:rsid w:val="00913F63"/>
    <w:rsid w:val="0093382F"/>
    <w:rsid w:val="009435BE"/>
    <w:rsid w:val="00951FEA"/>
    <w:rsid w:val="009707FF"/>
    <w:rsid w:val="0097421F"/>
    <w:rsid w:val="009A3655"/>
    <w:rsid w:val="009E34C0"/>
    <w:rsid w:val="009E5C5B"/>
    <w:rsid w:val="009F5538"/>
    <w:rsid w:val="00A036C2"/>
    <w:rsid w:val="00A109BB"/>
    <w:rsid w:val="00A25173"/>
    <w:rsid w:val="00A501E8"/>
    <w:rsid w:val="00A5156C"/>
    <w:rsid w:val="00A7744C"/>
    <w:rsid w:val="00A81057"/>
    <w:rsid w:val="00AA0295"/>
    <w:rsid w:val="00AB0113"/>
    <w:rsid w:val="00AC6D0A"/>
    <w:rsid w:val="00AD3527"/>
    <w:rsid w:val="00AE31FB"/>
    <w:rsid w:val="00AE591B"/>
    <w:rsid w:val="00AE61F5"/>
    <w:rsid w:val="00AF2E5C"/>
    <w:rsid w:val="00B0412F"/>
    <w:rsid w:val="00B267F5"/>
    <w:rsid w:val="00B35215"/>
    <w:rsid w:val="00B6474E"/>
    <w:rsid w:val="00B81800"/>
    <w:rsid w:val="00B854E1"/>
    <w:rsid w:val="00BA21E5"/>
    <w:rsid w:val="00BB0DDE"/>
    <w:rsid w:val="00BD07C3"/>
    <w:rsid w:val="00BD62AD"/>
    <w:rsid w:val="00C01D86"/>
    <w:rsid w:val="00C10606"/>
    <w:rsid w:val="00C11AB9"/>
    <w:rsid w:val="00C52B92"/>
    <w:rsid w:val="00C72030"/>
    <w:rsid w:val="00C76CF1"/>
    <w:rsid w:val="00C843FF"/>
    <w:rsid w:val="00C8742E"/>
    <w:rsid w:val="00CC7094"/>
    <w:rsid w:val="00CE1F1D"/>
    <w:rsid w:val="00D020C1"/>
    <w:rsid w:val="00D04BB7"/>
    <w:rsid w:val="00D638F7"/>
    <w:rsid w:val="00D86DBF"/>
    <w:rsid w:val="00D9236E"/>
    <w:rsid w:val="00D95527"/>
    <w:rsid w:val="00DA215E"/>
    <w:rsid w:val="00DB7BC6"/>
    <w:rsid w:val="00DC43A6"/>
    <w:rsid w:val="00DC59A3"/>
    <w:rsid w:val="00DF1608"/>
    <w:rsid w:val="00E7483A"/>
    <w:rsid w:val="00E914EC"/>
    <w:rsid w:val="00EB2F22"/>
    <w:rsid w:val="00EC64B4"/>
    <w:rsid w:val="00ED009C"/>
    <w:rsid w:val="00EE2D15"/>
    <w:rsid w:val="00EE3BDE"/>
    <w:rsid w:val="00F11B05"/>
    <w:rsid w:val="00F25987"/>
    <w:rsid w:val="00F568FA"/>
    <w:rsid w:val="00F65F00"/>
    <w:rsid w:val="00F77211"/>
    <w:rsid w:val="00FB04C0"/>
    <w:rsid w:val="00FC1A39"/>
    <w:rsid w:val="00FD4D11"/>
    <w:rsid w:val="00FD69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12F"/>
    <w:pPr>
      <w:spacing w:after="240"/>
      <w:ind w:left="720"/>
    </w:pPr>
    <w:rPr>
      <w:rFonts w:ascii="Garamond" w:eastAsia="Times New Roman" w:hAnsi="Garamond" w:cs="Times New Roman"/>
      <w:sz w:val="24"/>
      <w:szCs w:val="20"/>
      <w:lang w:val="en-AU" w:eastAsia="en-AU"/>
    </w:rPr>
  </w:style>
  <w:style w:type="paragraph" w:styleId="Heading1">
    <w:name w:val="heading 1"/>
    <w:basedOn w:val="Normal"/>
    <w:next w:val="Normal"/>
    <w:link w:val="Heading1Char"/>
    <w:uiPriority w:val="99"/>
    <w:qFormat/>
    <w:rsid w:val="00B0412F"/>
    <w:pPr>
      <w:keepNext/>
      <w:pageBreakBefore/>
      <w:pBdr>
        <w:bottom w:val="single" w:sz="4" w:space="1" w:color="auto"/>
      </w:pBdr>
      <w:spacing w:after="360"/>
      <w:ind w:left="3402" w:hanging="3402"/>
      <w:outlineLvl w:val="0"/>
    </w:pPr>
    <w:rPr>
      <w:rFonts w:ascii="Tahoma" w:hAnsi="Tahoma"/>
      <w:b/>
      <w:sz w:val="44"/>
    </w:rPr>
  </w:style>
  <w:style w:type="paragraph" w:styleId="Heading2">
    <w:name w:val="heading 2"/>
    <w:basedOn w:val="Normal"/>
    <w:next w:val="Normal"/>
    <w:link w:val="Heading2Char"/>
    <w:uiPriority w:val="99"/>
    <w:qFormat/>
    <w:rsid w:val="00B0412F"/>
    <w:pPr>
      <w:keepNext/>
      <w:spacing w:before="240"/>
      <w:ind w:left="0"/>
      <w:outlineLvl w:val="1"/>
    </w:pPr>
    <w:rPr>
      <w:rFonts w:ascii="Tahoma" w:hAnsi="Tahoma"/>
      <w:b/>
      <w:sz w:val="28"/>
    </w:rPr>
  </w:style>
  <w:style w:type="paragraph" w:styleId="Heading3">
    <w:name w:val="heading 3"/>
    <w:basedOn w:val="Normal"/>
    <w:next w:val="Normal"/>
    <w:link w:val="Heading3Char"/>
    <w:uiPriority w:val="99"/>
    <w:qFormat/>
    <w:rsid w:val="00B0412F"/>
    <w:pPr>
      <w:keepNext/>
      <w:spacing w:before="240"/>
      <w:outlineLvl w:val="2"/>
    </w:pPr>
    <w:rPr>
      <w:rFonts w:ascii="Tahoma" w:hAnsi="Tahoma"/>
      <w:b/>
      <w:sz w:val="22"/>
    </w:rPr>
  </w:style>
  <w:style w:type="paragraph" w:styleId="Heading4">
    <w:name w:val="heading 4"/>
    <w:basedOn w:val="Normal"/>
    <w:next w:val="Normal"/>
    <w:link w:val="Heading4Char"/>
    <w:uiPriority w:val="99"/>
    <w:qFormat/>
    <w:rsid w:val="00B0412F"/>
    <w:pPr>
      <w:keepNext/>
      <w:spacing w:before="120" w:after="120"/>
      <w:outlineLvl w:val="3"/>
    </w:pPr>
    <w:rPr>
      <w:rFonts w:ascii="Tahoma" w:hAnsi="Tahoma"/>
      <w:b/>
      <w:sz w:val="20"/>
    </w:rPr>
  </w:style>
  <w:style w:type="paragraph" w:styleId="Heading5">
    <w:name w:val="heading 5"/>
    <w:basedOn w:val="Normal"/>
    <w:next w:val="Normal"/>
    <w:link w:val="Heading5Char"/>
    <w:uiPriority w:val="99"/>
    <w:qFormat/>
    <w:rsid w:val="00B0412F"/>
    <w:pPr>
      <w:keepNext/>
      <w:spacing w:after="60"/>
      <w:outlineLvl w:val="4"/>
    </w:pPr>
    <w:rPr>
      <w:b/>
    </w:rPr>
  </w:style>
  <w:style w:type="paragraph" w:styleId="Heading6">
    <w:name w:val="heading 6"/>
    <w:basedOn w:val="Normal"/>
    <w:next w:val="Normal"/>
    <w:link w:val="Heading6Char"/>
    <w:uiPriority w:val="99"/>
    <w:qFormat/>
    <w:rsid w:val="00B0412F"/>
    <w:pPr>
      <w:keepNext/>
      <w:outlineLvl w:val="5"/>
    </w:pPr>
    <w:rPr>
      <w:b/>
      <w:i/>
    </w:rPr>
  </w:style>
  <w:style w:type="paragraph" w:styleId="Heading7">
    <w:name w:val="heading 7"/>
    <w:basedOn w:val="Normal"/>
    <w:next w:val="Normal"/>
    <w:link w:val="Heading7Char"/>
    <w:uiPriority w:val="99"/>
    <w:qFormat/>
    <w:rsid w:val="00B0412F"/>
    <w:pPr>
      <w:keepNext/>
      <w:outlineLvl w:val="6"/>
    </w:pPr>
    <w:rPr>
      <w:i/>
    </w:rPr>
  </w:style>
  <w:style w:type="paragraph" w:styleId="Heading8">
    <w:name w:val="heading 8"/>
    <w:basedOn w:val="Normal"/>
    <w:next w:val="Normal"/>
    <w:link w:val="Heading8Char"/>
    <w:uiPriority w:val="99"/>
    <w:qFormat/>
    <w:rsid w:val="00B0412F"/>
    <w:pPr>
      <w:keepNext/>
      <w:outlineLvl w:val="7"/>
    </w:pPr>
    <w:rPr>
      <w:u w:val="single"/>
    </w:rPr>
  </w:style>
  <w:style w:type="paragraph" w:styleId="Heading9">
    <w:name w:val="heading 9"/>
    <w:basedOn w:val="Normal"/>
    <w:next w:val="Normal"/>
    <w:link w:val="Heading9Char"/>
    <w:uiPriority w:val="99"/>
    <w:qFormat/>
    <w:rsid w:val="00B0412F"/>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412F"/>
    <w:rPr>
      <w:rFonts w:ascii="Tahoma" w:hAnsi="Tahoma" w:cs="Times New Roman"/>
      <w:b/>
      <w:sz w:val="20"/>
      <w:szCs w:val="20"/>
      <w:lang w:eastAsia="en-AU"/>
    </w:rPr>
  </w:style>
  <w:style w:type="character" w:customStyle="1" w:styleId="Heading2Char">
    <w:name w:val="Heading 2 Char"/>
    <w:basedOn w:val="DefaultParagraphFont"/>
    <w:link w:val="Heading2"/>
    <w:uiPriority w:val="99"/>
    <w:locked/>
    <w:rsid w:val="00B0412F"/>
    <w:rPr>
      <w:rFonts w:ascii="Tahoma" w:hAnsi="Tahoma" w:cs="Times New Roman"/>
      <w:b/>
      <w:sz w:val="20"/>
      <w:szCs w:val="20"/>
      <w:lang w:eastAsia="en-AU"/>
    </w:rPr>
  </w:style>
  <w:style w:type="character" w:customStyle="1" w:styleId="Heading3Char">
    <w:name w:val="Heading 3 Char"/>
    <w:basedOn w:val="DefaultParagraphFont"/>
    <w:link w:val="Heading3"/>
    <w:uiPriority w:val="99"/>
    <w:locked/>
    <w:rsid w:val="00B0412F"/>
    <w:rPr>
      <w:rFonts w:ascii="Tahoma" w:hAnsi="Tahoma" w:cs="Times New Roman"/>
      <w:b/>
      <w:sz w:val="20"/>
      <w:szCs w:val="20"/>
      <w:lang w:eastAsia="en-AU"/>
    </w:rPr>
  </w:style>
  <w:style w:type="character" w:customStyle="1" w:styleId="Heading4Char">
    <w:name w:val="Heading 4 Char"/>
    <w:basedOn w:val="DefaultParagraphFont"/>
    <w:link w:val="Heading4"/>
    <w:uiPriority w:val="99"/>
    <w:locked/>
    <w:rsid w:val="00B0412F"/>
    <w:rPr>
      <w:rFonts w:ascii="Tahoma" w:hAnsi="Tahoma" w:cs="Times New Roman"/>
      <w:b/>
      <w:sz w:val="20"/>
      <w:szCs w:val="20"/>
      <w:lang w:eastAsia="en-AU"/>
    </w:rPr>
  </w:style>
  <w:style w:type="character" w:customStyle="1" w:styleId="Heading5Char">
    <w:name w:val="Heading 5 Char"/>
    <w:basedOn w:val="DefaultParagraphFont"/>
    <w:link w:val="Heading5"/>
    <w:uiPriority w:val="99"/>
    <w:locked/>
    <w:rsid w:val="00B0412F"/>
    <w:rPr>
      <w:rFonts w:ascii="Garamond" w:hAnsi="Garamond" w:cs="Times New Roman"/>
      <w:b/>
      <w:sz w:val="20"/>
      <w:szCs w:val="20"/>
      <w:lang w:eastAsia="en-AU"/>
    </w:rPr>
  </w:style>
  <w:style w:type="character" w:customStyle="1" w:styleId="Heading6Char">
    <w:name w:val="Heading 6 Char"/>
    <w:basedOn w:val="DefaultParagraphFont"/>
    <w:link w:val="Heading6"/>
    <w:uiPriority w:val="99"/>
    <w:locked/>
    <w:rsid w:val="00B0412F"/>
    <w:rPr>
      <w:rFonts w:ascii="Garamond" w:hAnsi="Garamond" w:cs="Times New Roman"/>
      <w:b/>
      <w:i/>
      <w:sz w:val="20"/>
      <w:szCs w:val="20"/>
      <w:lang w:eastAsia="en-AU"/>
    </w:rPr>
  </w:style>
  <w:style w:type="character" w:customStyle="1" w:styleId="Heading7Char">
    <w:name w:val="Heading 7 Char"/>
    <w:basedOn w:val="DefaultParagraphFont"/>
    <w:link w:val="Heading7"/>
    <w:uiPriority w:val="99"/>
    <w:locked/>
    <w:rsid w:val="00B0412F"/>
    <w:rPr>
      <w:rFonts w:ascii="Garamond" w:hAnsi="Garamond" w:cs="Times New Roman"/>
      <w:i/>
      <w:sz w:val="20"/>
      <w:szCs w:val="20"/>
      <w:lang w:eastAsia="en-AU"/>
    </w:rPr>
  </w:style>
  <w:style w:type="character" w:customStyle="1" w:styleId="Heading8Char">
    <w:name w:val="Heading 8 Char"/>
    <w:basedOn w:val="DefaultParagraphFont"/>
    <w:link w:val="Heading8"/>
    <w:uiPriority w:val="99"/>
    <w:locked/>
    <w:rsid w:val="00B0412F"/>
    <w:rPr>
      <w:rFonts w:ascii="Garamond" w:hAnsi="Garamond" w:cs="Times New Roman"/>
      <w:sz w:val="20"/>
      <w:szCs w:val="20"/>
      <w:u w:val="single"/>
      <w:lang w:eastAsia="en-AU"/>
    </w:rPr>
  </w:style>
  <w:style w:type="character" w:customStyle="1" w:styleId="Heading9Char">
    <w:name w:val="Heading 9 Char"/>
    <w:basedOn w:val="DefaultParagraphFont"/>
    <w:link w:val="Heading9"/>
    <w:uiPriority w:val="99"/>
    <w:locked/>
    <w:rsid w:val="00B0412F"/>
    <w:rPr>
      <w:rFonts w:ascii="Garamond" w:hAnsi="Garamond" w:cs="Times New Roman"/>
      <w:sz w:val="20"/>
      <w:szCs w:val="20"/>
      <w:lang w:eastAsia="en-AU"/>
    </w:rPr>
  </w:style>
  <w:style w:type="paragraph" w:customStyle="1" w:styleId="Bullet">
    <w:name w:val="Bullet"/>
    <w:basedOn w:val="Normal"/>
    <w:uiPriority w:val="99"/>
    <w:rsid w:val="00B0412F"/>
    <w:pPr>
      <w:numPr>
        <w:numId w:val="1"/>
      </w:numPr>
    </w:pPr>
  </w:style>
  <w:style w:type="character" w:styleId="CommentReference">
    <w:name w:val="annotation reference"/>
    <w:basedOn w:val="DefaultParagraphFont"/>
    <w:uiPriority w:val="99"/>
    <w:semiHidden/>
    <w:rsid w:val="00B0412F"/>
    <w:rPr>
      <w:rFonts w:cs="Times New Roman"/>
      <w:sz w:val="16"/>
    </w:rPr>
  </w:style>
  <w:style w:type="paragraph" w:styleId="CommentText">
    <w:name w:val="annotation text"/>
    <w:basedOn w:val="Normal"/>
    <w:link w:val="CommentTextChar"/>
    <w:uiPriority w:val="99"/>
    <w:rsid w:val="00B0412F"/>
    <w:rPr>
      <w:sz w:val="20"/>
    </w:rPr>
  </w:style>
  <w:style w:type="character" w:customStyle="1" w:styleId="CommentTextChar">
    <w:name w:val="Comment Text Char"/>
    <w:basedOn w:val="DefaultParagraphFont"/>
    <w:link w:val="CommentText"/>
    <w:uiPriority w:val="99"/>
    <w:locked/>
    <w:rsid w:val="00B0412F"/>
    <w:rPr>
      <w:rFonts w:ascii="Garamond" w:hAnsi="Garamond" w:cs="Times New Roman"/>
      <w:sz w:val="20"/>
      <w:szCs w:val="20"/>
      <w:lang w:eastAsia="en-AU"/>
    </w:rPr>
  </w:style>
  <w:style w:type="paragraph" w:styleId="Date">
    <w:name w:val="Date"/>
    <w:basedOn w:val="Normal"/>
    <w:next w:val="Normal"/>
    <w:link w:val="DateChar"/>
    <w:uiPriority w:val="99"/>
    <w:rsid w:val="00B0412F"/>
    <w:pPr>
      <w:ind w:right="113"/>
      <w:jc w:val="right"/>
    </w:pPr>
    <w:rPr>
      <w:rFonts w:ascii="Arial" w:hAnsi="Arial"/>
      <w:b/>
      <w:sz w:val="36"/>
    </w:rPr>
  </w:style>
  <w:style w:type="character" w:customStyle="1" w:styleId="DateChar">
    <w:name w:val="Date Char"/>
    <w:basedOn w:val="DefaultParagraphFont"/>
    <w:link w:val="Date"/>
    <w:uiPriority w:val="99"/>
    <w:locked/>
    <w:rsid w:val="00B0412F"/>
    <w:rPr>
      <w:rFonts w:eastAsia="Times New Roman" w:cs="Times New Roman"/>
      <w:b/>
      <w:sz w:val="20"/>
      <w:szCs w:val="20"/>
      <w:lang w:eastAsia="en-AU"/>
    </w:rPr>
  </w:style>
  <w:style w:type="paragraph" w:customStyle="1" w:styleId="Summaryboxtext">
    <w:name w:val="Summary box text"/>
    <w:basedOn w:val="Normal"/>
    <w:uiPriority w:val="99"/>
    <w:rsid w:val="00B0412F"/>
    <w:pPr>
      <w:spacing w:after="100" w:afterAutospacing="1"/>
      <w:ind w:left="0"/>
    </w:pPr>
    <w:rPr>
      <w:rFonts w:ascii="Arial Narrow" w:hAnsi="Arial Narrow"/>
    </w:rPr>
  </w:style>
  <w:style w:type="paragraph" w:styleId="Footer">
    <w:name w:val="footer"/>
    <w:aliases w:val="Char"/>
    <w:basedOn w:val="Normal"/>
    <w:link w:val="FooterChar"/>
    <w:uiPriority w:val="99"/>
    <w:rsid w:val="00B0412F"/>
    <w:pPr>
      <w:pBdr>
        <w:top w:val="single" w:sz="4" w:space="9" w:color="auto"/>
      </w:pBdr>
      <w:tabs>
        <w:tab w:val="right" w:pos="9000"/>
      </w:tabs>
    </w:pPr>
    <w:rPr>
      <w:rFonts w:ascii="Arial" w:hAnsi="Arial"/>
      <w:b/>
      <w:sz w:val="20"/>
    </w:rPr>
  </w:style>
  <w:style w:type="character" w:customStyle="1" w:styleId="FooterChar">
    <w:name w:val="Footer Char"/>
    <w:aliases w:val="Char Char"/>
    <w:basedOn w:val="DefaultParagraphFont"/>
    <w:link w:val="Footer"/>
    <w:uiPriority w:val="99"/>
    <w:locked/>
    <w:rsid w:val="00B0412F"/>
    <w:rPr>
      <w:rFonts w:eastAsia="Times New Roman" w:cs="Times New Roman"/>
      <w:b/>
      <w:sz w:val="20"/>
      <w:szCs w:val="20"/>
      <w:lang w:eastAsia="en-AU"/>
    </w:rPr>
  </w:style>
  <w:style w:type="character" w:styleId="FootnoteReference">
    <w:name w:val="footnote reference"/>
    <w:basedOn w:val="DefaultParagraphFont"/>
    <w:uiPriority w:val="99"/>
    <w:semiHidden/>
    <w:rsid w:val="00B0412F"/>
    <w:rPr>
      <w:rFonts w:cs="Times New Roman"/>
      <w:vertAlign w:val="superscript"/>
    </w:rPr>
  </w:style>
  <w:style w:type="paragraph" w:styleId="FootnoteText">
    <w:name w:val="footnote text"/>
    <w:basedOn w:val="Normal"/>
    <w:link w:val="FootnoteTextChar"/>
    <w:uiPriority w:val="99"/>
    <w:semiHidden/>
    <w:rsid w:val="00B0412F"/>
    <w:rPr>
      <w:sz w:val="20"/>
    </w:rPr>
  </w:style>
  <w:style w:type="character" w:customStyle="1" w:styleId="FootnoteTextChar">
    <w:name w:val="Footnote Text Char"/>
    <w:basedOn w:val="DefaultParagraphFont"/>
    <w:link w:val="FootnoteText"/>
    <w:uiPriority w:val="99"/>
    <w:semiHidden/>
    <w:locked/>
    <w:rsid w:val="00B0412F"/>
    <w:rPr>
      <w:rFonts w:ascii="Garamond" w:hAnsi="Garamond" w:cs="Times New Roman"/>
      <w:sz w:val="20"/>
      <w:szCs w:val="20"/>
      <w:lang w:eastAsia="en-AU"/>
    </w:rPr>
  </w:style>
  <w:style w:type="paragraph" w:styleId="Header">
    <w:name w:val="header"/>
    <w:basedOn w:val="Normal"/>
    <w:link w:val="HeaderChar"/>
    <w:uiPriority w:val="99"/>
    <w:rsid w:val="00B0412F"/>
    <w:pPr>
      <w:tabs>
        <w:tab w:val="center" w:pos="4153"/>
        <w:tab w:val="right" w:pos="8306"/>
      </w:tabs>
    </w:pPr>
  </w:style>
  <w:style w:type="character" w:customStyle="1" w:styleId="HeaderChar">
    <w:name w:val="Header Char"/>
    <w:basedOn w:val="DefaultParagraphFont"/>
    <w:link w:val="Header"/>
    <w:uiPriority w:val="99"/>
    <w:locked/>
    <w:rsid w:val="00B0412F"/>
    <w:rPr>
      <w:rFonts w:ascii="Garamond" w:hAnsi="Garamond" w:cs="Times New Roman"/>
      <w:sz w:val="20"/>
      <w:szCs w:val="20"/>
      <w:lang w:eastAsia="en-AU"/>
    </w:rPr>
  </w:style>
  <w:style w:type="paragraph" w:customStyle="1" w:styleId="Summaryboxheading">
    <w:name w:val="Summary box heading"/>
    <w:basedOn w:val="Summaryboxtext"/>
    <w:uiPriority w:val="99"/>
    <w:rsid w:val="00B0412F"/>
    <w:pPr>
      <w:spacing w:before="120"/>
    </w:pPr>
    <w:rPr>
      <w:b/>
    </w:rPr>
  </w:style>
  <w:style w:type="paragraph" w:customStyle="1" w:styleId="Heading2a">
    <w:name w:val="Heading 2a"/>
    <w:basedOn w:val="Heading2"/>
    <w:uiPriority w:val="99"/>
    <w:rsid w:val="00B0412F"/>
    <w:pPr>
      <w:outlineLvl w:val="9"/>
    </w:pPr>
    <w:rPr>
      <w:sz w:val="22"/>
    </w:rPr>
  </w:style>
  <w:style w:type="character" w:styleId="PageNumber">
    <w:name w:val="page number"/>
    <w:basedOn w:val="DefaultParagraphFont"/>
    <w:uiPriority w:val="99"/>
    <w:rsid w:val="00B0412F"/>
    <w:rPr>
      <w:rFonts w:ascii="Tahoma" w:hAnsi="Tahoma" w:cs="Times New Roman"/>
      <w:b/>
      <w:sz w:val="18"/>
    </w:rPr>
  </w:style>
  <w:style w:type="paragraph" w:customStyle="1" w:styleId="PublicationTitle">
    <w:name w:val="PublicationTitle"/>
    <w:basedOn w:val="Normal"/>
    <w:uiPriority w:val="99"/>
    <w:rsid w:val="00B0412F"/>
    <w:pPr>
      <w:spacing w:line="480" w:lineRule="exact"/>
      <w:ind w:left="0" w:right="113"/>
      <w:jc w:val="right"/>
    </w:pPr>
    <w:rPr>
      <w:rFonts w:ascii="Arial" w:hAnsi="Arial"/>
      <w:b/>
      <w:i/>
      <w:sz w:val="44"/>
    </w:rPr>
  </w:style>
  <w:style w:type="paragraph" w:customStyle="1" w:styleId="References">
    <w:name w:val="References"/>
    <w:basedOn w:val="Normal"/>
    <w:uiPriority w:val="99"/>
    <w:rsid w:val="00B0412F"/>
    <w:pPr>
      <w:keepLines/>
      <w:ind w:left="1440" w:hanging="720"/>
    </w:pPr>
  </w:style>
  <w:style w:type="paragraph" w:customStyle="1" w:styleId="Sub-title">
    <w:name w:val="Sub-title"/>
    <w:basedOn w:val="Normal"/>
    <w:uiPriority w:val="99"/>
    <w:rsid w:val="00B0412F"/>
    <w:pPr>
      <w:ind w:left="0" w:right="113"/>
      <w:jc w:val="right"/>
    </w:pPr>
    <w:rPr>
      <w:rFonts w:ascii="Arial" w:hAnsi="Arial"/>
      <w:b/>
      <w:sz w:val="32"/>
    </w:rPr>
  </w:style>
  <w:style w:type="paragraph" w:styleId="TableofFigures">
    <w:name w:val="table of figures"/>
    <w:basedOn w:val="Normal"/>
    <w:next w:val="Normal"/>
    <w:uiPriority w:val="99"/>
    <w:rsid w:val="00B0412F"/>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uiPriority w:val="99"/>
    <w:rsid w:val="00B0412F"/>
    <w:pPr>
      <w:keepNext/>
      <w:spacing w:before="40" w:after="40"/>
      <w:ind w:left="0"/>
    </w:pPr>
    <w:rPr>
      <w:rFonts w:ascii="Arial Narrow" w:hAnsi="Arial Narrow"/>
      <w:sz w:val="18"/>
    </w:rPr>
  </w:style>
  <w:style w:type="character" w:customStyle="1" w:styleId="TableTextChar">
    <w:name w:val="TableText Char"/>
    <w:basedOn w:val="DefaultParagraphFont"/>
    <w:link w:val="TableText"/>
    <w:uiPriority w:val="99"/>
    <w:locked/>
    <w:rsid w:val="00B0412F"/>
    <w:rPr>
      <w:rFonts w:ascii="Arial Narrow" w:hAnsi="Arial Narrow" w:cs="Times New Roman"/>
      <w:sz w:val="20"/>
      <w:szCs w:val="20"/>
      <w:lang w:eastAsia="en-AU"/>
    </w:rPr>
  </w:style>
  <w:style w:type="paragraph" w:customStyle="1" w:styleId="TableHeading">
    <w:name w:val="TableHeading"/>
    <w:basedOn w:val="TableText"/>
    <w:link w:val="TableHeadingChar"/>
    <w:uiPriority w:val="99"/>
    <w:rsid w:val="00B0412F"/>
    <w:rPr>
      <w:b/>
    </w:rPr>
  </w:style>
  <w:style w:type="character" w:customStyle="1" w:styleId="TableHeadingChar">
    <w:name w:val="TableHeading Char"/>
    <w:basedOn w:val="DefaultParagraphFont"/>
    <w:link w:val="TableHeading"/>
    <w:uiPriority w:val="99"/>
    <w:locked/>
    <w:rsid w:val="00B0412F"/>
    <w:rPr>
      <w:rFonts w:ascii="Arial Narrow" w:hAnsi="Arial Narrow" w:cs="Times New Roman"/>
      <w:b/>
      <w:sz w:val="20"/>
      <w:szCs w:val="20"/>
      <w:lang w:eastAsia="en-AU"/>
    </w:rPr>
  </w:style>
  <w:style w:type="paragraph" w:customStyle="1" w:styleId="TableName">
    <w:name w:val="TableName"/>
    <w:basedOn w:val="TableText"/>
    <w:link w:val="TableNameChar"/>
    <w:uiPriority w:val="99"/>
    <w:rsid w:val="00B0412F"/>
    <w:pPr>
      <w:ind w:left="1440" w:hanging="720"/>
    </w:pPr>
    <w:rPr>
      <w:b/>
      <w:sz w:val="20"/>
    </w:rPr>
  </w:style>
  <w:style w:type="character" w:customStyle="1" w:styleId="TableNameChar">
    <w:name w:val="TableName Char"/>
    <w:basedOn w:val="DefaultParagraphFont"/>
    <w:link w:val="TableName"/>
    <w:uiPriority w:val="99"/>
    <w:locked/>
    <w:rsid w:val="00B0412F"/>
    <w:rPr>
      <w:rFonts w:ascii="Arial Narrow" w:hAnsi="Arial Narrow" w:cs="Times New Roman"/>
      <w:b/>
      <w:sz w:val="20"/>
      <w:szCs w:val="20"/>
      <w:lang w:eastAsia="en-AU"/>
    </w:rPr>
  </w:style>
  <w:style w:type="paragraph" w:customStyle="1" w:styleId="TableNotes">
    <w:name w:val="TableNotes"/>
    <w:basedOn w:val="TableText"/>
    <w:link w:val="TableNotesChar"/>
    <w:uiPriority w:val="99"/>
    <w:rsid w:val="00B0412F"/>
    <w:pPr>
      <w:keepNext w:val="0"/>
      <w:keepLines/>
      <w:spacing w:before="0" w:after="360"/>
      <w:ind w:left="720"/>
      <w:contextualSpacing/>
    </w:pPr>
    <w:rPr>
      <w:sz w:val="16"/>
    </w:rPr>
  </w:style>
  <w:style w:type="character" w:customStyle="1" w:styleId="TableNotesChar">
    <w:name w:val="TableNotes Char"/>
    <w:basedOn w:val="DefaultParagraphFont"/>
    <w:link w:val="TableNotes"/>
    <w:uiPriority w:val="99"/>
    <w:locked/>
    <w:rsid w:val="00B0412F"/>
    <w:rPr>
      <w:rFonts w:ascii="Arial Narrow" w:hAnsi="Arial Narrow" w:cs="Times New Roman"/>
      <w:sz w:val="20"/>
      <w:szCs w:val="20"/>
      <w:lang w:eastAsia="en-AU"/>
    </w:rPr>
  </w:style>
  <w:style w:type="paragraph" w:styleId="Title">
    <w:name w:val="Title"/>
    <w:basedOn w:val="Normal"/>
    <w:link w:val="TitleChar"/>
    <w:uiPriority w:val="99"/>
    <w:qFormat/>
    <w:rsid w:val="00B0412F"/>
    <w:pPr>
      <w:ind w:left="0"/>
      <w:jc w:val="center"/>
    </w:pPr>
    <w:rPr>
      <w:rFonts w:ascii="Arial" w:hAnsi="Arial"/>
      <w:b/>
      <w:smallCaps/>
      <w:sz w:val="44"/>
    </w:rPr>
  </w:style>
  <w:style w:type="character" w:customStyle="1" w:styleId="TitleChar">
    <w:name w:val="Title Char"/>
    <w:basedOn w:val="DefaultParagraphFont"/>
    <w:link w:val="Title"/>
    <w:uiPriority w:val="99"/>
    <w:locked/>
    <w:rsid w:val="00B0412F"/>
    <w:rPr>
      <w:rFonts w:eastAsia="Times New Roman" w:cs="Times New Roman"/>
      <w:b/>
      <w:smallCaps/>
      <w:sz w:val="20"/>
      <w:szCs w:val="20"/>
      <w:lang w:eastAsia="en-AU"/>
    </w:rPr>
  </w:style>
  <w:style w:type="paragraph" w:styleId="TOC1">
    <w:name w:val="toc 1"/>
    <w:basedOn w:val="Normal"/>
    <w:next w:val="Normal"/>
    <w:autoRedefine/>
    <w:uiPriority w:val="99"/>
    <w:rsid w:val="00B0412F"/>
    <w:pPr>
      <w:tabs>
        <w:tab w:val="left" w:pos="1276"/>
        <w:tab w:val="right" w:leader="dot" w:pos="9017"/>
      </w:tabs>
      <w:spacing w:before="120" w:after="60"/>
      <w:ind w:right="720"/>
    </w:pPr>
    <w:rPr>
      <w:b/>
      <w:noProof/>
    </w:rPr>
  </w:style>
  <w:style w:type="paragraph" w:styleId="TOC2">
    <w:name w:val="toc 2"/>
    <w:basedOn w:val="Normal"/>
    <w:next w:val="Normal"/>
    <w:autoRedefine/>
    <w:uiPriority w:val="99"/>
    <w:rsid w:val="00B0412F"/>
    <w:pPr>
      <w:tabs>
        <w:tab w:val="right" w:leader="dot" w:pos="9017"/>
      </w:tabs>
      <w:spacing w:after="60"/>
      <w:ind w:left="1440" w:right="720"/>
    </w:pPr>
    <w:rPr>
      <w:noProof/>
    </w:rPr>
  </w:style>
  <w:style w:type="paragraph" w:styleId="TOC3">
    <w:name w:val="toc 3"/>
    <w:basedOn w:val="Normal"/>
    <w:next w:val="Normal"/>
    <w:autoRedefine/>
    <w:uiPriority w:val="99"/>
    <w:rsid w:val="00B0412F"/>
    <w:pPr>
      <w:tabs>
        <w:tab w:val="right" w:leader="dot" w:pos="9016"/>
      </w:tabs>
      <w:spacing w:after="0"/>
      <w:ind w:left="1418"/>
    </w:pPr>
    <w:rPr>
      <w:noProof/>
    </w:rPr>
  </w:style>
  <w:style w:type="paragraph" w:styleId="TOC4">
    <w:name w:val="toc 4"/>
    <w:basedOn w:val="Normal"/>
    <w:next w:val="Normal"/>
    <w:autoRedefine/>
    <w:uiPriority w:val="99"/>
    <w:rsid w:val="00B0412F"/>
    <w:pPr>
      <w:ind w:left="660"/>
    </w:pPr>
  </w:style>
  <w:style w:type="paragraph" w:styleId="TOC5">
    <w:name w:val="toc 5"/>
    <w:basedOn w:val="Normal"/>
    <w:next w:val="Normal"/>
    <w:autoRedefine/>
    <w:uiPriority w:val="99"/>
    <w:semiHidden/>
    <w:rsid w:val="00B0412F"/>
    <w:pPr>
      <w:ind w:left="880"/>
    </w:pPr>
  </w:style>
  <w:style w:type="paragraph" w:styleId="TOC6">
    <w:name w:val="toc 6"/>
    <w:basedOn w:val="Normal"/>
    <w:next w:val="Normal"/>
    <w:autoRedefine/>
    <w:uiPriority w:val="99"/>
    <w:semiHidden/>
    <w:rsid w:val="00B0412F"/>
    <w:pPr>
      <w:ind w:left="1100"/>
    </w:pPr>
  </w:style>
  <w:style w:type="paragraph" w:styleId="TOC7">
    <w:name w:val="toc 7"/>
    <w:basedOn w:val="Normal"/>
    <w:next w:val="Normal"/>
    <w:autoRedefine/>
    <w:uiPriority w:val="99"/>
    <w:semiHidden/>
    <w:rsid w:val="00B0412F"/>
    <w:pPr>
      <w:ind w:left="1320"/>
    </w:pPr>
  </w:style>
  <w:style w:type="paragraph" w:styleId="TOC8">
    <w:name w:val="toc 8"/>
    <w:basedOn w:val="Normal"/>
    <w:next w:val="Normal"/>
    <w:autoRedefine/>
    <w:uiPriority w:val="99"/>
    <w:semiHidden/>
    <w:rsid w:val="00B0412F"/>
    <w:pPr>
      <w:ind w:left="1540"/>
    </w:pPr>
  </w:style>
  <w:style w:type="paragraph" w:styleId="TOC9">
    <w:name w:val="toc 9"/>
    <w:basedOn w:val="Normal"/>
    <w:next w:val="Normal"/>
    <w:autoRedefine/>
    <w:uiPriority w:val="99"/>
    <w:semiHidden/>
    <w:rsid w:val="00B0412F"/>
    <w:pPr>
      <w:ind w:left="1760"/>
    </w:pPr>
  </w:style>
  <w:style w:type="paragraph" w:customStyle="1" w:styleId="Dash">
    <w:name w:val="Dash"/>
    <w:basedOn w:val="Normal"/>
    <w:uiPriority w:val="99"/>
    <w:rsid w:val="00B0412F"/>
    <w:pPr>
      <w:tabs>
        <w:tab w:val="num" w:pos="1800"/>
      </w:tabs>
      <w:ind w:left="1800" w:hanging="360"/>
    </w:pPr>
  </w:style>
  <w:style w:type="paragraph" w:styleId="Quote">
    <w:name w:val="Quote"/>
    <w:basedOn w:val="Normal"/>
    <w:link w:val="QuoteChar"/>
    <w:uiPriority w:val="99"/>
    <w:qFormat/>
    <w:rsid w:val="00B0412F"/>
    <w:pPr>
      <w:keepLines/>
      <w:ind w:left="1440" w:right="720"/>
    </w:pPr>
    <w:rPr>
      <w:sz w:val="22"/>
    </w:rPr>
  </w:style>
  <w:style w:type="character" w:customStyle="1" w:styleId="QuoteChar">
    <w:name w:val="Quote Char"/>
    <w:basedOn w:val="DefaultParagraphFont"/>
    <w:link w:val="Quote"/>
    <w:uiPriority w:val="99"/>
    <w:locked/>
    <w:rsid w:val="00B0412F"/>
    <w:rPr>
      <w:rFonts w:ascii="Garamond" w:hAnsi="Garamond" w:cs="Times New Roman"/>
      <w:sz w:val="20"/>
      <w:szCs w:val="20"/>
      <w:lang w:eastAsia="en-AU"/>
    </w:rPr>
  </w:style>
  <w:style w:type="paragraph" w:styleId="BodyText">
    <w:name w:val="Body Text"/>
    <w:basedOn w:val="Normal"/>
    <w:link w:val="BodyTextChar"/>
    <w:uiPriority w:val="99"/>
    <w:rsid w:val="00B0412F"/>
    <w:pPr>
      <w:spacing w:after="0"/>
      <w:ind w:left="0"/>
    </w:pPr>
    <w:rPr>
      <w:rFonts w:ascii="Helv" w:hAnsi="Helv"/>
      <w:b/>
      <w:i/>
      <w:color w:val="000000"/>
      <w:sz w:val="28"/>
      <w:lang w:eastAsia="en-US"/>
    </w:rPr>
  </w:style>
  <w:style w:type="character" w:customStyle="1" w:styleId="BodyTextChar">
    <w:name w:val="Body Text Char"/>
    <w:basedOn w:val="DefaultParagraphFont"/>
    <w:link w:val="BodyText"/>
    <w:uiPriority w:val="99"/>
    <w:locked/>
    <w:rsid w:val="00B0412F"/>
    <w:rPr>
      <w:rFonts w:ascii="Helv" w:hAnsi="Helv" w:cs="Times New Roman"/>
      <w:b/>
      <w:i/>
      <w:snapToGrid w:val="0"/>
      <w:color w:val="000000"/>
      <w:sz w:val="20"/>
      <w:szCs w:val="20"/>
    </w:rPr>
  </w:style>
  <w:style w:type="paragraph" w:styleId="BalloonText">
    <w:name w:val="Balloon Text"/>
    <w:basedOn w:val="Normal"/>
    <w:link w:val="BalloonTextChar"/>
    <w:uiPriority w:val="99"/>
    <w:semiHidden/>
    <w:rsid w:val="00B041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412F"/>
    <w:rPr>
      <w:rFonts w:ascii="Tahoma" w:hAnsi="Tahoma" w:cs="Tahoma"/>
      <w:sz w:val="16"/>
      <w:szCs w:val="16"/>
      <w:lang w:eastAsia="en-AU"/>
    </w:rPr>
  </w:style>
  <w:style w:type="character" w:styleId="Hyperlink">
    <w:name w:val="Hyperlink"/>
    <w:basedOn w:val="DefaultParagraphFont"/>
    <w:uiPriority w:val="99"/>
    <w:rsid w:val="00B0412F"/>
    <w:rPr>
      <w:rFonts w:cs="Times New Roman"/>
      <w:color w:val="0000FF"/>
      <w:u w:val="single"/>
    </w:rPr>
  </w:style>
  <w:style w:type="paragraph" w:styleId="Caption">
    <w:name w:val="caption"/>
    <w:aliases w:val="Caption Char3,Caption Char2 Char,Caption Char Char1 Char,Char1 Char Char1 Char,Caption Char Char Char Char,Caption Char1 Char Char,Char1 Char Char Char Char,Char1 Char1 Char Char,Char1 Char2 Char,Caption Char Char2,Char1 Char Char2"/>
    <w:basedOn w:val="Normal"/>
    <w:next w:val="Normal"/>
    <w:link w:val="CaptionChar"/>
    <w:uiPriority w:val="99"/>
    <w:qFormat/>
    <w:rsid w:val="00B0412F"/>
    <w:rPr>
      <w:b/>
      <w:bCs/>
      <w:sz w:val="20"/>
    </w:rPr>
  </w:style>
  <w:style w:type="character" w:customStyle="1" w:styleId="CaptionChar">
    <w:name w:val="Caption Char"/>
    <w:aliases w:val="Caption Char3 Char,Caption Char2 Char Char,Caption Char Char1 Char Char,Char1 Char Char1 Char Char,Caption Char Char Char Char Char,Caption Char1 Char Char Char,Char1 Char Char Char Char Char,Char1 Char1 Char Char Char,Char1 Char2 Char Char"/>
    <w:basedOn w:val="DefaultParagraphFont"/>
    <w:link w:val="Caption"/>
    <w:uiPriority w:val="99"/>
    <w:locked/>
    <w:rsid w:val="00B0412F"/>
    <w:rPr>
      <w:rFonts w:ascii="Garamond" w:hAnsi="Garamond" w:cs="Times New Roman"/>
      <w:b/>
      <w:bCs/>
      <w:sz w:val="20"/>
      <w:szCs w:val="20"/>
      <w:lang w:eastAsia="en-AU"/>
    </w:rPr>
  </w:style>
  <w:style w:type="paragraph" w:customStyle="1" w:styleId="TableHeading0">
    <w:name w:val="Table Heading"/>
    <w:basedOn w:val="Normal"/>
    <w:next w:val="Normal"/>
    <w:link w:val="TableHeadingChar0"/>
    <w:uiPriority w:val="99"/>
    <w:rsid w:val="00B0412F"/>
    <w:pPr>
      <w:keepNext/>
      <w:spacing w:before="40" w:after="40"/>
      <w:ind w:left="0"/>
    </w:pPr>
    <w:rPr>
      <w:rFonts w:ascii="Arial" w:hAnsi="Arial"/>
      <w:b/>
      <w:sz w:val="18"/>
      <w:lang w:val="en-GB" w:eastAsia="en-US"/>
    </w:rPr>
  </w:style>
  <w:style w:type="character" w:customStyle="1" w:styleId="TableHeadingChar0">
    <w:name w:val="Table Heading Char"/>
    <w:basedOn w:val="TableTextChar0"/>
    <w:link w:val="TableHeading0"/>
    <w:uiPriority w:val="99"/>
    <w:locked/>
    <w:rsid w:val="00B0412F"/>
    <w:rPr>
      <w:rFonts w:eastAsia="Times New Roman" w:cs="Times New Roman"/>
      <w:b/>
      <w:sz w:val="20"/>
      <w:szCs w:val="20"/>
      <w:lang w:val="en-GB"/>
    </w:rPr>
  </w:style>
  <w:style w:type="character" w:customStyle="1" w:styleId="TableTextChar0">
    <w:name w:val="Table Text Char"/>
    <w:basedOn w:val="DefaultParagraphFont"/>
    <w:link w:val="TableText0"/>
    <w:uiPriority w:val="99"/>
    <w:locked/>
    <w:rsid w:val="00B0412F"/>
    <w:rPr>
      <w:rFonts w:cs="Times New Roman"/>
      <w:sz w:val="18"/>
    </w:rPr>
  </w:style>
  <w:style w:type="paragraph" w:customStyle="1" w:styleId="TableText0">
    <w:name w:val="Table Text"/>
    <w:basedOn w:val="Normal"/>
    <w:link w:val="TableTextChar0"/>
    <w:uiPriority w:val="99"/>
    <w:rsid w:val="00B0412F"/>
    <w:pPr>
      <w:keepNext/>
      <w:spacing w:before="40" w:after="40"/>
      <w:ind w:left="0"/>
    </w:pPr>
    <w:rPr>
      <w:rFonts w:ascii="Arial" w:eastAsia="Calibri" w:hAnsi="Arial" w:cs="Arial"/>
      <w:sz w:val="18"/>
      <w:szCs w:val="22"/>
      <w:lang w:eastAsia="en-US"/>
    </w:rPr>
  </w:style>
  <w:style w:type="table" w:styleId="TableGrid">
    <w:name w:val="Table Grid"/>
    <w:basedOn w:val="TableNormal"/>
    <w:uiPriority w:val="99"/>
    <w:rsid w:val="00B0412F"/>
    <w:pPr>
      <w:spacing w:after="240"/>
      <w:ind w:lef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ame">
    <w:name w:val="Box name"/>
    <w:basedOn w:val="TableName"/>
    <w:link w:val="BoxnameChar"/>
    <w:uiPriority w:val="99"/>
    <w:rsid w:val="00B0412F"/>
  </w:style>
  <w:style w:type="character" w:customStyle="1" w:styleId="BoxnameChar">
    <w:name w:val="Box name Char"/>
    <w:basedOn w:val="TableNameChar"/>
    <w:link w:val="Boxname"/>
    <w:uiPriority w:val="99"/>
    <w:locked/>
    <w:rsid w:val="00B0412F"/>
    <w:rPr>
      <w:rFonts w:ascii="Arial Narrow" w:hAnsi="Arial Narrow" w:cs="Times New Roman"/>
      <w:b/>
      <w:sz w:val="20"/>
      <w:szCs w:val="20"/>
      <w:lang w:eastAsia="en-AU"/>
    </w:rPr>
  </w:style>
  <w:style w:type="paragraph" w:styleId="CommentSubject">
    <w:name w:val="annotation subject"/>
    <w:basedOn w:val="CommentText"/>
    <w:next w:val="CommentText"/>
    <w:link w:val="CommentSubjectChar"/>
    <w:uiPriority w:val="99"/>
    <w:semiHidden/>
    <w:rsid w:val="00B0412F"/>
    <w:rPr>
      <w:b/>
      <w:bCs/>
    </w:rPr>
  </w:style>
  <w:style w:type="character" w:customStyle="1" w:styleId="CommentSubjectChar">
    <w:name w:val="Comment Subject Char"/>
    <w:basedOn w:val="CommentTextChar"/>
    <w:link w:val="CommentSubject"/>
    <w:uiPriority w:val="99"/>
    <w:semiHidden/>
    <w:locked/>
    <w:rsid w:val="00B0412F"/>
    <w:rPr>
      <w:rFonts w:ascii="Garamond" w:hAnsi="Garamond" w:cs="Times New Roman"/>
      <w:b/>
      <w:bCs/>
      <w:sz w:val="20"/>
      <w:szCs w:val="20"/>
      <w:lang w:eastAsia="en-AU"/>
    </w:rPr>
  </w:style>
  <w:style w:type="paragraph" w:customStyle="1" w:styleId="StyleTableTextArialNarrowFirstline045cm">
    <w:name w:val="Style Table Text + Arial Narrow First line:  0.45 cm"/>
    <w:basedOn w:val="TableText0"/>
    <w:uiPriority w:val="99"/>
    <w:rsid w:val="00B0412F"/>
    <w:pPr>
      <w:spacing w:after="360"/>
      <w:ind w:firstLine="720"/>
    </w:pPr>
    <w:rPr>
      <w:rFonts w:ascii="Arial Narrow" w:hAnsi="Arial Narrow"/>
    </w:rPr>
  </w:style>
  <w:style w:type="character" w:styleId="FollowedHyperlink">
    <w:name w:val="FollowedHyperlink"/>
    <w:basedOn w:val="DefaultParagraphFont"/>
    <w:uiPriority w:val="99"/>
    <w:rsid w:val="00B0412F"/>
    <w:rPr>
      <w:rFonts w:cs="Times New Roman"/>
      <w:color w:val="800080"/>
      <w:u w:val="single"/>
    </w:rPr>
  </w:style>
  <w:style w:type="paragraph" w:customStyle="1" w:styleId="TableNamea">
    <w:name w:val="Table Name(a)"/>
    <w:basedOn w:val="Normal"/>
    <w:link w:val="TableNameaChar"/>
    <w:uiPriority w:val="99"/>
    <w:rsid w:val="00B0412F"/>
    <w:pPr>
      <w:keepNext/>
      <w:spacing w:before="120" w:after="120"/>
      <w:ind w:left="1077" w:hanging="1077"/>
    </w:pPr>
    <w:rPr>
      <w:rFonts w:ascii="Arial" w:hAnsi="Arial"/>
      <w:b/>
      <w:sz w:val="20"/>
      <w:lang w:eastAsia="en-US"/>
    </w:rPr>
  </w:style>
  <w:style w:type="character" w:customStyle="1" w:styleId="TableNameaChar">
    <w:name w:val="Table Name(a) Char"/>
    <w:basedOn w:val="DefaultParagraphFont"/>
    <w:link w:val="TableNamea"/>
    <w:uiPriority w:val="99"/>
    <w:locked/>
    <w:rsid w:val="00B0412F"/>
    <w:rPr>
      <w:rFonts w:eastAsia="Times New Roman" w:cs="Times New Roman"/>
      <w:b/>
      <w:sz w:val="20"/>
      <w:szCs w:val="20"/>
    </w:rPr>
  </w:style>
  <w:style w:type="paragraph" w:styleId="Revision">
    <w:name w:val="Revision"/>
    <w:hidden/>
    <w:uiPriority w:val="99"/>
    <w:semiHidden/>
    <w:rsid w:val="00B0412F"/>
    <w:rPr>
      <w:rFonts w:ascii="Garamond" w:eastAsia="Times New Roman" w:hAnsi="Garamond" w:cs="Times New Roman"/>
      <w:sz w:val="24"/>
      <w:szCs w:val="20"/>
      <w:lang w:val="en-AU" w:eastAsia="en-AU"/>
    </w:rPr>
  </w:style>
  <w:style w:type="table" w:styleId="TableSimple1">
    <w:name w:val="Table Simple 1"/>
    <w:basedOn w:val="TableNormal"/>
    <w:uiPriority w:val="99"/>
    <w:rsid w:val="00B0412F"/>
    <w:pPr>
      <w:spacing w:after="240"/>
      <w:ind w:left="720"/>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tyleBulletArialNarrow10pt">
    <w:name w:val="Style Bullet + Arial Narrow 10 pt"/>
    <w:basedOn w:val="Normal"/>
    <w:uiPriority w:val="99"/>
    <w:rsid w:val="00B0412F"/>
    <w:pPr>
      <w:tabs>
        <w:tab w:val="num" w:pos="284"/>
      </w:tabs>
      <w:spacing w:after="0"/>
      <w:ind w:left="113"/>
    </w:pPr>
    <w:rPr>
      <w:rFonts w:ascii="Bookman Old Style" w:hAnsi="Bookman Old Style"/>
      <w:sz w:val="22"/>
      <w:lang w:eastAsia="en-US"/>
    </w:rPr>
  </w:style>
  <w:style w:type="paragraph" w:styleId="NormalWeb">
    <w:name w:val="Normal (Web)"/>
    <w:basedOn w:val="Normal"/>
    <w:uiPriority w:val="99"/>
    <w:rsid w:val="00B0412F"/>
    <w:pPr>
      <w:spacing w:before="100" w:beforeAutospacing="1" w:after="100" w:afterAutospacing="1"/>
      <w:ind w:left="0"/>
    </w:pPr>
    <w:rPr>
      <w:rFonts w:ascii="Times New Roman" w:hAnsi="Times New Roman"/>
      <w:color w:val="000000"/>
      <w:szCs w:val="24"/>
    </w:rPr>
  </w:style>
  <w:style w:type="character" w:customStyle="1" w:styleId="highlight">
    <w:name w:val="highlight"/>
    <w:basedOn w:val="DefaultParagraphFont"/>
    <w:uiPriority w:val="99"/>
    <w:rsid w:val="00B0412F"/>
    <w:rPr>
      <w:rFonts w:cs="Times New Roman"/>
    </w:rPr>
  </w:style>
  <w:style w:type="paragraph" w:styleId="BodyTextIndent">
    <w:name w:val="Body Text Indent"/>
    <w:basedOn w:val="Normal"/>
    <w:link w:val="BodyTextIndentChar"/>
    <w:uiPriority w:val="99"/>
    <w:rsid w:val="00B0412F"/>
    <w:pPr>
      <w:spacing w:after="120"/>
      <w:ind w:left="283"/>
    </w:pPr>
  </w:style>
  <w:style w:type="character" w:customStyle="1" w:styleId="BodyTextIndentChar">
    <w:name w:val="Body Text Indent Char"/>
    <w:basedOn w:val="DefaultParagraphFont"/>
    <w:link w:val="BodyTextIndent"/>
    <w:uiPriority w:val="99"/>
    <w:locked/>
    <w:rsid w:val="00B0412F"/>
    <w:rPr>
      <w:rFonts w:ascii="Garamond" w:hAnsi="Garamond" w:cs="Times New Roman"/>
      <w:sz w:val="20"/>
      <w:szCs w:val="20"/>
      <w:lang w:eastAsia="en-AU"/>
    </w:rPr>
  </w:style>
  <w:style w:type="paragraph" w:customStyle="1" w:styleId="Default">
    <w:name w:val="Default"/>
    <w:uiPriority w:val="99"/>
    <w:rsid w:val="00B0412F"/>
    <w:pPr>
      <w:autoSpaceDE w:val="0"/>
      <w:autoSpaceDN w:val="0"/>
      <w:adjustRightInd w:val="0"/>
    </w:pPr>
    <w:rPr>
      <w:rFonts w:ascii="Garamond" w:eastAsia="Times New Roman" w:hAnsi="Garamond" w:cs="Garamond"/>
      <w:color w:val="000000"/>
      <w:sz w:val="24"/>
      <w:szCs w:val="24"/>
      <w:lang w:val="en-AU" w:eastAsia="en-AU"/>
    </w:rPr>
  </w:style>
  <w:style w:type="character" w:styleId="Strong">
    <w:name w:val="Strong"/>
    <w:basedOn w:val="DefaultParagraphFont"/>
    <w:uiPriority w:val="99"/>
    <w:qFormat/>
    <w:rsid w:val="00B0412F"/>
    <w:rPr>
      <w:rFonts w:cs="Times New Roman"/>
      <w:b/>
      <w:bCs/>
    </w:rPr>
  </w:style>
  <w:style w:type="paragraph" w:styleId="ListParagraph">
    <w:name w:val="List Paragraph"/>
    <w:basedOn w:val="Normal"/>
    <w:uiPriority w:val="99"/>
    <w:qFormat/>
    <w:rsid w:val="00B0412F"/>
    <w:pPr>
      <w:spacing w:after="0"/>
      <w:contextualSpacing/>
    </w:pPr>
    <w:rPr>
      <w:rFonts w:ascii="Bookman Old Style" w:hAnsi="Bookman Old Style"/>
      <w:sz w:val="22"/>
      <w:lang w:eastAsia="en-US"/>
    </w:rPr>
  </w:style>
  <w:style w:type="paragraph" w:styleId="PlainText">
    <w:name w:val="Plain Text"/>
    <w:basedOn w:val="Normal"/>
    <w:link w:val="PlainTextChar"/>
    <w:uiPriority w:val="99"/>
    <w:rsid w:val="00B0412F"/>
    <w:pPr>
      <w:spacing w:after="0"/>
      <w:ind w:left="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locked/>
    <w:rsid w:val="00B0412F"/>
    <w:rPr>
      <w:rFonts w:ascii="Consolas" w:eastAsia="Times New Roman" w:hAnsi="Consolas" w:cs="Times New Roman"/>
      <w:sz w:val="21"/>
      <w:szCs w:val="21"/>
    </w:rPr>
  </w:style>
  <w:style w:type="table" w:customStyle="1" w:styleId="MSACTableStyle">
    <w:name w:val="MSAC Table Style"/>
    <w:uiPriority w:val="99"/>
    <w:rsid w:val="00B0412F"/>
    <w:rPr>
      <w:rFonts w:ascii="Times New Roman" w:eastAsia="Times New Roman" w:hAnsi="Times New Roman" w:cs="Times New Roman"/>
      <w:sz w:val="20"/>
      <w:szCs w:val="20"/>
      <w:lang w:val="en-AU" w:eastAsia="en-AU"/>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rPr>
        <w:rFonts w:cs="Times New Roman"/>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TextCharCharChar">
    <w:name w:val="TableText Char Char Char"/>
    <w:basedOn w:val="Normal"/>
    <w:link w:val="TableTextCharCharCharChar"/>
    <w:uiPriority w:val="99"/>
    <w:rsid w:val="00B0412F"/>
    <w:pPr>
      <w:keepNext/>
      <w:spacing w:before="40" w:after="40"/>
      <w:ind w:left="0"/>
    </w:pPr>
    <w:rPr>
      <w:rFonts w:ascii="Arial Narrow" w:hAnsi="Arial Narrow"/>
      <w:sz w:val="18"/>
    </w:rPr>
  </w:style>
  <w:style w:type="character" w:customStyle="1" w:styleId="TableTextCharCharCharChar">
    <w:name w:val="TableText Char Char Char Char"/>
    <w:basedOn w:val="DefaultParagraphFont"/>
    <w:link w:val="TableTextCharCharChar"/>
    <w:uiPriority w:val="99"/>
    <w:locked/>
    <w:rsid w:val="00B0412F"/>
    <w:rPr>
      <w:rFonts w:ascii="Arial Narrow" w:hAnsi="Arial Narrow" w:cs="Times New Roman"/>
      <w:sz w:val="20"/>
      <w:szCs w:val="20"/>
      <w:lang w:eastAsia="en-AU"/>
    </w:rPr>
  </w:style>
  <w:style w:type="paragraph" w:customStyle="1" w:styleId="TableTextCharChar">
    <w:name w:val="TableText Char Char"/>
    <w:basedOn w:val="Normal"/>
    <w:uiPriority w:val="99"/>
    <w:rsid w:val="00B0412F"/>
    <w:pPr>
      <w:keepNext/>
      <w:spacing w:after="0"/>
      <w:ind w:left="0"/>
    </w:pPr>
    <w:rPr>
      <w:rFonts w:ascii="Trebuchet MS" w:hAnsi="Trebuchet MS"/>
      <w:sz w:val="18"/>
      <w:lang w:eastAsia="en-US"/>
    </w:rPr>
  </w:style>
  <w:style w:type="paragraph" w:customStyle="1" w:styleId="TableTextChar1">
    <w:name w:val="TableText Char1"/>
    <w:basedOn w:val="Normal"/>
    <w:link w:val="TableTextChar1Char"/>
    <w:uiPriority w:val="99"/>
    <w:rsid w:val="00B0412F"/>
    <w:pPr>
      <w:keepNext/>
      <w:spacing w:before="40" w:after="40"/>
      <w:ind w:left="0"/>
    </w:pPr>
    <w:rPr>
      <w:rFonts w:ascii="Arial Narrow" w:hAnsi="Arial Narrow"/>
      <w:sz w:val="18"/>
    </w:rPr>
  </w:style>
  <w:style w:type="character" w:customStyle="1" w:styleId="TableTextChar1Char">
    <w:name w:val="TableText Char1 Char"/>
    <w:basedOn w:val="DefaultParagraphFont"/>
    <w:link w:val="TableTextChar1"/>
    <w:uiPriority w:val="99"/>
    <w:locked/>
    <w:rsid w:val="00B0412F"/>
    <w:rPr>
      <w:rFonts w:ascii="Arial Narrow" w:hAnsi="Arial Narrow" w:cs="Times New Roman"/>
      <w:sz w:val="20"/>
      <w:szCs w:val="20"/>
      <w:lang w:eastAsia="en-AU"/>
    </w:rPr>
  </w:style>
  <w:style w:type="paragraph" w:customStyle="1" w:styleId="Heading4Left0cmCharCharCharCharChar">
    <w:name w:val="Heading 4 + Left: 0cm Char Char Char Char Char"/>
    <w:basedOn w:val="Heading4"/>
    <w:uiPriority w:val="99"/>
    <w:rsid w:val="00B0412F"/>
    <w:pPr>
      <w:spacing w:after="240"/>
      <w:ind w:left="709"/>
    </w:pPr>
    <w:rPr>
      <w:rFonts w:cs="Tahoma"/>
      <w:sz w:val="22"/>
      <w:szCs w:val="22"/>
      <w:lang w:eastAsia="en-US"/>
    </w:rPr>
  </w:style>
  <w:style w:type="paragraph" w:styleId="BodyText2">
    <w:name w:val="Body Text 2"/>
    <w:basedOn w:val="Normal"/>
    <w:link w:val="BodyText2Char"/>
    <w:uiPriority w:val="99"/>
    <w:rsid w:val="00B0412F"/>
    <w:pPr>
      <w:spacing w:after="120" w:line="480" w:lineRule="auto"/>
    </w:pPr>
  </w:style>
  <w:style w:type="character" w:customStyle="1" w:styleId="BodyText2Char">
    <w:name w:val="Body Text 2 Char"/>
    <w:basedOn w:val="DefaultParagraphFont"/>
    <w:link w:val="BodyText2"/>
    <w:uiPriority w:val="99"/>
    <w:locked/>
    <w:rsid w:val="00B0412F"/>
    <w:rPr>
      <w:rFonts w:ascii="Garamond" w:hAnsi="Garamond" w:cs="Times New Roman"/>
      <w:sz w:val="20"/>
      <w:szCs w:val="20"/>
      <w:lang w:eastAsia="en-AU"/>
    </w:rPr>
  </w:style>
  <w:style w:type="character" w:styleId="EndnoteReference">
    <w:name w:val="endnote reference"/>
    <w:basedOn w:val="DefaultParagraphFont"/>
    <w:uiPriority w:val="99"/>
    <w:rsid w:val="00B0412F"/>
    <w:rPr>
      <w:rFonts w:cs="Times New Roman"/>
      <w:vertAlign w:val="superscript"/>
    </w:rPr>
  </w:style>
  <w:style w:type="paragraph" w:customStyle="1" w:styleId="Taabletextcharcharchar">
    <w:name w:val="Taable text char char char"/>
    <w:basedOn w:val="TableText"/>
    <w:uiPriority w:val="99"/>
    <w:rsid w:val="00B0412F"/>
    <w:pPr>
      <w:numPr>
        <w:numId w:val="15"/>
      </w:numPr>
      <w:tabs>
        <w:tab w:val="clear" w:pos="360"/>
        <w:tab w:val="num" w:pos="232"/>
      </w:tabs>
      <w:spacing w:before="0" w:after="0"/>
      <w:ind w:left="232" w:hanging="232"/>
    </w:pPr>
    <w:rPr>
      <w:rFonts w:cs="Arial"/>
      <w:sz w:val="20"/>
      <w:lang w:eastAsia="en-US"/>
    </w:rPr>
  </w:style>
  <w:style w:type="table" w:customStyle="1" w:styleId="testMSACtablestyle">
    <w:name w:val="test MSAC table style"/>
    <w:uiPriority w:val="99"/>
    <w:rsid w:val="00B0412F"/>
    <w:rPr>
      <w:rFonts w:ascii="Arial Narrow" w:eastAsia="Times New Roman" w:hAnsi="Arial Narrow" w:cs="Times New Roman"/>
      <w:sz w:val="18"/>
      <w:szCs w:val="20"/>
      <w:lang w:val="en-AU" w:eastAsia="en-A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Narrow" w:hAnsi="ArialNarrow" w:cs="Times New Roman"/>
        <w:b/>
        <w:sz w:val="18"/>
      </w:rPr>
      <w:tblPr/>
      <w:tcPr>
        <w:tcBorders>
          <w:top w:val="single" w:sz="4" w:space="0" w:color="000000"/>
          <w:bottom w:val="single" w:sz="4" w:space="0" w:color="000000"/>
          <w:insideH w:val="nil"/>
        </w:tcBorders>
        <w:shd w:val="clear" w:color="auto" w:fill="FFFFFF"/>
      </w:tcPr>
    </w:tblStylePr>
  </w:style>
  <w:style w:type="paragraph" w:customStyle="1" w:styleId="TableTitle">
    <w:name w:val="Table Title"/>
    <w:basedOn w:val="BodyText"/>
    <w:uiPriority w:val="99"/>
    <w:rsid w:val="00B0412F"/>
    <w:pPr>
      <w:ind w:left="1440" w:hanging="1440"/>
    </w:pPr>
    <w:rPr>
      <w:rFonts w:ascii="Arial" w:hAnsi="Arial" w:cs="Arial"/>
      <w:bCs/>
      <w:i w:val="0"/>
      <w:color w:val="auto"/>
      <w:sz w:val="24"/>
      <w:szCs w:val="24"/>
    </w:rPr>
  </w:style>
  <w:style w:type="paragraph" w:customStyle="1" w:styleId="TableNotes0">
    <w:name w:val="Table Notes"/>
    <w:basedOn w:val="BodyText"/>
    <w:uiPriority w:val="99"/>
    <w:rsid w:val="00B0412F"/>
    <w:pPr>
      <w:ind w:left="900" w:hanging="360"/>
    </w:pPr>
    <w:rPr>
      <w:rFonts w:ascii="Arial" w:hAnsi="Arial" w:cs="Arial"/>
      <w:b w:val="0"/>
      <w:i w:val="0"/>
      <w:color w:val="auto"/>
      <w:sz w:val="20"/>
      <w:szCs w:val="24"/>
    </w:rPr>
  </w:style>
  <w:style w:type="paragraph" w:styleId="BodyText3">
    <w:name w:val="Body Text 3"/>
    <w:basedOn w:val="Normal"/>
    <w:link w:val="BodyText3Char"/>
    <w:uiPriority w:val="99"/>
    <w:rsid w:val="00B0412F"/>
    <w:pPr>
      <w:autoSpaceDE w:val="0"/>
      <w:autoSpaceDN w:val="0"/>
      <w:adjustRightInd w:val="0"/>
      <w:ind w:left="0"/>
    </w:pPr>
    <w:rPr>
      <w:rFonts w:ascii="Bookman Old Style" w:hAnsi="Bookman Old Style"/>
      <w:sz w:val="20"/>
      <w:lang w:eastAsia="en-US"/>
    </w:rPr>
  </w:style>
  <w:style w:type="character" w:customStyle="1" w:styleId="BodyText3Char">
    <w:name w:val="Body Text 3 Char"/>
    <w:basedOn w:val="DefaultParagraphFont"/>
    <w:link w:val="BodyText3"/>
    <w:uiPriority w:val="99"/>
    <w:locked/>
    <w:rsid w:val="00B0412F"/>
    <w:rPr>
      <w:rFonts w:ascii="Bookman Old Style" w:hAnsi="Bookman Old Style" w:cs="Times New Roman"/>
      <w:sz w:val="20"/>
      <w:szCs w:val="20"/>
    </w:rPr>
  </w:style>
  <w:style w:type="paragraph" w:styleId="BodyTextIndent2">
    <w:name w:val="Body Text Indent 2"/>
    <w:basedOn w:val="Normal"/>
    <w:link w:val="BodyTextIndent2Char"/>
    <w:uiPriority w:val="99"/>
    <w:rsid w:val="00B0412F"/>
    <w:pPr>
      <w:spacing w:after="0"/>
    </w:pPr>
    <w:rPr>
      <w:rFonts w:ascii="Bookman Old Style" w:hAnsi="Bookman Old Style"/>
      <w:sz w:val="22"/>
      <w:lang w:eastAsia="en-US"/>
    </w:rPr>
  </w:style>
  <w:style w:type="character" w:customStyle="1" w:styleId="BodyTextIndent2Char">
    <w:name w:val="Body Text Indent 2 Char"/>
    <w:basedOn w:val="DefaultParagraphFont"/>
    <w:link w:val="BodyTextIndent2"/>
    <w:uiPriority w:val="99"/>
    <w:locked/>
    <w:rsid w:val="00B0412F"/>
    <w:rPr>
      <w:rFonts w:ascii="Bookman Old Style" w:hAnsi="Bookman Old Style" w:cs="Times New Roman"/>
      <w:sz w:val="20"/>
      <w:szCs w:val="20"/>
    </w:rPr>
  </w:style>
  <w:style w:type="paragraph" w:customStyle="1" w:styleId="SOPTableBodyText">
    <w:name w:val="SOP Table Body Text"/>
    <w:basedOn w:val="Normal"/>
    <w:uiPriority w:val="99"/>
    <w:rsid w:val="00B0412F"/>
    <w:pPr>
      <w:spacing w:after="0"/>
      <w:ind w:left="0"/>
    </w:pPr>
    <w:rPr>
      <w:rFonts w:ascii="Arial" w:hAnsi="Arial"/>
      <w:sz w:val="22"/>
      <w:lang w:val="en-US" w:eastAsia="en-US"/>
    </w:rPr>
  </w:style>
  <w:style w:type="paragraph" w:customStyle="1" w:styleId="TableNameCharChar1">
    <w:name w:val="TableName Char Char1"/>
    <w:basedOn w:val="TableTextCharCharChar"/>
    <w:link w:val="TableNameCharChar1Char"/>
    <w:uiPriority w:val="99"/>
    <w:rsid w:val="00B0412F"/>
    <w:pPr>
      <w:spacing w:before="120" w:after="120"/>
      <w:ind w:left="1800" w:hanging="1080"/>
    </w:pPr>
    <w:rPr>
      <w:b/>
    </w:rPr>
  </w:style>
  <w:style w:type="character" w:customStyle="1" w:styleId="TableNameCharChar1Char">
    <w:name w:val="TableName Char Char1 Char"/>
    <w:basedOn w:val="TableTextCharCharCharChar"/>
    <w:link w:val="TableNameCharChar1"/>
    <w:uiPriority w:val="99"/>
    <w:locked/>
    <w:rsid w:val="00B0412F"/>
    <w:rPr>
      <w:rFonts w:ascii="Arial Narrow" w:hAnsi="Arial Narrow" w:cs="Times New Roman"/>
      <w:b/>
      <w:sz w:val="20"/>
      <w:szCs w:val="20"/>
      <w:lang w:eastAsia="en-AU"/>
    </w:rPr>
  </w:style>
  <w:style w:type="paragraph" w:customStyle="1" w:styleId="Protocolheading1">
    <w:name w:val="Protocol heading 1"/>
    <w:basedOn w:val="Normal"/>
    <w:uiPriority w:val="99"/>
    <w:rsid w:val="00B0412F"/>
    <w:pPr>
      <w:spacing w:after="0"/>
      <w:ind w:left="0"/>
    </w:pPr>
    <w:rPr>
      <w:rFonts w:ascii="Arial" w:hAnsi="Arial"/>
      <w:b/>
      <w:sz w:val="52"/>
      <w:szCs w:val="24"/>
      <w:lang w:eastAsia="en-US"/>
    </w:rPr>
  </w:style>
  <w:style w:type="paragraph" w:customStyle="1" w:styleId="Protocolheading3">
    <w:name w:val="Protocol heading 3"/>
    <w:basedOn w:val="Normal"/>
    <w:uiPriority w:val="99"/>
    <w:rsid w:val="00B0412F"/>
    <w:pPr>
      <w:spacing w:after="0"/>
      <w:ind w:left="0"/>
    </w:pPr>
    <w:rPr>
      <w:rFonts w:ascii="Arial" w:hAnsi="Arial"/>
      <w:b/>
      <w:sz w:val="44"/>
      <w:szCs w:val="24"/>
      <w:lang w:eastAsia="en-US"/>
    </w:rPr>
  </w:style>
  <w:style w:type="paragraph" w:customStyle="1" w:styleId="Protocolnormal">
    <w:name w:val="Protocol normal"/>
    <w:basedOn w:val="Normal"/>
    <w:link w:val="ProtocolnormalChar"/>
    <w:uiPriority w:val="99"/>
    <w:rsid w:val="00B0412F"/>
    <w:pPr>
      <w:spacing w:after="0"/>
      <w:ind w:left="0"/>
    </w:pPr>
    <w:rPr>
      <w:rFonts w:ascii="Arial" w:hAnsi="Arial"/>
      <w:sz w:val="22"/>
      <w:szCs w:val="24"/>
      <w:lang w:eastAsia="en-US"/>
    </w:rPr>
  </w:style>
  <w:style w:type="character" w:customStyle="1" w:styleId="ProtocolnormalChar">
    <w:name w:val="Protocol normal Char"/>
    <w:basedOn w:val="DefaultParagraphFont"/>
    <w:link w:val="Protocolnormal"/>
    <w:uiPriority w:val="99"/>
    <w:locked/>
    <w:rsid w:val="00B0412F"/>
    <w:rPr>
      <w:rFonts w:eastAsia="Times New Roman" w:cs="Times New Roman"/>
      <w:sz w:val="24"/>
      <w:szCs w:val="24"/>
    </w:rPr>
  </w:style>
  <w:style w:type="paragraph" w:styleId="DocumentMap">
    <w:name w:val="Document Map"/>
    <w:basedOn w:val="Normal"/>
    <w:link w:val="DocumentMapChar"/>
    <w:uiPriority w:val="99"/>
    <w:rsid w:val="00B0412F"/>
    <w:pPr>
      <w:shd w:val="clear" w:color="auto" w:fill="000080"/>
      <w:spacing w:after="0"/>
      <w:ind w:left="0"/>
    </w:pPr>
    <w:rPr>
      <w:rFonts w:ascii="Tahoma" w:hAnsi="Tahoma" w:cs="Tahoma"/>
      <w:sz w:val="22"/>
      <w:lang w:eastAsia="en-US"/>
    </w:rPr>
  </w:style>
  <w:style w:type="character" w:customStyle="1" w:styleId="DocumentMapChar">
    <w:name w:val="Document Map Char"/>
    <w:basedOn w:val="DefaultParagraphFont"/>
    <w:link w:val="DocumentMap"/>
    <w:uiPriority w:val="99"/>
    <w:locked/>
    <w:rsid w:val="00B0412F"/>
    <w:rPr>
      <w:rFonts w:ascii="Tahoma" w:hAnsi="Tahoma" w:cs="Tahoma"/>
      <w:sz w:val="20"/>
      <w:szCs w:val="20"/>
      <w:shd w:val="clear" w:color="auto" w:fill="000080"/>
    </w:rPr>
  </w:style>
  <w:style w:type="character" w:customStyle="1" w:styleId="TableTextCharCharCharCharChar">
    <w:name w:val="TableText Char Char Char Char Char"/>
    <w:basedOn w:val="DefaultParagraphFont"/>
    <w:uiPriority w:val="99"/>
    <w:rsid w:val="00B0412F"/>
    <w:rPr>
      <w:rFonts w:ascii="Arial Narrow" w:hAnsi="Arial Narrow" w:cs="Times New Roman"/>
      <w:sz w:val="18"/>
      <w:lang w:val="en-AU" w:eastAsia="en-AU" w:bidi="ar-SA"/>
    </w:rPr>
  </w:style>
  <w:style w:type="character" w:customStyle="1" w:styleId="a">
    <w:name w:val="a"/>
    <w:basedOn w:val="DefaultParagraphFont"/>
    <w:uiPriority w:val="99"/>
    <w:rsid w:val="00B0412F"/>
    <w:rPr>
      <w:rFonts w:cs="Times New Roman"/>
    </w:rPr>
  </w:style>
  <w:style w:type="paragraph" w:styleId="BlockText">
    <w:name w:val="Block Text"/>
    <w:basedOn w:val="Normal"/>
    <w:uiPriority w:val="99"/>
    <w:rsid w:val="00B0412F"/>
    <w:pPr>
      <w:ind w:right="-188"/>
    </w:pPr>
    <w:rPr>
      <w:lang w:eastAsia="en-US"/>
    </w:rPr>
  </w:style>
  <w:style w:type="table" w:customStyle="1" w:styleId="TableGrid1">
    <w:name w:val="Table Grid1"/>
    <w:uiPriority w:val="99"/>
    <w:rsid w:val="00B0412F"/>
    <w:pPr>
      <w:spacing w:after="240"/>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ullet">
    <w:name w:val="Table Text Bullet"/>
    <w:basedOn w:val="Normal"/>
    <w:uiPriority w:val="99"/>
    <w:rsid w:val="00B0412F"/>
    <w:pPr>
      <w:numPr>
        <w:numId w:val="17"/>
      </w:numPr>
      <w:spacing w:after="0"/>
    </w:pPr>
    <w:rPr>
      <w:rFonts w:ascii="Bookman Old Style" w:hAnsi="Bookman Old Style"/>
      <w:sz w:val="22"/>
      <w:lang w:eastAsia="en-US"/>
    </w:rPr>
  </w:style>
  <w:style w:type="paragraph" w:customStyle="1" w:styleId="tabletext1">
    <w:name w:val="tabletext"/>
    <w:basedOn w:val="Normal"/>
    <w:uiPriority w:val="99"/>
    <w:rsid w:val="00B0412F"/>
    <w:pPr>
      <w:keepNext/>
      <w:spacing w:after="0"/>
      <w:ind w:left="0"/>
    </w:pPr>
    <w:rPr>
      <w:rFonts w:ascii="Trebuchet MS" w:hAnsi="Trebuchet MS"/>
      <w:sz w:val="18"/>
      <w:szCs w:val="18"/>
    </w:rPr>
  </w:style>
  <w:style w:type="paragraph" w:customStyle="1" w:styleId="showrecord">
    <w:name w:val="showrecord"/>
    <w:basedOn w:val="Normal"/>
    <w:uiPriority w:val="99"/>
    <w:rsid w:val="00B0412F"/>
    <w:pPr>
      <w:spacing w:before="100" w:beforeAutospacing="1" w:after="100" w:afterAutospacing="1"/>
      <w:ind w:left="0"/>
      <w:jc w:val="center"/>
    </w:pPr>
    <w:rPr>
      <w:rFonts w:ascii="Times New Roman" w:hAnsi="Times New Roman"/>
      <w:sz w:val="19"/>
      <w:szCs w:val="19"/>
    </w:rPr>
  </w:style>
  <w:style w:type="paragraph" w:customStyle="1" w:styleId="Protocolcaption">
    <w:name w:val="Protocol caption"/>
    <w:basedOn w:val="Caption"/>
    <w:uiPriority w:val="99"/>
    <w:rsid w:val="00B0412F"/>
    <w:pPr>
      <w:keepNext/>
      <w:spacing w:before="120" w:after="120"/>
    </w:pPr>
    <w:rPr>
      <w:rFonts w:ascii="Arial" w:hAnsi="Arial" w:cs="Arial"/>
      <w:lang w:eastAsia="en-US"/>
    </w:rPr>
  </w:style>
  <w:style w:type="paragraph" w:customStyle="1" w:styleId="Heading3a">
    <w:name w:val="Heading 3a"/>
    <w:basedOn w:val="Heading3"/>
    <w:uiPriority w:val="99"/>
    <w:rsid w:val="00B0412F"/>
    <w:pPr>
      <w:ind w:left="709"/>
      <w:outlineLvl w:val="9"/>
    </w:pPr>
    <w:rPr>
      <w:rFonts w:cs="Tahoma"/>
      <w:bCs/>
      <w:sz w:val="24"/>
      <w:szCs w:val="24"/>
      <w:lang w:eastAsia="en-US"/>
    </w:rPr>
  </w:style>
  <w:style w:type="paragraph" w:customStyle="1" w:styleId="a2">
    <w:name w:val="a2"/>
    <w:basedOn w:val="Normal"/>
    <w:uiPriority w:val="99"/>
    <w:rsid w:val="00B0412F"/>
    <w:pPr>
      <w:spacing w:before="100" w:beforeAutospacing="1" w:after="100" w:afterAutospacing="1"/>
      <w:ind w:left="0"/>
    </w:pPr>
    <w:rPr>
      <w:rFonts w:ascii="Times New Roman" w:hAnsi="Times New Roman"/>
      <w:sz w:val="22"/>
      <w:szCs w:val="22"/>
    </w:rPr>
  </w:style>
  <w:style w:type="character" w:customStyle="1" w:styleId="ti">
    <w:name w:val="ti"/>
    <w:basedOn w:val="DefaultParagraphFont"/>
    <w:uiPriority w:val="99"/>
    <w:rsid w:val="00B0412F"/>
    <w:rPr>
      <w:rFonts w:cs="Times New Roman"/>
    </w:rPr>
  </w:style>
  <w:style w:type="paragraph" w:styleId="NoSpacing">
    <w:name w:val="No Spacing"/>
    <w:uiPriority w:val="99"/>
    <w:qFormat/>
    <w:rsid w:val="00B0412F"/>
    <w:rPr>
      <w:rFonts w:ascii="Bookman Old Style" w:eastAsia="Times New Roman" w:hAnsi="Bookman Old Style" w:cs="Times New Roman"/>
      <w:szCs w:val="20"/>
      <w:lang w:val="en-AU"/>
    </w:rPr>
  </w:style>
  <w:style w:type="paragraph" w:customStyle="1" w:styleId="bullet0">
    <w:name w:val="bullet"/>
    <w:basedOn w:val="Normal"/>
    <w:uiPriority w:val="99"/>
    <w:rsid w:val="00B0412F"/>
    <w:pPr>
      <w:spacing w:before="100" w:beforeAutospacing="1" w:after="100" w:afterAutospacing="1"/>
      <w:ind w:left="0"/>
    </w:pPr>
    <w:rPr>
      <w:rFonts w:ascii="Times New Roman" w:eastAsia="Calibr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12F"/>
    <w:pPr>
      <w:spacing w:after="240"/>
      <w:ind w:left="720"/>
    </w:pPr>
    <w:rPr>
      <w:rFonts w:ascii="Garamond" w:eastAsia="Times New Roman" w:hAnsi="Garamond" w:cs="Times New Roman"/>
      <w:sz w:val="24"/>
      <w:szCs w:val="20"/>
      <w:lang w:val="en-AU" w:eastAsia="en-AU"/>
    </w:rPr>
  </w:style>
  <w:style w:type="paragraph" w:styleId="Heading1">
    <w:name w:val="heading 1"/>
    <w:basedOn w:val="Normal"/>
    <w:next w:val="Normal"/>
    <w:link w:val="Heading1Char"/>
    <w:uiPriority w:val="99"/>
    <w:qFormat/>
    <w:rsid w:val="00B0412F"/>
    <w:pPr>
      <w:keepNext/>
      <w:pageBreakBefore/>
      <w:pBdr>
        <w:bottom w:val="single" w:sz="4" w:space="1" w:color="auto"/>
      </w:pBdr>
      <w:spacing w:after="360"/>
      <w:ind w:left="3402" w:hanging="3402"/>
      <w:outlineLvl w:val="0"/>
    </w:pPr>
    <w:rPr>
      <w:rFonts w:ascii="Tahoma" w:hAnsi="Tahoma"/>
      <w:b/>
      <w:sz w:val="44"/>
    </w:rPr>
  </w:style>
  <w:style w:type="paragraph" w:styleId="Heading2">
    <w:name w:val="heading 2"/>
    <w:basedOn w:val="Normal"/>
    <w:next w:val="Normal"/>
    <w:link w:val="Heading2Char"/>
    <w:uiPriority w:val="99"/>
    <w:qFormat/>
    <w:rsid w:val="00B0412F"/>
    <w:pPr>
      <w:keepNext/>
      <w:spacing w:before="240"/>
      <w:ind w:left="0"/>
      <w:outlineLvl w:val="1"/>
    </w:pPr>
    <w:rPr>
      <w:rFonts w:ascii="Tahoma" w:hAnsi="Tahoma"/>
      <w:b/>
      <w:sz w:val="28"/>
    </w:rPr>
  </w:style>
  <w:style w:type="paragraph" w:styleId="Heading3">
    <w:name w:val="heading 3"/>
    <w:basedOn w:val="Normal"/>
    <w:next w:val="Normal"/>
    <w:link w:val="Heading3Char"/>
    <w:uiPriority w:val="99"/>
    <w:qFormat/>
    <w:rsid w:val="00B0412F"/>
    <w:pPr>
      <w:keepNext/>
      <w:spacing w:before="240"/>
      <w:outlineLvl w:val="2"/>
    </w:pPr>
    <w:rPr>
      <w:rFonts w:ascii="Tahoma" w:hAnsi="Tahoma"/>
      <w:b/>
      <w:sz w:val="22"/>
    </w:rPr>
  </w:style>
  <w:style w:type="paragraph" w:styleId="Heading4">
    <w:name w:val="heading 4"/>
    <w:basedOn w:val="Normal"/>
    <w:next w:val="Normal"/>
    <w:link w:val="Heading4Char"/>
    <w:uiPriority w:val="99"/>
    <w:qFormat/>
    <w:rsid w:val="00B0412F"/>
    <w:pPr>
      <w:keepNext/>
      <w:spacing w:before="120" w:after="120"/>
      <w:outlineLvl w:val="3"/>
    </w:pPr>
    <w:rPr>
      <w:rFonts w:ascii="Tahoma" w:hAnsi="Tahoma"/>
      <w:b/>
      <w:sz w:val="20"/>
    </w:rPr>
  </w:style>
  <w:style w:type="paragraph" w:styleId="Heading5">
    <w:name w:val="heading 5"/>
    <w:basedOn w:val="Normal"/>
    <w:next w:val="Normal"/>
    <w:link w:val="Heading5Char"/>
    <w:uiPriority w:val="99"/>
    <w:qFormat/>
    <w:rsid w:val="00B0412F"/>
    <w:pPr>
      <w:keepNext/>
      <w:spacing w:after="60"/>
      <w:outlineLvl w:val="4"/>
    </w:pPr>
    <w:rPr>
      <w:b/>
    </w:rPr>
  </w:style>
  <w:style w:type="paragraph" w:styleId="Heading6">
    <w:name w:val="heading 6"/>
    <w:basedOn w:val="Normal"/>
    <w:next w:val="Normal"/>
    <w:link w:val="Heading6Char"/>
    <w:uiPriority w:val="99"/>
    <w:qFormat/>
    <w:rsid w:val="00B0412F"/>
    <w:pPr>
      <w:keepNext/>
      <w:outlineLvl w:val="5"/>
    </w:pPr>
    <w:rPr>
      <w:b/>
      <w:i/>
    </w:rPr>
  </w:style>
  <w:style w:type="paragraph" w:styleId="Heading7">
    <w:name w:val="heading 7"/>
    <w:basedOn w:val="Normal"/>
    <w:next w:val="Normal"/>
    <w:link w:val="Heading7Char"/>
    <w:uiPriority w:val="99"/>
    <w:qFormat/>
    <w:rsid w:val="00B0412F"/>
    <w:pPr>
      <w:keepNext/>
      <w:outlineLvl w:val="6"/>
    </w:pPr>
    <w:rPr>
      <w:i/>
    </w:rPr>
  </w:style>
  <w:style w:type="paragraph" w:styleId="Heading8">
    <w:name w:val="heading 8"/>
    <w:basedOn w:val="Normal"/>
    <w:next w:val="Normal"/>
    <w:link w:val="Heading8Char"/>
    <w:uiPriority w:val="99"/>
    <w:qFormat/>
    <w:rsid w:val="00B0412F"/>
    <w:pPr>
      <w:keepNext/>
      <w:outlineLvl w:val="7"/>
    </w:pPr>
    <w:rPr>
      <w:u w:val="single"/>
    </w:rPr>
  </w:style>
  <w:style w:type="paragraph" w:styleId="Heading9">
    <w:name w:val="heading 9"/>
    <w:basedOn w:val="Normal"/>
    <w:next w:val="Normal"/>
    <w:link w:val="Heading9Char"/>
    <w:uiPriority w:val="99"/>
    <w:qFormat/>
    <w:rsid w:val="00B0412F"/>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412F"/>
    <w:rPr>
      <w:rFonts w:ascii="Tahoma" w:hAnsi="Tahoma" w:cs="Times New Roman"/>
      <w:b/>
      <w:sz w:val="20"/>
      <w:szCs w:val="20"/>
      <w:lang w:eastAsia="en-AU"/>
    </w:rPr>
  </w:style>
  <w:style w:type="character" w:customStyle="1" w:styleId="Heading2Char">
    <w:name w:val="Heading 2 Char"/>
    <w:basedOn w:val="DefaultParagraphFont"/>
    <w:link w:val="Heading2"/>
    <w:uiPriority w:val="99"/>
    <w:locked/>
    <w:rsid w:val="00B0412F"/>
    <w:rPr>
      <w:rFonts w:ascii="Tahoma" w:hAnsi="Tahoma" w:cs="Times New Roman"/>
      <w:b/>
      <w:sz w:val="20"/>
      <w:szCs w:val="20"/>
      <w:lang w:eastAsia="en-AU"/>
    </w:rPr>
  </w:style>
  <w:style w:type="character" w:customStyle="1" w:styleId="Heading3Char">
    <w:name w:val="Heading 3 Char"/>
    <w:basedOn w:val="DefaultParagraphFont"/>
    <w:link w:val="Heading3"/>
    <w:uiPriority w:val="99"/>
    <w:locked/>
    <w:rsid w:val="00B0412F"/>
    <w:rPr>
      <w:rFonts w:ascii="Tahoma" w:hAnsi="Tahoma" w:cs="Times New Roman"/>
      <w:b/>
      <w:sz w:val="20"/>
      <w:szCs w:val="20"/>
      <w:lang w:eastAsia="en-AU"/>
    </w:rPr>
  </w:style>
  <w:style w:type="character" w:customStyle="1" w:styleId="Heading4Char">
    <w:name w:val="Heading 4 Char"/>
    <w:basedOn w:val="DefaultParagraphFont"/>
    <w:link w:val="Heading4"/>
    <w:uiPriority w:val="99"/>
    <w:locked/>
    <w:rsid w:val="00B0412F"/>
    <w:rPr>
      <w:rFonts w:ascii="Tahoma" w:hAnsi="Tahoma" w:cs="Times New Roman"/>
      <w:b/>
      <w:sz w:val="20"/>
      <w:szCs w:val="20"/>
      <w:lang w:eastAsia="en-AU"/>
    </w:rPr>
  </w:style>
  <w:style w:type="character" w:customStyle="1" w:styleId="Heading5Char">
    <w:name w:val="Heading 5 Char"/>
    <w:basedOn w:val="DefaultParagraphFont"/>
    <w:link w:val="Heading5"/>
    <w:uiPriority w:val="99"/>
    <w:locked/>
    <w:rsid w:val="00B0412F"/>
    <w:rPr>
      <w:rFonts w:ascii="Garamond" w:hAnsi="Garamond" w:cs="Times New Roman"/>
      <w:b/>
      <w:sz w:val="20"/>
      <w:szCs w:val="20"/>
      <w:lang w:eastAsia="en-AU"/>
    </w:rPr>
  </w:style>
  <w:style w:type="character" w:customStyle="1" w:styleId="Heading6Char">
    <w:name w:val="Heading 6 Char"/>
    <w:basedOn w:val="DefaultParagraphFont"/>
    <w:link w:val="Heading6"/>
    <w:uiPriority w:val="99"/>
    <w:locked/>
    <w:rsid w:val="00B0412F"/>
    <w:rPr>
      <w:rFonts w:ascii="Garamond" w:hAnsi="Garamond" w:cs="Times New Roman"/>
      <w:b/>
      <w:i/>
      <w:sz w:val="20"/>
      <w:szCs w:val="20"/>
      <w:lang w:eastAsia="en-AU"/>
    </w:rPr>
  </w:style>
  <w:style w:type="character" w:customStyle="1" w:styleId="Heading7Char">
    <w:name w:val="Heading 7 Char"/>
    <w:basedOn w:val="DefaultParagraphFont"/>
    <w:link w:val="Heading7"/>
    <w:uiPriority w:val="99"/>
    <w:locked/>
    <w:rsid w:val="00B0412F"/>
    <w:rPr>
      <w:rFonts w:ascii="Garamond" w:hAnsi="Garamond" w:cs="Times New Roman"/>
      <w:i/>
      <w:sz w:val="20"/>
      <w:szCs w:val="20"/>
      <w:lang w:eastAsia="en-AU"/>
    </w:rPr>
  </w:style>
  <w:style w:type="character" w:customStyle="1" w:styleId="Heading8Char">
    <w:name w:val="Heading 8 Char"/>
    <w:basedOn w:val="DefaultParagraphFont"/>
    <w:link w:val="Heading8"/>
    <w:uiPriority w:val="99"/>
    <w:locked/>
    <w:rsid w:val="00B0412F"/>
    <w:rPr>
      <w:rFonts w:ascii="Garamond" w:hAnsi="Garamond" w:cs="Times New Roman"/>
      <w:sz w:val="20"/>
      <w:szCs w:val="20"/>
      <w:u w:val="single"/>
      <w:lang w:eastAsia="en-AU"/>
    </w:rPr>
  </w:style>
  <w:style w:type="character" w:customStyle="1" w:styleId="Heading9Char">
    <w:name w:val="Heading 9 Char"/>
    <w:basedOn w:val="DefaultParagraphFont"/>
    <w:link w:val="Heading9"/>
    <w:uiPriority w:val="99"/>
    <w:locked/>
    <w:rsid w:val="00B0412F"/>
    <w:rPr>
      <w:rFonts w:ascii="Garamond" w:hAnsi="Garamond" w:cs="Times New Roman"/>
      <w:sz w:val="20"/>
      <w:szCs w:val="20"/>
      <w:lang w:eastAsia="en-AU"/>
    </w:rPr>
  </w:style>
  <w:style w:type="paragraph" w:customStyle="1" w:styleId="Bullet">
    <w:name w:val="Bullet"/>
    <w:basedOn w:val="Normal"/>
    <w:uiPriority w:val="99"/>
    <w:rsid w:val="00B0412F"/>
    <w:pPr>
      <w:numPr>
        <w:numId w:val="1"/>
      </w:numPr>
    </w:pPr>
  </w:style>
  <w:style w:type="character" w:styleId="CommentReference">
    <w:name w:val="annotation reference"/>
    <w:basedOn w:val="DefaultParagraphFont"/>
    <w:uiPriority w:val="99"/>
    <w:semiHidden/>
    <w:rsid w:val="00B0412F"/>
    <w:rPr>
      <w:rFonts w:cs="Times New Roman"/>
      <w:sz w:val="16"/>
    </w:rPr>
  </w:style>
  <w:style w:type="paragraph" w:styleId="CommentText">
    <w:name w:val="annotation text"/>
    <w:basedOn w:val="Normal"/>
    <w:link w:val="CommentTextChar"/>
    <w:uiPriority w:val="99"/>
    <w:rsid w:val="00B0412F"/>
    <w:rPr>
      <w:sz w:val="20"/>
    </w:rPr>
  </w:style>
  <w:style w:type="character" w:customStyle="1" w:styleId="CommentTextChar">
    <w:name w:val="Comment Text Char"/>
    <w:basedOn w:val="DefaultParagraphFont"/>
    <w:link w:val="CommentText"/>
    <w:uiPriority w:val="99"/>
    <w:locked/>
    <w:rsid w:val="00B0412F"/>
    <w:rPr>
      <w:rFonts w:ascii="Garamond" w:hAnsi="Garamond" w:cs="Times New Roman"/>
      <w:sz w:val="20"/>
      <w:szCs w:val="20"/>
      <w:lang w:eastAsia="en-AU"/>
    </w:rPr>
  </w:style>
  <w:style w:type="paragraph" w:styleId="Date">
    <w:name w:val="Date"/>
    <w:basedOn w:val="Normal"/>
    <w:next w:val="Normal"/>
    <w:link w:val="DateChar"/>
    <w:uiPriority w:val="99"/>
    <w:rsid w:val="00B0412F"/>
    <w:pPr>
      <w:ind w:right="113"/>
      <w:jc w:val="right"/>
    </w:pPr>
    <w:rPr>
      <w:rFonts w:ascii="Arial" w:hAnsi="Arial"/>
      <w:b/>
      <w:sz w:val="36"/>
    </w:rPr>
  </w:style>
  <w:style w:type="character" w:customStyle="1" w:styleId="DateChar">
    <w:name w:val="Date Char"/>
    <w:basedOn w:val="DefaultParagraphFont"/>
    <w:link w:val="Date"/>
    <w:uiPriority w:val="99"/>
    <w:locked/>
    <w:rsid w:val="00B0412F"/>
    <w:rPr>
      <w:rFonts w:eastAsia="Times New Roman" w:cs="Times New Roman"/>
      <w:b/>
      <w:sz w:val="20"/>
      <w:szCs w:val="20"/>
      <w:lang w:eastAsia="en-AU"/>
    </w:rPr>
  </w:style>
  <w:style w:type="paragraph" w:customStyle="1" w:styleId="Summaryboxtext">
    <w:name w:val="Summary box text"/>
    <w:basedOn w:val="Normal"/>
    <w:uiPriority w:val="99"/>
    <w:rsid w:val="00B0412F"/>
    <w:pPr>
      <w:spacing w:after="100" w:afterAutospacing="1"/>
      <w:ind w:left="0"/>
    </w:pPr>
    <w:rPr>
      <w:rFonts w:ascii="Arial Narrow" w:hAnsi="Arial Narrow"/>
    </w:rPr>
  </w:style>
  <w:style w:type="paragraph" w:styleId="Footer">
    <w:name w:val="footer"/>
    <w:aliases w:val="Char"/>
    <w:basedOn w:val="Normal"/>
    <w:link w:val="FooterChar"/>
    <w:uiPriority w:val="99"/>
    <w:rsid w:val="00B0412F"/>
    <w:pPr>
      <w:pBdr>
        <w:top w:val="single" w:sz="4" w:space="9" w:color="auto"/>
      </w:pBdr>
      <w:tabs>
        <w:tab w:val="right" w:pos="9000"/>
      </w:tabs>
    </w:pPr>
    <w:rPr>
      <w:rFonts w:ascii="Arial" w:hAnsi="Arial"/>
      <w:b/>
      <w:sz w:val="20"/>
    </w:rPr>
  </w:style>
  <w:style w:type="character" w:customStyle="1" w:styleId="FooterChar">
    <w:name w:val="Footer Char"/>
    <w:aliases w:val="Char Char"/>
    <w:basedOn w:val="DefaultParagraphFont"/>
    <w:link w:val="Footer"/>
    <w:uiPriority w:val="99"/>
    <w:locked/>
    <w:rsid w:val="00B0412F"/>
    <w:rPr>
      <w:rFonts w:eastAsia="Times New Roman" w:cs="Times New Roman"/>
      <w:b/>
      <w:sz w:val="20"/>
      <w:szCs w:val="20"/>
      <w:lang w:eastAsia="en-AU"/>
    </w:rPr>
  </w:style>
  <w:style w:type="character" w:styleId="FootnoteReference">
    <w:name w:val="footnote reference"/>
    <w:basedOn w:val="DefaultParagraphFont"/>
    <w:uiPriority w:val="99"/>
    <w:semiHidden/>
    <w:rsid w:val="00B0412F"/>
    <w:rPr>
      <w:rFonts w:cs="Times New Roman"/>
      <w:vertAlign w:val="superscript"/>
    </w:rPr>
  </w:style>
  <w:style w:type="paragraph" w:styleId="FootnoteText">
    <w:name w:val="footnote text"/>
    <w:basedOn w:val="Normal"/>
    <w:link w:val="FootnoteTextChar"/>
    <w:uiPriority w:val="99"/>
    <w:semiHidden/>
    <w:rsid w:val="00B0412F"/>
    <w:rPr>
      <w:sz w:val="20"/>
    </w:rPr>
  </w:style>
  <w:style w:type="character" w:customStyle="1" w:styleId="FootnoteTextChar">
    <w:name w:val="Footnote Text Char"/>
    <w:basedOn w:val="DefaultParagraphFont"/>
    <w:link w:val="FootnoteText"/>
    <w:uiPriority w:val="99"/>
    <w:semiHidden/>
    <w:locked/>
    <w:rsid w:val="00B0412F"/>
    <w:rPr>
      <w:rFonts w:ascii="Garamond" w:hAnsi="Garamond" w:cs="Times New Roman"/>
      <w:sz w:val="20"/>
      <w:szCs w:val="20"/>
      <w:lang w:eastAsia="en-AU"/>
    </w:rPr>
  </w:style>
  <w:style w:type="paragraph" w:styleId="Header">
    <w:name w:val="header"/>
    <w:basedOn w:val="Normal"/>
    <w:link w:val="HeaderChar"/>
    <w:uiPriority w:val="99"/>
    <w:rsid w:val="00B0412F"/>
    <w:pPr>
      <w:tabs>
        <w:tab w:val="center" w:pos="4153"/>
        <w:tab w:val="right" w:pos="8306"/>
      </w:tabs>
    </w:pPr>
  </w:style>
  <w:style w:type="character" w:customStyle="1" w:styleId="HeaderChar">
    <w:name w:val="Header Char"/>
    <w:basedOn w:val="DefaultParagraphFont"/>
    <w:link w:val="Header"/>
    <w:uiPriority w:val="99"/>
    <w:locked/>
    <w:rsid w:val="00B0412F"/>
    <w:rPr>
      <w:rFonts w:ascii="Garamond" w:hAnsi="Garamond" w:cs="Times New Roman"/>
      <w:sz w:val="20"/>
      <w:szCs w:val="20"/>
      <w:lang w:eastAsia="en-AU"/>
    </w:rPr>
  </w:style>
  <w:style w:type="paragraph" w:customStyle="1" w:styleId="Summaryboxheading">
    <w:name w:val="Summary box heading"/>
    <w:basedOn w:val="Summaryboxtext"/>
    <w:uiPriority w:val="99"/>
    <w:rsid w:val="00B0412F"/>
    <w:pPr>
      <w:spacing w:before="120"/>
    </w:pPr>
    <w:rPr>
      <w:b/>
    </w:rPr>
  </w:style>
  <w:style w:type="paragraph" w:customStyle="1" w:styleId="Heading2a">
    <w:name w:val="Heading 2a"/>
    <w:basedOn w:val="Heading2"/>
    <w:uiPriority w:val="99"/>
    <w:rsid w:val="00B0412F"/>
    <w:pPr>
      <w:outlineLvl w:val="9"/>
    </w:pPr>
    <w:rPr>
      <w:sz w:val="22"/>
    </w:rPr>
  </w:style>
  <w:style w:type="character" w:styleId="PageNumber">
    <w:name w:val="page number"/>
    <w:basedOn w:val="DefaultParagraphFont"/>
    <w:uiPriority w:val="99"/>
    <w:rsid w:val="00B0412F"/>
    <w:rPr>
      <w:rFonts w:ascii="Tahoma" w:hAnsi="Tahoma" w:cs="Times New Roman"/>
      <w:b/>
      <w:sz w:val="18"/>
    </w:rPr>
  </w:style>
  <w:style w:type="paragraph" w:customStyle="1" w:styleId="PublicationTitle">
    <w:name w:val="PublicationTitle"/>
    <w:basedOn w:val="Normal"/>
    <w:uiPriority w:val="99"/>
    <w:rsid w:val="00B0412F"/>
    <w:pPr>
      <w:spacing w:line="480" w:lineRule="exact"/>
      <w:ind w:left="0" w:right="113"/>
      <w:jc w:val="right"/>
    </w:pPr>
    <w:rPr>
      <w:rFonts w:ascii="Arial" w:hAnsi="Arial"/>
      <w:b/>
      <w:i/>
      <w:sz w:val="44"/>
    </w:rPr>
  </w:style>
  <w:style w:type="paragraph" w:customStyle="1" w:styleId="References">
    <w:name w:val="References"/>
    <w:basedOn w:val="Normal"/>
    <w:uiPriority w:val="99"/>
    <w:rsid w:val="00B0412F"/>
    <w:pPr>
      <w:keepLines/>
      <w:ind w:left="1440" w:hanging="720"/>
    </w:pPr>
  </w:style>
  <w:style w:type="paragraph" w:customStyle="1" w:styleId="Sub-title">
    <w:name w:val="Sub-title"/>
    <w:basedOn w:val="Normal"/>
    <w:uiPriority w:val="99"/>
    <w:rsid w:val="00B0412F"/>
    <w:pPr>
      <w:ind w:left="0" w:right="113"/>
      <w:jc w:val="right"/>
    </w:pPr>
    <w:rPr>
      <w:rFonts w:ascii="Arial" w:hAnsi="Arial"/>
      <w:b/>
      <w:sz w:val="32"/>
    </w:rPr>
  </w:style>
  <w:style w:type="paragraph" w:styleId="TableofFigures">
    <w:name w:val="table of figures"/>
    <w:basedOn w:val="Normal"/>
    <w:next w:val="Normal"/>
    <w:uiPriority w:val="99"/>
    <w:rsid w:val="00B0412F"/>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uiPriority w:val="99"/>
    <w:rsid w:val="00B0412F"/>
    <w:pPr>
      <w:keepNext/>
      <w:spacing w:before="40" w:after="40"/>
      <w:ind w:left="0"/>
    </w:pPr>
    <w:rPr>
      <w:rFonts w:ascii="Arial Narrow" w:hAnsi="Arial Narrow"/>
      <w:sz w:val="18"/>
    </w:rPr>
  </w:style>
  <w:style w:type="character" w:customStyle="1" w:styleId="TableTextChar">
    <w:name w:val="TableText Char"/>
    <w:basedOn w:val="DefaultParagraphFont"/>
    <w:link w:val="TableText"/>
    <w:uiPriority w:val="99"/>
    <w:locked/>
    <w:rsid w:val="00B0412F"/>
    <w:rPr>
      <w:rFonts w:ascii="Arial Narrow" w:hAnsi="Arial Narrow" w:cs="Times New Roman"/>
      <w:sz w:val="20"/>
      <w:szCs w:val="20"/>
      <w:lang w:eastAsia="en-AU"/>
    </w:rPr>
  </w:style>
  <w:style w:type="paragraph" w:customStyle="1" w:styleId="TableHeading">
    <w:name w:val="TableHeading"/>
    <w:basedOn w:val="TableText"/>
    <w:link w:val="TableHeadingChar"/>
    <w:uiPriority w:val="99"/>
    <w:rsid w:val="00B0412F"/>
    <w:rPr>
      <w:b/>
    </w:rPr>
  </w:style>
  <w:style w:type="character" w:customStyle="1" w:styleId="TableHeadingChar">
    <w:name w:val="TableHeading Char"/>
    <w:basedOn w:val="DefaultParagraphFont"/>
    <w:link w:val="TableHeading"/>
    <w:uiPriority w:val="99"/>
    <w:locked/>
    <w:rsid w:val="00B0412F"/>
    <w:rPr>
      <w:rFonts w:ascii="Arial Narrow" w:hAnsi="Arial Narrow" w:cs="Times New Roman"/>
      <w:b/>
      <w:sz w:val="20"/>
      <w:szCs w:val="20"/>
      <w:lang w:eastAsia="en-AU"/>
    </w:rPr>
  </w:style>
  <w:style w:type="paragraph" w:customStyle="1" w:styleId="TableName">
    <w:name w:val="TableName"/>
    <w:basedOn w:val="TableText"/>
    <w:link w:val="TableNameChar"/>
    <w:uiPriority w:val="99"/>
    <w:rsid w:val="00B0412F"/>
    <w:pPr>
      <w:ind w:left="1440" w:hanging="720"/>
    </w:pPr>
    <w:rPr>
      <w:b/>
      <w:sz w:val="20"/>
    </w:rPr>
  </w:style>
  <w:style w:type="character" w:customStyle="1" w:styleId="TableNameChar">
    <w:name w:val="TableName Char"/>
    <w:basedOn w:val="DefaultParagraphFont"/>
    <w:link w:val="TableName"/>
    <w:uiPriority w:val="99"/>
    <w:locked/>
    <w:rsid w:val="00B0412F"/>
    <w:rPr>
      <w:rFonts w:ascii="Arial Narrow" w:hAnsi="Arial Narrow" w:cs="Times New Roman"/>
      <w:b/>
      <w:sz w:val="20"/>
      <w:szCs w:val="20"/>
      <w:lang w:eastAsia="en-AU"/>
    </w:rPr>
  </w:style>
  <w:style w:type="paragraph" w:customStyle="1" w:styleId="TableNotes">
    <w:name w:val="TableNotes"/>
    <w:basedOn w:val="TableText"/>
    <w:link w:val="TableNotesChar"/>
    <w:uiPriority w:val="99"/>
    <w:rsid w:val="00B0412F"/>
    <w:pPr>
      <w:keepNext w:val="0"/>
      <w:keepLines/>
      <w:spacing w:before="0" w:after="360"/>
      <w:ind w:left="720"/>
      <w:contextualSpacing/>
    </w:pPr>
    <w:rPr>
      <w:sz w:val="16"/>
    </w:rPr>
  </w:style>
  <w:style w:type="character" w:customStyle="1" w:styleId="TableNotesChar">
    <w:name w:val="TableNotes Char"/>
    <w:basedOn w:val="DefaultParagraphFont"/>
    <w:link w:val="TableNotes"/>
    <w:uiPriority w:val="99"/>
    <w:locked/>
    <w:rsid w:val="00B0412F"/>
    <w:rPr>
      <w:rFonts w:ascii="Arial Narrow" w:hAnsi="Arial Narrow" w:cs="Times New Roman"/>
      <w:sz w:val="20"/>
      <w:szCs w:val="20"/>
      <w:lang w:eastAsia="en-AU"/>
    </w:rPr>
  </w:style>
  <w:style w:type="paragraph" w:styleId="Title">
    <w:name w:val="Title"/>
    <w:basedOn w:val="Normal"/>
    <w:link w:val="TitleChar"/>
    <w:uiPriority w:val="99"/>
    <w:qFormat/>
    <w:rsid w:val="00B0412F"/>
    <w:pPr>
      <w:ind w:left="0"/>
      <w:jc w:val="center"/>
    </w:pPr>
    <w:rPr>
      <w:rFonts w:ascii="Arial" w:hAnsi="Arial"/>
      <w:b/>
      <w:smallCaps/>
      <w:sz w:val="44"/>
    </w:rPr>
  </w:style>
  <w:style w:type="character" w:customStyle="1" w:styleId="TitleChar">
    <w:name w:val="Title Char"/>
    <w:basedOn w:val="DefaultParagraphFont"/>
    <w:link w:val="Title"/>
    <w:uiPriority w:val="99"/>
    <w:locked/>
    <w:rsid w:val="00B0412F"/>
    <w:rPr>
      <w:rFonts w:eastAsia="Times New Roman" w:cs="Times New Roman"/>
      <w:b/>
      <w:smallCaps/>
      <w:sz w:val="20"/>
      <w:szCs w:val="20"/>
      <w:lang w:eastAsia="en-AU"/>
    </w:rPr>
  </w:style>
  <w:style w:type="paragraph" w:styleId="TOC1">
    <w:name w:val="toc 1"/>
    <w:basedOn w:val="Normal"/>
    <w:next w:val="Normal"/>
    <w:autoRedefine/>
    <w:uiPriority w:val="99"/>
    <w:rsid w:val="00B0412F"/>
    <w:pPr>
      <w:tabs>
        <w:tab w:val="left" w:pos="1276"/>
        <w:tab w:val="right" w:leader="dot" w:pos="9017"/>
      </w:tabs>
      <w:spacing w:before="120" w:after="60"/>
      <w:ind w:right="720"/>
    </w:pPr>
    <w:rPr>
      <w:b/>
      <w:noProof/>
    </w:rPr>
  </w:style>
  <w:style w:type="paragraph" w:styleId="TOC2">
    <w:name w:val="toc 2"/>
    <w:basedOn w:val="Normal"/>
    <w:next w:val="Normal"/>
    <w:autoRedefine/>
    <w:uiPriority w:val="99"/>
    <w:rsid w:val="00B0412F"/>
    <w:pPr>
      <w:tabs>
        <w:tab w:val="right" w:leader="dot" w:pos="9017"/>
      </w:tabs>
      <w:spacing w:after="60"/>
      <w:ind w:left="1440" w:right="720"/>
    </w:pPr>
    <w:rPr>
      <w:noProof/>
    </w:rPr>
  </w:style>
  <w:style w:type="paragraph" w:styleId="TOC3">
    <w:name w:val="toc 3"/>
    <w:basedOn w:val="Normal"/>
    <w:next w:val="Normal"/>
    <w:autoRedefine/>
    <w:uiPriority w:val="99"/>
    <w:rsid w:val="00B0412F"/>
    <w:pPr>
      <w:tabs>
        <w:tab w:val="right" w:leader="dot" w:pos="9016"/>
      </w:tabs>
      <w:spacing w:after="0"/>
      <w:ind w:left="1418"/>
    </w:pPr>
    <w:rPr>
      <w:noProof/>
    </w:rPr>
  </w:style>
  <w:style w:type="paragraph" w:styleId="TOC4">
    <w:name w:val="toc 4"/>
    <w:basedOn w:val="Normal"/>
    <w:next w:val="Normal"/>
    <w:autoRedefine/>
    <w:uiPriority w:val="99"/>
    <w:rsid w:val="00B0412F"/>
    <w:pPr>
      <w:ind w:left="660"/>
    </w:pPr>
  </w:style>
  <w:style w:type="paragraph" w:styleId="TOC5">
    <w:name w:val="toc 5"/>
    <w:basedOn w:val="Normal"/>
    <w:next w:val="Normal"/>
    <w:autoRedefine/>
    <w:uiPriority w:val="99"/>
    <w:semiHidden/>
    <w:rsid w:val="00B0412F"/>
    <w:pPr>
      <w:ind w:left="880"/>
    </w:pPr>
  </w:style>
  <w:style w:type="paragraph" w:styleId="TOC6">
    <w:name w:val="toc 6"/>
    <w:basedOn w:val="Normal"/>
    <w:next w:val="Normal"/>
    <w:autoRedefine/>
    <w:uiPriority w:val="99"/>
    <w:semiHidden/>
    <w:rsid w:val="00B0412F"/>
    <w:pPr>
      <w:ind w:left="1100"/>
    </w:pPr>
  </w:style>
  <w:style w:type="paragraph" w:styleId="TOC7">
    <w:name w:val="toc 7"/>
    <w:basedOn w:val="Normal"/>
    <w:next w:val="Normal"/>
    <w:autoRedefine/>
    <w:uiPriority w:val="99"/>
    <w:semiHidden/>
    <w:rsid w:val="00B0412F"/>
    <w:pPr>
      <w:ind w:left="1320"/>
    </w:pPr>
  </w:style>
  <w:style w:type="paragraph" w:styleId="TOC8">
    <w:name w:val="toc 8"/>
    <w:basedOn w:val="Normal"/>
    <w:next w:val="Normal"/>
    <w:autoRedefine/>
    <w:uiPriority w:val="99"/>
    <w:semiHidden/>
    <w:rsid w:val="00B0412F"/>
    <w:pPr>
      <w:ind w:left="1540"/>
    </w:pPr>
  </w:style>
  <w:style w:type="paragraph" w:styleId="TOC9">
    <w:name w:val="toc 9"/>
    <w:basedOn w:val="Normal"/>
    <w:next w:val="Normal"/>
    <w:autoRedefine/>
    <w:uiPriority w:val="99"/>
    <w:semiHidden/>
    <w:rsid w:val="00B0412F"/>
    <w:pPr>
      <w:ind w:left="1760"/>
    </w:pPr>
  </w:style>
  <w:style w:type="paragraph" w:customStyle="1" w:styleId="Dash">
    <w:name w:val="Dash"/>
    <w:basedOn w:val="Normal"/>
    <w:uiPriority w:val="99"/>
    <w:rsid w:val="00B0412F"/>
    <w:pPr>
      <w:tabs>
        <w:tab w:val="num" w:pos="1800"/>
      </w:tabs>
      <w:ind w:left="1800" w:hanging="360"/>
    </w:pPr>
  </w:style>
  <w:style w:type="paragraph" w:styleId="Quote">
    <w:name w:val="Quote"/>
    <w:basedOn w:val="Normal"/>
    <w:link w:val="QuoteChar"/>
    <w:uiPriority w:val="99"/>
    <w:qFormat/>
    <w:rsid w:val="00B0412F"/>
    <w:pPr>
      <w:keepLines/>
      <w:ind w:left="1440" w:right="720"/>
    </w:pPr>
    <w:rPr>
      <w:sz w:val="22"/>
    </w:rPr>
  </w:style>
  <w:style w:type="character" w:customStyle="1" w:styleId="QuoteChar">
    <w:name w:val="Quote Char"/>
    <w:basedOn w:val="DefaultParagraphFont"/>
    <w:link w:val="Quote"/>
    <w:uiPriority w:val="99"/>
    <w:locked/>
    <w:rsid w:val="00B0412F"/>
    <w:rPr>
      <w:rFonts w:ascii="Garamond" w:hAnsi="Garamond" w:cs="Times New Roman"/>
      <w:sz w:val="20"/>
      <w:szCs w:val="20"/>
      <w:lang w:eastAsia="en-AU"/>
    </w:rPr>
  </w:style>
  <w:style w:type="paragraph" w:styleId="BodyText">
    <w:name w:val="Body Text"/>
    <w:basedOn w:val="Normal"/>
    <w:link w:val="BodyTextChar"/>
    <w:uiPriority w:val="99"/>
    <w:rsid w:val="00B0412F"/>
    <w:pPr>
      <w:spacing w:after="0"/>
      <w:ind w:left="0"/>
    </w:pPr>
    <w:rPr>
      <w:rFonts w:ascii="Helv" w:hAnsi="Helv"/>
      <w:b/>
      <w:i/>
      <w:color w:val="000000"/>
      <w:sz w:val="28"/>
      <w:lang w:eastAsia="en-US"/>
    </w:rPr>
  </w:style>
  <w:style w:type="character" w:customStyle="1" w:styleId="BodyTextChar">
    <w:name w:val="Body Text Char"/>
    <w:basedOn w:val="DefaultParagraphFont"/>
    <w:link w:val="BodyText"/>
    <w:uiPriority w:val="99"/>
    <w:locked/>
    <w:rsid w:val="00B0412F"/>
    <w:rPr>
      <w:rFonts w:ascii="Helv" w:hAnsi="Helv" w:cs="Times New Roman"/>
      <w:b/>
      <w:i/>
      <w:snapToGrid w:val="0"/>
      <w:color w:val="000000"/>
      <w:sz w:val="20"/>
      <w:szCs w:val="20"/>
    </w:rPr>
  </w:style>
  <w:style w:type="paragraph" w:styleId="BalloonText">
    <w:name w:val="Balloon Text"/>
    <w:basedOn w:val="Normal"/>
    <w:link w:val="BalloonTextChar"/>
    <w:uiPriority w:val="99"/>
    <w:semiHidden/>
    <w:rsid w:val="00B041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412F"/>
    <w:rPr>
      <w:rFonts w:ascii="Tahoma" w:hAnsi="Tahoma" w:cs="Tahoma"/>
      <w:sz w:val="16"/>
      <w:szCs w:val="16"/>
      <w:lang w:eastAsia="en-AU"/>
    </w:rPr>
  </w:style>
  <w:style w:type="character" w:styleId="Hyperlink">
    <w:name w:val="Hyperlink"/>
    <w:basedOn w:val="DefaultParagraphFont"/>
    <w:uiPriority w:val="99"/>
    <w:rsid w:val="00B0412F"/>
    <w:rPr>
      <w:rFonts w:cs="Times New Roman"/>
      <w:color w:val="0000FF"/>
      <w:u w:val="single"/>
    </w:rPr>
  </w:style>
  <w:style w:type="paragraph" w:styleId="Caption">
    <w:name w:val="caption"/>
    <w:aliases w:val="Caption Char3,Caption Char2 Char,Caption Char Char1 Char,Char1 Char Char1 Char,Caption Char Char Char Char,Caption Char1 Char Char,Char1 Char Char Char Char,Char1 Char1 Char Char,Char1 Char2 Char,Caption Char Char2,Char1 Char Char2"/>
    <w:basedOn w:val="Normal"/>
    <w:next w:val="Normal"/>
    <w:link w:val="CaptionChar"/>
    <w:uiPriority w:val="99"/>
    <w:qFormat/>
    <w:rsid w:val="00B0412F"/>
    <w:rPr>
      <w:b/>
      <w:bCs/>
      <w:sz w:val="20"/>
    </w:rPr>
  </w:style>
  <w:style w:type="character" w:customStyle="1" w:styleId="CaptionChar">
    <w:name w:val="Caption Char"/>
    <w:aliases w:val="Caption Char3 Char,Caption Char2 Char Char,Caption Char Char1 Char Char,Char1 Char Char1 Char Char,Caption Char Char Char Char Char,Caption Char1 Char Char Char,Char1 Char Char Char Char Char,Char1 Char1 Char Char Char,Char1 Char2 Char Char"/>
    <w:basedOn w:val="DefaultParagraphFont"/>
    <w:link w:val="Caption"/>
    <w:uiPriority w:val="99"/>
    <w:locked/>
    <w:rsid w:val="00B0412F"/>
    <w:rPr>
      <w:rFonts w:ascii="Garamond" w:hAnsi="Garamond" w:cs="Times New Roman"/>
      <w:b/>
      <w:bCs/>
      <w:sz w:val="20"/>
      <w:szCs w:val="20"/>
      <w:lang w:eastAsia="en-AU"/>
    </w:rPr>
  </w:style>
  <w:style w:type="paragraph" w:customStyle="1" w:styleId="TableHeading0">
    <w:name w:val="Table Heading"/>
    <w:basedOn w:val="Normal"/>
    <w:next w:val="Normal"/>
    <w:link w:val="TableHeadingChar0"/>
    <w:uiPriority w:val="99"/>
    <w:rsid w:val="00B0412F"/>
    <w:pPr>
      <w:keepNext/>
      <w:spacing w:before="40" w:after="40"/>
      <w:ind w:left="0"/>
    </w:pPr>
    <w:rPr>
      <w:rFonts w:ascii="Arial" w:hAnsi="Arial"/>
      <w:b/>
      <w:sz w:val="18"/>
      <w:lang w:val="en-GB" w:eastAsia="en-US"/>
    </w:rPr>
  </w:style>
  <w:style w:type="character" w:customStyle="1" w:styleId="TableHeadingChar0">
    <w:name w:val="Table Heading Char"/>
    <w:basedOn w:val="TableTextChar0"/>
    <w:link w:val="TableHeading0"/>
    <w:uiPriority w:val="99"/>
    <w:locked/>
    <w:rsid w:val="00B0412F"/>
    <w:rPr>
      <w:rFonts w:eastAsia="Times New Roman" w:cs="Times New Roman"/>
      <w:b/>
      <w:sz w:val="20"/>
      <w:szCs w:val="20"/>
      <w:lang w:val="en-GB"/>
    </w:rPr>
  </w:style>
  <w:style w:type="character" w:customStyle="1" w:styleId="TableTextChar0">
    <w:name w:val="Table Text Char"/>
    <w:basedOn w:val="DefaultParagraphFont"/>
    <w:link w:val="TableText0"/>
    <w:uiPriority w:val="99"/>
    <w:locked/>
    <w:rsid w:val="00B0412F"/>
    <w:rPr>
      <w:rFonts w:cs="Times New Roman"/>
      <w:sz w:val="18"/>
    </w:rPr>
  </w:style>
  <w:style w:type="paragraph" w:customStyle="1" w:styleId="TableText0">
    <w:name w:val="Table Text"/>
    <w:basedOn w:val="Normal"/>
    <w:link w:val="TableTextChar0"/>
    <w:uiPriority w:val="99"/>
    <w:rsid w:val="00B0412F"/>
    <w:pPr>
      <w:keepNext/>
      <w:spacing w:before="40" w:after="40"/>
      <w:ind w:left="0"/>
    </w:pPr>
    <w:rPr>
      <w:rFonts w:ascii="Arial" w:eastAsia="Calibri" w:hAnsi="Arial" w:cs="Arial"/>
      <w:sz w:val="18"/>
      <w:szCs w:val="22"/>
      <w:lang w:eastAsia="en-US"/>
    </w:rPr>
  </w:style>
  <w:style w:type="table" w:styleId="TableGrid">
    <w:name w:val="Table Grid"/>
    <w:basedOn w:val="TableNormal"/>
    <w:uiPriority w:val="99"/>
    <w:rsid w:val="00B0412F"/>
    <w:pPr>
      <w:spacing w:after="240"/>
      <w:ind w:lef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ame">
    <w:name w:val="Box name"/>
    <w:basedOn w:val="TableName"/>
    <w:link w:val="BoxnameChar"/>
    <w:uiPriority w:val="99"/>
    <w:rsid w:val="00B0412F"/>
  </w:style>
  <w:style w:type="character" w:customStyle="1" w:styleId="BoxnameChar">
    <w:name w:val="Box name Char"/>
    <w:basedOn w:val="TableNameChar"/>
    <w:link w:val="Boxname"/>
    <w:uiPriority w:val="99"/>
    <w:locked/>
    <w:rsid w:val="00B0412F"/>
    <w:rPr>
      <w:rFonts w:ascii="Arial Narrow" w:hAnsi="Arial Narrow" w:cs="Times New Roman"/>
      <w:b/>
      <w:sz w:val="20"/>
      <w:szCs w:val="20"/>
      <w:lang w:eastAsia="en-AU"/>
    </w:rPr>
  </w:style>
  <w:style w:type="paragraph" w:styleId="CommentSubject">
    <w:name w:val="annotation subject"/>
    <w:basedOn w:val="CommentText"/>
    <w:next w:val="CommentText"/>
    <w:link w:val="CommentSubjectChar"/>
    <w:uiPriority w:val="99"/>
    <w:semiHidden/>
    <w:rsid w:val="00B0412F"/>
    <w:rPr>
      <w:b/>
      <w:bCs/>
    </w:rPr>
  </w:style>
  <w:style w:type="character" w:customStyle="1" w:styleId="CommentSubjectChar">
    <w:name w:val="Comment Subject Char"/>
    <w:basedOn w:val="CommentTextChar"/>
    <w:link w:val="CommentSubject"/>
    <w:uiPriority w:val="99"/>
    <w:semiHidden/>
    <w:locked/>
    <w:rsid w:val="00B0412F"/>
    <w:rPr>
      <w:rFonts w:ascii="Garamond" w:hAnsi="Garamond" w:cs="Times New Roman"/>
      <w:b/>
      <w:bCs/>
      <w:sz w:val="20"/>
      <w:szCs w:val="20"/>
      <w:lang w:eastAsia="en-AU"/>
    </w:rPr>
  </w:style>
  <w:style w:type="paragraph" w:customStyle="1" w:styleId="StyleTableTextArialNarrowFirstline045cm">
    <w:name w:val="Style Table Text + Arial Narrow First line:  0.45 cm"/>
    <w:basedOn w:val="TableText0"/>
    <w:uiPriority w:val="99"/>
    <w:rsid w:val="00B0412F"/>
    <w:pPr>
      <w:spacing w:after="360"/>
      <w:ind w:firstLine="720"/>
    </w:pPr>
    <w:rPr>
      <w:rFonts w:ascii="Arial Narrow" w:hAnsi="Arial Narrow"/>
    </w:rPr>
  </w:style>
  <w:style w:type="character" w:styleId="FollowedHyperlink">
    <w:name w:val="FollowedHyperlink"/>
    <w:basedOn w:val="DefaultParagraphFont"/>
    <w:uiPriority w:val="99"/>
    <w:rsid w:val="00B0412F"/>
    <w:rPr>
      <w:rFonts w:cs="Times New Roman"/>
      <w:color w:val="800080"/>
      <w:u w:val="single"/>
    </w:rPr>
  </w:style>
  <w:style w:type="paragraph" w:customStyle="1" w:styleId="TableNamea">
    <w:name w:val="Table Name(a)"/>
    <w:basedOn w:val="Normal"/>
    <w:link w:val="TableNameaChar"/>
    <w:uiPriority w:val="99"/>
    <w:rsid w:val="00B0412F"/>
    <w:pPr>
      <w:keepNext/>
      <w:spacing w:before="120" w:after="120"/>
      <w:ind w:left="1077" w:hanging="1077"/>
    </w:pPr>
    <w:rPr>
      <w:rFonts w:ascii="Arial" w:hAnsi="Arial"/>
      <w:b/>
      <w:sz w:val="20"/>
      <w:lang w:eastAsia="en-US"/>
    </w:rPr>
  </w:style>
  <w:style w:type="character" w:customStyle="1" w:styleId="TableNameaChar">
    <w:name w:val="Table Name(a) Char"/>
    <w:basedOn w:val="DefaultParagraphFont"/>
    <w:link w:val="TableNamea"/>
    <w:uiPriority w:val="99"/>
    <w:locked/>
    <w:rsid w:val="00B0412F"/>
    <w:rPr>
      <w:rFonts w:eastAsia="Times New Roman" w:cs="Times New Roman"/>
      <w:b/>
      <w:sz w:val="20"/>
      <w:szCs w:val="20"/>
    </w:rPr>
  </w:style>
  <w:style w:type="paragraph" w:styleId="Revision">
    <w:name w:val="Revision"/>
    <w:hidden/>
    <w:uiPriority w:val="99"/>
    <w:semiHidden/>
    <w:rsid w:val="00B0412F"/>
    <w:rPr>
      <w:rFonts w:ascii="Garamond" w:eastAsia="Times New Roman" w:hAnsi="Garamond" w:cs="Times New Roman"/>
      <w:sz w:val="24"/>
      <w:szCs w:val="20"/>
      <w:lang w:val="en-AU" w:eastAsia="en-AU"/>
    </w:rPr>
  </w:style>
  <w:style w:type="table" w:styleId="TableSimple1">
    <w:name w:val="Table Simple 1"/>
    <w:basedOn w:val="TableNormal"/>
    <w:uiPriority w:val="99"/>
    <w:rsid w:val="00B0412F"/>
    <w:pPr>
      <w:spacing w:after="240"/>
      <w:ind w:left="720"/>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tyleBulletArialNarrow10pt">
    <w:name w:val="Style Bullet + Arial Narrow 10 pt"/>
    <w:basedOn w:val="Normal"/>
    <w:uiPriority w:val="99"/>
    <w:rsid w:val="00B0412F"/>
    <w:pPr>
      <w:tabs>
        <w:tab w:val="num" w:pos="284"/>
      </w:tabs>
      <w:spacing w:after="0"/>
      <w:ind w:left="113"/>
    </w:pPr>
    <w:rPr>
      <w:rFonts w:ascii="Bookman Old Style" w:hAnsi="Bookman Old Style"/>
      <w:sz w:val="22"/>
      <w:lang w:eastAsia="en-US"/>
    </w:rPr>
  </w:style>
  <w:style w:type="paragraph" w:styleId="NormalWeb">
    <w:name w:val="Normal (Web)"/>
    <w:basedOn w:val="Normal"/>
    <w:uiPriority w:val="99"/>
    <w:rsid w:val="00B0412F"/>
    <w:pPr>
      <w:spacing w:before="100" w:beforeAutospacing="1" w:after="100" w:afterAutospacing="1"/>
      <w:ind w:left="0"/>
    </w:pPr>
    <w:rPr>
      <w:rFonts w:ascii="Times New Roman" w:hAnsi="Times New Roman"/>
      <w:color w:val="000000"/>
      <w:szCs w:val="24"/>
    </w:rPr>
  </w:style>
  <w:style w:type="character" w:customStyle="1" w:styleId="highlight">
    <w:name w:val="highlight"/>
    <w:basedOn w:val="DefaultParagraphFont"/>
    <w:uiPriority w:val="99"/>
    <w:rsid w:val="00B0412F"/>
    <w:rPr>
      <w:rFonts w:cs="Times New Roman"/>
    </w:rPr>
  </w:style>
  <w:style w:type="paragraph" w:styleId="BodyTextIndent">
    <w:name w:val="Body Text Indent"/>
    <w:basedOn w:val="Normal"/>
    <w:link w:val="BodyTextIndentChar"/>
    <w:uiPriority w:val="99"/>
    <w:rsid w:val="00B0412F"/>
    <w:pPr>
      <w:spacing w:after="120"/>
      <w:ind w:left="283"/>
    </w:pPr>
  </w:style>
  <w:style w:type="character" w:customStyle="1" w:styleId="BodyTextIndentChar">
    <w:name w:val="Body Text Indent Char"/>
    <w:basedOn w:val="DefaultParagraphFont"/>
    <w:link w:val="BodyTextIndent"/>
    <w:uiPriority w:val="99"/>
    <w:locked/>
    <w:rsid w:val="00B0412F"/>
    <w:rPr>
      <w:rFonts w:ascii="Garamond" w:hAnsi="Garamond" w:cs="Times New Roman"/>
      <w:sz w:val="20"/>
      <w:szCs w:val="20"/>
      <w:lang w:eastAsia="en-AU"/>
    </w:rPr>
  </w:style>
  <w:style w:type="paragraph" w:customStyle="1" w:styleId="Default">
    <w:name w:val="Default"/>
    <w:uiPriority w:val="99"/>
    <w:rsid w:val="00B0412F"/>
    <w:pPr>
      <w:autoSpaceDE w:val="0"/>
      <w:autoSpaceDN w:val="0"/>
      <w:adjustRightInd w:val="0"/>
    </w:pPr>
    <w:rPr>
      <w:rFonts w:ascii="Garamond" w:eastAsia="Times New Roman" w:hAnsi="Garamond" w:cs="Garamond"/>
      <w:color w:val="000000"/>
      <w:sz w:val="24"/>
      <w:szCs w:val="24"/>
      <w:lang w:val="en-AU" w:eastAsia="en-AU"/>
    </w:rPr>
  </w:style>
  <w:style w:type="character" w:styleId="Strong">
    <w:name w:val="Strong"/>
    <w:basedOn w:val="DefaultParagraphFont"/>
    <w:uiPriority w:val="99"/>
    <w:qFormat/>
    <w:rsid w:val="00B0412F"/>
    <w:rPr>
      <w:rFonts w:cs="Times New Roman"/>
      <w:b/>
      <w:bCs/>
    </w:rPr>
  </w:style>
  <w:style w:type="paragraph" w:styleId="ListParagraph">
    <w:name w:val="List Paragraph"/>
    <w:basedOn w:val="Normal"/>
    <w:uiPriority w:val="99"/>
    <w:qFormat/>
    <w:rsid w:val="00B0412F"/>
    <w:pPr>
      <w:spacing w:after="0"/>
      <w:contextualSpacing/>
    </w:pPr>
    <w:rPr>
      <w:rFonts w:ascii="Bookman Old Style" w:hAnsi="Bookman Old Style"/>
      <w:sz w:val="22"/>
      <w:lang w:eastAsia="en-US"/>
    </w:rPr>
  </w:style>
  <w:style w:type="paragraph" w:styleId="PlainText">
    <w:name w:val="Plain Text"/>
    <w:basedOn w:val="Normal"/>
    <w:link w:val="PlainTextChar"/>
    <w:uiPriority w:val="99"/>
    <w:rsid w:val="00B0412F"/>
    <w:pPr>
      <w:spacing w:after="0"/>
      <w:ind w:left="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locked/>
    <w:rsid w:val="00B0412F"/>
    <w:rPr>
      <w:rFonts w:ascii="Consolas" w:eastAsia="Times New Roman" w:hAnsi="Consolas" w:cs="Times New Roman"/>
      <w:sz w:val="21"/>
      <w:szCs w:val="21"/>
    </w:rPr>
  </w:style>
  <w:style w:type="table" w:customStyle="1" w:styleId="MSACTableStyle">
    <w:name w:val="MSAC Table Style"/>
    <w:uiPriority w:val="99"/>
    <w:rsid w:val="00B0412F"/>
    <w:rPr>
      <w:rFonts w:ascii="Times New Roman" w:eastAsia="Times New Roman" w:hAnsi="Times New Roman" w:cs="Times New Roman"/>
      <w:sz w:val="20"/>
      <w:szCs w:val="20"/>
      <w:lang w:val="en-AU" w:eastAsia="en-AU"/>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rPr>
        <w:rFonts w:cs="Times New Roman"/>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TextCharCharChar">
    <w:name w:val="TableText Char Char Char"/>
    <w:basedOn w:val="Normal"/>
    <w:link w:val="TableTextCharCharCharChar"/>
    <w:uiPriority w:val="99"/>
    <w:rsid w:val="00B0412F"/>
    <w:pPr>
      <w:keepNext/>
      <w:spacing w:before="40" w:after="40"/>
      <w:ind w:left="0"/>
    </w:pPr>
    <w:rPr>
      <w:rFonts w:ascii="Arial Narrow" w:hAnsi="Arial Narrow"/>
      <w:sz w:val="18"/>
    </w:rPr>
  </w:style>
  <w:style w:type="character" w:customStyle="1" w:styleId="TableTextCharCharCharChar">
    <w:name w:val="TableText Char Char Char Char"/>
    <w:basedOn w:val="DefaultParagraphFont"/>
    <w:link w:val="TableTextCharCharChar"/>
    <w:uiPriority w:val="99"/>
    <w:locked/>
    <w:rsid w:val="00B0412F"/>
    <w:rPr>
      <w:rFonts w:ascii="Arial Narrow" w:hAnsi="Arial Narrow" w:cs="Times New Roman"/>
      <w:sz w:val="20"/>
      <w:szCs w:val="20"/>
      <w:lang w:eastAsia="en-AU"/>
    </w:rPr>
  </w:style>
  <w:style w:type="paragraph" w:customStyle="1" w:styleId="TableTextCharChar">
    <w:name w:val="TableText Char Char"/>
    <w:basedOn w:val="Normal"/>
    <w:uiPriority w:val="99"/>
    <w:rsid w:val="00B0412F"/>
    <w:pPr>
      <w:keepNext/>
      <w:spacing w:after="0"/>
      <w:ind w:left="0"/>
    </w:pPr>
    <w:rPr>
      <w:rFonts w:ascii="Trebuchet MS" w:hAnsi="Trebuchet MS"/>
      <w:sz w:val="18"/>
      <w:lang w:eastAsia="en-US"/>
    </w:rPr>
  </w:style>
  <w:style w:type="paragraph" w:customStyle="1" w:styleId="TableTextChar1">
    <w:name w:val="TableText Char1"/>
    <w:basedOn w:val="Normal"/>
    <w:link w:val="TableTextChar1Char"/>
    <w:uiPriority w:val="99"/>
    <w:rsid w:val="00B0412F"/>
    <w:pPr>
      <w:keepNext/>
      <w:spacing w:before="40" w:after="40"/>
      <w:ind w:left="0"/>
    </w:pPr>
    <w:rPr>
      <w:rFonts w:ascii="Arial Narrow" w:hAnsi="Arial Narrow"/>
      <w:sz w:val="18"/>
    </w:rPr>
  </w:style>
  <w:style w:type="character" w:customStyle="1" w:styleId="TableTextChar1Char">
    <w:name w:val="TableText Char1 Char"/>
    <w:basedOn w:val="DefaultParagraphFont"/>
    <w:link w:val="TableTextChar1"/>
    <w:uiPriority w:val="99"/>
    <w:locked/>
    <w:rsid w:val="00B0412F"/>
    <w:rPr>
      <w:rFonts w:ascii="Arial Narrow" w:hAnsi="Arial Narrow" w:cs="Times New Roman"/>
      <w:sz w:val="20"/>
      <w:szCs w:val="20"/>
      <w:lang w:eastAsia="en-AU"/>
    </w:rPr>
  </w:style>
  <w:style w:type="paragraph" w:customStyle="1" w:styleId="Heading4Left0cmCharCharCharCharChar">
    <w:name w:val="Heading 4 + Left: 0cm Char Char Char Char Char"/>
    <w:basedOn w:val="Heading4"/>
    <w:uiPriority w:val="99"/>
    <w:rsid w:val="00B0412F"/>
    <w:pPr>
      <w:spacing w:after="240"/>
      <w:ind w:left="709"/>
    </w:pPr>
    <w:rPr>
      <w:rFonts w:cs="Tahoma"/>
      <w:sz w:val="22"/>
      <w:szCs w:val="22"/>
      <w:lang w:eastAsia="en-US"/>
    </w:rPr>
  </w:style>
  <w:style w:type="paragraph" w:styleId="BodyText2">
    <w:name w:val="Body Text 2"/>
    <w:basedOn w:val="Normal"/>
    <w:link w:val="BodyText2Char"/>
    <w:uiPriority w:val="99"/>
    <w:rsid w:val="00B0412F"/>
    <w:pPr>
      <w:spacing w:after="120" w:line="480" w:lineRule="auto"/>
    </w:pPr>
  </w:style>
  <w:style w:type="character" w:customStyle="1" w:styleId="BodyText2Char">
    <w:name w:val="Body Text 2 Char"/>
    <w:basedOn w:val="DefaultParagraphFont"/>
    <w:link w:val="BodyText2"/>
    <w:uiPriority w:val="99"/>
    <w:locked/>
    <w:rsid w:val="00B0412F"/>
    <w:rPr>
      <w:rFonts w:ascii="Garamond" w:hAnsi="Garamond" w:cs="Times New Roman"/>
      <w:sz w:val="20"/>
      <w:szCs w:val="20"/>
      <w:lang w:eastAsia="en-AU"/>
    </w:rPr>
  </w:style>
  <w:style w:type="character" w:styleId="EndnoteReference">
    <w:name w:val="endnote reference"/>
    <w:basedOn w:val="DefaultParagraphFont"/>
    <w:uiPriority w:val="99"/>
    <w:rsid w:val="00B0412F"/>
    <w:rPr>
      <w:rFonts w:cs="Times New Roman"/>
      <w:vertAlign w:val="superscript"/>
    </w:rPr>
  </w:style>
  <w:style w:type="paragraph" w:customStyle="1" w:styleId="Taabletextcharcharchar">
    <w:name w:val="Taable text char char char"/>
    <w:basedOn w:val="TableText"/>
    <w:uiPriority w:val="99"/>
    <w:rsid w:val="00B0412F"/>
    <w:pPr>
      <w:numPr>
        <w:numId w:val="15"/>
      </w:numPr>
      <w:tabs>
        <w:tab w:val="clear" w:pos="360"/>
        <w:tab w:val="num" w:pos="232"/>
      </w:tabs>
      <w:spacing w:before="0" w:after="0"/>
      <w:ind w:left="232" w:hanging="232"/>
    </w:pPr>
    <w:rPr>
      <w:rFonts w:cs="Arial"/>
      <w:sz w:val="20"/>
      <w:lang w:eastAsia="en-US"/>
    </w:rPr>
  </w:style>
  <w:style w:type="table" w:customStyle="1" w:styleId="testMSACtablestyle">
    <w:name w:val="test MSAC table style"/>
    <w:uiPriority w:val="99"/>
    <w:rsid w:val="00B0412F"/>
    <w:rPr>
      <w:rFonts w:ascii="Arial Narrow" w:eastAsia="Times New Roman" w:hAnsi="Arial Narrow" w:cs="Times New Roman"/>
      <w:sz w:val="18"/>
      <w:szCs w:val="20"/>
      <w:lang w:val="en-AU" w:eastAsia="en-A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Narrow" w:hAnsi="ArialNarrow" w:cs="Times New Roman"/>
        <w:b/>
        <w:sz w:val="18"/>
      </w:rPr>
      <w:tblPr/>
      <w:tcPr>
        <w:tcBorders>
          <w:top w:val="single" w:sz="4" w:space="0" w:color="000000"/>
          <w:bottom w:val="single" w:sz="4" w:space="0" w:color="000000"/>
          <w:insideH w:val="nil"/>
        </w:tcBorders>
        <w:shd w:val="clear" w:color="auto" w:fill="FFFFFF"/>
      </w:tcPr>
    </w:tblStylePr>
  </w:style>
  <w:style w:type="paragraph" w:customStyle="1" w:styleId="TableTitle">
    <w:name w:val="Table Title"/>
    <w:basedOn w:val="BodyText"/>
    <w:uiPriority w:val="99"/>
    <w:rsid w:val="00B0412F"/>
    <w:pPr>
      <w:ind w:left="1440" w:hanging="1440"/>
    </w:pPr>
    <w:rPr>
      <w:rFonts w:ascii="Arial" w:hAnsi="Arial" w:cs="Arial"/>
      <w:bCs/>
      <w:i w:val="0"/>
      <w:color w:val="auto"/>
      <w:sz w:val="24"/>
      <w:szCs w:val="24"/>
    </w:rPr>
  </w:style>
  <w:style w:type="paragraph" w:customStyle="1" w:styleId="TableNotes0">
    <w:name w:val="Table Notes"/>
    <w:basedOn w:val="BodyText"/>
    <w:uiPriority w:val="99"/>
    <w:rsid w:val="00B0412F"/>
    <w:pPr>
      <w:ind w:left="900" w:hanging="360"/>
    </w:pPr>
    <w:rPr>
      <w:rFonts w:ascii="Arial" w:hAnsi="Arial" w:cs="Arial"/>
      <w:b w:val="0"/>
      <w:i w:val="0"/>
      <w:color w:val="auto"/>
      <w:sz w:val="20"/>
      <w:szCs w:val="24"/>
    </w:rPr>
  </w:style>
  <w:style w:type="paragraph" w:styleId="BodyText3">
    <w:name w:val="Body Text 3"/>
    <w:basedOn w:val="Normal"/>
    <w:link w:val="BodyText3Char"/>
    <w:uiPriority w:val="99"/>
    <w:rsid w:val="00B0412F"/>
    <w:pPr>
      <w:autoSpaceDE w:val="0"/>
      <w:autoSpaceDN w:val="0"/>
      <w:adjustRightInd w:val="0"/>
      <w:ind w:left="0"/>
    </w:pPr>
    <w:rPr>
      <w:rFonts w:ascii="Bookman Old Style" w:hAnsi="Bookman Old Style"/>
      <w:sz w:val="20"/>
      <w:lang w:eastAsia="en-US"/>
    </w:rPr>
  </w:style>
  <w:style w:type="character" w:customStyle="1" w:styleId="BodyText3Char">
    <w:name w:val="Body Text 3 Char"/>
    <w:basedOn w:val="DefaultParagraphFont"/>
    <w:link w:val="BodyText3"/>
    <w:uiPriority w:val="99"/>
    <w:locked/>
    <w:rsid w:val="00B0412F"/>
    <w:rPr>
      <w:rFonts w:ascii="Bookman Old Style" w:hAnsi="Bookman Old Style" w:cs="Times New Roman"/>
      <w:sz w:val="20"/>
      <w:szCs w:val="20"/>
    </w:rPr>
  </w:style>
  <w:style w:type="paragraph" w:styleId="BodyTextIndent2">
    <w:name w:val="Body Text Indent 2"/>
    <w:basedOn w:val="Normal"/>
    <w:link w:val="BodyTextIndent2Char"/>
    <w:uiPriority w:val="99"/>
    <w:rsid w:val="00B0412F"/>
    <w:pPr>
      <w:spacing w:after="0"/>
    </w:pPr>
    <w:rPr>
      <w:rFonts w:ascii="Bookman Old Style" w:hAnsi="Bookman Old Style"/>
      <w:sz w:val="22"/>
      <w:lang w:eastAsia="en-US"/>
    </w:rPr>
  </w:style>
  <w:style w:type="character" w:customStyle="1" w:styleId="BodyTextIndent2Char">
    <w:name w:val="Body Text Indent 2 Char"/>
    <w:basedOn w:val="DefaultParagraphFont"/>
    <w:link w:val="BodyTextIndent2"/>
    <w:uiPriority w:val="99"/>
    <w:locked/>
    <w:rsid w:val="00B0412F"/>
    <w:rPr>
      <w:rFonts w:ascii="Bookman Old Style" w:hAnsi="Bookman Old Style" w:cs="Times New Roman"/>
      <w:sz w:val="20"/>
      <w:szCs w:val="20"/>
    </w:rPr>
  </w:style>
  <w:style w:type="paragraph" w:customStyle="1" w:styleId="SOPTableBodyText">
    <w:name w:val="SOP Table Body Text"/>
    <w:basedOn w:val="Normal"/>
    <w:uiPriority w:val="99"/>
    <w:rsid w:val="00B0412F"/>
    <w:pPr>
      <w:spacing w:after="0"/>
      <w:ind w:left="0"/>
    </w:pPr>
    <w:rPr>
      <w:rFonts w:ascii="Arial" w:hAnsi="Arial"/>
      <w:sz w:val="22"/>
      <w:lang w:val="en-US" w:eastAsia="en-US"/>
    </w:rPr>
  </w:style>
  <w:style w:type="paragraph" w:customStyle="1" w:styleId="TableNameCharChar1">
    <w:name w:val="TableName Char Char1"/>
    <w:basedOn w:val="TableTextCharCharChar"/>
    <w:link w:val="TableNameCharChar1Char"/>
    <w:uiPriority w:val="99"/>
    <w:rsid w:val="00B0412F"/>
    <w:pPr>
      <w:spacing w:before="120" w:after="120"/>
      <w:ind w:left="1800" w:hanging="1080"/>
    </w:pPr>
    <w:rPr>
      <w:b/>
    </w:rPr>
  </w:style>
  <w:style w:type="character" w:customStyle="1" w:styleId="TableNameCharChar1Char">
    <w:name w:val="TableName Char Char1 Char"/>
    <w:basedOn w:val="TableTextCharCharCharChar"/>
    <w:link w:val="TableNameCharChar1"/>
    <w:uiPriority w:val="99"/>
    <w:locked/>
    <w:rsid w:val="00B0412F"/>
    <w:rPr>
      <w:rFonts w:ascii="Arial Narrow" w:hAnsi="Arial Narrow" w:cs="Times New Roman"/>
      <w:b/>
      <w:sz w:val="20"/>
      <w:szCs w:val="20"/>
      <w:lang w:eastAsia="en-AU"/>
    </w:rPr>
  </w:style>
  <w:style w:type="paragraph" w:customStyle="1" w:styleId="Protocolheading1">
    <w:name w:val="Protocol heading 1"/>
    <w:basedOn w:val="Normal"/>
    <w:uiPriority w:val="99"/>
    <w:rsid w:val="00B0412F"/>
    <w:pPr>
      <w:spacing w:after="0"/>
      <w:ind w:left="0"/>
    </w:pPr>
    <w:rPr>
      <w:rFonts w:ascii="Arial" w:hAnsi="Arial"/>
      <w:b/>
      <w:sz w:val="52"/>
      <w:szCs w:val="24"/>
      <w:lang w:eastAsia="en-US"/>
    </w:rPr>
  </w:style>
  <w:style w:type="paragraph" w:customStyle="1" w:styleId="Protocolheading3">
    <w:name w:val="Protocol heading 3"/>
    <w:basedOn w:val="Normal"/>
    <w:uiPriority w:val="99"/>
    <w:rsid w:val="00B0412F"/>
    <w:pPr>
      <w:spacing w:after="0"/>
      <w:ind w:left="0"/>
    </w:pPr>
    <w:rPr>
      <w:rFonts w:ascii="Arial" w:hAnsi="Arial"/>
      <w:b/>
      <w:sz w:val="44"/>
      <w:szCs w:val="24"/>
      <w:lang w:eastAsia="en-US"/>
    </w:rPr>
  </w:style>
  <w:style w:type="paragraph" w:customStyle="1" w:styleId="Protocolnormal">
    <w:name w:val="Protocol normal"/>
    <w:basedOn w:val="Normal"/>
    <w:link w:val="ProtocolnormalChar"/>
    <w:uiPriority w:val="99"/>
    <w:rsid w:val="00B0412F"/>
    <w:pPr>
      <w:spacing w:after="0"/>
      <w:ind w:left="0"/>
    </w:pPr>
    <w:rPr>
      <w:rFonts w:ascii="Arial" w:hAnsi="Arial"/>
      <w:sz w:val="22"/>
      <w:szCs w:val="24"/>
      <w:lang w:eastAsia="en-US"/>
    </w:rPr>
  </w:style>
  <w:style w:type="character" w:customStyle="1" w:styleId="ProtocolnormalChar">
    <w:name w:val="Protocol normal Char"/>
    <w:basedOn w:val="DefaultParagraphFont"/>
    <w:link w:val="Protocolnormal"/>
    <w:uiPriority w:val="99"/>
    <w:locked/>
    <w:rsid w:val="00B0412F"/>
    <w:rPr>
      <w:rFonts w:eastAsia="Times New Roman" w:cs="Times New Roman"/>
      <w:sz w:val="24"/>
      <w:szCs w:val="24"/>
    </w:rPr>
  </w:style>
  <w:style w:type="paragraph" w:styleId="DocumentMap">
    <w:name w:val="Document Map"/>
    <w:basedOn w:val="Normal"/>
    <w:link w:val="DocumentMapChar"/>
    <w:uiPriority w:val="99"/>
    <w:rsid w:val="00B0412F"/>
    <w:pPr>
      <w:shd w:val="clear" w:color="auto" w:fill="000080"/>
      <w:spacing w:after="0"/>
      <w:ind w:left="0"/>
    </w:pPr>
    <w:rPr>
      <w:rFonts w:ascii="Tahoma" w:hAnsi="Tahoma" w:cs="Tahoma"/>
      <w:sz w:val="22"/>
      <w:lang w:eastAsia="en-US"/>
    </w:rPr>
  </w:style>
  <w:style w:type="character" w:customStyle="1" w:styleId="DocumentMapChar">
    <w:name w:val="Document Map Char"/>
    <w:basedOn w:val="DefaultParagraphFont"/>
    <w:link w:val="DocumentMap"/>
    <w:uiPriority w:val="99"/>
    <w:locked/>
    <w:rsid w:val="00B0412F"/>
    <w:rPr>
      <w:rFonts w:ascii="Tahoma" w:hAnsi="Tahoma" w:cs="Tahoma"/>
      <w:sz w:val="20"/>
      <w:szCs w:val="20"/>
      <w:shd w:val="clear" w:color="auto" w:fill="000080"/>
    </w:rPr>
  </w:style>
  <w:style w:type="character" w:customStyle="1" w:styleId="TableTextCharCharCharCharChar">
    <w:name w:val="TableText Char Char Char Char Char"/>
    <w:basedOn w:val="DefaultParagraphFont"/>
    <w:uiPriority w:val="99"/>
    <w:rsid w:val="00B0412F"/>
    <w:rPr>
      <w:rFonts w:ascii="Arial Narrow" w:hAnsi="Arial Narrow" w:cs="Times New Roman"/>
      <w:sz w:val="18"/>
      <w:lang w:val="en-AU" w:eastAsia="en-AU" w:bidi="ar-SA"/>
    </w:rPr>
  </w:style>
  <w:style w:type="character" w:customStyle="1" w:styleId="a">
    <w:name w:val="a"/>
    <w:basedOn w:val="DefaultParagraphFont"/>
    <w:uiPriority w:val="99"/>
    <w:rsid w:val="00B0412F"/>
    <w:rPr>
      <w:rFonts w:cs="Times New Roman"/>
    </w:rPr>
  </w:style>
  <w:style w:type="paragraph" w:styleId="BlockText">
    <w:name w:val="Block Text"/>
    <w:basedOn w:val="Normal"/>
    <w:uiPriority w:val="99"/>
    <w:rsid w:val="00B0412F"/>
    <w:pPr>
      <w:ind w:right="-188"/>
    </w:pPr>
    <w:rPr>
      <w:lang w:eastAsia="en-US"/>
    </w:rPr>
  </w:style>
  <w:style w:type="table" w:customStyle="1" w:styleId="TableGrid1">
    <w:name w:val="Table Grid1"/>
    <w:uiPriority w:val="99"/>
    <w:rsid w:val="00B0412F"/>
    <w:pPr>
      <w:spacing w:after="240"/>
      <w:ind w:left="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ullet">
    <w:name w:val="Table Text Bullet"/>
    <w:basedOn w:val="Normal"/>
    <w:uiPriority w:val="99"/>
    <w:rsid w:val="00B0412F"/>
    <w:pPr>
      <w:numPr>
        <w:numId w:val="17"/>
      </w:numPr>
      <w:spacing w:after="0"/>
    </w:pPr>
    <w:rPr>
      <w:rFonts w:ascii="Bookman Old Style" w:hAnsi="Bookman Old Style"/>
      <w:sz w:val="22"/>
      <w:lang w:eastAsia="en-US"/>
    </w:rPr>
  </w:style>
  <w:style w:type="paragraph" w:customStyle="1" w:styleId="tabletext1">
    <w:name w:val="tabletext"/>
    <w:basedOn w:val="Normal"/>
    <w:uiPriority w:val="99"/>
    <w:rsid w:val="00B0412F"/>
    <w:pPr>
      <w:keepNext/>
      <w:spacing w:after="0"/>
      <w:ind w:left="0"/>
    </w:pPr>
    <w:rPr>
      <w:rFonts w:ascii="Trebuchet MS" w:hAnsi="Trebuchet MS"/>
      <w:sz w:val="18"/>
      <w:szCs w:val="18"/>
    </w:rPr>
  </w:style>
  <w:style w:type="paragraph" w:customStyle="1" w:styleId="showrecord">
    <w:name w:val="showrecord"/>
    <w:basedOn w:val="Normal"/>
    <w:uiPriority w:val="99"/>
    <w:rsid w:val="00B0412F"/>
    <w:pPr>
      <w:spacing w:before="100" w:beforeAutospacing="1" w:after="100" w:afterAutospacing="1"/>
      <w:ind w:left="0"/>
      <w:jc w:val="center"/>
    </w:pPr>
    <w:rPr>
      <w:rFonts w:ascii="Times New Roman" w:hAnsi="Times New Roman"/>
      <w:sz w:val="19"/>
      <w:szCs w:val="19"/>
    </w:rPr>
  </w:style>
  <w:style w:type="paragraph" w:customStyle="1" w:styleId="Protocolcaption">
    <w:name w:val="Protocol caption"/>
    <w:basedOn w:val="Caption"/>
    <w:uiPriority w:val="99"/>
    <w:rsid w:val="00B0412F"/>
    <w:pPr>
      <w:keepNext/>
      <w:spacing w:before="120" w:after="120"/>
    </w:pPr>
    <w:rPr>
      <w:rFonts w:ascii="Arial" w:hAnsi="Arial" w:cs="Arial"/>
      <w:lang w:eastAsia="en-US"/>
    </w:rPr>
  </w:style>
  <w:style w:type="paragraph" w:customStyle="1" w:styleId="Heading3a">
    <w:name w:val="Heading 3a"/>
    <w:basedOn w:val="Heading3"/>
    <w:uiPriority w:val="99"/>
    <w:rsid w:val="00B0412F"/>
    <w:pPr>
      <w:ind w:left="709"/>
      <w:outlineLvl w:val="9"/>
    </w:pPr>
    <w:rPr>
      <w:rFonts w:cs="Tahoma"/>
      <w:bCs/>
      <w:sz w:val="24"/>
      <w:szCs w:val="24"/>
      <w:lang w:eastAsia="en-US"/>
    </w:rPr>
  </w:style>
  <w:style w:type="paragraph" w:customStyle="1" w:styleId="a2">
    <w:name w:val="a2"/>
    <w:basedOn w:val="Normal"/>
    <w:uiPriority w:val="99"/>
    <w:rsid w:val="00B0412F"/>
    <w:pPr>
      <w:spacing w:before="100" w:beforeAutospacing="1" w:after="100" w:afterAutospacing="1"/>
      <w:ind w:left="0"/>
    </w:pPr>
    <w:rPr>
      <w:rFonts w:ascii="Times New Roman" w:hAnsi="Times New Roman"/>
      <w:sz w:val="22"/>
      <w:szCs w:val="22"/>
    </w:rPr>
  </w:style>
  <w:style w:type="character" w:customStyle="1" w:styleId="ti">
    <w:name w:val="ti"/>
    <w:basedOn w:val="DefaultParagraphFont"/>
    <w:uiPriority w:val="99"/>
    <w:rsid w:val="00B0412F"/>
    <w:rPr>
      <w:rFonts w:cs="Times New Roman"/>
    </w:rPr>
  </w:style>
  <w:style w:type="paragraph" w:styleId="NoSpacing">
    <w:name w:val="No Spacing"/>
    <w:uiPriority w:val="99"/>
    <w:qFormat/>
    <w:rsid w:val="00B0412F"/>
    <w:rPr>
      <w:rFonts w:ascii="Bookman Old Style" w:eastAsia="Times New Roman" w:hAnsi="Bookman Old Style" w:cs="Times New Roman"/>
      <w:szCs w:val="20"/>
      <w:lang w:val="en-AU"/>
    </w:rPr>
  </w:style>
  <w:style w:type="paragraph" w:customStyle="1" w:styleId="bullet0">
    <w:name w:val="bullet"/>
    <w:basedOn w:val="Normal"/>
    <w:uiPriority w:val="99"/>
    <w:rsid w:val="00B0412F"/>
    <w:pPr>
      <w:spacing w:before="100" w:beforeAutospacing="1" w:after="100" w:afterAutospacing="1"/>
      <w:ind w:left="0"/>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www.ccfc.ca/" TargetMode="External"/><Relationship Id="rId21" Type="http://schemas.openxmlformats.org/officeDocument/2006/relationships/hyperlink" Target="http://www.clinicaltrials.gov/" TargetMode="External"/><Relationship Id="rId42" Type="http://schemas.openxmlformats.org/officeDocument/2006/relationships/hyperlink" Target="http://www.msac.gov.au/" TargetMode="External"/><Relationship Id="rId47" Type="http://schemas.openxmlformats.org/officeDocument/2006/relationships/hyperlink" Target="http://portal.saude.gov.br/portal/saude/area.cfm?id_area=1026" TargetMode="External"/><Relationship Id="rId63" Type="http://schemas.openxmlformats.org/officeDocument/2006/relationships/hyperlink" Target="http://www.iqwig.de/" TargetMode="External"/><Relationship Id="rId68" Type="http://schemas.openxmlformats.org/officeDocument/2006/relationships/hyperlink" Target="http://www.vaspvt.gov.lt/" TargetMode="External"/><Relationship Id="rId84" Type="http://schemas.openxmlformats.org/officeDocument/2006/relationships/hyperlink" Target="http://www.sbu.se/en/" TargetMode="External"/><Relationship Id="rId89" Type="http://schemas.openxmlformats.org/officeDocument/2006/relationships/hyperlink" Target="http://www.nhshealthquality.org/nhsqis/CCC_FirstPage.jsp" TargetMode="External"/><Relationship Id="rId112" Type="http://schemas.openxmlformats.org/officeDocument/2006/relationships/hyperlink" Target="http://www.ccfa.org/" TargetMode="External"/><Relationship Id="rId133" Type="http://schemas.openxmlformats.org/officeDocument/2006/relationships/hyperlink" Target="http://www.sign.ac.uk/" TargetMode="External"/><Relationship Id="rId138" Type="http://schemas.openxmlformats.org/officeDocument/2006/relationships/hyperlink" Target="http://www.healthquality.va.gov/" TargetMode="External"/><Relationship Id="rId16" Type="http://schemas.openxmlformats.org/officeDocument/2006/relationships/header" Target="header3.xml"/><Relationship Id="rId107" Type="http://schemas.openxmlformats.org/officeDocument/2006/relationships/hyperlink" Target="http://www.ctfphc.org/" TargetMode="External"/><Relationship Id="rId11" Type="http://schemas.openxmlformats.org/officeDocument/2006/relationships/footer" Target="footer1.xml"/><Relationship Id="rId32" Type="http://schemas.openxmlformats.org/officeDocument/2006/relationships/image" Target="media/image6.jpeg"/><Relationship Id="rId37" Type="http://schemas.openxmlformats.org/officeDocument/2006/relationships/hyperlink" Target="http://www.inahta.org/" TargetMode="External"/><Relationship Id="rId53" Type="http://schemas.openxmlformats.org/officeDocument/2006/relationships/hyperlink" Target="http://www.chspr.ubc.ca/" TargetMode="External"/><Relationship Id="rId58" Type="http://schemas.openxmlformats.org/officeDocument/2006/relationships/hyperlink" Target="http://dsi.dk/english/" TargetMode="External"/><Relationship Id="rId74" Type="http://schemas.openxmlformats.org/officeDocument/2006/relationships/hyperlink" Target="http://nzhta.chmeds.ac.nz/" TargetMode="External"/><Relationship Id="rId79" Type="http://schemas.openxmlformats.org/officeDocument/2006/relationships/hyperlink" Target="http://www.gencat.net/salut/depsan/units/aatrm/html/en/dir394/index.html" TargetMode="External"/><Relationship Id="rId102" Type="http://schemas.openxmlformats.org/officeDocument/2006/relationships/hyperlink" Target="http://www.fascrs.org/" TargetMode="External"/><Relationship Id="rId123" Type="http://schemas.openxmlformats.org/officeDocument/2006/relationships/hyperlink" Target="http://www.icsi.org/" TargetMode="External"/><Relationship Id="rId128" Type="http://schemas.openxmlformats.org/officeDocument/2006/relationships/hyperlink" Target="http://www.nzgg.org.nz/" TargetMode="External"/><Relationship Id="rId5" Type="http://schemas.openxmlformats.org/officeDocument/2006/relationships/settings" Target="settings.xml"/><Relationship Id="rId90" Type="http://schemas.openxmlformats.org/officeDocument/2006/relationships/hyperlink" Target="http://www.hta.ac.uk/" TargetMode="External"/><Relationship Id="rId95" Type="http://schemas.openxmlformats.org/officeDocument/2006/relationships/hyperlink" Target="https://research.tufts-nemc.org/cear4/default.aspx" TargetMode="External"/><Relationship Id="rId22" Type="http://schemas.openxmlformats.org/officeDocument/2006/relationships/hyperlink" Target="http://www.actr.org.au/" TargetMode="External"/><Relationship Id="rId27" Type="http://schemas.openxmlformats.org/officeDocument/2006/relationships/header" Target="header4.xml"/><Relationship Id="rId43" Type="http://schemas.openxmlformats.org/officeDocument/2006/relationships/hyperlink" Target="http://www.adelaide.edu.au/ahta/" TargetMode="External"/><Relationship Id="rId48" Type="http://schemas.openxmlformats.org/officeDocument/2006/relationships/hyperlink" Target="http://www.aetmis.gouv.qc.ca/site/home.phtml" TargetMode="External"/><Relationship Id="rId64" Type="http://schemas.openxmlformats.org/officeDocument/2006/relationships/hyperlink" Target="http://www.hiqa.ie/" TargetMode="External"/><Relationship Id="rId69" Type="http://schemas.openxmlformats.org/officeDocument/2006/relationships/hyperlink" Target="http://www.moh.gov.my/health_assesments" TargetMode="External"/><Relationship Id="rId113" Type="http://schemas.openxmlformats.org/officeDocument/2006/relationships/hyperlink" Target="http://www.acca.net.au/" TargetMode="External"/><Relationship Id="rId118" Type="http://schemas.openxmlformats.org/officeDocument/2006/relationships/hyperlink" Target="http://www.gesa.org.au/" TargetMode="External"/><Relationship Id="rId134" Type="http://schemas.openxmlformats.org/officeDocument/2006/relationships/hyperlink" Target="http://www.ibd-net.ch/" TargetMode="External"/><Relationship Id="rId139" Type="http://schemas.openxmlformats.org/officeDocument/2006/relationships/hyperlink" Target="http://www.worldendo.org/" TargetMode="External"/><Relationship Id="rId8" Type="http://schemas.openxmlformats.org/officeDocument/2006/relationships/endnotes" Target="endnotes.xml"/><Relationship Id="rId51" Type="http://schemas.openxmlformats.org/officeDocument/2006/relationships/hyperlink" Target="http://www.chsrf.ca/home_e.php" TargetMode="External"/><Relationship Id="rId72" Type="http://schemas.openxmlformats.org/officeDocument/2006/relationships/hyperlink" Target="http://www.zonmw.nl/" TargetMode="External"/><Relationship Id="rId80" Type="http://schemas.openxmlformats.org/officeDocument/2006/relationships/hyperlink" Target="http://www.madrid.org/lainentralgo" TargetMode="External"/><Relationship Id="rId85" Type="http://schemas.openxmlformats.org/officeDocument/2006/relationships/hyperlink" Target="http://www.cmt.liu.se/?l=en&amp;sc=true" TargetMode="External"/><Relationship Id="rId93" Type="http://schemas.openxmlformats.org/officeDocument/2006/relationships/hyperlink" Target="http://www.haps.bham.ac.uk/publichealth/horizon/" TargetMode="External"/><Relationship Id="rId98" Type="http://schemas.openxmlformats.org/officeDocument/2006/relationships/hyperlink" Target="http://www.va.gov/vatap" TargetMode="External"/><Relationship Id="rId121" Type="http://schemas.openxmlformats.org/officeDocument/2006/relationships/hyperlink" Target="http://www.has-sante.fr/"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footer" Target="footer7.xml"/><Relationship Id="rId38" Type="http://schemas.openxmlformats.org/officeDocument/2006/relationships/hyperlink" Target="http://www.iecs.org.ar/" TargetMode="External"/><Relationship Id="rId46" Type="http://schemas.openxmlformats.org/officeDocument/2006/relationships/hyperlink" Target="http://kce.fgov.be/" TargetMode="External"/><Relationship Id="rId59" Type="http://schemas.openxmlformats.org/officeDocument/2006/relationships/hyperlink" Target="http://finohta.stakes.fi/EN/index.htm" TargetMode="External"/><Relationship Id="rId67" Type="http://schemas.openxmlformats.org/officeDocument/2006/relationships/hyperlink" Target="http://www.agenas.it/" TargetMode="External"/><Relationship Id="rId103" Type="http://schemas.openxmlformats.org/officeDocument/2006/relationships/hyperlink" Target="http://www.askasge.org/" TargetMode="External"/><Relationship Id="rId108" Type="http://schemas.openxmlformats.org/officeDocument/2006/relationships/hyperlink" Target="http://www.cdc.gov/" TargetMode="External"/><Relationship Id="rId116" Type="http://schemas.openxmlformats.org/officeDocument/2006/relationships/hyperlink" Target="http://www.ecco-ibd.org/" TargetMode="External"/><Relationship Id="rId124" Type="http://schemas.openxmlformats.org/officeDocument/2006/relationships/hyperlink" Target="http://digestive.niddk.nih.gov/" TargetMode="External"/><Relationship Id="rId129" Type="http://schemas.openxmlformats.org/officeDocument/2006/relationships/hyperlink" Target="http://www.gastro.on.ca/" TargetMode="External"/><Relationship Id="rId137" Type="http://schemas.openxmlformats.org/officeDocument/2006/relationships/hyperlink" Target="http://www.sggssg.ch/" TargetMode="External"/><Relationship Id="rId20" Type="http://schemas.openxmlformats.org/officeDocument/2006/relationships/hyperlink" Target="http://www.controlled-trials.com/" TargetMode="External"/><Relationship Id="rId41" Type="http://schemas.openxmlformats.org/officeDocument/2006/relationships/hyperlink" Target="http://www.buseco.monash.edu.au/centres/che/" TargetMode="External"/><Relationship Id="rId54" Type="http://schemas.openxmlformats.org/officeDocument/2006/relationships/hyperlink" Target="http://www.ices.on.ca/" TargetMode="External"/><Relationship Id="rId62" Type="http://schemas.openxmlformats.org/officeDocument/2006/relationships/hyperlink" Target="http://www.dimdi.de/dynamic/en/hta/db/index.htm" TargetMode="External"/><Relationship Id="rId70" Type="http://schemas.openxmlformats.org/officeDocument/2006/relationships/hyperlink" Target="http://www.cenetec.gob.mx/" TargetMode="External"/><Relationship Id="rId75" Type="http://schemas.openxmlformats.org/officeDocument/2006/relationships/hyperlink" Target="http://www.healthsac.net/" TargetMode="External"/><Relationship Id="rId83" Type="http://schemas.openxmlformats.org/officeDocument/2006/relationships/hyperlink" Target="http://avalia-t.sergas.es/" TargetMode="External"/><Relationship Id="rId88" Type="http://schemas.openxmlformats.org/officeDocument/2006/relationships/hyperlink" Target="http://www.hitap.net/index_en.php" TargetMode="External"/><Relationship Id="rId91" Type="http://schemas.openxmlformats.org/officeDocument/2006/relationships/hyperlink" Target="http://www.nice.org.uk/" TargetMode="External"/><Relationship Id="rId96" Type="http://schemas.openxmlformats.org/officeDocument/2006/relationships/hyperlink" Target="http://www.bcbs.com/consumertec/index.html" TargetMode="External"/><Relationship Id="rId111" Type="http://schemas.openxmlformats.org/officeDocument/2006/relationships/hyperlink" Target="http://www.cori.org/" TargetMode="External"/><Relationship Id="rId132" Type="http://schemas.openxmlformats.org/officeDocument/2006/relationships/hyperlink" Target="http://www.hc-sc.gc.ca/" TargetMode="External"/><Relationship Id="rId140" Type="http://schemas.openxmlformats.org/officeDocument/2006/relationships/hyperlink" Target="http://www.worldgastroenterology.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apps.who.int/trialsearch" TargetMode="External"/><Relationship Id="rId28" Type="http://schemas.openxmlformats.org/officeDocument/2006/relationships/header" Target="header5.xml"/><Relationship Id="rId36" Type="http://schemas.openxmlformats.org/officeDocument/2006/relationships/hyperlink" Target="http://www.cochrane.org/" TargetMode="External"/><Relationship Id="rId49" Type="http://schemas.openxmlformats.org/officeDocument/2006/relationships/hyperlink" Target="http://www.ihe.ca/" TargetMode="External"/><Relationship Id="rId57" Type="http://schemas.openxmlformats.org/officeDocument/2006/relationships/hyperlink" Target="http://www.sst.dk/English/DACEHTA.aspx" TargetMode="External"/><Relationship Id="rId106" Type="http://schemas.openxmlformats.org/officeDocument/2006/relationships/hyperlink" Target="http://www.cma.ca/" TargetMode="External"/><Relationship Id="rId114" Type="http://schemas.openxmlformats.org/officeDocument/2006/relationships/hyperlink" Target="http://www.dgvs.de/" TargetMode="External"/><Relationship Id="rId119" Type="http://schemas.openxmlformats.org/officeDocument/2006/relationships/hyperlink" Target="http://www.gacguidelines.ca/" TargetMode="External"/><Relationship Id="rId127" Type="http://schemas.openxmlformats.org/officeDocument/2006/relationships/hyperlink" Target="http://www.nhs.uk/" TargetMode="External"/><Relationship Id="rId10" Type="http://schemas.openxmlformats.org/officeDocument/2006/relationships/hyperlink" Target="http://www.msac.gov.au/" TargetMode="External"/><Relationship Id="rId31" Type="http://schemas.openxmlformats.org/officeDocument/2006/relationships/footer" Target="footer6.xml"/><Relationship Id="rId44" Type="http://schemas.openxmlformats.org/officeDocument/2006/relationships/hyperlink" Target="http://www.goeg.at/" TargetMode="External"/><Relationship Id="rId52" Type="http://schemas.openxmlformats.org/officeDocument/2006/relationships/hyperlink" Target="http://www.chepa.org/" TargetMode="External"/><Relationship Id="rId60" Type="http://schemas.openxmlformats.org/officeDocument/2006/relationships/hyperlink" Target="http://www.has-sante.fr/" TargetMode="External"/><Relationship Id="rId65" Type="http://schemas.openxmlformats.org/officeDocument/2006/relationships/hyperlink" Target="http://www.gertnerinst.org.il/e/health_policy_e/technology/" TargetMode="External"/><Relationship Id="rId73" Type="http://schemas.openxmlformats.org/officeDocument/2006/relationships/hyperlink" Target="http://www.cvz.nl/" TargetMode="External"/><Relationship Id="rId78" Type="http://schemas.openxmlformats.org/officeDocument/2006/relationships/hyperlink" Target="http://www.isciii.es/htdocs/en/investigacion/Agencia_quees.jsp" TargetMode="External"/><Relationship Id="rId81" Type="http://schemas.openxmlformats.org/officeDocument/2006/relationships/hyperlink" Target="http://www.osanet.euskadi.net/osteba/es" TargetMode="External"/><Relationship Id="rId86" Type="http://schemas.openxmlformats.org/officeDocument/2006/relationships/hyperlink" Target="http://www.snhta.ch/" TargetMode="External"/><Relationship Id="rId94" Type="http://schemas.openxmlformats.org/officeDocument/2006/relationships/hyperlink" Target="http://www.ahrq.gov/" TargetMode="External"/><Relationship Id="rId99" Type="http://schemas.openxmlformats.org/officeDocument/2006/relationships/hyperlink" Target="http://www.ahrq.gov/" TargetMode="External"/><Relationship Id="rId101" Type="http://schemas.openxmlformats.org/officeDocument/2006/relationships/hyperlink" Target="http://www.gastro.org/" TargetMode="External"/><Relationship Id="rId122" Type="http://schemas.openxmlformats.org/officeDocument/2006/relationships/hyperlink" Target="http://www.hon.ch/" TargetMode="External"/><Relationship Id="rId130" Type="http://schemas.openxmlformats.org/officeDocument/2006/relationships/hyperlink" Target="http://www.pubmed.org/" TargetMode="External"/><Relationship Id="rId135" Type="http://schemas.openxmlformats.org/officeDocument/2006/relationships/hyperlink" Target="http://www.sfed.org/" TargetMode="External"/><Relationship Id="rId4" Type="http://schemas.microsoft.com/office/2007/relationships/stylesWithEffects" Target="stylesWithEffects.xml"/><Relationship Id="rId9" Type="http://schemas.openxmlformats.org/officeDocument/2006/relationships/hyperlink" Target="mailto:copyright@health.gov.au" TargetMode="External"/><Relationship Id="rId13" Type="http://schemas.openxmlformats.org/officeDocument/2006/relationships/footer" Target="footer3.xml"/><Relationship Id="rId18" Type="http://schemas.openxmlformats.org/officeDocument/2006/relationships/image" Target="media/image2.tif"/><Relationship Id="rId39" Type="http://schemas.openxmlformats.org/officeDocument/2006/relationships/hyperlink" Target="http://www.surgeons.org/racs/research-and-audit/asernip-s" TargetMode="External"/><Relationship Id="rId109" Type="http://schemas.openxmlformats.org/officeDocument/2006/relationships/hyperlink" Target="http://www.health.gov.bc.ca/gpac" TargetMode="External"/><Relationship Id="rId34" Type="http://schemas.openxmlformats.org/officeDocument/2006/relationships/image" Target="media/image7.png"/><Relationship Id="rId50" Type="http://schemas.openxmlformats.org/officeDocument/2006/relationships/hyperlink" Target="http://www.cadth.ca/index.php/en/home" TargetMode="External"/><Relationship Id="rId55" Type="http://schemas.openxmlformats.org/officeDocument/2006/relationships/hyperlink" Target="http://www.health.gov.on.ca/english/providers/program/mas/mas_mn.html" TargetMode="External"/><Relationship Id="rId76" Type="http://schemas.openxmlformats.org/officeDocument/2006/relationships/hyperlink" Target="http://www.kunnskapssenteret.no/home" TargetMode="External"/><Relationship Id="rId97" Type="http://schemas.openxmlformats.org/officeDocument/2006/relationships/hyperlink" Target="http://effectivehealthcare.ahrq.gov/index.cfm" TargetMode="External"/><Relationship Id="rId104" Type="http://schemas.openxmlformats.org/officeDocument/2006/relationships/hyperlink" Target="http://www.acpgbi.org.uk/" TargetMode="External"/><Relationship Id="rId120" Type="http://schemas.openxmlformats.org/officeDocument/2006/relationships/hyperlink" Target="http://www.g-i-n.net/" TargetMode="External"/><Relationship Id="rId125" Type="http://schemas.openxmlformats.org/officeDocument/2006/relationships/hyperlink" Target="http://www.guideline.gov/"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gezondheidsraad.nl/en" TargetMode="External"/><Relationship Id="rId92" Type="http://schemas.openxmlformats.org/officeDocument/2006/relationships/hyperlink" Target="http://www.abdn.ac.uk/iahs/" TargetMode="Externa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image" Target="media/image4.tif"/><Relationship Id="rId40" Type="http://schemas.openxmlformats.org/officeDocument/2006/relationships/hyperlink" Target="http://www.southernhealth.org.au/page/Health_Professionals/CCE/" TargetMode="External"/><Relationship Id="rId45" Type="http://schemas.openxmlformats.org/officeDocument/2006/relationships/hyperlink" Target="http://www.oeaw.ac.at/ita/e1-3.htm" TargetMode="External"/><Relationship Id="rId66" Type="http://schemas.openxmlformats.org/officeDocument/2006/relationships/hyperlink" Target="http://www.policlinicogemelli.it/area/?s=206" TargetMode="External"/><Relationship Id="rId87" Type="http://schemas.openxmlformats.org/officeDocument/2006/relationships/hyperlink" Target="http://www.cde.org.tw/" TargetMode="External"/><Relationship Id="rId110" Type="http://schemas.openxmlformats.org/officeDocument/2006/relationships/hyperlink" Target="http://www3.interscience.wiley.com/cgi-bin/mrwhome/106568753/HOME" TargetMode="External"/><Relationship Id="rId115" Type="http://schemas.openxmlformats.org/officeDocument/2006/relationships/hyperlink" Target="http://www.epage.ch/" TargetMode="External"/><Relationship Id="rId131" Type="http://schemas.openxmlformats.org/officeDocument/2006/relationships/hyperlink" Target="http://www.rcsi.ie/" TargetMode="External"/><Relationship Id="rId136" Type="http://schemas.openxmlformats.org/officeDocument/2006/relationships/hyperlink" Target="http://www.snfge.asso.fr/" TargetMode="External"/><Relationship Id="rId61" Type="http://schemas.openxmlformats.org/officeDocument/2006/relationships/hyperlink" Target="http://cedit.aphp.fr/" TargetMode="External"/><Relationship Id="rId82" Type="http://schemas.openxmlformats.org/officeDocument/2006/relationships/hyperlink" Target="http://www.juntadeandalucia.es/salud/aetsa" TargetMode="External"/><Relationship Id="rId19" Type="http://schemas.openxmlformats.org/officeDocument/2006/relationships/image" Target="media/image3.tif"/><Relationship Id="rId14" Type="http://schemas.openxmlformats.org/officeDocument/2006/relationships/header" Target="header1.xml"/><Relationship Id="rId30" Type="http://schemas.openxmlformats.org/officeDocument/2006/relationships/header" Target="header6.xml"/><Relationship Id="rId35" Type="http://schemas.openxmlformats.org/officeDocument/2006/relationships/hyperlink" Target="http://www.york.ac.uk/inst/crd/" TargetMode="External"/><Relationship Id="rId56" Type="http://schemas.openxmlformats.org/officeDocument/2006/relationships/hyperlink" Target="http://www.redsalud.gov.cl/" TargetMode="External"/><Relationship Id="rId77" Type="http://schemas.openxmlformats.org/officeDocument/2006/relationships/hyperlink" Target="http://aotm.eu/index.php?tpl=pl/wot/pake_zako" TargetMode="External"/><Relationship Id="rId100" Type="http://schemas.openxmlformats.org/officeDocument/2006/relationships/hyperlink" Target="http://www.gi.org/" TargetMode="External"/><Relationship Id="rId105" Type="http://schemas.openxmlformats.org/officeDocument/2006/relationships/hyperlink" Target="http://www.bsg.org.uk/" TargetMode="External"/><Relationship Id="rId126" Type="http://schemas.openxmlformats.org/officeDocument/2006/relationships/hyperlink" Target="http://www.nhm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593E-9D4B-4FE4-ABA8-D3ECB8B6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44726</Words>
  <Characters>289133</Characters>
  <Application>Microsoft Office Word</Application>
  <DocSecurity>0</DocSecurity>
  <Lines>2409</Lines>
  <Paragraphs>666</Paragraphs>
  <ScaleCrop>false</ScaleCrop>
  <HeadingPairs>
    <vt:vector size="2" baseType="variant">
      <vt:variant>
        <vt:lpstr>Title</vt:lpstr>
      </vt:variant>
      <vt:variant>
        <vt:i4>1</vt:i4>
      </vt:variant>
    </vt:vector>
  </HeadingPairs>
  <TitlesOfParts>
    <vt:vector size="1" baseType="lpstr">
      <vt:lpstr>Capsule endoscopy for the diagnosis of suspected small bowel Crohn’s disease</vt:lpstr>
    </vt:vector>
  </TitlesOfParts>
  <LinksUpToDate>false</LinksUpToDate>
  <CharactersWithSpaces>333193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Capsule endoscopy for the diagnosis of suspected small bowel Crohn’s disease</dc:title>
  <dc:creator/>
  <cp:lastModifiedBy/>
  <cp:revision>1</cp:revision>
  <dcterms:created xsi:type="dcterms:W3CDTF">2016-05-23T02:43:00Z</dcterms:created>
  <dcterms:modified xsi:type="dcterms:W3CDTF">2016-05-23T03:29:00Z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